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256C1" w14:textId="5AE0D70A" w:rsidR="00D81A31" w:rsidRPr="00022622" w:rsidRDefault="00D81A31" w:rsidP="002739DC">
      <w:pPr>
        <w:pStyle w:val="Heading1-Statement"/>
      </w:pPr>
      <w:r w:rsidRPr="00022622">
        <w:t xml:space="preserve">Statement </w:t>
      </w:r>
      <w:r w:rsidR="004802FB" w:rsidRPr="00022622">
        <w:t>3:</w:t>
      </w:r>
      <w:r w:rsidRPr="00022622">
        <w:t xml:space="preserve"> </w:t>
      </w:r>
      <w:r w:rsidRPr="00022622">
        <w:br/>
      </w:r>
      <w:r w:rsidR="004802FB" w:rsidRPr="00022622">
        <w:t>Fiscal Strategy and Outlook</w:t>
      </w:r>
    </w:p>
    <w:p w14:paraId="0DA0AD09" w14:textId="69E35BA7" w:rsidR="004E69E0" w:rsidRPr="004E1159" w:rsidRDefault="004E69E0" w:rsidP="004E69E0">
      <w:pPr>
        <w:spacing w:before="0" w:after="160" w:line="259" w:lineRule="auto"/>
      </w:pPr>
      <w:r w:rsidRPr="004E1159">
        <w:t>The Government</w:t>
      </w:r>
      <w:r w:rsidR="00594653" w:rsidRPr="004E1159">
        <w:t>’</w:t>
      </w:r>
      <w:r w:rsidRPr="004E1159">
        <w:t xml:space="preserve">s responsible </w:t>
      </w:r>
      <w:r w:rsidR="00400D09" w:rsidRPr="004E1159">
        <w:t xml:space="preserve">economic and </w:t>
      </w:r>
      <w:r w:rsidR="00800132" w:rsidRPr="004E1159">
        <w:t>fiscal manag</w:t>
      </w:r>
      <w:r w:rsidR="00A752ED" w:rsidRPr="004E1159">
        <w:t>e</w:t>
      </w:r>
      <w:r w:rsidR="00800132" w:rsidRPr="004E1159">
        <w:t>ment</w:t>
      </w:r>
      <w:r w:rsidRPr="004E1159">
        <w:t xml:space="preserve"> is delivering </w:t>
      </w:r>
      <w:r w:rsidR="00372F21" w:rsidRPr="004E1159">
        <w:t>a stronger</w:t>
      </w:r>
      <w:r w:rsidRPr="004E1159">
        <w:t xml:space="preserve">, and more sustainable fiscal position. </w:t>
      </w:r>
      <w:r w:rsidR="001E7C80" w:rsidRPr="004E1159">
        <w:t>A</w:t>
      </w:r>
      <w:r w:rsidR="00562E44" w:rsidRPr="004E1159">
        <w:t xml:space="preserve"> budget </w:t>
      </w:r>
      <w:r w:rsidR="001E7C80" w:rsidRPr="004E1159">
        <w:t xml:space="preserve">surplus </w:t>
      </w:r>
      <w:r w:rsidR="00562E44" w:rsidRPr="004E1159">
        <w:t>is now forecast in 2022</w:t>
      </w:r>
      <w:r w:rsidR="00235899" w:rsidRPr="004E1159">
        <w:t>–</w:t>
      </w:r>
      <w:r w:rsidR="00562E44" w:rsidRPr="004E1159">
        <w:t xml:space="preserve">23, ahead of most major advanced economies, with smaller deficits and lower debt in each year of the forward estimates, compared to October. </w:t>
      </w:r>
      <w:r w:rsidRPr="004E1159">
        <w:t>It achieves this while providing targeted cost of living relief, invest</w:t>
      </w:r>
      <w:r w:rsidR="00E72F14" w:rsidRPr="004E1159">
        <w:t>ing</w:t>
      </w:r>
      <w:r w:rsidRPr="004E1159">
        <w:t xml:space="preserve"> in a stronger</w:t>
      </w:r>
      <w:r w:rsidR="00CA2C8A" w:rsidRPr="004E1159">
        <w:t>,</w:t>
      </w:r>
      <w:r w:rsidRPr="004E1159">
        <w:t xml:space="preserve"> more secure economy, </w:t>
      </w:r>
      <w:r w:rsidR="00DC572D" w:rsidRPr="004E1159">
        <w:t>sharing opportunities in our society</w:t>
      </w:r>
      <w:r w:rsidRPr="004E1159">
        <w:t>, and dealing with a legacy o</w:t>
      </w:r>
      <w:r w:rsidR="00045A30" w:rsidRPr="004E1159">
        <w:t xml:space="preserve">f </w:t>
      </w:r>
      <w:r w:rsidRPr="004E1159">
        <w:t>unfunded programs.</w:t>
      </w:r>
      <w:r w:rsidR="007A3C50" w:rsidRPr="004E1159">
        <w:t xml:space="preserve"> </w:t>
      </w:r>
    </w:p>
    <w:p w14:paraId="584011B5" w14:textId="3B4197A5" w:rsidR="00206CCC" w:rsidRPr="004E1159" w:rsidRDefault="00206CCC" w:rsidP="00206CCC">
      <w:pPr>
        <w:spacing w:before="0" w:after="160" w:line="259" w:lineRule="auto"/>
      </w:pPr>
      <w:r w:rsidRPr="004E1159">
        <w:t xml:space="preserve">The Government is returning most </w:t>
      </w:r>
      <w:r w:rsidR="00333198" w:rsidRPr="004E1159">
        <w:t xml:space="preserve">of </w:t>
      </w:r>
      <w:r w:rsidRPr="004E1159">
        <w:t xml:space="preserve">the </w:t>
      </w:r>
      <w:r w:rsidRPr="004E1159" w:rsidDel="00C1698B">
        <w:t xml:space="preserve">improvements </w:t>
      </w:r>
      <w:r w:rsidR="00662418" w:rsidRPr="004E1159">
        <w:t>in</w:t>
      </w:r>
      <w:r w:rsidR="00662418" w:rsidRPr="004E1159" w:rsidDel="00C1698B">
        <w:t xml:space="preserve"> </w:t>
      </w:r>
      <w:r w:rsidR="00C1698B" w:rsidRPr="004E1159">
        <w:t xml:space="preserve">tax </w:t>
      </w:r>
      <w:r w:rsidR="00690118" w:rsidRPr="004E1159">
        <w:t xml:space="preserve">receipts </w:t>
      </w:r>
      <w:r w:rsidRPr="004E1159">
        <w:t>to the budget</w:t>
      </w:r>
      <w:r w:rsidR="00690118" w:rsidRPr="004E1159">
        <w:t>.</w:t>
      </w:r>
      <w:r w:rsidRPr="004E1159">
        <w:t xml:space="preserve"> </w:t>
      </w:r>
      <w:r w:rsidR="0063168B" w:rsidRPr="004E1159">
        <w:t>87</w:t>
      </w:r>
      <w:r w:rsidR="00F634C3" w:rsidRPr="004E1159">
        <w:t> per </w:t>
      </w:r>
      <w:r w:rsidRPr="004E1159">
        <w:t xml:space="preserve">cent of </w:t>
      </w:r>
      <w:r w:rsidR="00542C78" w:rsidRPr="004E1159">
        <w:t>tax</w:t>
      </w:r>
      <w:r w:rsidR="00170583" w:rsidRPr="004E1159">
        <w:t xml:space="preserve"> </w:t>
      </w:r>
      <w:r w:rsidR="00FD4C0E" w:rsidRPr="004E1159">
        <w:t>upgrades</w:t>
      </w:r>
      <w:r w:rsidR="00170583" w:rsidRPr="004E1159">
        <w:t xml:space="preserve"> in</w:t>
      </w:r>
      <w:r w:rsidR="00447A8D" w:rsidRPr="004E1159">
        <w:t xml:space="preserve"> </w:t>
      </w:r>
      <w:r w:rsidRPr="004E1159">
        <w:t>the past 2 Budgets are being returned (</w:t>
      </w:r>
      <w:r w:rsidR="0063168B" w:rsidRPr="004E1159">
        <w:t>82</w:t>
      </w:r>
      <w:r w:rsidR="00F634C3" w:rsidRPr="004E1159">
        <w:t> per </w:t>
      </w:r>
      <w:r w:rsidRPr="004E1159">
        <w:t xml:space="preserve">cent in this Budget). </w:t>
      </w:r>
      <w:r w:rsidR="001309DE" w:rsidRPr="004E1159">
        <w:t>T</w:t>
      </w:r>
      <w:r w:rsidR="00F75F8D" w:rsidRPr="004E1159">
        <w:t>he t</w:t>
      </w:r>
      <w:r w:rsidR="001309DE" w:rsidRPr="004E1159">
        <w:t>ax upgrade</w:t>
      </w:r>
      <w:r w:rsidR="00F75F8D" w:rsidRPr="004E1159">
        <w:t>s</w:t>
      </w:r>
      <w:r w:rsidR="001309DE" w:rsidRPr="004E1159">
        <w:t xml:space="preserve"> </w:t>
      </w:r>
      <w:r w:rsidR="00F75F8D" w:rsidRPr="004E1159">
        <w:t>returned</w:t>
      </w:r>
      <w:r w:rsidR="001309DE" w:rsidRPr="004E1159">
        <w:t xml:space="preserve"> in each of the past 2 Budgets have been among the strongest on record. </w:t>
      </w:r>
      <w:r w:rsidR="00D22702" w:rsidRPr="004E1159">
        <w:t>The Government</w:t>
      </w:r>
      <w:r w:rsidR="00594653" w:rsidRPr="004E1159">
        <w:t>’</w:t>
      </w:r>
      <w:r w:rsidR="00D22702" w:rsidRPr="004E1159">
        <w:t xml:space="preserve">s </w:t>
      </w:r>
      <w:r w:rsidR="001810BF" w:rsidRPr="004E1159">
        <w:t xml:space="preserve">spending restraint has limited real payments growth to </w:t>
      </w:r>
      <w:r w:rsidR="00630C84" w:rsidRPr="004E1159">
        <w:t xml:space="preserve">an </w:t>
      </w:r>
      <w:r w:rsidR="001810BF" w:rsidRPr="004E1159">
        <w:t>average 0.</w:t>
      </w:r>
      <w:r w:rsidR="00B01554" w:rsidRPr="004E1159">
        <w:t>6</w:t>
      </w:r>
      <w:r w:rsidR="001810BF" w:rsidRPr="004E1159">
        <w:t xml:space="preserve"> per cent over 5 years from 2022</w:t>
      </w:r>
      <w:r w:rsidR="00235899" w:rsidRPr="004E1159">
        <w:t>–</w:t>
      </w:r>
      <w:r w:rsidR="001810BF" w:rsidRPr="004E1159">
        <w:t>23 to 2026–27</w:t>
      </w:r>
      <w:r w:rsidR="009108E5" w:rsidRPr="004E1159">
        <w:t xml:space="preserve">. </w:t>
      </w:r>
    </w:p>
    <w:p w14:paraId="03DB9DF8" w14:textId="21C050AA" w:rsidR="00C33A3A" w:rsidRPr="0033720D" w:rsidRDefault="00357AD7" w:rsidP="00505C30">
      <w:pPr>
        <w:spacing w:before="0" w:after="160" w:line="259" w:lineRule="auto"/>
      </w:pPr>
      <w:r w:rsidRPr="004E1159">
        <w:t>R</w:t>
      </w:r>
      <w:r w:rsidR="003B56CC" w:rsidRPr="004E1159">
        <w:t>eturning revenue upgrades</w:t>
      </w:r>
      <w:r w:rsidR="00AB07B3" w:rsidRPr="004E1159">
        <w:t xml:space="preserve"> and</w:t>
      </w:r>
      <w:r w:rsidRPr="004E1159">
        <w:t xml:space="preserve"> spending restraint </w:t>
      </w:r>
      <w:r w:rsidR="003B56CC" w:rsidRPr="004E1159">
        <w:t>deliver</w:t>
      </w:r>
      <w:r w:rsidR="002C79B2" w:rsidRPr="004E1159">
        <w:t>s</w:t>
      </w:r>
      <w:r w:rsidR="003B56CC" w:rsidRPr="004E1159">
        <w:t xml:space="preserve"> </w:t>
      </w:r>
      <w:r w:rsidR="006A775D" w:rsidRPr="004E1159">
        <w:t>a significant improvement in the fiscal outlook.</w:t>
      </w:r>
      <w:r w:rsidR="00DB366C" w:rsidRPr="004E1159">
        <w:t xml:space="preserve"> </w:t>
      </w:r>
      <w:r w:rsidR="00030D4B" w:rsidRPr="004E1159">
        <w:t xml:space="preserve">The underlying cash balance is </w:t>
      </w:r>
      <w:r w:rsidR="00C33A3A" w:rsidRPr="004E1159">
        <w:t xml:space="preserve">now expected to be </w:t>
      </w:r>
      <w:r w:rsidR="0067181E" w:rsidRPr="004E1159">
        <w:t>in surplus</w:t>
      </w:r>
      <w:r w:rsidR="00C33A3A" w:rsidRPr="004E1159">
        <w:t xml:space="preserve"> in 2022</w:t>
      </w:r>
      <w:r w:rsidR="00235899" w:rsidRPr="004E1159">
        <w:t>–</w:t>
      </w:r>
      <w:r w:rsidR="00C33A3A" w:rsidRPr="004E1159">
        <w:t>23</w:t>
      </w:r>
      <w:r w:rsidR="00FB4B62" w:rsidRPr="004E1159">
        <w:t xml:space="preserve">, an improvement of </w:t>
      </w:r>
      <w:r w:rsidR="00542C78" w:rsidRPr="004E1159">
        <w:t>$</w:t>
      </w:r>
      <w:r w:rsidR="009C00C6" w:rsidRPr="004E1159">
        <w:t>4</w:t>
      </w:r>
      <w:r w:rsidR="000D060A" w:rsidRPr="004E1159">
        <w:t>1</w:t>
      </w:r>
      <w:r w:rsidR="009C00C6" w:rsidRPr="004E1159">
        <w:t>.</w:t>
      </w:r>
      <w:r w:rsidR="000D060A" w:rsidRPr="004E1159">
        <w:t>1</w:t>
      </w:r>
      <w:r w:rsidR="00F634C3" w:rsidRPr="004E1159">
        <w:t> billion</w:t>
      </w:r>
      <w:r w:rsidR="00542C78" w:rsidRPr="004E1159">
        <w:t xml:space="preserve"> since October</w:t>
      </w:r>
      <w:r w:rsidR="003D39A7" w:rsidRPr="004E1159">
        <w:t xml:space="preserve">, and </w:t>
      </w:r>
      <w:r w:rsidR="00860124" w:rsidRPr="004E1159">
        <w:t>$</w:t>
      </w:r>
      <w:r w:rsidR="005D3183" w:rsidRPr="004E1159">
        <w:t>8</w:t>
      </w:r>
      <w:r w:rsidR="00B44C59" w:rsidRPr="004E1159">
        <w:t>2</w:t>
      </w:r>
      <w:r w:rsidR="005D3183" w:rsidRPr="004E1159">
        <w:t>.</w:t>
      </w:r>
      <w:r w:rsidR="00B44C59" w:rsidRPr="004E1159">
        <w:t xml:space="preserve">1 </w:t>
      </w:r>
      <w:r w:rsidR="00F634C3" w:rsidRPr="004E1159">
        <w:t>billion</w:t>
      </w:r>
      <w:r w:rsidR="003D39A7" w:rsidRPr="004E1159">
        <w:t xml:space="preserve"> </w:t>
      </w:r>
      <w:r w:rsidR="007B03BE" w:rsidRPr="004E1159">
        <w:t>since coming to government</w:t>
      </w:r>
      <w:r w:rsidR="00542C78" w:rsidRPr="004E1159">
        <w:t xml:space="preserve">. </w:t>
      </w:r>
      <w:r w:rsidR="005F56CB" w:rsidRPr="004E1159">
        <w:t xml:space="preserve">This </w:t>
      </w:r>
      <w:r w:rsidR="007251F3" w:rsidRPr="004E1159">
        <w:t>extraordinary</w:t>
      </w:r>
      <w:r w:rsidR="005F56CB" w:rsidRPr="004E1159">
        <w:t xml:space="preserve"> </w:t>
      </w:r>
      <w:r w:rsidR="00A029A6" w:rsidRPr="004E1159">
        <w:t xml:space="preserve">fiscal turnaround </w:t>
      </w:r>
      <w:r w:rsidR="005F56CB" w:rsidRPr="004E1159">
        <w:t>see</w:t>
      </w:r>
      <w:r w:rsidR="009B502C" w:rsidRPr="004E1159">
        <w:t>s</w:t>
      </w:r>
      <w:r w:rsidR="005F56CB" w:rsidRPr="004E1159">
        <w:t xml:space="preserve"> </w:t>
      </w:r>
      <w:r w:rsidR="003714BD" w:rsidRPr="004E1159">
        <w:t>the</w:t>
      </w:r>
      <w:r w:rsidR="005F56CB" w:rsidRPr="004E1159">
        <w:t xml:space="preserve"> </w:t>
      </w:r>
      <w:r w:rsidR="00542C78" w:rsidRPr="004E1159">
        <w:t>Australia</w:t>
      </w:r>
      <w:r w:rsidR="003714BD" w:rsidRPr="004E1159">
        <w:t>n Government</w:t>
      </w:r>
      <w:r w:rsidR="00B5291E" w:rsidRPr="004E1159">
        <w:t xml:space="preserve"> fore</w:t>
      </w:r>
      <w:r w:rsidR="00361594" w:rsidRPr="004E1159">
        <w:t>cast</w:t>
      </w:r>
      <w:r w:rsidR="00B5291E" w:rsidRPr="004E1159">
        <w:t xml:space="preserve"> </w:t>
      </w:r>
      <w:r w:rsidR="00C279E0" w:rsidRPr="004E1159">
        <w:t>a</w:t>
      </w:r>
      <w:r w:rsidR="00542C78" w:rsidRPr="004E1159">
        <w:t xml:space="preserve"> </w:t>
      </w:r>
      <w:r w:rsidR="001F21F2" w:rsidRPr="004E1159">
        <w:t xml:space="preserve">surplus </w:t>
      </w:r>
      <w:r w:rsidR="00FA69E1" w:rsidRPr="004E1159">
        <w:t>b</w:t>
      </w:r>
      <w:r w:rsidR="00C279E0" w:rsidRPr="004E1159">
        <w:t xml:space="preserve">udget </w:t>
      </w:r>
      <w:r w:rsidR="00542C78" w:rsidRPr="004E1159">
        <w:t xml:space="preserve">before </w:t>
      </w:r>
      <w:r w:rsidR="00F00B4A" w:rsidRPr="004E1159">
        <w:t>most</w:t>
      </w:r>
      <w:r w:rsidR="00542C78" w:rsidRPr="004E1159">
        <w:t xml:space="preserve"> </w:t>
      </w:r>
      <w:r w:rsidR="005C5391" w:rsidRPr="004E1159">
        <w:t xml:space="preserve">of the </w:t>
      </w:r>
      <w:r w:rsidR="003F37E2" w:rsidRPr="004E1159">
        <w:t>major</w:t>
      </w:r>
      <w:r w:rsidR="007F5A12" w:rsidRPr="004E1159">
        <w:t xml:space="preserve"> </w:t>
      </w:r>
      <w:r w:rsidR="00542C78" w:rsidRPr="004E1159">
        <w:t>advanced econom</w:t>
      </w:r>
      <w:r w:rsidR="00D32011" w:rsidRPr="004E1159">
        <w:t>ies</w:t>
      </w:r>
      <w:r w:rsidR="00386272" w:rsidRPr="004E1159">
        <w:t>. A</w:t>
      </w:r>
      <w:r w:rsidR="00AF33FB" w:rsidRPr="004E1159">
        <w:t xml:space="preserve"> </w:t>
      </w:r>
      <w:r w:rsidR="00542C78" w:rsidRPr="004E1159">
        <w:t>deficit of $</w:t>
      </w:r>
      <w:r w:rsidR="007A3D3B" w:rsidRPr="004E1159">
        <w:t>13.</w:t>
      </w:r>
      <w:r w:rsidR="00C910AD" w:rsidRPr="004E1159">
        <w:t>9</w:t>
      </w:r>
      <w:r w:rsidR="00F634C3" w:rsidRPr="004E1159">
        <w:t> billion</w:t>
      </w:r>
      <w:r w:rsidR="00542C78" w:rsidRPr="004E1159">
        <w:t xml:space="preserve"> </w:t>
      </w:r>
      <w:r w:rsidR="00386272" w:rsidRPr="004E1159">
        <w:t>(</w:t>
      </w:r>
      <w:r w:rsidR="00630C84" w:rsidRPr="004E1159">
        <w:t>0.5</w:t>
      </w:r>
      <w:r w:rsidR="00386272" w:rsidRPr="004E1159">
        <w:t xml:space="preserve"> per cent of GDP</w:t>
      </w:r>
      <w:r w:rsidR="00122F57" w:rsidRPr="004E1159">
        <w:t>)</w:t>
      </w:r>
      <w:r w:rsidR="00287AEA" w:rsidRPr="004E1159">
        <w:t xml:space="preserve"> </w:t>
      </w:r>
      <w:r w:rsidR="00542C78" w:rsidRPr="004E1159">
        <w:t>is</w:t>
      </w:r>
      <w:r w:rsidR="00AF33FB" w:rsidRPr="004E1159">
        <w:t xml:space="preserve"> </w:t>
      </w:r>
      <w:r w:rsidR="00542C78" w:rsidRPr="004E1159">
        <w:t>expected in 2023</w:t>
      </w:r>
      <w:r w:rsidR="003062BB" w:rsidRPr="004E1159">
        <w:t>–</w:t>
      </w:r>
      <w:r w:rsidR="00542C78" w:rsidRPr="004E1159">
        <w:t>24</w:t>
      </w:r>
      <w:r w:rsidR="00386272" w:rsidRPr="004E1159">
        <w:t xml:space="preserve">, </w:t>
      </w:r>
      <w:r w:rsidR="009F685E" w:rsidRPr="004E1159">
        <w:t>a</w:t>
      </w:r>
      <w:r w:rsidR="00386272" w:rsidRPr="004E1159">
        <w:t xml:space="preserve"> </w:t>
      </w:r>
      <w:r w:rsidR="00630C84" w:rsidRPr="004E1159">
        <w:t>$3</w:t>
      </w:r>
      <w:r w:rsidR="00762A42" w:rsidRPr="004E1159">
        <w:t>0</w:t>
      </w:r>
      <w:r w:rsidR="00630C84" w:rsidRPr="004E1159">
        <w:t>.</w:t>
      </w:r>
      <w:r w:rsidR="00762A42" w:rsidRPr="004E1159">
        <w:t>1</w:t>
      </w:r>
      <w:r w:rsidR="00630C84" w:rsidRPr="004E1159">
        <w:t xml:space="preserve"> billion</w:t>
      </w:r>
      <w:r w:rsidR="00386272" w:rsidRPr="004E1159">
        <w:t xml:space="preserve"> </w:t>
      </w:r>
      <w:r w:rsidR="009F685E" w:rsidRPr="004E1159">
        <w:t>improvement on the</w:t>
      </w:r>
      <w:r w:rsidR="00386272" w:rsidRPr="004E1159">
        <w:t xml:space="preserve"> October</w:t>
      </w:r>
      <w:r w:rsidR="009F685E" w:rsidRPr="004E1159">
        <w:t xml:space="preserve"> Budget</w:t>
      </w:r>
      <w:r w:rsidR="001E491F" w:rsidRPr="004E1159">
        <w:t xml:space="preserve">. </w:t>
      </w:r>
      <w:r w:rsidR="00542C78" w:rsidRPr="004E1159">
        <w:t>Over</w:t>
      </w:r>
      <w:r w:rsidR="00542C78" w:rsidRPr="004E1159" w:rsidDel="007219D2">
        <w:t xml:space="preserve"> </w:t>
      </w:r>
      <w:r w:rsidR="00542C78" w:rsidRPr="004E1159">
        <w:t>5</w:t>
      </w:r>
      <w:r w:rsidR="00DC01B2" w:rsidRPr="004E1159">
        <w:t> year</w:t>
      </w:r>
      <w:r w:rsidR="00542C78" w:rsidRPr="004E1159">
        <w:t xml:space="preserve">s </w:t>
      </w:r>
      <w:r w:rsidR="006C0B28" w:rsidRPr="004E1159">
        <w:t>from 2022</w:t>
      </w:r>
      <w:r w:rsidR="00F634C3" w:rsidRPr="004E1159">
        <w:t>–</w:t>
      </w:r>
      <w:r w:rsidR="006C0B28" w:rsidRPr="004E1159">
        <w:t xml:space="preserve">23 </w:t>
      </w:r>
      <w:r w:rsidR="00542C78" w:rsidRPr="004E1159">
        <w:t>to 2026</w:t>
      </w:r>
      <w:r w:rsidR="003062BB" w:rsidRPr="004E1159">
        <w:t>–</w:t>
      </w:r>
      <w:r w:rsidR="00542C78" w:rsidRPr="004E1159">
        <w:t xml:space="preserve">27, there </w:t>
      </w:r>
      <w:r w:rsidR="002878F8" w:rsidRPr="004E1159">
        <w:t>is</w:t>
      </w:r>
      <w:r w:rsidR="00542C78" w:rsidRPr="004E1159">
        <w:t xml:space="preserve"> a cumulative improvement in the underlying cash balance of $</w:t>
      </w:r>
      <w:r w:rsidR="002A4285" w:rsidRPr="004E1159">
        <w:t>12</w:t>
      </w:r>
      <w:r w:rsidR="00762A42" w:rsidRPr="004E1159">
        <w:t>5</w:t>
      </w:r>
      <w:r w:rsidR="002A4285" w:rsidRPr="004E1159">
        <w:t>.</w:t>
      </w:r>
      <w:r w:rsidR="00762A42" w:rsidRPr="004E1159">
        <w:t>9</w:t>
      </w:r>
      <w:r w:rsidR="00F634C3" w:rsidRPr="004E1159">
        <w:t> billion</w:t>
      </w:r>
      <w:r w:rsidR="0037443F" w:rsidRPr="004E1159">
        <w:t>.</w:t>
      </w:r>
      <w:r w:rsidR="008B53A9" w:rsidRPr="004E1159">
        <w:t xml:space="preserve"> </w:t>
      </w:r>
    </w:p>
    <w:p w14:paraId="4C1795FB" w14:textId="2703A8F1" w:rsidR="00D30FC0" w:rsidRPr="0033720D" w:rsidRDefault="00D30FC0" w:rsidP="00D30FC0">
      <w:pPr>
        <w:spacing w:before="0" w:after="160" w:line="259" w:lineRule="auto"/>
      </w:pPr>
      <w:r w:rsidRPr="004E1159">
        <w:t xml:space="preserve">Tax receipts, excluding new policies and GST, have been revised up by </w:t>
      </w:r>
      <w:r w:rsidRPr="004E1159" w:rsidDel="00405F7F">
        <w:t>$</w:t>
      </w:r>
      <w:r w:rsidRPr="004E1159">
        <w:t>11</w:t>
      </w:r>
      <w:r w:rsidR="00D74D91" w:rsidRPr="004E1159">
        <w:t>4</w:t>
      </w:r>
      <w:r w:rsidRPr="004E1159">
        <w:t>.</w:t>
      </w:r>
      <w:r w:rsidR="002A70BE" w:rsidRPr="004E1159">
        <w:t>2</w:t>
      </w:r>
      <w:r w:rsidRPr="004E1159">
        <w:t> billion</w:t>
      </w:r>
      <w:r w:rsidRPr="004E1159" w:rsidDel="00405F7F">
        <w:t xml:space="preserve"> </w:t>
      </w:r>
      <w:r w:rsidRPr="004E1159">
        <w:t>over 5 years from 2022–23 to 2026–27. Almost 60 per cent of the upgrade occurs in 2022–23 and 2023–24, reflecting a strong labour market</w:t>
      </w:r>
      <w:r w:rsidR="006C4CA9" w:rsidRPr="004E1159">
        <w:t>,</w:t>
      </w:r>
      <w:r w:rsidRPr="004E1159">
        <w:t xml:space="preserve"> </w:t>
      </w:r>
      <w:r w:rsidR="00224C71" w:rsidRPr="004E1159">
        <w:t>a pick</w:t>
      </w:r>
      <w:r w:rsidR="00594653" w:rsidRPr="004E1159">
        <w:noBreakHyphen/>
      </w:r>
      <w:r w:rsidR="00224C71" w:rsidRPr="004E1159">
        <w:t>up in wage growth</w:t>
      </w:r>
      <w:r w:rsidR="00AE2C4B" w:rsidRPr="004E1159">
        <w:t xml:space="preserve">, </w:t>
      </w:r>
      <w:r w:rsidR="003101BD" w:rsidRPr="004E1159">
        <w:t>and</w:t>
      </w:r>
      <w:r w:rsidR="00AE2C4B" w:rsidRPr="004E1159">
        <w:t xml:space="preserve"> </w:t>
      </w:r>
      <w:r w:rsidRPr="004E1159">
        <w:t>ongoing high commodity prices</w:t>
      </w:r>
      <w:r w:rsidR="004B044D" w:rsidRPr="004E1159">
        <w:t>.</w:t>
      </w:r>
      <w:r w:rsidR="003101BD">
        <w:t xml:space="preserve"> </w:t>
      </w:r>
      <w:r w:rsidR="00122F57" w:rsidRPr="004E1159">
        <w:t xml:space="preserve">The strength of tax receipts is expected to moderate from 2024–25 as economic growth slows, </w:t>
      </w:r>
      <w:r w:rsidR="00372FDF" w:rsidRPr="004E1159">
        <w:t xml:space="preserve">labour market conditions ease </w:t>
      </w:r>
      <w:r w:rsidR="00122F57" w:rsidRPr="004E1159">
        <w:t xml:space="preserve">and </w:t>
      </w:r>
      <w:r w:rsidR="009F363F" w:rsidRPr="004E1159">
        <w:t xml:space="preserve">as </w:t>
      </w:r>
      <w:r w:rsidR="00122F57" w:rsidRPr="004E1159">
        <w:t>commodity prices return to long</w:t>
      </w:r>
      <w:r w:rsidR="00073E87" w:rsidRPr="004E1159">
        <w:t>-</w:t>
      </w:r>
      <w:r w:rsidR="00122F57" w:rsidRPr="004E1159">
        <w:t>run levels</w:t>
      </w:r>
      <w:r w:rsidR="00E56841" w:rsidRPr="004E1159">
        <w:t>.</w:t>
      </w:r>
      <w:r w:rsidR="00466E2C" w:rsidRPr="004E1159">
        <w:t xml:space="preserve"> </w:t>
      </w:r>
    </w:p>
    <w:p w14:paraId="1B47D5CA" w14:textId="7D0A0C0B" w:rsidR="00505C30" w:rsidRPr="0033720D" w:rsidRDefault="003B7758" w:rsidP="00505C30">
      <w:pPr>
        <w:spacing w:before="0" w:after="160" w:line="259" w:lineRule="auto"/>
      </w:pPr>
      <w:r w:rsidRPr="004E1159">
        <w:t xml:space="preserve">The </w:t>
      </w:r>
      <w:r w:rsidR="001A0E1D" w:rsidRPr="004E1159">
        <w:t xml:space="preserve">Budget </w:t>
      </w:r>
      <w:r w:rsidR="008E6DE1" w:rsidRPr="004E1159">
        <w:t>address</w:t>
      </w:r>
      <w:r w:rsidR="00F503F6" w:rsidRPr="004E1159">
        <w:t>e</w:t>
      </w:r>
      <w:r w:rsidR="001A0E1D" w:rsidRPr="004E1159">
        <w:t>s</w:t>
      </w:r>
      <w:r w:rsidR="008E6DE1" w:rsidRPr="004E1159">
        <w:t xml:space="preserve"> legacy issues inherited from the previous Government</w:t>
      </w:r>
      <w:r w:rsidR="0076664C" w:rsidRPr="004E1159">
        <w:t xml:space="preserve"> </w:t>
      </w:r>
      <w:r w:rsidR="00E2321A" w:rsidRPr="004E1159">
        <w:t>while delivering responsible and targeted cost of living relief</w:t>
      </w:r>
      <w:r w:rsidR="0076664C" w:rsidRPr="004E1159">
        <w:t xml:space="preserve">. </w:t>
      </w:r>
      <w:r w:rsidR="00FA049B" w:rsidRPr="004E1159">
        <w:t xml:space="preserve">To </w:t>
      </w:r>
      <w:r w:rsidR="0076664C" w:rsidRPr="004E1159">
        <w:t xml:space="preserve">help </w:t>
      </w:r>
      <w:r w:rsidR="00FA049B" w:rsidRPr="004E1159">
        <w:t>offset additional spending, t</w:t>
      </w:r>
      <w:r w:rsidR="00A3046A" w:rsidRPr="004E1159">
        <w:t xml:space="preserve">he Government </w:t>
      </w:r>
      <w:r w:rsidR="009315D2" w:rsidRPr="004E1159">
        <w:t>has identified</w:t>
      </w:r>
      <w:r w:rsidR="00505C30" w:rsidRPr="004E1159">
        <w:t xml:space="preserve"> </w:t>
      </w:r>
      <w:r w:rsidR="00542C78" w:rsidRPr="004E1159">
        <w:t>$</w:t>
      </w:r>
      <w:r w:rsidR="00ED4B86" w:rsidRPr="004E1159">
        <w:t>32.5</w:t>
      </w:r>
      <w:r w:rsidR="00F634C3" w:rsidRPr="004E1159">
        <w:t> billion</w:t>
      </w:r>
      <w:r w:rsidR="00505C30" w:rsidRPr="004E1159">
        <w:t xml:space="preserve"> of </w:t>
      </w:r>
      <w:r w:rsidR="00BB33AA" w:rsidRPr="004E1159">
        <w:t>budget improvements</w:t>
      </w:r>
      <w:r w:rsidR="00505C30" w:rsidRPr="004E1159">
        <w:t>, bringing the total over the 2 budgets</w:t>
      </w:r>
      <w:r w:rsidR="00505C30" w:rsidRPr="004E1159" w:rsidDel="00015B06">
        <w:t xml:space="preserve"> </w:t>
      </w:r>
      <w:r w:rsidR="00505C30" w:rsidRPr="004E1159">
        <w:t xml:space="preserve">to </w:t>
      </w:r>
      <w:r w:rsidR="00542C78" w:rsidRPr="004E1159">
        <w:t>$</w:t>
      </w:r>
      <w:r w:rsidR="001A05A8" w:rsidRPr="004E1159">
        <w:t>61.0</w:t>
      </w:r>
      <w:r w:rsidR="00F634C3" w:rsidRPr="004E1159">
        <w:t> billion</w:t>
      </w:r>
      <w:r w:rsidR="00505C30" w:rsidRPr="004E1159">
        <w:t>.</w:t>
      </w:r>
      <w:r w:rsidR="00505C30" w:rsidRPr="0033720D">
        <w:t xml:space="preserve"> </w:t>
      </w:r>
      <w:r w:rsidR="00D45DC3" w:rsidRPr="004E1159">
        <w:t>This avoids fiscal policy</w:t>
      </w:r>
      <w:r w:rsidR="008B0637" w:rsidRPr="004E1159">
        <w:t xml:space="preserve"> adding to inflationary pressures while they are at their highest.</w:t>
      </w:r>
      <w:r w:rsidR="00C2219B" w:rsidRPr="004E1159">
        <w:t xml:space="preserve"> </w:t>
      </w:r>
    </w:p>
    <w:p w14:paraId="58967887" w14:textId="7BC19E0D" w:rsidR="00AC121B" w:rsidRPr="004E1159" w:rsidRDefault="005F20A3" w:rsidP="00AC121B">
      <w:pPr>
        <w:spacing w:before="0" w:after="160" w:line="259" w:lineRule="auto"/>
      </w:pPr>
      <w:r w:rsidRPr="004E1159">
        <w:t xml:space="preserve">Since </w:t>
      </w:r>
      <w:r w:rsidR="009A10C1" w:rsidRPr="004E1159">
        <w:t>the</w:t>
      </w:r>
      <w:r w:rsidRPr="004E1159">
        <w:t xml:space="preserve"> </w:t>
      </w:r>
      <w:r w:rsidR="00F634C3" w:rsidRPr="004E1159">
        <w:t>October Budget</w:t>
      </w:r>
      <w:r w:rsidRPr="004E1159">
        <w:t>, the</w:t>
      </w:r>
      <w:r w:rsidR="00C470D9" w:rsidRPr="004E1159">
        <w:t xml:space="preserve"> </w:t>
      </w:r>
      <w:r w:rsidR="00827F9E" w:rsidRPr="004E1159">
        <w:t xml:space="preserve">fiscal position </w:t>
      </w:r>
      <w:r w:rsidR="002C3368" w:rsidRPr="004E1159">
        <w:t>has improved</w:t>
      </w:r>
      <w:r w:rsidR="00827F9E" w:rsidRPr="004E1159">
        <w:t xml:space="preserve"> </w:t>
      </w:r>
      <w:r w:rsidR="00AE281D" w:rsidRPr="004E1159">
        <w:t xml:space="preserve">across </w:t>
      </w:r>
      <w:r w:rsidR="00843F8C" w:rsidRPr="004E1159">
        <w:t xml:space="preserve">the medium term. </w:t>
      </w:r>
      <w:r w:rsidR="00AC121B" w:rsidRPr="004E1159">
        <w:t xml:space="preserve">The deficit </w:t>
      </w:r>
      <w:r w:rsidR="00D0176C" w:rsidRPr="004E1159">
        <w:t>i</w:t>
      </w:r>
      <w:r w:rsidR="00AC121B" w:rsidRPr="004E1159">
        <w:t xml:space="preserve">s now projected to be </w:t>
      </w:r>
      <w:r w:rsidR="009F685E" w:rsidRPr="004E1159">
        <w:t xml:space="preserve">just </w:t>
      </w:r>
      <w:r w:rsidR="00F81864" w:rsidRPr="004E1159">
        <w:t>0.2</w:t>
      </w:r>
      <w:r w:rsidR="00F634C3" w:rsidRPr="004E1159">
        <w:t> per </w:t>
      </w:r>
      <w:r w:rsidR="00AC121B" w:rsidRPr="004E1159">
        <w:t xml:space="preserve">cent of GDP </w:t>
      </w:r>
      <w:r w:rsidR="001E0564" w:rsidRPr="004E1159">
        <w:t>in 2033</w:t>
      </w:r>
      <w:r w:rsidR="00F634C3" w:rsidRPr="004E1159">
        <w:t>–</w:t>
      </w:r>
      <w:r w:rsidR="001E0564" w:rsidRPr="004E1159">
        <w:t>34</w:t>
      </w:r>
      <w:r w:rsidR="00AC121B" w:rsidRPr="004E1159">
        <w:t xml:space="preserve">. </w:t>
      </w:r>
      <w:r w:rsidR="00610F6C" w:rsidRPr="004E1159">
        <w:t xml:space="preserve">Lower deficits delivered in the Budget reduce the need to </w:t>
      </w:r>
      <w:r w:rsidR="008066A4" w:rsidRPr="004E1159">
        <w:t>borrow</w:t>
      </w:r>
      <w:r w:rsidR="00610F6C" w:rsidRPr="004E1159">
        <w:t xml:space="preserve"> and</w:t>
      </w:r>
      <w:r w:rsidR="009F685E" w:rsidRPr="004E1159">
        <w:t xml:space="preserve"> so</w:t>
      </w:r>
      <w:r w:rsidR="00610F6C" w:rsidRPr="004E1159">
        <w:t xml:space="preserve"> </w:t>
      </w:r>
      <w:r w:rsidR="00930504" w:rsidRPr="004E1159">
        <w:t>gross debt peaks sooner</w:t>
      </w:r>
      <w:r w:rsidR="00E57140" w:rsidRPr="004E1159">
        <w:t xml:space="preserve">, </w:t>
      </w:r>
      <w:r w:rsidR="00BE05BB" w:rsidRPr="004E1159">
        <w:t>in 2025</w:t>
      </w:r>
      <w:r w:rsidR="00235899" w:rsidRPr="004E1159">
        <w:t>–</w:t>
      </w:r>
      <w:r w:rsidR="00BE05BB" w:rsidRPr="004E1159">
        <w:t>26</w:t>
      </w:r>
      <w:r w:rsidR="00E57140" w:rsidRPr="004E1159">
        <w:t>,</w:t>
      </w:r>
      <w:r w:rsidR="00930504" w:rsidRPr="004E1159">
        <w:t xml:space="preserve"> </w:t>
      </w:r>
      <w:r w:rsidR="00610F6C" w:rsidRPr="004E1159">
        <w:t>and</w:t>
      </w:r>
      <w:r w:rsidR="00930504" w:rsidRPr="004E1159">
        <w:t xml:space="preserve"> lower than projected in October.</w:t>
      </w:r>
    </w:p>
    <w:p w14:paraId="4573C92B" w14:textId="456351BA" w:rsidR="00C80326" w:rsidRPr="004E1159" w:rsidRDefault="00C80326">
      <w:pPr>
        <w:spacing w:before="0" w:after="160" w:line="259" w:lineRule="auto"/>
      </w:pPr>
      <w:r w:rsidRPr="004E1159">
        <w:br w:type="page"/>
      </w:r>
    </w:p>
    <w:p w14:paraId="2DE15DAE" w14:textId="630CC3D5" w:rsidR="00345870" w:rsidRDefault="00690118" w:rsidP="0083235E">
      <w:pPr>
        <w:spacing w:before="0" w:after="160" w:line="259" w:lineRule="auto"/>
      </w:pPr>
      <w:r w:rsidRPr="004E1159">
        <w:lastRenderedPageBreak/>
        <w:t>S</w:t>
      </w:r>
      <w:r w:rsidR="00F636D3" w:rsidRPr="004E1159">
        <w:t>tructur</w:t>
      </w:r>
      <w:r w:rsidR="00757405" w:rsidRPr="004E1159">
        <w:t>al</w:t>
      </w:r>
      <w:r w:rsidR="00F636D3" w:rsidRPr="004E1159">
        <w:t xml:space="preserve"> </w:t>
      </w:r>
      <w:r w:rsidR="00CD7AB2" w:rsidRPr="004E1159">
        <w:t>challenges</w:t>
      </w:r>
      <w:r w:rsidR="00F636D3" w:rsidRPr="004E1159">
        <w:t xml:space="preserve"> </w:t>
      </w:r>
      <w:r w:rsidR="002215A5" w:rsidRPr="004E1159">
        <w:t>persist</w:t>
      </w:r>
      <w:r w:rsidR="00FF540D" w:rsidRPr="004E1159">
        <w:t xml:space="preserve"> </w:t>
      </w:r>
      <w:r w:rsidR="00F9403F" w:rsidRPr="004E1159">
        <w:t>over</w:t>
      </w:r>
      <w:r w:rsidR="00FF540D" w:rsidRPr="004E1159">
        <w:t xml:space="preserve"> the nex</w:t>
      </w:r>
      <w:r w:rsidR="00F9403F" w:rsidRPr="004E1159">
        <w:t xml:space="preserve">t </w:t>
      </w:r>
      <w:r w:rsidR="00667609" w:rsidRPr="004E1159">
        <w:t>decade</w:t>
      </w:r>
      <w:r w:rsidR="006730A6" w:rsidRPr="004E1159">
        <w:t>.</w:t>
      </w:r>
      <w:r w:rsidR="006730A6">
        <w:t xml:space="preserve"> </w:t>
      </w:r>
      <w:r w:rsidR="006730A6" w:rsidRPr="004E1159">
        <w:t xml:space="preserve">The </w:t>
      </w:r>
      <w:r w:rsidR="00853390" w:rsidRPr="004E1159">
        <w:t>medium</w:t>
      </w:r>
      <w:r w:rsidR="00594653" w:rsidRPr="004E1159">
        <w:noBreakHyphen/>
      </w:r>
      <w:r w:rsidR="00853390" w:rsidRPr="004E1159">
        <w:t xml:space="preserve">term outlook </w:t>
      </w:r>
      <w:r w:rsidR="00E6771E" w:rsidRPr="004E1159">
        <w:t xml:space="preserve">remains </w:t>
      </w:r>
      <w:r w:rsidR="00853390" w:rsidRPr="004E1159">
        <w:t>under</w:t>
      </w:r>
      <w:r w:rsidR="00ED29DE" w:rsidRPr="004E1159">
        <w:t xml:space="preserve"> pressure from </w:t>
      </w:r>
      <w:r w:rsidR="001F10DA" w:rsidRPr="004E1159">
        <w:t>fast</w:t>
      </w:r>
      <w:r w:rsidR="00594653" w:rsidRPr="004E1159">
        <w:noBreakHyphen/>
      </w:r>
      <w:r w:rsidR="001F10DA" w:rsidRPr="004E1159">
        <w:t xml:space="preserve">growing </w:t>
      </w:r>
      <w:r w:rsidR="0063672C" w:rsidRPr="004E1159">
        <w:t>payments, including</w:t>
      </w:r>
      <w:r w:rsidR="000A5F9D" w:rsidRPr="004E1159">
        <w:t xml:space="preserve"> </w:t>
      </w:r>
      <w:r w:rsidR="002906D9" w:rsidRPr="004E1159">
        <w:t>interest,</w:t>
      </w:r>
      <w:r w:rsidR="00AA465E" w:rsidRPr="004E1159">
        <w:t xml:space="preserve"> the </w:t>
      </w:r>
      <w:r w:rsidR="00CA127D" w:rsidRPr="004E1159">
        <w:t xml:space="preserve">NDIS, </w:t>
      </w:r>
      <w:r w:rsidR="002215A5" w:rsidRPr="004E1159">
        <w:t>defence,</w:t>
      </w:r>
      <w:r w:rsidR="00EA1A27" w:rsidRPr="004E1159">
        <w:t xml:space="preserve"> </w:t>
      </w:r>
      <w:r w:rsidR="00CA127D" w:rsidRPr="004E1159">
        <w:t>health and aged care</w:t>
      </w:r>
      <w:r w:rsidR="00DE4077" w:rsidRPr="004E1159">
        <w:t xml:space="preserve">. </w:t>
      </w:r>
      <w:r w:rsidR="003948D1" w:rsidRPr="004E1159">
        <w:t xml:space="preserve">The Government is </w:t>
      </w:r>
      <w:r w:rsidR="003E2289" w:rsidRPr="004E1159">
        <w:t xml:space="preserve">taking </w:t>
      </w:r>
      <w:r w:rsidR="00E02240" w:rsidRPr="004E1159">
        <w:t xml:space="preserve">meaningful </w:t>
      </w:r>
      <w:r w:rsidR="00554107" w:rsidRPr="004E1159">
        <w:t>steps</w:t>
      </w:r>
      <w:r w:rsidR="00E02240" w:rsidRPr="004E1159">
        <w:t xml:space="preserve"> to</w:t>
      </w:r>
      <w:r w:rsidR="002117C3" w:rsidRPr="004E1159">
        <w:t xml:space="preserve"> reduce the structural deficit</w:t>
      </w:r>
      <w:r w:rsidR="00F917BA" w:rsidRPr="004E1159">
        <w:t>, including through</w:t>
      </w:r>
      <w:r w:rsidR="0081254D" w:rsidRPr="004E1159">
        <w:t xml:space="preserve"> </w:t>
      </w:r>
      <w:r w:rsidR="00252D2E" w:rsidRPr="004E1159">
        <w:t>moderating growth in</w:t>
      </w:r>
      <w:r w:rsidR="00542C78" w:rsidRPr="004E1159">
        <w:t xml:space="preserve"> NDIS </w:t>
      </w:r>
      <w:r w:rsidR="00252D2E" w:rsidRPr="004E1159">
        <w:t>spending</w:t>
      </w:r>
      <w:r w:rsidR="00B8513A" w:rsidRPr="004E1159">
        <w:t xml:space="preserve"> and </w:t>
      </w:r>
      <w:r w:rsidR="00400F15" w:rsidRPr="004E1159">
        <w:t>a fairer</w:t>
      </w:r>
      <w:r w:rsidR="00F917BA" w:rsidRPr="004E1159">
        <w:t xml:space="preserve">, </w:t>
      </w:r>
      <w:r w:rsidR="00400F15" w:rsidRPr="004E1159">
        <w:t xml:space="preserve">more sustainable </w:t>
      </w:r>
      <w:r w:rsidR="003A073D" w:rsidRPr="004E1159">
        <w:br/>
      </w:r>
      <w:r w:rsidR="00400F15" w:rsidRPr="004E1159">
        <w:t>tax system</w:t>
      </w:r>
      <w:r w:rsidR="001E491F" w:rsidRPr="004E1159">
        <w:t xml:space="preserve">. </w:t>
      </w:r>
    </w:p>
    <w:p w14:paraId="7CBAF8AD" w14:textId="0F132A83" w:rsidR="00345870" w:rsidRDefault="00345870" w:rsidP="00EE603F"/>
    <w:p w14:paraId="1C0F1CBB" w14:textId="77777777" w:rsidR="00345870" w:rsidRDefault="00345870">
      <w:pPr>
        <w:spacing w:before="0" w:after="160" w:line="259" w:lineRule="auto"/>
        <w:sectPr w:rsidR="00345870" w:rsidSect="001B40FD">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81"/>
          <w:cols w:space="708"/>
          <w:titlePg/>
          <w:docGrid w:linePitch="360"/>
        </w:sectPr>
      </w:pPr>
    </w:p>
    <w:p w14:paraId="23A5CCD6" w14:textId="77777777" w:rsidR="00D81A31" w:rsidRPr="00EA288B" w:rsidRDefault="00D81A31" w:rsidP="00AA71F1">
      <w:pPr>
        <w:pStyle w:val="ContentsHeading"/>
      </w:pPr>
      <w:r w:rsidRPr="00EA288B">
        <w:lastRenderedPageBreak/>
        <w:t>Statement contents</w:t>
      </w:r>
    </w:p>
    <w:p w14:paraId="11877E23" w14:textId="2E5579A1" w:rsidR="00DD1905" w:rsidRDefault="00933EC9">
      <w:pPr>
        <w:pStyle w:val="TOC1"/>
        <w:rPr>
          <w:rFonts w:asciiTheme="minorHAnsi" w:eastAsiaTheme="minorEastAsia" w:hAnsiTheme="minorHAnsi" w:cstheme="minorBidi"/>
          <w:b w:val="0"/>
          <w:noProof/>
          <w:sz w:val="22"/>
          <w:szCs w:val="22"/>
        </w:rPr>
      </w:pPr>
      <w:r w:rsidRPr="00EA288B">
        <w:fldChar w:fldCharType="begin"/>
      </w:r>
      <w:r w:rsidRPr="00EA288B">
        <w:instrText xml:space="preserve"> TOC \h \z \u \t "Heading 2,1,Heading 3,2" </w:instrText>
      </w:r>
      <w:r w:rsidRPr="00EA288B">
        <w:fldChar w:fldCharType="separate"/>
      </w:r>
      <w:hyperlink w:anchor="_Toc134321284" w:history="1">
        <w:r w:rsidR="00DD1905" w:rsidRPr="006A4073">
          <w:rPr>
            <w:rStyle w:val="Hyperlink"/>
            <w:noProof/>
          </w:rPr>
          <w:t>Economic and Fiscal Strategy</w:t>
        </w:r>
        <w:r w:rsidR="00DD1905">
          <w:rPr>
            <w:noProof/>
            <w:webHidden/>
          </w:rPr>
          <w:tab/>
        </w:r>
        <w:r w:rsidR="00DD1905">
          <w:rPr>
            <w:noProof/>
            <w:webHidden/>
          </w:rPr>
          <w:fldChar w:fldCharType="begin"/>
        </w:r>
        <w:r w:rsidR="00DD1905">
          <w:rPr>
            <w:noProof/>
            <w:webHidden/>
          </w:rPr>
          <w:instrText xml:space="preserve"> PAGEREF _Toc134321284 \h </w:instrText>
        </w:r>
        <w:r w:rsidR="00DD1905">
          <w:rPr>
            <w:noProof/>
            <w:webHidden/>
          </w:rPr>
        </w:r>
        <w:r w:rsidR="00DD1905">
          <w:rPr>
            <w:noProof/>
            <w:webHidden/>
          </w:rPr>
          <w:fldChar w:fldCharType="separate"/>
        </w:r>
        <w:r w:rsidR="00580913">
          <w:rPr>
            <w:noProof/>
            <w:webHidden/>
          </w:rPr>
          <w:t>87</w:t>
        </w:r>
        <w:r w:rsidR="00DD1905">
          <w:rPr>
            <w:noProof/>
            <w:webHidden/>
          </w:rPr>
          <w:fldChar w:fldCharType="end"/>
        </w:r>
      </w:hyperlink>
    </w:p>
    <w:p w14:paraId="15FEBB57" w14:textId="6E703AD1" w:rsidR="00DD1905" w:rsidRDefault="0094269C">
      <w:pPr>
        <w:pStyle w:val="TOC2"/>
        <w:rPr>
          <w:rFonts w:asciiTheme="minorHAnsi" w:eastAsiaTheme="minorEastAsia" w:hAnsiTheme="minorHAnsi" w:cstheme="minorBidi"/>
          <w:noProof/>
          <w:sz w:val="22"/>
          <w:szCs w:val="22"/>
        </w:rPr>
      </w:pPr>
      <w:hyperlink w:anchor="_Toc134321285" w:history="1">
        <w:r w:rsidR="00DD1905" w:rsidRPr="006A4073">
          <w:rPr>
            <w:rStyle w:val="Hyperlink"/>
            <w:noProof/>
          </w:rPr>
          <w:t>Delivering on the Economic and Fiscal Strategy</w:t>
        </w:r>
        <w:r w:rsidR="00DD1905">
          <w:rPr>
            <w:noProof/>
            <w:webHidden/>
          </w:rPr>
          <w:tab/>
        </w:r>
        <w:r w:rsidR="00DD1905">
          <w:rPr>
            <w:noProof/>
            <w:webHidden/>
          </w:rPr>
          <w:fldChar w:fldCharType="begin"/>
        </w:r>
        <w:r w:rsidR="00DD1905">
          <w:rPr>
            <w:noProof/>
            <w:webHidden/>
          </w:rPr>
          <w:instrText xml:space="preserve"> PAGEREF _Toc134321285 \h </w:instrText>
        </w:r>
        <w:r w:rsidR="00DD1905">
          <w:rPr>
            <w:noProof/>
            <w:webHidden/>
          </w:rPr>
        </w:r>
        <w:r w:rsidR="00DD1905">
          <w:rPr>
            <w:noProof/>
            <w:webHidden/>
          </w:rPr>
          <w:fldChar w:fldCharType="separate"/>
        </w:r>
        <w:r w:rsidR="00580913">
          <w:rPr>
            <w:noProof/>
            <w:webHidden/>
          </w:rPr>
          <w:t>88</w:t>
        </w:r>
        <w:r w:rsidR="00DD1905">
          <w:rPr>
            <w:noProof/>
            <w:webHidden/>
          </w:rPr>
          <w:fldChar w:fldCharType="end"/>
        </w:r>
      </w:hyperlink>
    </w:p>
    <w:p w14:paraId="6865BC0A" w14:textId="62F9D252" w:rsidR="00DD1905" w:rsidRDefault="0094269C">
      <w:pPr>
        <w:pStyle w:val="TOC1"/>
        <w:rPr>
          <w:rFonts w:asciiTheme="minorHAnsi" w:eastAsiaTheme="minorEastAsia" w:hAnsiTheme="minorHAnsi" w:cstheme="minorBidi"/>
          <w:b w:val="0"/>
          <w:noProof/>
          <w:sz w:val="22"/>
          <w:szCs w:val="22"/>
        </w:rPr>
      </w:pPr>
      <w:hyperlink w:anchor="_Toc134321286" w:history="1">
        <w:r w:rsidR="00DD1905" w:rsidRPr="006A4073">
          <w:rPr>
            <w:rStyle w:val="Hyperlink"/>
            <w:noProof/>
          </w:rPr>
          <w:t>Fiscal outlook</w:t>
        </w:r>
        <w:r w:rsidR="00DD1905">
          <w:rPr>
            <w:noProof/>
            <w:webHidden/>
          </w:rPr>
          <w:tab/>
        </w:r>
        <w:r w:rsidR="00DD1905">
          <w:rPr>
            <w:noProof/>
            <w:webHidden/>
          </w:rPr>
          <w:fldChar w:fldCharType="begin"/>
        </w:r>
        <w:r w:rsidR="00DD1905">
          <w:rPr>
            <w:noProof/>
            <w:webHidden/>
          </w:rPr>
          <w:instrText xml:space="preserve"> PAGEREF _Toc134321286 \h </w:instrText>
        </w:r>
        <w:r w:rsidR="00DD1905">
          <w:rPr>
            <w:noProof/>
            <w:webHidden/>
          </w:rPr>
        </w:r>
        <w:r w:rsidR="00DD1905">
          <w:rPr>
            <w:noProof/>
            <w:webHidden/>
          </w:rPr>
          <w:fldChar w:fldCharType="separate"/>
        </w:r>
        <w:r w:rsidR="00580913">
          <w:rPr>
            <w:noProof/>
            <w:webHidden/>
          </w:rPr>
          <w:t>92</w:t>
        </w:r>
        <w:r w:rsidR="00DD1905">
          <w:rPr>
            <w:noProof/>
            <w:webHidden/>
          </w:rPr>
          <w:fldChar w:fldCharType="end"/>
        </w:r>
      </w:hyperlink>
    </w:p>
    <w:p w14:paraId="21EBB7C2" w14:textId="04CD9276" w:rsidR="00DD1905" w:rsidRDefault="0094269C">
      <w:pPr>
        <w:pStyle w:val="TOC2"/>
        <w:rPr>
          <w:rFonts w:asciiTheme="minorHAnsi" w:eastAsiaTheme="minorEastAsia" w:hAnsiTheme="minorHAnsi" w:cstheme="minorBidi"/>
          <w:noProof/>
          <w:sz w:val="22"/>
          <w:szCs w:val="22"/>
        </w:rPr>
      </w:pPr>
      <w:hyperlink w:anchor="_Toc134321287" w:history="1">
        <w:r w:rsidR="00DD1905" w:rsidRPr="006A4073">
          <w:rPr>
            <w:rStyle w:val="Hyperlink"/>
            <w:noProof/>
          </w:rPr>
          <w:t>Underlying cash balance estimates</w:t>
        </w:r>
        <w:r w:rsidR="00DD1905">
          <w:rPr>
            <w:noProof/>
            <w:webHidden/>
          </w:rPr>
          <w:tab/>
        </w:r>
        <w:r w:rsidR="00DD1905">
          <w:rPr>
            <w:noProof/>
            <w:webHidden/>
          </w:rPr>
          <w:fldChar w:fldCharType="begin"/>
        </w:r>
        <w:r w:rsidR="00DD1905">
          <w:rPr>
            <w:noProof/>
            <w:webHidden/>
          </w:rPr>
          <w:instrText xml:space="preserve"> PAGEREF _Toc134321287 \h </w:instrText>
        </w:r>
        <w:r w:rsidR="00DD1905">
          <w:rPr>
            <w:noProof/>
            <w:webHidden/>
          </w:rPr>
        </w:r>
        <w:r w:rsidR="00DD1905">
          <w:rPr>
            <w:noProof/>
            <w:webHidden/>
          </w:rPr>
          <w:fldChar w:fldCharType="separate"/>
        </w:r>
        <w:r w:rsidR="00580913">
          <w:rPr>
            <w:noProof/>
            <w:webHidden/>
          </w:rPr>
          <w:t>92</w:t>
        </w:r>
        <w:r w:rsidR="00DD1905">
          <w:rPr>
            <w:noProof/>
            <w:webHidden/>
          </w:rPr>
          <w:fldChar w:fldCharType="end"/>
        </w:r>
      </w:hyperlink>
    </w:p>
    <w:p w14:paraId="6AF54512" w14:textId="7295FE78" w:rsidR="00DD1905" w:rsidRDefault="0094269C">
      <w:pPr>
        <w:pStyle w:val="TOC2"/>
        <w:rPr>
          <w:rFonts w:asciiTheme="minorHAnsi" w:eastAsiaTheme="minorEastAsia" w:hAnsiTheme="minorHAnsi" w:cstheme="minorBidi"/>
          <w:noProof/>
          <w:sz w:val="22"/>
          <w:szCs w:val="22"/>
        </w:rPr>
      </w:pPr>
      <w:hyperlink w:anchor="_Toc134321288" w:history="1">
        <w:r w:rsidR="00DD1905" w:rsidRPr="006A4073">
          <w:rPr>
            <w:rStyle w:val="Hyperlink"/>
            <w:noProof/>
          </w:rPr>
          <w:t>Changes in the underlying cash balance over the forward estimates</w:t>
        </w:r>
        <w:r w:rsidR="00DD1905">
          <w:rPr>
            <w:noProof/>
            <w:webHidden/>
          </w:rPr>
          <w:tab/>
        </w:r>
        <w:r w:rsidR="00DD1905">
          <w:rPr>
            <w:noProof/>
            <w:webHidden/>
          </w:rPr>
          <w:fldChar w:fldCharType="begin"/>
        </w:r>
        <w:r w:rsidR="00DD1905">
          <w:rPr>
            <w:noProof/>
            <w:webHidden/>
          </w:rPr>
          <w:instrText xml:space="preserve"> PAGEREF _Toc134321288 \h </w:instrText>
        </w:r>
        <w:r w:rsidR="00DD1905">
          <w:rPr>
            <w:noProof/>
            <w:webHidden/>
          </w:rPr>
        </w:r>
        <w:r w:rsidR="00DD1905">
          <w:rPr>
            <w:noProof/>
            <w:webHidden/>
          </w:rPr>
          <w:fldChar w:fldCharType="separate"/>
        </w:r>
        <w:r w:rsidR="00580913">
          <w:rPr>
            <w:noProof/>
            <w:webHidden/>
          </w:rPr>
          <w:t>93</w:t>
        </w:r>
        <w:r w:rsidR="00DD1905">
          <w:rPr>
            <w:noProof/>
            <w:webHidden/>
          </w:rPr>
          <w:fldChar w:fldCharType="end"/>
        </w:r>
      </w:hyperlink>
    </w:p>
    <w:p w14:paraId="5E67BB33" w14:textId="458B9A56" w:rsidR="00DD1905" w:rsidRDefault="0094269C">
      <w:pPr>
        <w:pStyle w:val="TOC2"/>
        <w:rPr>
          <w:rFonts w:asciiTheme="minorHAnsi" w:eastAsiaTheme="minorEastAsia" w:hAnsiTheme="minorHAnsi" w:cstheme="minorBidi"/>
          <w:noProof/>
          <w:sz w:val="22"/>
          <w:szCs w:val="22"/>
        </w:rPr>
      </w:pPr>
      <w:hyperlink w:anchor="_Toc134321289" w:history="1">
        <w:r w:rsidR="00DD1905" w:rsidRPr="006A4073">
          <w:rPr>
            <w:rStyle w:val="Hyperlink"/>
            <w:noProof/>
          </w:rPr>
          <w:t>Addressing Legacy Issues</w:t>
        </w:r>
        <w:r w:rsidR="00DD1905">
          <w:rPr>
            <w:noProof/>
            <w:webHidden/>
          </w:rPr>
          <w:tab/>
        </w:r>
        <w:r w:rsidR="00DD1905">
          <w:rPr>
            <w:noProof/>
            <w:webHidden/>
          </w:rPr>
          <w:fldChar w:fldCharType="begin"/>
        </w:r>
        <w:r w:rsidR="00DD1905">
          <w:rPr>
            <w:noProof/>
            <w:webHidden/>
          </w:rPr>
          <w:instrText xml:space="preserve"> PAGEREF _Toc134321289 \h </w:instrText>
        </w:r>
        <w:r w:rsidR="00DD1905">
          <w:rPr>
            <w:noProof/>
            <w:webHidden/>
          </w:rPr>
        </w:r>
        <w:r w:rsidR="00DD1905">
          <w:rPr>
            <w:noProof/>
            <w:webHidden/>
          </w:rPr>
          <w:fldChar w:fldCharType="separate"/>
        </w:r>
        <w:r w:rsidR="00580913">
          <w:rPr>
            <w:noProof/>
            <w:webHidden/>
          </w:rPr>
          <w:t>93</w:t>
        </w:r>
        <w:r w:rsidR="00DD1905">
          <w:rPr>
            <w:noProof/>
            <w:webHidden/>
          </w:rPr>
          <w:fldChar w:fldCharType="end"/>
        </w:r>
      </w:hyperlink>
    </w:p>
    <w:p w14:paraId="4C857083" w14:textId="560D9294" w:rsidR="00DD1905" w:rsidRDefault="0094269C">
      <w:pPr>
        <w:pStyle w:val="TOC2"/>
        <w:rPr>
          <w:rFonts w:asciiTheme="minorHAnsi" w:eastAsiaTheme="minorEastAsia" w:hAnsiTheme="minorHAnsi" w:cstheme="minorBidi"/>
          <w:noProof/>
          <w:sz w:val="22"/>
          <w:szCs w:val="22"/>
        </w:rPr>
      </w:pPr>
      <w:hyperlink w:anchor="_Toc134321290" w:history="1">
        <w:r w:rsidR="00DD1905" w:rsidRPr="006A4073">
          <w:rPr>
            <w:rStyle w:val="Hyperlink"/>
            <w:noProof/>
          </w:rPr>
          <w:t>Primary balance estimates</w:t>
        </w:r>
        <w:r w:rsidR="00DD1905">
          <w:rPr>
            <w:noProof/>
            <w:webHidden/>
          </w:rPr>
          <w:tab/>
        </w:r>
        <w:r w:rsidR="00DD1905">
          <w:rPr>
            <w:noProof/>
            <w:webHidden/>
          </w:rPr>
          <w:fldChar w:fldCharType="begin"/>
        </w:r>
        <w:r w:rsidR="00DD1905">
          <w:rPr>
            <w:noProof/>
            <w:webHidden/>
          </w:rPr>
          <w:instrText xml:space="preserve"> PAGEREF _Toc134321290 \h </w:instrText>
        </w:r>
        <w:r w:rsidR="00DD1905">
          <w:rPr>
            <w:noProof/>
            <w:webHidden/>
          </w:rPr>
        </w:r>
        <w:r w:rsidR="00DD1905">
          <w:rPr>
            <w:noProof/>
            <w:webHidden/>
          </w:rPr>
          <w:fldChar w:fldCharType="separate"/>
        </w:r>
        <w:r w:rsidR="00580913">
          <w:rPr>
            <w:noProof/>
            <w:webHidden/>
          </w:rPr>
          <w:t>95</w:t>
        </w:r>
        <w:r w:rsidR="00DD1905">
          <w:rPr>
            <w:noProof/>
            <w:webHidden/>
          </w:rPr>
          <w:fldChar w:fldCharType="end"/>
        </w:r>
      </w:hyperlink>
    </w:p>
    <w:p w14:paraId="363A3B64" w14:textId="2C900209" w:rsidR="00DD1905" w:rsidRDefault="0094269C">
      <w:pPr>
        <w:pStyle w:val="TOC2"/>
        <w:rPr>
          <w:rFonts w:asciiTheme="minorHAnsi" w:eastAsiaTheme="minorEastAsia" w:hAnsiTheme="minorHAnsi" w:cstheme="minorBidi"/>
          <w:noProof/>
          <w:sz w:val="22"/>
          <w:szCs w:val="22"/>
        </w:rPr>
      </w:pPr>
      <w:hyperlink w:anchor="_Toc134321291" w:history="1">
        <w:r w:rsidR="00DD1905" w:rsidRPr="006A4073">
          <w:rPr>
            <w:rStyle w:val="Hyperlink"/>
            <w:noProof/>
          </w:rPr>
          <w:t>Medium</w:t>
        </w:r>
        <w:r w:rsidR="00DD1905" w:rsidRPr="006A4073">
          <w:rPr>
            <w:rStyle w:val="Hyperlink"/>
            <w:noProof/>
          </w:rPr>
          <w:noBreakHyphen/>
          <w:t>term projections</w:t>
        </w:r>
        <w:r w:rsidR="00DD1905">
          <w:rPr>
            <w:noProof/>
            <w:webHidden/>
          </w:rPr>
          <w:tab/>
        </w:r>
        <w:r w:rsidR="00DD1905">
          <w:rPr>
            <w:noProof/>
            <w:webHidden/>
          </w:rPr>
          <w:fldChar w:fldCharType="begin"/>
        </w:r>
        <w:r w:rsidR="00DD1905">
          <w:rPr>
            <w:noProof/>
            <w:webHidden/>
          </w:rPr>
          <w:instrText xml:space="preserve"> PAGEREF _Toc134321291 \h </w:instrText>
        </w:r>
        <w:r w:rsidR="00DD1905">
          <w:rPr>
            <w:noProof/>
            <w:webHidden/>
          </w:rPr>
        </w:r>
        <w:r w:rsidR="00DD1905">
          <w:rPr>
            <w:noProof/>
            <w:webHidden/>
          </w:rPr>
          <w:fldChar w:fldCharType="separate"/>
        </w:r>
        <w:r w:rsidR="00580913">
          <w:rPr>
            <w:noProof/>
            <w:webHidden/>
          </w:rPr>
          <w:t>96</w:t>
        </w:r>
        <w:r w:rsidR="00DD1905">
          <w:rPr>
            <w:noProof/>
            <w:webHidden/>
          </w:rPr>
          <w:fldChar w:fldCharType="end"/>
        </w:r>
      </w:hyperlink>
    </w:p>
    <w:p w14:paraId="73053115" w14:textId="5482BD6F" w:rsidR="00DD1905" w:rsidRDefault="0094269C">
      <w:pPr>
        <w:pStyle w:val="TOC2"/>
        <w:rPr>
          <w:rFonts w:asciiTheme="minorHAnsi" w:eastAsiaTheme="minorEastAsia" w:hAnsiTheme="minorHAnsi" w:cstheme="minorBidi"/>
          <w:noProof/>
          <w:sz w:val="22"/>
          <w:szCs w:val="22"/>
        </w:rPr>
      </w:pPr>
      <w:hyperlink w:anchor="_Toc134321292" w:history="1">
        <w:r w:rsidR="00DD1905" w:rsidRPr="006A4073">
          <w:rPr>
            <w:rStyle w:val="Hyperlink"/>
            <w:noProof/>
          </w:rPr>
          <w:t>Receipts estimates and projections</w:t>
        </w:r>
        <w:r w:rsidR="00DD1905">
          <w:rPr>
            <w:noProof/>
            <w:webHidden/>
          </w:rPr>
          <w:tab/>
        </w:r>
        <w:r w:rsidR="00DD1905">
          <w:rPr>
            <w:noProof/>
            <w:webHidden/>
          </w:rPr>
          <w:fldChar w:fldCharType="begin"/>
        </w:r>
        <w:r w:rsidR="00DD1905">
          <w:rPr>
            <w:noProof/>
            <w:webHidden/>
          </w:rPr>
          <w:instrText xml:space="preserve"> PAGEREF _Toc134321292 \h </w:instrText>
        </w:r>
        <w:r w:rsidR="00DD1905">
          <w:rPr>
            <w:noProof/>
            <w:webHidden/>
          </w:rPr>
        </w:r>
        <w:r w:rsidR="00DD1905">
          <w:rPr>
            <w:noProof/>
            <w:webHidden/>
          </w:rPr>
          <w:fldChar w:fldCharType="separate"/>
        </w:r>
        <w:r w:rsidR="00580913">
          <w:rPr>
            <w:noProof/>
            <w:webHidden/>
          </w:rPr>
          <w:t>100</w:t>
        </w:r>
        <w:r w:rsidR="00DD1905">
          <w:rPr>
            <w:noProof/>
            <w:webHidden/>
          </w:rPr>
          <w:fldChar w:fldCharType="end"/>
        </w:r>
      </w:hyperlink>
    </w:p>
    <w:p w14:paraId="2938F6F4" w14:textId="38B6CA0D" w:rsidR="00DD1905" w:rsidRDefault="0094269C">
      <w:pPr>
        <w:pStyle w:val="TOC2"/>
        <w:rPr>
          <w:rFonts w:asciiTheme="minorHAnsi" w:eastAsiaTheme="minorEastAsia" w:hAnsiTheme="minorHAnsi" w:cstheme="minorBidi"/>
          <w:noProof/>
          <w:sz w:val="22"/>
          <w:szCs w:val="22"/>
        </w:rPr>
      </w:pPr>
      <w:hyperlink w:anchor="_Toc134321293" w:history="1">
        <w:r w:rsidR="00DD1905" w:rsidRPr="006A4073">
          <w:rPr>
            <w:rStyle w:val="Hyperlink"/>
            <w:noProof/>
          </w:rPr>
          <w:t>Payments estimates and projections</w:t>
        </w:r>
        <w:r w:rsidR="00DD1905">
          <w:rPr>
            <w:noProof/>
            <w:webHidden/>
          </w:rPr>
          <w:tab/>
        </w:r>
        <w:r w:rsidR="00DD1905">
          <w:rPr>
            <w:noProof/>
            <w:webHidden/>
          </w:rPr>
          <w:fldChar w:fldCharType="begin"/>
        </w:r>
        <w:r w:rsidR="00DD1905">
          <w:rPr>
            <w:noProof/>
            <w:webHidden/>
          </w:rPr>
          <w:instrText xml:space="preserve"> PAGEREF _Toc134321293 \h </w:instrText>
        </w:r>
        <w:r w:rsidR="00DD1905">
          <w:rPr>
            <w:noProof/>
            <w:webHidden/>
          </w:rPr>
        </w:r>
        <w:r w:rsidR="00DD1905">
          <w:rPr>
            <w:noProof/>
            <w:webHidden/>
          </w:rPr>
          <w:fldChar w:fldCharType="separate"/>
        </w:r>
        <w:r w:rsidR="00580913">
          <w:rPr>
            <w:noProof/>
            <w:webHidden/>
          </w:rPr>
          <w:t>102</w:t>
        </w:r>
        <w:r w:rsidR="00DD1905">
          <w:rPr>
            <w:noProof/>
            <w:webHidden/>
          </w:rPr>
          <w:fldChar w:fldCharType="end"/>
        </w:r>
      </w:hyperlink>
    </w:p>
    <w:p w14:paraId="0966C017" w14:textId="51182B81" w:rsidR="00DD1905" w:rsidRDefault="0094269C">
      <w:pPr>
        <w:pStyle w:val="TOC2"/>
        <w:rPr>
          <w:rFonts w:asciiTheme="minorHAnsi" w:eastAsiaTheme="minorEastAsia" w:hAnsiTheme="minorHAnsi" w:cstheme="minorBidi"/>
          <w:noProof/>
          <w:sz w:val="22"/>
          <w:szCs w:val="22"/>
        </w:rPr>
      </w:pPr>
      <w:hyperlink w:anchor="_Toc134321294" w:history="1">
        <w:r w:rsidR="00DD1905" w:rsidRPr="006A4073">
          <w:rPr>
            <w:rStyle w:val="Hyperlink"/>
            <w:noProof/>
          </w:rPr>
          <w:t>Headline cash balance estimates</w:t>
        </w:r>
        <w:r w:rsidR="00DD1905">
          <w:rPr>
            <w:noProof/>
            <w:webHidden/>
          </w:rPr>
          <w:tab/>
        </w:r>
        <w:r w:rsidR="00DD1905">
          <w:rPr>
            <w:noProof/>
            <w:webHidden/>
          </w:rPr>
          <w:fldChar w:fldCharType="begin"/>
        </w:r>
        <w:r w:rsidR="00DD1905">
          <w:rPr>
            <w:noProof/>
            <w:webHidden/>
          </w:rPr>
          <w:instrText xml:space="preserve"> PAGEREF _Toc134321294 \h </w:instrText>
        </w:r>
        <w:r w:rsidR="00DD1905">
          <w:rPr>
            <w:noProof/>
            <w:webHidden/>
          </w:rPr>
        </w:r>
        <w:r w:rsidR="00DD1905">
          <w:rPr>
            <w:noProof/>
            <w:webHidden/>
          </w:rPr>
          <w:fldChar w:fldCharType="separate"/>
        </w:r>
        <w:r w:rsidR="00580913">
          <w:rPr>
            <w:noProof/>
            <w:webHidden/>
          </w:rPr>
          <w:t>108</w:t>
        </w:r>
        <w:r w:rsidR="00DD1905">
          <w:rPr>
            <w:noProof/>
            <w:webHidden/>
          </w:rPr>
          <w:fldChar w:fldCharType="end"/>
        </w:r>
      </w:hyperlink>
    </w:p>
    <w:p w14:paraId="45E3F6D7" w14:textId="54B30C14" w:rsidR="00DD1905" w:rsidRDefault="0094269C">
      <w:pPr>
        <w:pStyle w:val="TOC1"/>
        <w:rPr>
          <w:rFonts w:asciiTheme="minorHAnsi" w:eastAsiaTheme="minorEastAsia" w:hAnsiTheme="minorHAnsi" w:cstheme="minorBidi"/>
          <w:b w:val="0"/>
          <w:noProof/>
          <w:sz w:val="22"/>
          <w:szCs w:val="22"/>
        </w:rPr>
      </w:pPr>
      <w:hyperlink w:anchor="_Toc134321295" w:history="1">
        <w:r w:rsidR="00DD1905" w:rsidRPr="006A4073">
          <w:rPr>
            <w:rStyle w:val="Hyperlink"/>
            <w:noProof/>
          </w:rPr>
          <w:t>The Government’s balance sheet</w:t>
        </w:r>
        <w:r w:rsidR="00DD1905">
          <w:rPr>
            <w:noProof/>
            <w:webHidden/>
          </w:rPr>
          <w:tab/>
        </w:r>
        <w:r w:rsidR="00DD1905">
          <w:rPr>
            <w:noProof/>
            <w:webHidden/>
          </w:rPr>
          <w:fldChar w:fldCharType="begin"/>
        </w:r>
        <w:r w:rsidR="00DD1905">
          <w:rPr>
            <w:noProof/>
            <w:webHidden/>
          </w:rPr>
          <w:instrText xml:space="preserve"> PAGEREF _Toc134321295 \h </w:instrText>
        </w:r>
        <w:r w:rsidR="00DD1905">
          <w:rPr>
            <w:noProof/>
            <w:webHidden/>
          </w:rPr>
        </w:r>
        <w:r w:rsidR="00DD1905">
          <w:rPr>
            <w:noProof/>
            <w:webHidden/>
          </w:rPr>
          <w:fldChar w:fldCharType="separate"/>
        </w:r>
        <w:r w:rsidR="00580913">
          <w:rPr>
            <w:noProof/>
            <w:webHidden/>
          </w:rPr>
          <w:t>110</w:t>
        </w:r>
        <w:r w:rsidR="00DD1905">
          <w:rPr>
            <w:noProof/>
            <w:webHidden/>
          </w:rPr>
          <w:fldChar w:fldCharType="end"/>
        </w:r>
      </w:hyperlink>
    </w:p>
    <w:p w14:paraId="558170B1" w14:textId="7233738B" w:rsidR="00DD1905" w:rsidRDefault="0094269C">
      <w:pPr>
        <w:pStyle w:val="TOC2"/>
        <w:rPr>
          <w:rFonts w:asciiTheme="minorHAnsi" w:eastAsiaTheme="minorEastAsia" w:hAnsiTheme="minorHAnsi" w:cstheme="minorBidi"/>
          <w:noProof/>
          <w:sz w:val="22"/>
          <w:szCs w:val="22"/>
        </w:rPr>
      </w:pPr>
      <w:hyperlink w:anchor="_Toc134321296" w:history="1">
        <w:r w:rsidR="00DD1905" w:rsidRPr="006A4073">
          <w:rPr>
            <w:rStyle w:val="Hyperlink"/>
            <w:noProof/>
          </w:rPr>
          <w:t>Gross debt estimates and projections</w:t>
        </w:r>
        <w:r w:rsidR="00DD1905">
          <w:rPr>
            <w:noProof/>
            <w:webHidden/>
          </w:rPr>
          <w:tab/>
        </w:r>
        <w:r w:rsidR="00DD1905">
          <w:rPr>
            <w:noProof/>
            <w:webHidden/>
          </w:rPr>
          <w:fldChar w:fldCharType="begin"/>
        </w:r>
        <w:r w:rsidR="00DD1905">
          <w:rPr>
            <w:noProof/>
            <w:webHidden/>
          </w:rPr>
          <w:instrText xml:space="preserve"> PAGEREF _Toc134321296 \h </w:instrText>
        </w:r>
        <w:r w:rsidR="00DD1905">
          <w:rPr>
            <w:noProof/>
            <w:webHidden/>
          </w:rPr>
        </w:r>
        <w:r w:rsidR="00DD1905">
          <w:rPr>
            <w:noProof/>
            <w:webHidden/>
          </w:rPr>
          <w:fldChar w:fldCharType="separate"/>
        </w:r>
        <w:r w:rsidR="00580913">
          <w:rPr>
            <w:noProof/>
            <w:webHidden/>
          </w:rPr>
          <w:t>110</w:t>
        </w:r>
        <w:r w:rsidR="00DD1905">
          <w:rPr>
            <w:noProof/>
            <w:webHidden/>
          </w:rPr>
          <w:fldChar w:fldCharType="end"/>
        </w:r>
      </w:hyperlink>
    </w:p>
    <w:p w14:paraId="61CD274A" w14:textId="6B592043" w:rsidR="00DD1905" w:rsidRDefault="0094269C">
      <w:pPr>
        <w:pStyle w:val="TOC2"/>
        <w:rPr>
          <w:rFonts w:asciiTheme="minorHAnsi" w:eastAsiaTheme="minorEastAsia" w:hAnsiTheme="minorHAnsi" w:cstheme="minorBidi"/>
          <w:noProof/>
          <w:sz w:val="22"/>
          <w:szCs w:val="22"/>
        </w:rPr>
      </w:pPr>
      <w:hyperlink w:anchor="_Toc134321297" w:history="1">
        <w:r w:rsidR="00DD1905" w:rsidRPr="006A4073">
          <w:rPr>
            <w:rStyle w:val="Hyperlink"/>
            <w:noProof/>
          </w:rPr>
          <w:t>Net debt estimates and projections</w:t>
        </w:r>
        <w:r w:rsidR="00DD1905">
          <w:rPr>
            <w:noProof/>
            <w:webHidden/>
          </w:rPr>
          <w:tab/>
        </w:r>
        <w:r w:rsidR="00DD1905">
          <w:rPr>
            <w:noProof/>
            <w:webHidden/>
          </w:rPr>
          <w:fldChar w:fldCharType="begin"/>
        </w:r>
        <w:r w:rsidR="00DD1905">
          <w:rPr>
            <w:noProof/>
            <w:webHidden/>
          </w:rPr>
          <w:instrText xml:space="preserve"> PAGEREF _Toc134321297 \h </w:instrText>
        </w:r>
        <w:r w:rsidR="00DD1905">
          <w:rPr>
            <w:noProof/>
            <w:webHidden/>
          </w:rPr>
        </w:r>
        <w:r w:rsidR="00DD1905">
          <w:rPr>
            <w:noProof/>
            <w:webHidden/>
          </w:rPr>
          <w:fldChar w:fldCharType="separate"/>
        </w:r>
        <w:r w:rsidR="00580913">
          <w:rPr>
            <w:noProof/>
            <w:webHidden/>
          </w:rPr>
          <w:t>113</w:t>
        </w:r>
        <w:r w:rsidR="00DD1905">
          <w:rPr>
            <w:noProof/>
            <w:webHidden/>
          </w:rPr>
          <w:fldChar w:fldCharType="end"/>
        </w:r>
      </w:hyperlink>
    </w:p>
    <w:p w14:paraId="16693ECB" w14:textId="4E8BC262" w:rsidR="00DD1905" w:rsidRDefault="0094269C">
      <w:pPr>
        <w:pStyle w:val="TOC2"/>
        <w:rPr>
          <w:rFonts w:asciiTheme="minorHAnsi" w:eastAsiaTheme="minorEastAsia" w:hAnsiTheme="minorHAnsi" w:cstheme="minorBidi"/>
          <w:noProof/>
          <w:sz w:val="22"/>
          <w:szCs w:val="22"/>
        </w:rPr>
      </w:pPr>
      <w:hyperlink w:anchor="_Toc134321298" w:history="1">
        <w:r w:rsidR="00DD1905" w:rsidRPr="006A4073">
          <w:rPr>
            <w:rStyle w:val="Hyperlink"/>
            <w:noProof/>
          </w:rPr>
          <w:t>Net financial worth and net worth estimates and projections</w:t>
        </w:r>
        <w:r w:rsidR="00DD1905">
          <w:rPr>
            <w:noProof/>
            <w:webHidden/>
          </w:rPr>
          <w:tab/>
        </w:r>
        <w:r w:rsidR="00DD1905">
          <w:rPr>
            <w:noProof/>
            <w:webHidden/>
          </w:rPr>
          <w:fldChar w:fldCharType="begin"/>
        </w:r>
        <w:r w:rsidR="00DD1905">
          <w:rPr>
            <w:noProof/>
            <w:webHidden/>
          </w:rPr>
          <w:instrText xml:space="preserve"> PAGEREF _Toc134321298 \h </w:instrText>
        </w:r>
        <w:r w:rsidR="00DD1905">
          <w:rPr>
            <w:noProof/>
            <w:webHidden/>
          </w:rPr>
        </w:r>
        <w:r w:rsidR="00DD1905">
          <w:rPr>
            <w:noProof/>
            <w:webHidden/>
          </w:rPr>
          <w:fldChar w:fldCharType="separate"/>
        </w:r>
        <w:r w:rsidR="00580913">
          <w:rPr>
            <w:noProof/>
            <w:webHidden/>
          </w:rPr>
          <w:t>116</w:t>
        </w:r>
        <w:r w:rsidR="00DD1905">
          <w:rPr>
            <w:noProof/>
            <w:webHidden/>
          </w:rPr>
          <w:fldChar w:fldCharType="end"/>
        </w:r>
      </w:hyperlink>
    </w:p>
    <w:p w14:paraId="5E9A9D5A" w14:textId="25C5510E" w:rsidR="00DD1905" w:rsidRDefault="0094269C">
      <w:pPr>
        <w:pStyle w:val="TOC1"/>
        <w:rPr>
          <w:rFonts w:asciiTheme="minorHAnsi" w:eastAsiaTheme="minorEastAsia" w:hAnsiTheme="minorHAnsi" w:cstheme="minorBidi"/>
          <w:b w:val="0"/>
          <w:noProof/>
          <w:sz w:val="22"/>
          <w:szCs w:val="22"/>
        </w:rPr>
      </w:pPr>
      <w:hyperlink w:anchor="_Toc134321299" w:history="1">
        <w:r w:rsidR="00DD1905" w:rsidRPr="006A4073">
          <w:rPr>
            <w:rStyle w:val="Hyperlink"/>
            <w:noProof/>
          </w:rPr>
          <w:t>Fiscal impacts of climate change</w:t>
        </w:r>
        <w:r w:rsidR="00DD1905">
          <w:rPr>
            <w:noProof/>
            <w:webHidden/>
          </w:rPr>
          <w:tab/>
        </w:r>
        <w:r w:rsidR="00DD1905">
          <w:rPr>
            <w:noProof/>
            <w:webHidden/>
          </w:rPr>
          <w:fldChar w:fldCharType="begin"/>
        </w:r>
        <w:r w:rsidR="00DD1905">
          <w:rPr>
            <w:noProof/>
            <w:webHidden/>
          </w:rPr>
          <w:instrText xml:space="preserve"> PAGEREF _Toc134321299 \h </w:instrText>
        </w:r>
        <w:r w:rsidR="00DD1905">
          <w:rPr>
            <w:noProof/>
            <w:webHidden/>
          </w:rPr>
        </w:r>
        <w:r w:rsidR="00DD1905">
          <w:rPr>
            <w:noProof/>
            <w:webHidden/>
          </w:rPr>
          <w:fldChar w:fldCharType="separate"/>
        </w:r>
        <w:r w:rsidR="00580913">
          <w:rPr>
            <w:noProof/>
            <w:webHidden/>
          </w:rPr>
          <w:t>119</w:t>
        </w:r>
        <w:r w:rsidR="00DD1905">
          <w:rPr>
            <w:noProof/>
            <w:webHidden/>
          </w:rPr>
          <w:fldChar w:fldCharType="end"/>
        </w:r>
      </w:hyperlink>
    </w:p>
    <w:p w14:paraId="6C937AF5" w14:textId="6A83416F" w:rsidR="00DD1905" w:rsidRDefault="0094269C">
      <w:pPr>
        <w:pStyle w:val="TOC2"/>
        <w:rPr>
          <w:rFonts w:asciiTheme="minorHAnsi" w:eastAsiaTheme="minorEastAsia" w:hAnsiTheme="minorHAnsi" w:cstheme="minorBidi"/>
          <w:noProof/>
          <w:sz w:val="22"/>
          <w:szCs w:val="22"/>
        </w:rPr>
      </w:pPr>
      <w:hyperlink w:anchor="_Toc134321300" w:history="1">
        <w:r w:rsidR="00DD1905" w:rsidRPr="006A4073">
          <w:rPr>
            <w:rStyle w:val="Hyperlink"/>
            <w:noProof/>
          </w:rPr>
          <w:t>Climate spending</w:t>
        </w:r>
        <w:r w:rsidR="00DD1905">
          <w:rPr>
            <w:noProof/>
            <w:webHidden/>
          </w:rPr>
          <w:tab/>
        </w:r>
        <w:r w:rsidR="00DD1905">
          <w:rPr>
            <w:noProof/>
            <w:webHidden/>
          </w:rPr>
          <w:fldChar w:fldCharType="begin"/>
        </w:r>
        <w:r w:rsidR="00DD1905">
          <w:rPr>
            <w:noProof/>
            <w:webHidden/>
          </w:rPr>
          <w:instrText xml:space="preserve"> PAGEREF _Toc134321300 \h </w:instrText>
        </w:r>
        <w:r w:rsidR="00DD1905">
          <w:rPr>
            <w:noProof/>
            <w:webHidden/>
          </w:rPr>
        </w:r>
        <w:r w:rsidR="00DD1905">
          <w:rPr>
            <w:noProof/>
            <w:webHidden/>
          </w:rPr>
          <w:fldChar w:fldCharType="separate"/>
        </w:r>
        <w:r w:rsidR="00580913">
          <w:rPr>
            <w:noProof/>
            <w:webHidden/>
          </w:rPr>
          <w:t>121</w:t>
        </w:r>
        <w:r w:rsidR="00DD1905">
          <w:rPr>
            <w:noProof/>
            <w:webHidden/>
          </w:rPr>
          <w:fldChar w:fldCharType="end"/>
        </w:r>
      </w:hyperlink>
    </w:p>
    <w:p w14:paraId="70E0ED1B" w14:textId="5D4D45A4" w:rsidR="00DD1905" w:rsidRDefault="0094269C">
      <w:pPr>
        <w:pStyle w:val="TOC2"/>
        <w:rPr>
          <w:rFonts w:asciiTheme="minorHAnsi" w:eastAsiaTheme="minorEastAsia" w:hAnsiTheme="minorHAnsi" w:cstheme="minorBidi"/>
          <w:noProof/>
          <w:sz w:val="22"/>
          <w:szCs w:val="22"/>
        </w:rPr>
      </w:pPr>
      <w:hyperlink w:anchor="_Toc134321301" w:history="1">
        <w:r w:rsidR="00DD1905" w:rsidRPr="006A4073">
          <w:rPr>
            <w:rStyle w:val="Hyperlink"/>
            <w:noProof/>
          </w:rPr>
          <w:t>International frameworks and approaches</w:t>
        </w:r>
        <w:r w:rsidR="00DD1905">
          <w:rPr>
            <w:noProof/>
            <w:webHidden/>
          </w:rPr>
          <w:tab/>
        </w:r>
        <w:r w:rsidR="00DD1905">
          <w:rPr>
            <w:noProof/>
            <w:webHidden/>
          </w:rPr>
          <w:fldChar w:fldCharType="begin"/>
        </w:r>
        <w:r w:rsidR="00DD1905">
          <w:rPr>
            <w:noProof/>
            <w:webHidden/>
          </w:rPr>
          <w:instrText xml:space="preserve"> PAGEREF _Toc134321301 \h </w:instrText>
        </w:r>
        <w:r w:rsidR="00DD1905">
          <w:rPr>
            <w:noProof/>
            <w:webHidden/>
          </w:rPr>
        </w:r>
        <w:r w:rsidR="00DD1905">
          <w:rPr>
            <w:noProof/>
            <w:webHidden/>
          </w:rPr>
          <w:fldChar w:fldCharType="separate"/>
        </w:r>
        <w:r w:rsidR="00580913">
          <w:rPr>
            <w:noProof/>
            <w:webHidden/>
          </w:rPr>
          <w:t>121</w:t>
        </w:r>
        <w:r w:rsidR="00DD1905">
          <w:rPr>
            <w:noProof/>
            <w:webHidden/>
          </w:rPr>
          <w:fldChar w:fldCharType="end"/>
        </w:r>
      </w:hyperlink>
    </w:p>
    <w:p w14:paraId="7FF5186B" w14:textId="53004CAF" w:rsidR="00DD1905" w:rsidRDefault="0094269C">
      <w:pPr>
        <w:pStyle w:val="TOC2"/>
        <w:rPr>
          <w:rFonts w:asciiTheme="minorHAnsi" w:eastAsiaTheme="minorEastAsia" w:hAnsiTheme="minorHAnsi" w:cstheme="minorBidi"/>
          <w:noProof/>
          <w:sz w:val="22"/>
          <w:szCs w:val="22"/>
        </w:rPr>
      </w:pPr>
      <w:hyperlink w:anchor="_Toc134321302" w:history="1">
        <w:r w:rsidR="00DD1905" w:rsidRPr="006A4073">
          <w:rPr>
            <w:rStyle w:val="Hyperlink"/>
            <w:noProof/>
          </w:rPr>
          <w:t>Australia’s classification approach</w:t>
        </w:r>
        <w:r w:rsidR="00DD1905">
          <w:rPr>
            <w:noProof/>
            <w:webHidden/>
          </w:rPr>
          <w:tab/>
        </w:r>
        <w:r w:rsidR="00DD1905">
          <w:rPr>
            <w:noProof/>
            <w:webHidden/>
          </w:rPr>
          <w:fldChar w:fldCharType="begin"/>
        </w:r>
        <w:r w:rsidR="00DD1905">
          <w:rPr>
            <w:noProof/>
            <w:webHidden/>
          </w:rPr>
          <w:instrText xml:space="preserve"> PAGEREF _Toc134321302 \h </w:instrText>
        </w:r>
        <w:r w:rsidR="00DD1905">
          <w:rPr>
            <w:noProof/>
            <w:webHidden/>
          </w:rPr>
        </w:r>
        <w:r w:rsidR="00DD1905">
          <w:rPr>
            <w:noProof/>
            <w:webHidden/>
          </w:rPr>
          <w:fldChar w:fldCharType="separate"/>
        </w:r>
        <w:r w:rsidR="00580913">
          <w:rPr>
            <w:noProof/>
            <w:webHidden/>
          </w:rPr>
          <w:t>122</w:t>
        </w:r>
        <w:r w:rsidR="00DD1905">
          <w:rPr>
            <w:noProof/>
            <w:webHidden/>
          </w:rPr>
          <w:fldChar w:fldCharType="end"/>
        </w:r>
      </w:hyperlink>
    </w:p>
    <w:p w14:paraId="78B6CB8F" w14:textId="5BF9CCDE" w:rsidR="00DD1905" w:rsidRDefault="0094269C">
      <w:pPr>
        <w:pStyle w:val="TOC1"/>
        <w:rPr>
          <w:rFonts w:asciiTheme="minorHAnsi" w:eastAsiaTheme="minorEastAsia" w:hAnsiTheme="minorHAnsi" w:cstheme="minorBidi"/>
          <w:b w:val="0"/>
          <w:noProof/>
          <w:sz w:val="22"/>
          <w:szCs w:val="22"/>
        </w:rPr>
      </w:pPr>
      <w:hyperlink w:anchor="_Toc134321303" w:history="1">
        <w:r w:rsidR="00DD1905" w:rsidRPr="006A4073">
          <w:rPr>
            <w:rStyle w:val="Hyperlink"/>
            <w:noProof/>
          </w:rPr>
          <w:t>Appendix A: Other fiscal aggregates</w:t>
        </w:r>
        <w:r w:rsidR="00DD1905">
          <w:rPr>
            <w:noProof/>
            <w:webHidden/>
          </w:rPr>
          <w:tab/>
        </w:r>
        <w:r w:rsidR="00DD1905">
          <w:rPr>
            <w:noProof/>
            <w:webHidden/>
          </w:rPr>
          <w:fldChar w:fldCharType="begin"/>
        </w:r>
        <w:r w:rsidR="00DD1905">
          <w:rPr>
            <w:noProof/>
            <w:webHidden/>
          </w:rPr>
          <w:instrText xml:space="preserve"> PAGEREF _Toc134321303 \h </w:instrText>
        </w:r>
        <w:r w:rsidR="00DD1905">
          <w:rPr>
            <w:noProof/>
            <w:webHidden/>
          </w:rPr>
        </w:r>
        <w:r w:rsidR="00DD1905">
          <w:rPr>
            <w:noProof/>
            <w:webHidden/>
          </w:rPr>
          <w:fldChar w:fldCharType="separate"/>
        </w:r>
        <w:r w:rsidR="00580913">
          <w:rPr>
            <w:noProof/>
            <w:webHidden/>
          </w:rPr>
          <w:t>128</w:t>
        </w:r>
        <w:r w:rsidR="00DD1905">
          <w:rPr>
            <w:noProof/>
            <w:webHidden/>
          </w:rPr>
          <w:fldChar w:fldCharType="end"/>
        </w:r>
      </w:hyperlink>
    </w:p>
    <w:p w14:paraId="17AC358C" w14:textId="2E2DAFC0" w:rsidR="00DD1905" w:rsidRDefault="0094269C">
      <w:pPr>
        <w:pStyle w:val="TOC2"/>
        <w:rPr>
          <w:rFonts w:asciiTheme="minorHAnsi" w:eastAsiaTheme="minorEastAsia" w:hAnsiTheme="minorHAnsi" w:cstheme="minorBidi"/>
          <w:noProof/>
          <w:sz w:val="22"/>
          <w:szCs w:val="22"/>
        </w:rPr>
      </w:pPr>
      <w:hyperlink w:anchor="_Toc134321304" w:history="1">
        <w:r w:rsidR="00DD1905" w:rsidRPr="006A4073">
          <w:rPr>
            <w:rStyle w:val="Hyperlink"/>
            <w:noProof/>
          </w:rPr>
          <w:t>Accrual aggregates</w:t>
        </w:r>
        <w:r w:rsidR="00DD1905">
          <w:rPr>
            <w:noProof/>
            <w:webHidden/>
          </w:rPr>
          <w:tab/>
        </w:r>
        <w:r w:rsidR="00DD1905">
          <w:rPr>
            <w:noProof/>
            <w:webHidden/>
          </w:rPr>
          <w:fldChar w:fldCharType="begin"/>
        </w:r>
        <w:r w:rsidR="00DD1905">
          <w:rPr>
            <w:noProof/>
            <w:webHidden/>
          </w:rPr>
          <w:instrText xml:space="preserve"> PAGEREF _Toc134321304 \h </w:instrText>
        </w:r>
        <w:r w:rsidR="00DD1905">
          <w:rPr>
            <w:noProof/>
            <w:webHidden/>
          </w:rPr>
        </w:r>
        <w:r w:rsidR="00DD1905">
          <w:rPr>
            <w:noProof/>
            <w:webHidden/>
          </w:rPr>
          <w:fldChar w:fldCharType="separate"/>
        </w:r>
        <w:r w:rsidR="00580913">
          <w:rPr>
            <w:noProof/>
            <w:webHidden/>
          </w:rPr>
          <w:t>128</w:t>
        </w:r>
        <w:r w:rsidR="00DD1905">
          <w:rPr>
            <w:noProof/>
            <w:webHidden/>
          </w:rPr>
          <w:fldChar w:fldCharType="end"/>
        </w:r>
      </w:hyperlink>
    </w:p>
    <w:p w14:paraId="448EF46E" w14:textId="320AB241" w:rsidR="00DD1905" w:rsidRDefault="0094269C">
      <w:pPr>
        <w:pStyle w:val="TOC2"/>
        <w:rPr>
          <w:rFonts w:asciiTheme="minorHAnsi" w:eastAsiaTheme="minorEastAsia" w:hAnsiTheme="minorHAnsi" w:cstheme="minorBidi"/>
          <w:noProof/>
          <w:sz w:val="22"/>
          <w:szCs w:val="22"/>
        </w:rPr>
      </w:pPr>
      <w:hyperlink w:anchor="_Toc134321305" w:history="1">
        <w:r w:rsidR="00DD1905" w:rsidRPr="006A4073">
          <w:rPr>
            <w:rStyle w:val="Hyperlink"/>
            <w:noProof/>
          </w:rPr>
          <w:t>Structural budget balance estimates</w:t>
        </w:r>
        <w:r w:rsidR="00DD1905">
          <w:rPr>
            <w:noProof/>
            <w:webHidden/>
          </w:rPr>
          <w:tab/>
        </w:r>
        <w:r w:rsidR="00DD1905">
          <w:rPr>
            <w:noProof/>
            <w:webHidden/>
          </w:rPr>
          <w:fldChar w:fldCharType="begin"/>
        </w:r>
        <w:r w:rsidR="00DD1905">
          <w:rPr>
            <w:noProof/>
            <w:webHidden/>
          </w:rPr>
          <w:instrText xml:space="preserve"> PAGEREF _Toc134321305 \h </w:instrText>
        </w:r>
        <w:r w:rsidR="00DD1905">
          <w:rPr>
            <w:noProof/>
            <w:webHidden/>
          </w:rPr>
        </w:r>
        <w:r w:rsidR="00DD1905">
          <w:rPr>
            <w:noProof/>
            <w:webHidden/>
          </w:rPr>
          <w:fldChar w:fldCharType="separate"/>
        </w:r>
        <w:r w:rsidR="00580913">
          <w:rPr>
            <w:noProof/>
            <w:webHidden/>
          </w:rPr>
          <w:t>130</w:t>
        </w:r>
        <w:r w:rsidR="00DD1905">
          <w:rPr>
            <w:noProof/>
            <w:webHidden/>
          </w:rPr>
          <w:fldChar w:fldCharType="end"/>
        </w:r>
      </w:hyperlink>
    </w:p>
    <w:p w14:paraId="040F04B4" w14:textId="3B43FF1F" w:rsidR="00D617D6" w:rsidRDefault="00933EC9" w:rsidP="00C80326">
      <w:pPr>
        <w:rPr>
          <w:rFonts w:cstheme="minorHAnsi"/>
          <w:b/>
          <w:lang w:val="en-US"/>
        </w:rPr>
      </w:pPr>
      <w:r w:rsidRPr="00EA288B">
        <w:rPr>
          <w:rFonts w:cstheme="minorHAnsi"/>
          <w:b/>
          <w:lang w:val="en-US"/>
        </w:rPr>
        <w:fldChar w:fldCharType="end"/>
      </w:r>
    </w:p>
    <w:p w14:paraId="79958451" w14:textId="77777777" w:rsidR="00551E91" w:rsidRPr="001B43A7" w:rsidRDefault="00551E91" w:rsidP="001B43A7">
      <w:pPr>
        <w:rPr>
          <w:b/>
          <w:lang w:val="en-US"/>
        </w:rPr>
        <w:sectPr w:rsidR="00551E91" w:rsidRPr="001B43A7" w:rsidSect="00345870">
          <w:headerReference w:type="first" r:id="rId17"/>
          <w:type w:val="oddPage"/>
          <w:pgSz w:w="11906" w:h="16838" w:code="9"/>
          <w:pgMar w:top="2835" w:right="2098" w:bottom="2466" w:left="2098" w:header="1814" w:footer="1814" w:gutter="0"/>
          <w:cols w:space="708"/>
          <w:titlePg/>
          <w:docGrid w:linePitch="360"/>
        </w:sectPr>
      </w:pPr>
    </w:p>
    <w:p w14:paraId="0176589D" w14:textId="7A7C1D3C" w:rsidR="004802FB" w:rsidRPr="00EA288B" w:rsidRDefault="004802FB" w:rsidP="000D030B">
      <w:pPr>
        <w:pStyle w:val="Heading1"/>
      </w:pPr>
      <w:r w:rsidRPr="00EA288B">
        <w:lastRenderedPageBreak/>
        <w:t>Statement 3: Fiscal Strategy and Outlook</w:t>
      </w:r>
    </w:p>
    <w:p w14:paraId="05E9719B" w14:textId="0C7F6D06" w:rsidR="00154587" w:rsidRPr="0013535E" w:rsidRDefault="00154587" w:rsidP="00843532">
      <w:r w:rsidRPr="004E1159">
        <w:t xml:space="preserve">Since the </w:t>
      </w:r>
      <w:r w:rsidR="00F634C3" w:rsidRPr="004E1159">
        <w:t>October Budget</w:t>
      </w:r>
      <w:r w:rsidRPr="004E1159">
        <w:t>, there has been a substantial improvement in the fiscal outlook. This is a direct outcome of the Government</w:t>
      </w:r>
      <w:r w:rsidR="00594653" w:rsidRPr="004E1159">
        <w:t>’</w:t>
      </w:r>
      <w:r w:rsidR="00F200CE" w:rsidRPr="004E1159">
        <w:t>s strategy of</w:t>
      </w:r>
      <w:r w:rsidRPr="004E1159">
        <w:t xml:space="preserve"> returning revenue upgrades to the budget, while also </w:t>
      </w:r>
      <w:r w:rsidR="005A3256" w:rsidRPr="004E1159">
        <w:t xml:space="preserve">delivering </w:t>
      </w:r>
      <w:r w:rsidR="00E2321A" w:rsidRPr="004E1159">
        <w:t xml:space="preserve">responsible and targeted </w:t>
      </w:r>
      <w:r w:rsidR="005A3256" w:rsidRPr="004E1159">
        <w:t xml:space="preserve">cost of living relief, </w:t>
      </w:r>
      <w:r w:rsidRPr="004E1159">
        <w:t>investing in a stronger</w:t>
      </w:r>
      <w:r w:rsidR="00C4197A" w:rsidRPr="004E1159">
        <w:t>, more secure</w:t>
      </w:r>
      <w:r w:rsidRPr="004E1159">
        <w:t xml:space="preserve"> economy, </w:t>
      </w:r>
      <w:r w:rsidR="008A7F40" w:rsidRPr="004E1159">
        <w:t>spreading opportunity and securing essential services</w:t>
      </w:r>
      <w:r w:rsidR="00B374E9" w:rsidRPr="004E1159">
        <w:t>.</w:t>
      </w:r>
      <w:r w:rsidR="000E0EE4" w:rsidRPr="004E1159">
        <w:t xml:space="preserve"> </w:t>
      </w:r>
    </w:p>
    <w:p w14:paraId="7DEE79C3" w14:textId="67A6BE2A" w:rsidR="00A90A2D" w:rsidRPr="0013535E" w:rsidRDefault="00A90A2D" w:rsidP="00843532">
      <w:r w:rsidRPr="004E1159">
        <w:t xml:space="preserve">The Government </w:t>
      </w:r>
      <w:r w:rsidR="00BA3720" w:rsidRPr="004E1159">
        <w:t xml:space="preserve">has </w:t>
      </w:r>
      <w:r w:rsidR="00EB1AB8" w:rsidRPr="004E1159">
        <w:t>also</w:t>
      </w:r>
      <w:r w:rsidRPr="004E1159">
        <w:t xml:space="preserve"> </w:t>
      </w:r>
      <w:r w:rsidR="00DE6B64" w:rsidRPr="004E1159">
        <w:t xml:space="preserve">identified </w:t>
      </w:r>
      <w:r w:rsidRPr="004E1159">
        <w:t>$</w:t>
      </w:r>
      <w:r w:rsidR="00426BF2" w:rsidRPr="004E1159">
        <w:t>32.5</w:t>
      </w:r>
      <w:r w:rsidRPr="004E1159">
        <w:t> billion in budget improvements, including $</w:t>
      </w:r>
      <w:r w:rsidR="003513CD" w:rsidRPr="004E1159">
        <w:t>17.8</w:t>
      </w:r>
      <w:r w:rsidRPr="004E1159">
        <w:t> billion in spending reprioritisations</w:t>
      </w:r>
      <w:r w:rsidR="00A528F3" w:rsidRPr="004E1159">
        <w:t xml:space="preserve"> over</w:t>
      </w:r>
      <w:r w:rsidRPr="004E1159">
        <w:t xml:space="preserve"> the </w:t>
      </w:r>
      <w:r w:rsidR="00A528F3" w:rsidRPr="004E1159">
        <w:t xml:space="preserve">5 years to </w:t>
      </w:r>
      <w:r w:rsidR="00C81801" w:rsidRPr="004E1159">
        <w:t>2026</w:t>
      </w:r>
      <w:r w:rsidR="00235899" w:rsidRPr="004E1159">
        <w:t>–</w:t>
      </w:r>
      <w:r w:rsidR="00C81801" w:rsidRPr="004E1159">
        <w:t>27</w:t>
      </w:r>
      <w:r w:rsidRPr="004E1159">
        <w:t xml:space="preserve">. </w:t>
      </w:r>
      <w:r w:rsidRPr="0013535E" w:rsidDel="005B2751">
        <w:t xml:space="preserve"> </w:t>
      </w:r>
    </w:p>
    <w:p w14:paraId="608C4655" w14:textId="263D4CE3" w:rsidR="00154587" w:rsidRPr="004E1159" w:rsidRDefault="00EE39F3" w:rsidP="00843532">
      <w:r w:rsidRPr="004E1159">
        <w:t>The underlying cash balance is expected to be a surplus of $</w:t>
      </w:r>
      <w:r w:rsidR="00922C6C" w:rsidRPr="004E1159">
        <w:t>4</w:t>
      </w:r>
      <w:r w:rsidRPr="004E1159">
        <w:t>.</w:t>
      </w:r>
      <w:r w:rsidR="00922C6C" w:rsidRPr="004E1159">
        <w:t>2</w:t>
      </w:r>
      <w:r w:rsidRPr="004E1159">
        <w:t xml:space="preserve"> billion </w:t>
      </w:r>
      <w:r w:rsidR="00920F79" w:rsidRPr="004E1159">
        <w:t>(</w:t>
      </w:r>
      <w:r w:rsidR="00F70202" w:rsidRPr="004E1159">
        <w:t>0</w:t>
      </w:r>
      <w:r w:rsidR="00920F79" w:rsidRPr="004E1159">
        <w:t>.</w:t>
      </w:r>
      <w:r w:rsidR="00F70202" w:rsidRPr="004E1159">
        <w:t>2 per cent</w:t>
      </w:r>
      <w:r w:rsidR="00920F79" w:rsidRPr="004E1159">
        <w:t xml:space="preserve"> of GDP) </w:t>
      </w:r>
      <w:r w:rsidRPr="004E1159">
        <w:t xml:space="preserve">in 2022–23, the first surplus since 2007–08. </w:t>
      </w:r>
      <w:r w:rsidR="004B26E7" w:rsidRPr="004E1159">
        <w:t>A deficit of $13.</w:t>
      </w:r>
      <w:r w:rsidR="00F70202" w:rsidRPr="004E1159">
        <w:t>9</w:t>
      </w:r>
      <w:r w:rsidR="004B26E7" w:rsidRPr="004E1159">
        <w:t> billion (</w:t>
      </w:r>
      <w:r w:rsidR="00032996" w:rsidRPr="004E1159">
        <w:t>0.5</w:t>
      </w:r>
      <w:r w:rsidR="004B26E7" w:rsidRPr="004E1159">
        <w:t xml:space="preserve"> per cent of GDP) is expected in 2023–24. This is </w:t>
      </w:r>
      <w:r w:rsidR="00575E64" w:rsidRPr="004E1159">
        <w:t>$</w:t>
      </w:r>
      <w:r w:rsidR="00234435" w:rsidRPr="004E1159">
        <w:t>30.</w:t>
      </w:r>
      <w:r w:rsidR="00F70202" w:rsidRPr="004E1159">
        <w:t>1</w:t>
      </w:r>
      <w:r w:rsidR="00575E64" w:rsidRPr="004E1159">
        <w:t xml:space="preserve"> billion</w:t>
      </w:r>
      <w:r w:rsidR="004B26E7" w:rsidRPr="004E1159">
        <w:t xml:space="preserve"> lower than </w:t>
      </w:r>
      <w:r w:rsidR="00575E64" w:rsidRPr="004E1159">
        <w:t xml:space="preserve">expected in </w:t>
      </w:r>
      <w:r w:rsidR="004B26E7" w:rsidRPr="004E1159">
        <w:t xml:space="preserve">October. </w:t>
      </w:r>
      <w:r w:rsidR="00F56DF1" w:rsidRPr="004E1159">
        <w:t xml:space="preserve">The underlying cash </w:t>
      </w:r>
      <w:r w:rsidR="004F0249" w:rsidRPr="004E1159">
        <w:t>balance has improved by $12</w:t>
      </w:r>
      <w:r w:rsidR="00AD191F" w:rsidRPr="004E1159">
        <w:t>5</w:t>
      </w:r>
      <w:r w:rsidR="004F0249" w:rsidRPr="004E1159">
        <w:t>.</w:t>
      </w:r>
      <w:r w:rsidR="00AD191F" w:rsidRPr="004E1159">
        <w:t>9</w:t>
      </w:r>
      <w:r w:rsidR="00F634C3" w:rsidRPr="004E1159">
        <w:t> billion</w:t>
      </w:r>
      <w:r w:rsidR="004F0249" w:rsidRPr="004E1159">
        <w:t xml:space="preserve"> over </w:t>
      </w:r>
      <w:r w:rsidR="00DC01B2" w:rsidRPr="004E1159">
        <w:t>5 year</w:t>
      </w:r>
      <w:r w:rsidR="00AB2677" w:rsidRPr="004E1159">
        <w:t>s from 2022</w:t>
      </w:r>
      <w:r w:rsidR="00F634C3" w:rsidRPr="004E1159">
        <w:t>–</w:t>
      </w:r>
      <w:r w:rsidR="00AB2677" w:rsidRPr="004E1159">
        <w:t>23 to 2026</w:t>
      </w:r>
      <w:r w:rsidR="00F634C3" w:rsidRPr="004E1159">
        <w:t>–</w:t>
      </w:r>
      <w:r w:rsidR="00AB2677" w:rsidRPr="004E1159">
        <w:t>27.</w:t>
      </w:r>
    </w:p>
    <w:p w14:paraId="2E2A97EC" w14:textId="3BAE3BEA" w:rsidR="004F0249" w:rsidRPr="0013535E" w:rsidRDefault="00055414" w:rsidP="00843532">
      <w:r w:rsidRPr="004E1159">
        <w:t>L</w:t>
      </w:r>
      <w:r w:rsidR="00BF6A6D" w:rsidRPr="004E1159">
        <w:t xml:space="preserve">ower deficits </w:t>
      </w:r>
      <w:r w:rsidRPr="004E1159">
        <w:t xml:space="preserve">delivered in the Budget </w:t>
      </w:r>
      <w:r w:rsidR="00BF6A6D" w:rsidRPr="004E1159">
        <w:t xml:space="preserve">reduce </w:t>
      </w:r>
      <w:r w:rsidRPr="004E1159">
        <w:t xml:space="preserve">the need to </w:t>
      </w:r>
      <w:r w:rsidR="00CA0898" w:rsidRPr="004E1159">
        <w:t>borrow</w:t>
      </w:r>
      <w:r w:rsidR="00BF6A6D" w:rsidRPr="004E1159">
        <w:t xml:space="preserve"> </w:t>
      </w:r>
      <w:r w:rsidR="00D66E5F" w:rsidRPr="004E1159">
        <w:t>and, as a result</w:t>
      </w:r>
      <w:r w:rsidR="00BF6A6D" w:rsidRPr="004E1159">
        <w:t>, gross debt peak</w:t>
      </w:r>
      <w:r w:rsidR="00D66E5F" w:rsidRPr="004E1159">
        <w:t>s</w:t>
      </w:r>
      <w:r w:rsidR="00BF6A6D" w:rsidRPr="004E1159">
        <w:t xml:space="preserve"> sooner and </w:t>
      </w:r>
      <w:r w:rsidR="00B213B5" w:rsidRPr="004E1159">
        <w:t xml:space="preserve">debt is </w:t>
      </w:r>
      <w:r w:rsidR="00BF6A6D" w:rsidRPr="004E1159">
        <w:t xml:space="preserve">lower than projected in October. Gross debt is now forecast to </w:t>
      </w:r>
      <w:r w:rsidR="00B776A4" w:rsidRPr="004E1159">
        <w:t>peak at</w:t>
      </w:r>
      <w:r w:rsidR="00132319" w:rsidRPr="004E1159">
        <w:t xml:space="preserve"> </w:t>
      </w:r>
      <w:r w:rsidR="00BF6A6D" w:rsidRPr="004E1159">
        <w:t>36.5</w:t>
      </w:r>
      <w:r w:rsidR="00F634C3" w:rsidRPr="004E1159">
        <w:t> per </w:t>
      </w:r>
      <w:r w:rsidR="00BF6A6D" w:rsidRPr="004E1159">
        <w:t xml:space="preserve">cent of GDP </w:t>
      </w:r>
      <w:r w:rsidR="00CA0898" w:rsidRPr="004E1159">
        <w:t>in 2025</w:t>
      </w:r>
      <w:r w:rsidR="00235899" w:rsidRPr="004E1159">
        <w:t>–</w:t>
      </w:r>
      <w:r w:rsidR="00CA0898" w:rsidRPr="004E1159">
        <w:t>26</w:t>
      </w:r>
      <w:r w:rsidR="004050F0" w:rsidRPr="004E1159">
        <w:t xml:space="preserve">, five years earlier than the </w:t>
      </w:r>
      <w:r w:rsidR="007D77A5" w:rsidRPr="004E1159">
        <w:t xml:space="preserve">46.9 per cent of GDP </w:t>
      </w:r>
      <w:r w:rsidR="001507BD" w:rsidRPr="004E1159">
        <w:t xml:space="preserve">peak </w:t>
      </w:r>
      <w:r w:rsidR="0095475B" w:rsidRPr="004E1159">
        <w:t xml:space="preserve">forecast in the </w:t>
      </w:r>
      <w:r w:rsidR="005175E1" w:rsidRPr="004E1159">
        <w:t>October</w:t>
      </w:r>
      <w:r w:rsidR="007D77A5" w:rsidRPr="004E1159">
        <w:t xml:space="preserve"> Budget </w:t>
      </w:r>
      <w:r w:rsidR="00ED69CD" w:rsidRPr="004E1159">
        <w:t>for 2030</w:t>
      </w:r>
      <w:r w:rsidR="00235899" w:rsidRPr="004E1159">
        <w:t>–</w:t>
      </w:r>
      <w:r w:rsidR="00ED69CD" w:rsidRPr="004E1159">
        <w:t>31</w:t>
      </w:r>
      <w:r w:rsidR="007D77A5" w:rsidRPr="004E1159">
        <w:t>.</w:t>
      </w:r>
      <w:r w:rsidR="00674A4A" w:rsidRPr="004E1159">
        <w:t xml:space="preserve"> </w:t>
      </w:r>
    </w:p>
    <w:p w14:paraId="149137D1" w14:textId="77777777" w:rsidR="00C80326" w:rsidRDefault="00A90A2D" w:rsidP="00780C75">
      <w:pPr>
        <w:spacing w:before="0" w:after="160" w:line="259" w:lineRule="auto"/>
      </w:pPr>
      <w:r w:rsidRPr="0013535E">
        <w:br w:type="page"/>
      </w:r>
    </w:p>
    <w:p w14:paraId="5104A84B" w14:textId="1D540771" w:rsidR="004C5A2F" w:rsidRDefault="00E21765" w:rsidP="00780C75">
      <w:pPr>
        <w:spacing w:before="0" w:after="160" w:line="259" w:lineRule="auto"/>
      </w:pPr>
      <w:r w:rsidRPr="004E1159">
        <w:lastRenderedPageBreak/>
        <w:t>Table </w:t>
      </w:r>
      <w:r w:rsidR="004802FB" w:rsidRPr="004E1159" w:rsidDel="00205F1C">
        <w:t xml:space="preserve">3.1 presents estimates and projections of the key </w:t>
      </w:r>
      <w:r w:rsidR="004802FB" w:rsidRPr="004E1159">
        <w:t>b</w:t>
      </w:r>
      <w:r w:rsidR="004802FB" w:rsidRPr="004E1159" w:rsidDel="00205F1C">
        <w:t>udget aggregates</w:t>
      </w:r>
      <w:r w:rsidR="004802FB" w:rsidRPr="004E1159">
        <w:t>.</w:t>
      </w:r>
      <w:r w:rsidR="00D063FC" w:rsidRPr="004E1159">
        <w:t xml:space="preserve"> </w:t>
      </w:r>
    </w:p>
    <w:p w14:paraId="50713F31" w14:textId="1EE12067" w:rsidR="00AF1F1D" w:rsidRDefault="00E21765" w:rsidP="00AF1F1D">
      <w:pPr>
        <w:pStyle w:val="TableHeading"/>
        <w:rPr>
          <w:rFonts w:asciiTheme="minorHAnsi" w:eastAsiaTheme="minorHAnsi" w:hAnsiTheme="minorHAnsi" w:cstheme="minorBidi"/>
          <w:sz w:val="22"/>
          <w:szCs w:val="22"/>
          <w:lang w:eastAsia="en-US"/>
        </w:rPr>
      </w:pPr>
      <w:r w:rsidRPr="004E1159">
        <w:t>Table </w:t>
      </w:r>
      <w:r w:rsidR="004802FB" w:rsidRPr="004E1159">
        <w:t>3.1: Australian Government general government sector budget aggregate</w:t>
      </w:r>
    </w:p>
    <w:tbl>
      <w:tblPr>
        <w:tblW w:w="5000" w:type="pct"/>
        <w:tblCellMar>
          <w:left w:w="0" w:type="dxa"/>
          <w:right w:w="28" w:type="dxa"/>
        </w:tblCellMar>
        <w:tblLook w:val="04A0" w:firstRow="1" w:lastRow="0" w:firstColumn="1" w:lastColumn="0" w:noHBand="0" w:noVBand="1"/>
      </w:tblPr>
      <w:tblGrid>
        <w:gridCol w:w="2043"/>
        <w:gridCol w:w="651"/>
        <w:gridCol w:w="76"/>
        <w:gridCol w:w="671"/>
        <w:gridCol w:w="670"/>
        <w:gridCol w:w="670"/>
        <w:gridCol w:w="670"/>
        <w:gridCol w:w="673"/>
        <w:gridCol w:w="76"/>
        <w:gridCol w:w="597"/>
        <w:gridCol w:w="93"/>
        <w:gridCol w:w="820"/>
      </w:tblGrid>
      <w:tr w:rsidR="00FA1AC7" w:rsidRPr="00FA1AC7" w14:paraId="35CB6E5D" w14:textId="77777777" w:rsidTr="00AF1F1D">
        <w:trPr>
          <w:divId w:val="777674716"/>
          <w:trHeight w:hRule="exact" w:val="226"/>
        </w:trPr>
        <w:tc>
          <w:tcPr>
            <w:tcW w:w="1333" w:type="pct"/>
            <w:tcBorders>
              <w:top w:val="single" w:sz="4" w:space="0" w:color="000000"/>
              <w:left w:val="nil"/>
              <w:bottom w:val="nil"/>
              <w:right w:val="nil"/>
            </w:tcBorders>
            <w:shd w:val="clear" w:color="000000" w:fill="FFFFFF"/>
            <w:noWrap/>
            <w:vAlign w:val="center"/>
            <w:hideMark/>
          </w:tcPr>
          <w:p w14:paraId="30BA7808" w14:textId="6D181883"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 </w:t>
            </w:r>
          </w:p>
        </w:tc>
        <w:tc>
          <w:tcPr>
            <w:tcW w:w="395" w:type="pct"/>
            <w:tcBorders>
              <w:top w:val="single" w:sz="4" w:space="0" w:color="000000"/>
              <w:left w:val="nil"/>
              <w:bottom w:val="single" w:sz="4" w:space="0" w:color="auto"/>
              <w:right w:val="nil"/>
            </w:tcBorders>
            <w:shd w:val="clear" w:color="000000" w:fill="FFFFFF"/>
            <w:noWrap/>
            <w:vAlign w:val="center"/>
            <w:hideMark/>
          </w:tcPr>
          <w:p w14:paraId="7C9B9635" w14:textId="77777777" w:rsidR="00AF1F1D" w:rsidRPr="00FA1AC7" w:rsidRDefault="00AF1F1D" w:rsidP="00AF1F1D">
            <w:pPr>
              <w:spacing w:before="0" w:after="0" w:line="240" w:lineRule="auto"/>
              <w:jc w:val="center"/>
              <w:rPr>
                <w:rFonts w:ascii="Arial" w:hAnsi="Arial" w:cs="Arial"/>
                <w:sz w:val="16"/>
                <w:szCs w:val="16"/>
              </w:rPr>
            </w:pPr>
            <w:r w:rsidRPr="00FA1AC7">
              <w:rPr>
                <w:rFonts w:ascii="Arial" w:hAnsi="Arial" w:cs="Arial"/>
                <w:sz w:val="16"/>
                <w:szCs w:val="16"/>
              </w:rPr>
              <w:t>Actual</w:t>
            </w:r>
          </w:p>
        </w:tc>
        <w:tc>
          <w:tcPr>
            <w:tcW w:w="57" w:type="pct"/>
            <w:tcBorders>
              <w:top w:val="single" w:sz="4" w:space="0" w:color="000000"/>
              <w:left w:val="nil"/>
              <w:bottom w:val="nil"/>
              <w:right w:val="nil"/>
            </w:tcBorders>
            <w:shd w:val="clear" w:color="000000" w:fill="FFFFFF"/>
            <w:noWrap/>
            <w:vAlign w:val="center"/>
            <w:hideMark/>
          </w:tcPr>
          <w:p w14:paraId="77DE5E25" w14:textId="77777777" w:rsidR="00AF1F1D" w:rsidRPr="00FA1AC7" w:rsidRDefault="00AF1F1D" w:rsidP="00AF1F1D">
            <w:pPr>
              <w:spacing w:before="0" w:after="0" w:line="240" w:lineRule="auto"/>
              <w:jc w:val="center"/>
              <w:rPr>
                <w:rFonts w:ascii="Arial" w:hAnsi="Arial" w:cs="Arial"/>
                <w:sz w:val="16"/>
                <w:szCs w:val="16"/>
              </w:rPr>
            </w:pPr>
            <w:r w:rsidRPr="00FA1AC7">
              <w:rPr>
                <w:rFonts w:ascii="Arial" w:hAnsi="Arial" w:cs="Arial"/>
                <w:sz w:val="16"/>
                <w:szCs w:val="16"/>
              </w:rPr>
              <w:t> </w:t>
            </w:r>
          </w:p>
        </w:tc>
        <w:tc>
          <w:tcPr>
            <w:tcW w:w="2213" w:type="pct"/>
            <w:gridSpan w:val="5"/>
            <w:tcBorders>
              <w:top w:val="single" w:sz="4" w:space="0" w:color="000000"/>
              <w:left w:val="nil"/>
              <w:bottom w:val="single" w:sz="4" w:space="0" w:color="293F5B"/>
              <w:right w:val="nil"/>
            </w:tcBorders>
            <w:shd w:val="clear" w:color="000000" w:fill="FFFFFF"/>
            <w:noWrap/>
            <w:vAlign w:val="center"/>
            <w:hideMark/>
          </w:tcPr>
          <w:p w14:paraId="28CEAB0D" w14:textId="77777777" w:rsidR="00AF1F1D" w:rsidRPr="00FA1AC7" w:rsidRDefault="00AF1F1D" w:rsidP="00AF1F1D">
            <w:pPr>
              <w:spacing w:before="0" w:after="0" w:line="240" w:lineRule="auto"/>
              <w:jc w:val="center"/>
              <w:rPr>
                <w:rFonts w:ascii="Arial" w:hAnsi="Arial" w:cs="Arial"/>
                <w:sz w:val="16"/>
                <w:szCs w:val="16"/>
              </w:rPr>
            </w:pPr>
            <w:r w:rsidRPr="00FA1AC7">
              <w:rPr>
                <w:rFonts w:ascii="Arial" w:hAnsi="Arial" w:cs="Arial"/>
                <w:sz w:val="16"/>
                <w:szCs w:val="16"/>
              </w:rPr>
              <w:t>Estimates</w:t>
            </w:r>
          </w:p>
        </w:tc>
        <w:tc>
          <w:tcPr>
            <w:tcW w:w="57" w:type="pct"/>
            <w:tcBorders>
              <w:top w:val="single" w:sz="4" w:space="0" w:color="000000"/>
              <w:left w:val="nil"/>
              <w:bottom w:val="nil"/>
              <w:right w:val="nil"/>
            </w:tcBorders>
            <w:shd w:val="clear" w:color="000000" w:fill="FFFFFF"/>
            <w:noWrap/>
            <w:vAlign w:val="center"/>
            <w:hideMark/>
          </w:tcPr>
          <w:p w14:paraId="1B84E412"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 </w:t>
            </w:r>
          </w:p>
        </w:tc>
        <w:tc>
          <w:tcPr>
            <w:tcW w:w="395" w:type="pct"/>
            <w:tcBorders>
              <w:top w:val="single" w:sz="4" w:space="0" w:color="000000"/>
              <w:left w:val="nil"/>
              <w:bottom w:val="nil"/>
              <w:right w:val="nil"/>
            </w:tcBorders>
            <w:shd w:val="clear" w:color="000000" w:fill="FFFFFF"/>
            <w:noWrap/>
            <w:vAlign w:val="center"/>
            <w:hideMark/>
          </w:tcPr>
          <w:p w14:paraId="542E51EB"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 </w:t>
            </w:r>
          </w:p>
        </w:tc>
        <w:tc>
          <w:tcPr>
            <w:tcW w:w="68" w:type="pct"/>
            <w:tcBorders>
              <w:top w:val="single" w:sz="4" w:space="0" w:color="000000"/>
              <w:left w:val="nil"/>
              <w:bottom w:val="nil"/>
              <w:right w:val="nil"/>
            </w:tcBorders>
            <w:shd w:val="clear" w:color="000000" w:fill="FFFFFF"/>
            <w:noWrap/>
            <w:vAlign w:val="center"/>
            <w:hideMark/>
          </w:tcPr>
          <w:p w14:paraId="100973E0"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 </w:t>
            </w:r>
          </w:p>
        </w:tc>
        <w:tc>
          <w:tcPr>
            <w:tcW w:w="482" w:type="pct"/>
            <w:tcBorders>
              <w:top w:val="single" w:sz="4" w:space="0" w:color="000000"/>
              <w:left w:val="nil"/>
              <w:bottom w:val="nil"/>
              <w:right w:val="nil"/>
            </w:tcBorders>
            <w:shd w:val="clear" w:color="000000" w:fill="FFFFFF"/>
            <w:noWrap/>
            <w:vAlign w:val="center"/>
            <w:hideMark/>
          </w:tcPr>
          <w:p w14:paraId="55AF0123"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Projections</w:t>
            </w:r>
          </w:p>
        </w:tc>
      </w:tr>
      <w:tr w:rsidR="00FA1AC7" w:rsidRPr="00FA1AC7" w14:paraId="0C6B8094" w14:textId="77777777" w:rsidTr="00AF1F1D">
        <w:trPr>
          <w:divId w:val="777674716"/>
          <w:trHeight w:hRule="exact" w:val="226"/>
        </w:trPr>
        <w:tc>
          <w:tcPr>
            <w:tcW w:w="1333" w:type="pct"/>
            <w:tcBorders>
              <w:top w:val="nil"/>
              <w:left w:val="nil"/>
              <w:bottom w:val="nil"/>
              <w:right w:val="nil"/>
            </w:tcBorders>
            <w:shd w:val="clear" w:color="000000" w:fill="FFFFFF"/>
            <w:noWrap/>
            <w:vAlign w:val="center"/>
            <w:hideMark/>
          </w:tcPr>
          <w:p w14:paraId="5855A6AC"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 </w:t>
            </w:r>
          </w:p>
        </w:tc>
        <w:tc>
          <w:tcPr>
            <w:tcW w:w="395" w:type="pct"/>
            <w:tcBorders>
              <w:top w:val="single" w:sz="4" w:space="0" w:color="293F5B"/>
              <w:left w:val="nil"/>
              <w:bottom w:val="nil"/>
              <w:right w:val="nil"/>
            </w:tcBorders>
            <w:shd w:val="clear" w:color="000000" w:fill="FFFFFF"/>
            <w:noWrap/>
            <w:vAlign w:val="center"/>
            <w:hideMark/>
          </w:tcPr>
          <w:p w14:paraId="68E7F9DC"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2021–22</w:t>
            </w:r>
          </w:p>
        </w:tc>
        <w:tc>
          <w:tcPr>
            <w:tcW w:w="57" w:type="pct"/>
            <w:tcBorders>
              <w:top w:val="nil"/>
              <w:left w:val="nil"/>
              <w:bottom w:val="nil"/>
              <w:right w:val="nil"/>
            </w:tcBorders>
            <w:shd w:val="clear" w:color="000000" w:fill="FFFFFF"/>
            <w:noWrap/>
            <w:vAlign w:val="center"/>
            <w:hideMark/>
          </w:tcPr>
          <w:p w14:paraId="266963E9"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3" w:type="pct"/>
            <w:tcBorders>
              <w:top w:val="nil"/>
              <w:left w:val="nil"/>
              <w:bottom w:val="nil"/>
              <w:right w:val="nil"/>
            </w:tcBorders>
            <w:shd w:val="clear" w:color="000000" w:fill="FFFFFF"/>
            <w:noWrap/>
            <w:vAlign w:val="center"/>
            <w:hideMark/>
          </w:tcPr>
          <w:p w14:paraId="342AA634"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2022–23</w:t>
            </w:r>
          </w:p>
        </w:tc>
        <w:tc>
          <w:tcPr>
            <w:tcW w:w="442" w:type="pct"/>
            <w:tcBorders>
              <w:top w:val="nil"/>
              <w:left w:val="nil"/>
              <w:bottom w:val="nil"/>
              <w:right w:val="nil"/>
            </w:tcBorders>
            <w:shd w:val="clear" w:color="000000" w:fill="E6F2FF"/>
            <w:noWrap/>
            <w:vAlign w:val="center"/>
            <w:hideMark/>
          </w:tcPr>
          <w:p w14:paraId="6336FA72"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2023–24</w:t>
            </w:r>
          </w:p>
        </w:tc>
        <w:tc>
          <w:tcPr>
            <w:tcW w:w="442" w:type="pct"/>
            <w:tcBorders>
              <w:top w:val="nil"/>
              <w:left w:val="nil"/>
              <w:bottom w:val="nil"/>
              <w:right w:val="nil"/>
            </w:tcBorders>
            <w:shd w:val="clear" w:color="000000" w:fill="FFFFFF"/>
            <w:noWrap/>
            <w:vAlign w:val="center"/>
            <w:hideMark/>
          </w:tcPr>
          <w:p w14:paraId="4F32D449"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2024–25</w:t>
            </w:r>
          </w:p>
        </w:tc>
        <w:tc>
          <w:tcPr>
            <w:tcW w:w="442" w:type="pct"/>
            <w:tcBorders>
              <w:top w:val="nil"/>
              <w:left w:val="nil"/>
              <w:bottom w:val="nil"/>
              <w:right w:val="nil"/>
            </w:tcBorders>
            <w:shd w:val="clear" w:color="000000" w:fill="FFFFFF"/>
            <w:noWrap/>
            <w:vAlign w:val="center"/>
            <w:hideMark/>
          </w:tcPr>
          <w:p w14:paraId="6C06CB6F"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2025–26</w:t>
            </w:r>
          </w:p>
        </w:tc>
        <w:tc>
          <w:tcPr>
            <w:tcW w:w="442" w:type="pct"/>
            <w:tcBorders>
              <w:top w:val="nil"/>
              <w:left w:val="nil"/>
              <w:bottom w:val="nil"/>
              <w:right w:val="nil"/>
            </w:tcBorders>
            <w:shd w:val="clear" w:color="000000" w:fill="FFFFFF"/>
            <w:noWrap/>
            <w:vAlign w:val="center"/>
            <w:hideMark/>
          </w:tcPr>
          <w:p w14:paraId="5BB75623"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2026–27</w:t>
            </w:r>
          </w:p>
        </w:tc>
        <w:tc>
          <w:tcPr>
            <w:tcW w:w="57" w:type="pct"/>
            <w:tcBorders>
              <w:top w:val="nil"/>
              <w:left w:val="nil"/>
              <w:bottom w:val="nil"/>
              <w:right w:val="nil"/>
            </w:tcBorders>
            <w:shd w:val="clear" w:color="000000" w:fill="FFFFFF"/>
            <w:noWrap/>
            <w:vAlign w:val="center"/>
            <w:hideMark/>
          </w:tcPr>
          <w:p w14:paraId="23705D73"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395" w:type="pct"/>
            <w:tcBorders>
              <w:top w:val="single" w:sz="4" w:space="0" w:color="293F5B"/>
              <w:left w:val="nil"/>
              <w:bottom w:val="nil"/>
              <w:right w:val="nil"/>
            </w:tcBorders>
            <w:shd w:val="clear" w:color="000000" w:fill="FFFFFF"/>
            <w:noWrap/>
            <w:vAlign w:val="center"/>
            <w:hideMark/>
          </w:tcPr>
          <w:p w14:paraId="28BDCB5D"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Total(a)</w:t>
            </w:r>
          </w:p>
        </w:tc>
        <w:tc>
          <w:tcPr>
            <w:tcW w:w="68" w:type="pct"/>
            <w:tcBorders>
              <w:top w:val="nil"/>
              <w:left w:val="nil"/>
              <w:bottom w:val="nil"/>
              <w:right w:val="nil"/>
            </w:tcBorders>
            <w:shd w:val="clear" w:color="000000" w:fill="FFFFFF"/>
            <w:noWrap/>
            <w:vAlign w:val="center"/>
            <w:hideMark/>
          </w:tcPr>
          <w:p w14:paraId="142F664F"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82" w:type="pct"/>
            <w:tcBorders>
              <w:top w:val="single" w:sz="4" w:space="0" w:color="293F5B"/>
              <w:left w:val="nil"/>
              <w:bottom w:val="nil"/>
              <w:right w:val="nil"/>
            </w:tcBorders>
            <w:shd w:val="clear" w:color="000000" w:fill="FFFFFF"/>
            <w:noWrap/>
            <w:vAlign w:val="center"/>
            <w:hideMark/>
          </w:tcPr>
          <w:p w14:paraId="7974AF06"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2033–34</w:t>
            </w:r>
          </w:p>
        </w:tc>
      </w:tr>
      <w:tr w:rsidR="00FA1AC7" w:rsidRPr="00FA1AC7" w14:paraId="7AAB74C7" w14:textId="77777777" w:rsidTr="00AF1F1D">
        <w:trPr>
          <w:divId w:val="777674716"/>
          <w:trHeight w:hRule="exact" w:val="226"/>
        </w:trPr>
        <w:tc>
          <w:tcPr>
            <w:tcW w:w="1333" w:type="pct"/>
            <w:tcBorders>
              <w:top w:val="nil"/>
              <w:left w:val="nil"/>
              <w:bottom w:val="nil"/>
              <w:right w:val="nil"/>
            </w:tcBorders>
            <w:shd w:val="clear" w:color="000000" w:fill="FFFFFF"/>
            <w:noWrap/>
            <w:vAlign w:val="center"/>
            <w:hideMark/>
          </w:tcPr>
          <w:p w14:paraId="133069F0"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 </w:t>
            </w:r>
          </w:p>
        </w:tc>
        <w:tc>
          <w:tcPr>
            <w:tcW w:w="395" w:type="pct"/>
            <w:tcBorders>
              <w:top w:val="nil"/>
              <w:left w:val="nil"/>
              <w:bottom w:val="single" w:sz="4" w:space="0" w:color="293F5B"/>
              <w:right w:val="nil"/>
            </w:tcBorders>
            <w:shd w:val="clear" w:color="000000" w:fill="FFFFFF"/>
            <w:noWrap/>
            <w:vAlign w:val="center"/>
            <w:hideMark/>
          </w:tcPr>
          <w:p w14:paraId="435CCA32"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$b</w:t>
            </w:r>
          </w:p>
        </w:tc>
        <w:tc>
          <w:tcPr>
            <w:tcW w:w="57" w:type="pct"/>
            <w:tcBorders>
              <w:top w:val="nil"/>
              <w:left w:val="nil"/>
              <w:bottom w:val="nil"/>
              <w:right w:val="nil"/>
            </w:tcBorders>
            <w:shd w:val="clear" w:color="000000" w:fill="FFFFFF"/>
            <w:noWrap/>
            <w:vAlign w:val="center"/>
            <w:hideMark/>
          </w:tcPr>
          <w:p w14:paraId="59C5A7DF"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3" w:type="pct"/>
            <w:tcBorders>
              <w:top w:val="nil"/>
              <w:left w:val="nil"/>
              <w:bottom w:val="single" w:sz="4" w:space="0" w:color="293F5B"/>
              <w:right w:val="nil"/>
            </w:tcBorders>
            <w:shd w:val="clear" w:color="000000" w:fill="FFFFFF"/>
            <w:noWrap/>
            <w:vAlign w:val="center"/>
            <w:hideMark/>
          </w:tcPr>
          <w:p w14:paraId="0EC5E956"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$b</w:t>
            </w:r>
          </w:p>
        </w:tc>
        <w:tc>
          <w:tcPr>
            <w:tcW w:w="442" w:type="pct"/>
            <w:tcBorders>
              <w:top w:val="nil"/>
              <w:left w:val="nil"/>
              <w:bottom w:val="single" w:sz="4" w:space="0" w:color="293F5B"/>
              <w:right w:val="nil"/>
            </w:tcBorders>
            <w:shd w:val="clear" w:color="000000" w:fill="E6F2FF"/>
            <w:noWrap/>
            <w:vAlign w:val="center"/>
            <w:hideMark/>
          </w:tcPr>
          <w:p w14:paraId="59953B1E"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$b</w:t>
            </w:r>
          </w:p>
        </w:tc>
        <w:tc>
          <w:tcPr>
            <w:tcW w:w="442" w:type="pct"/>
            <w:tcBorders>
              <w:top w:val="nil"/>
              <w:left w:val="nil"/>
              <w:bottom w:val="single" w:sz="4" w:space="0" w:color="293F5B"/>
              <w:right w:val="nil"/>
            </w:tcBorders>
            <w:shd w:val="clear" w:color="000000" w:fill="FFFFFF"/>
            <w:noWrap/>
            <w:vAlign w:val="center"/>
            <w:hideMark/>
          </w:tcPr>
          <w:p w14:paraId="4D09D48D"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$b</w:t>
            </w:r>
          </w:p>
        </w:tc>
        <w:tc>
          <w:tcPr>
            <w:tcW w:w="442" w:type="pct"/>
            <w:tcBorders>
              <w:top w:val="nil"/>
              <w:left w:val="nil"/>
              <w:bottom w:val="single" w:sz="4" w:space="0" w:color="293F5B"/>
              <w:right w:val="nil"/>
            </w:tcBorders>
            <w:shd w:val="clear" w:color="000000" w:fill="FFFFFF"/>
            <w:noWrap/>
            <w:vAlign w:val="center"/>
            <w:hideMark/>
          </w:tcPr>
          <w:p w14:paraId="0D2BF938"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$b</w:t>
            </w:r>
          </w:p>
        </w:tc>
        <w:tc>
          <w:tcPr>
            <w:tcW w:w="442" w:type="pct"/>
            <w:tcBorders>
              <w:top w:val="nil"/>
              <w:left w:val="nil"/>
              <w:bottom w:val="single" w:sz="4" w:space="0" w:color="293F5B"/>
              <w:right w:val="nil"/>
            </w:tcBorders>
            <w:shd w:val="clear" w:color="000000" w:fill="FFFFFF"/>
            <w:noWrap/>
            <w:vAlign w:val="center"/>
            <w:hideMark/>
          </w:tcPr>
          <w:p w14:paraId="6B04A492"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$b</w:t>
            </w:r>
          </w:p>
        </w:tc>
        <w:tc>
          <w:tcPr>
            <w:tcW w:w="57" w:type="pct"/>
            <w:tcBorders>
              <w:top w:val="nil"/>
              <w:left w:val="nil"/>
              <w:bottom w:val="nil"/>
              <w:right w:val="nil"/>
            </w:tcBorders>
            <w:shd w:val="clear" w:color="000000" w:fill="FFFFFF"/>
            <w:noWrap/>
            <w:vAlign w:val="center"/>
            <w:hideMark/>
          </w:tcPr>
          <w:p w14:paraId="2C2A5CF7"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395" w:type="pct"/>
            <w:tcBorders>
              <w:top w:val="nil"/>
              <w:left w:val="nil"/>
              <w:bottom w:val="single" w:sz="4" w:space="0" w:color="293F5B"/>
              <w:right w:val="nil"/>
            </w:tcBorders>
            <w:shd w:val="clear" w:color="000000" w:fill="FFFFFF"/>
            <w:noWrap/>
            <w:vAlign w:val="center"/>
            <w:hideMark/>
          </w:tcPr>
          <w:p w14:paraId="703D472B"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$b</w:t>
            </w:r>
          </w:p>
        </w:tc>
        <w:tc>
          <w:tcPr>
            <w:tcW w:w="68" w:type="pct"/>
            <w:tcBorders>
              <w:top w:val="nil"/>
              <w:left w:val="nil"/>
              <w:bottom w:val="nil"/>
              <w:right w:val="nil"/>
            </w:tcBorders>
            <w:shd w:val="clear" w:color="000000" w:fill="FFFFFF"/>
            <w:noWrap/>
            <w:vAlign w:val="center"/>
            <w:hideMark/>
          </w:tcPr>
          <w:p w14:paraId="79E03BD9"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82" w:type="pct"/>
            <w:tcBorders>
              <w:top w:val="nil"/>
              <w:left w:val="nil"/>
              <w:bottom w:val="single" w:sz="4" w:space="0" w:color="293F5B"/>
              <w:right w:val="nil"/>
            </w:tcBorders>
            <w:shd w:val="clear" w:color="000000" w:fill="FFFFFF"/>
            <w:noWrap/>
            <w:vAlign w:val="center"/>
            <w:hideMark/>
          </w:tcPr>
          <w:p w14:paraId="2A64DE28"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of GDP</w:t>
            </w:r>
          </w:p>
        </w:tc>
      </w:tr>
      <w:tr w:rsidR="00FA1AC7" w:rsidRPr="00FA1AC7" w14:paraId="7D25C1BB" w14:textId="77777777" w:rsidTr="00AF1F1D">
        <w:trPr>
          <w:divId w:val="777674716"/>
          <w:trHeight w:hRule="exact" w:val="226"/>
        </w:trPr>
        <w:tc>
          <w:tcPr>
            <w:tcW w:w="1333" w:type="pct"/>
            <w:tcBorders>
              <w:top w:val="nil"/>
              <w:left w:val="nil"/>
              <w:bottom w:val="nil"/>
              <w:right w:val="nil"/>
            </w:tcBorders>
            <w:shd w:val="clear" w:color="000000" w:fill="FFFFFF"/>
            <w:noWrap/>
            <w:vAlign w:val="center"/>
            <w:hideMark/>
          </w:tcPr>
          <w:p w14:paraId="1EABE4BD" w14:textId="77777777" w:rsidR="00AF1F1D" w:rsidRPr="00FA1AC7" w:rsidRDefault="00AF1F1D" w:rsidP="00AF1F1D">
            <w:pPr>
              <w:spacing w:before="0" w:after="0" w:line="240" w:lineRule="auto"/>
              <w:rPr>
                <w:rFonts w:ascii="Arial" w:hAnsi="Arial" w:cs="Arial"/>
                <w:b/>
                <w:bCs/>
                <w:sz w:val="16"/>
                <w:szCs w:val="16"/>
              </w:rPr>
            </w:pPr>
            <w:r w:rsidRPr="00FA1AC7">
              <w:rPr>
                <w:rFonts w:ascii="Arial" w:hAnsi="Arial" w:cs="Arial"/>
                <w:b/>
                <w:bCs/>
                <w:sz w:val="16"/>
                <w:szCs w:val="16"/>
              </w:rPr>
              <w:t>Underlying cash balance</w:t>
            </w:r>
          </w:p>
        </w:tc>
        <w:tc>
          <w:tcPr>
            <w:tcW w:w="395" w:type="pct"/>
            <w:tcBorders>
              <w:top w:val="nil"/>
              <w:left w:val="nil"/>
              <w:bottom w:val="nil"/>
              <w:right w:val="nil"/>
            </w:tcBorders>
            <w:shd w:val="clear" w:color="000000" w:fill="FFFFFF"/>
            <w:noWrap/>
            <w:vAlign w:val="center"/>
            <w:hideMark/>
          </w:tcPr>
          <w:p w14:paraId="4372F69C"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-32.0</w:t>
            </w:r>
          </w:p>
        </w:tc>
        <w:tc>
          <w:tcPr>
            <w:tcW w:w="57" w:type="pct"/>
            <w:tcBorders>
              <w:top w:val="nil"/>
              <w:left w:val="nil"/>
              <w:bottom w:val="nil"/>
              <w:right w:val="nil"/>
            </w:tcBorders>
            <w:shd w:val="clear" w:color="000000" w:fill="FFFFFF"/>
            <w:noWrap/>
            <w:vAlign w:val="center"/>
            <w:hideMark/>
          </w:tcPr>
          <w:p w14:paraId="2C6B913F"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3" w:type="pct"/>
            <w:tcBorders>
              <w:top w:val="nil"/>
              <w:left w:val="nil"/>
              <w:bottom w:val="nil"/>
              <w:right w:val="nil"/>
            </w:tcBorders>
            <w:shd w:val="clear" w:color="000000" w:fill="FFFFFF"/>
            <w:noWrap/>
            <w:vAlign w:val="center"/>
            <w:hideMark/>
          </w:tcPr>
          <w:p w14:paraId="35AFD7CF"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4.2</w:t>
            </w:r>
          </w:p>
        </w:tc>
        <w:tc>
          <w:tcPr>
            <w:tcW w:w="442" w:type="pct"/>
            <w:tcBorders>
              <w:top w:val="nil"/>
              <w:left w:val="nil"/>
              <w:bottom w:val="nil"/>
              <w:right w:val="nil"/>
            </w:tcBorders>
            <w:shd w:val="clear" w:color="000000" w:fill="E6F2FF"/>
            <w:noWrap/>
            <w:vAlign w:val="center"/>
            <w:hideMark/>
          </w:tcPr>
          <w:p w14:paraId="35F6E356"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-13.9</w:t>
            </w:r>
          </w:p>
        </w:tc>
        <w:tc>
          <w:tcPr>
            <w:tcW w:w="442" w:type="pct"/>
            <w:tcBorders>
              <w:top w:val="nil"/>
              <w:left w:val="nil"/>
              <w:bottom w:val="nil"/>
              <w:right w:val="nil"/>
            </w:tcBorders>
            <w:shd w:val="clear" w:color="000000" w:fill="FFFFFF"/>
            <w:noWrap/>
            <w:vAlign w:val="center"/>
            <w:hideMark/>
          </w:tcPr>
          <w:p w14:paraId="5B7C2A7D"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-35.1</w:t>
            </w:r>
          </w:p>
        </w:tc>
        <w:tc>
          <w:tcPr>
            <w:tcW w:w="442" w:type="pct"/>
            <w:tcBorders>
              <w:top w:val="nil"/>
              <w:left w:val="nil"/>
              <w:bottom w:val="nil"/>
              <w:right w:val="nil"/>
            </w:tcBorders>
            <w:shd w:val="clear" w:color="000000" w:fill="FFFFFF"/>
            <w:noWrap/>
            <w:vAlign w:val="center"/>
            <w:hideMark/>
          </w:tcPr>
          <w:p w14:paraId="4576EBDB"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-36.6</w:t>
            </w:r>
          </w:p>
        </w:tc>
        <w:tc>
          <w:tcPr>
            <w:tcW w:w="442" w:type="pct"/>
            <w:tcBorders>
              <w:top w:val="nil"/>
              <w:left w:val="nil"/>
              <w:bottom w:val="nil"/>
              <w:right w:val="nil"/>
            </w:tcBorders>
            <w:shd w:val="clear" w:color="000000" w:fill="FFFFFF"/>
            <w:noWrap/>
            <w:vAlign w:val="center"/>
            <w:hideMark/>
          </w:tcPr>
          <w:p w14:paraId="7E43005B"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-28.5</w:t>
            </w:r>
          </w:p>
        </w:tc>
        <w:tc>
          <w:tcPr>
            <w:tcW w:w="57" w:type="pct"/>
            <w:tcBorders>
              <w:top w:val="nil"/>
              <w:left w:val="nil"/>
              <w:bottom w:val="nil"/>
              <w:right w:val="nil"/>
            </w:tcBorders>
            <w:shd w:val="clear" w:color="000000" w:fill="FFFFFF"/>
            <w:noWrap/>
            <w:vAlign w:val="center"/>
            <w:hideMark/>
          </w:tcPr>
          <w:p w14:paraId="6B718E0E"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w:t>
            </w:r>
          </w:p>
        </w:tc>
        <w:tc>
          <w:tcPr>
            <w:tcW w:w="395" w:type="pct"/>
            <w:tcBorders>
              <w:top w:val="nil"/>
              <w:left w:val="nil"/>
              <w:bottom w:val="nil"/>
              <w:right w:val="nil"/>
            </w:tcBorders>
            <w:shd w:val="clear" w:color="000000" w:fill="FFFFFF"/>
            <w:noWrap/>
            <w:vAlign w:val="center"/>
            <w:hideMark/>
          </w:tcPr>
          <w:p w14:paraId="7E63979C"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-109.9</w:t>
            </w:r>
          </w:p>
        </w:tc>
        <w:tc>
          <w:tcPr>
            <w:tcW w:w="68" w:type="pct"/>
            <w:tcBorders>
              <w:top w:val="nil"/>
              <w:left w:val="nil"/>
              <w:bottom w:val="nil"/>
              <w:right w:val="nil"/>
            </w:tcBorders>
            <w:shd w:val="clear" w:color="000000" w:fill="FFFFFF"/>
            <w:noWrap/>
            <w:vAlign w:val="center"/>
            <w:hideMark/>
          </w:tcPr>
          <w:p w14:paraId="4DBC247F"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w:t>
            </w:r>
          </w:p>
        </w:tc>
        <w:tc>
          <w:tcPr>
            <w:tcW w:w="482" w:type="pct"/>
            <w:tcBorders>
              <w:top w:val="nil"/>
              <w:left w:val="nil"/>
              <w:bottom w:val="nil"/>
              <w:right w:val="nil"/>
            </w:tcBorders>
            <w:shd w:val="clear" w:color="000000" w:fill="FFFFFF"/>
            <w:noWrap/>
            <w:vAlign w:val="center"/>
            <w:hideMark/>
          </w:tcPr>
          <w:p w14:paraId="45D0FA79"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w:t>
            </w:r>
          </w:p>
        </w:tc>
      </w:tr>
      <w:tr w:rsidR="00FA1AC7" w:rsidRPr="00FA1AC7" w14:paraId="152D23BA" w14:textId="77777777" w:rsidTr="00AF1F1D">
        <w:trPr>
          <w:divId w:val="777674716"/>
          <w:trHeight w:hRule="exact" w:val="226"/>
        </w:trPr>
        <w:tc>
          <w:tcPr>
            <w:tcW w:w="1333" w:type="pct"/>
            <w:tcBorders>
              <w:top w:val="nil"/>
              <w:left w:val="nil"/>
              <w:bottom w:val="nil"/>
              <w:right w:val="nil"/>
            </w:tcBorders>
            <w:shd w:val="clear" w:color="000000" w:fill="FFFFFF"/>
            <w:noWrap/>
            <w:vAlign w:val="center"/>
            <w:hideMark/>
          </w:tcPr>
          <w:p w14:paraId="2C86119B"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Per cent of GDP</w:t>
            </w:r>
          </w:p>
        </w:tc>
        <w:tc>
          <w:tcPr>
            <w:tcW w:w="395" w:type="pct"/>
            <w:tcBorders>
              <w:top w:val="nil"/>
              <w:left w:val="nil"/>
              <w:bottom w:val="nil"/>
              <w:right w:val="nil"/>
            </w:tcBorders>
            <w:shd w:val="clear" w:color="000000" w:fill="FFFFFF"/>
            <w:noWrap/>
            <w:vAlign w:val="center"/>
            <w:hideMark/>
          </w:tcPr>
          <w:p w14:paraId="2E5E25BA"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-1.4</w:t>
            </w:r>
          </w:p>
        </w:tc>
        <w:tc>
          <w:tcPr>
            <w:tcW w:w="57" w:type="pct"/>
            <w:tcBorders>
              <w:top w:val="nil"/>
              <w:left w:val="nil"/>
              <w:bottom w:val="nil"/>
              <w:right w:val="nil"/>
            </w:tcBorders>
            <w:shd w:val="clear" w:color="000000" w:fill="FFFFFF"/>
            <w:noWrap/>
            <w:vAlign w:val="center"/>
            <w:hideMark/>
          </w:tcPr>
          <w:p w14:paraId="6CDA0FCF"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3" w:type="pct"/>
            <w:tcBorders>
              <w:top w:val="nil"/>
              <w:left w:val="nil"/>
              <w:bottom w:val="nil"/>
              <w:right w:val="nil"/>
            </w:tcBorders>
            <w:shd w:val="clear" w:color="000000" w:fill="FFFFFF"/>
            <w:noWrap/>
            <w:vAlign w:val="center"/>
            <w:hideMark/>
          </w:tcPr>
          <w:p w14:paraId="049D5DBB"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0.2</w:t>
            </w:r>
          </w:p>
        </w:tc>
        <w:tc>
          <w:tcPr>
            <w:tcW w:w="442" w:type="pct"/>
            <w:tcBorders>
              <w:top w:val="nil"/>
              <w:left w:val="nil"/>
              <w:bottom w:val="nil"/>
              <w:right w:val="nil"/>
            </w:tcBorders>
            <w:shd w:val="clear" w:color="000000" w:fill="E6F2FF"/>
            <w:noWrap/>
            <w:vAlign w:val="center"/>
            <w:hideMark/>
          </w:tcPr>
          <w:p w14:paraId="24218735"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-0.5</w:t>
            </w:r>
          </w:p>
        </w:tc>
        <w:tc>
          <w:tcPr>
            <w:tcW w:w="442" w:type="pct"/>
            <w:tcBorders>
              <w:top w:val="nil"/>
              <w:left w:val="nil"/>
              <w:bottom w:val="nil"/>
              <w:right w:val="nil"/>
            </w:tcBorders>
            <w:shd w:val="clear" w:color="000000" w:fill="FFFFFF"/>
            <w:noWrap/>
            <w:vAlign w:val="center"/>
            <w:hideMark/>
          </w:tcPr>
          <w:p w14:paraId="354CBF8A"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-1.3</w:t>
            </w:r>
          </w:p>
        </w:tc>
        <w:tc>
          <w:tcPr>
            <w:tcW w:w="442" w:type="pct"/>
            <w:tcBorders>
              <w:top w:val="nil"/>
              <w:left w:val="nil"/>
              <w:bottom w:val="nil"/>
              <w:right w:val="nil"/>
            </w:tcBorders>
            <w:shd w:val="clear" w:color="000000" w:fill="FFFFFF"/>
            <w:noWrap/>
            <w:vAlign w:val="center"/>
            <w:hideMark/>
          </w:tcPr>
          <w:p w14:paraId="5C5CEF51"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-1.3</w:t>
            </w:r>
          </w:p>
        </w:tc>
        <w:tc>
          <w:tcPr>
            <w:tcW w:w="442" w:type="pct"/>
            <w:tcBorders>
              <w:top w:val="nil"/>
              <w:left w:val="nil"/>
              <w:bottom w:val="nil"/>
              <w:right w:val="nil"/>
            </w:tcBorders>
            <w:shd w:val="clear" w:color="000000" w:fill="FFFFFF"/>
            <w:noWrap/>
            <w:vAlign w:val="center"/>
            <w:hideMark/>
          </w:tcPr>
          <w:p w14:paraId="7455DCA0"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-1.0</w:t>
            </w:r>
          </w:p>
        </w:tc>
        <w:tc>
          <w:tcPr>
            <w:tcW w:w="57" w:type="pct"/>
            <w:tcBorders>
              <w:top w:val="nil"/>
              <w:left w:val="nil"/>
              <w:bottom w:val="nil"/>
              <w:right w:val="nil"/>
            </w:tcBorders>
            <w:shd w:val="clear" w:color="000000" w:fill="FFFFFF"/>
            <w:noWrap/>
            <w:vAlign w:val="center"/>
            <w:hideMark/>
          </w:tcPr>
          <w:p w14:paraId="1CFDDD0A"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5215864C"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68" w:type="pct"/>
            <w:tcBorders>
              <w:top w:val="nil"/>
              <w:left w:val="nil"/>
              <w:bottom w:val="nil"/>
              <w:right w:val="nil"/>
            </w:tcBorders>
            <w:shd w:val="clear" w:color="000000" w:fill="FFFFFF"/>
            <w:noWrap/>
            <w:vAlign w:val="center"/>
            <w:hideMark/>
          </w:tcPr>
          <w:p w14:paraId="1ECDFE42"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5F9FEBFD"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-0.2</w:t>
            </w:r>
          </w:p>
        </w:tc>
      </w:tr>
      <w:tr w:rsidR="00FA1AC7" w:rsidRPr="00FA1AC7" w14:paraId="24AEE16D" w14:textId="77777777" w:rsidTr="00AF1F1D">
        <w:trPr>
          <w:divId w:val="777674716"/>
          <w:trHeight w:hRule="exact" w:val="60"/>
        </w:trPr>
        <w:tc>
          <w:tcPr>
            <w:tcW w:w="1333" w:type="pct"/>
            <w:tcBorders>
              <w:top w:val="nil"/>
              <w:left w:val="nil"/>
              <w:bottom w:val="nil"/>
              <w:right w:val="nil"/>
            </w:tcBorders>
            <w:shd w:val="clear" w:color="000000" w:fill="FFFFFF"/>
            <w:noWrap/>
            <w:vAlign w:val="center"/>
            <w:hideMark/>
          </w:tcPr>
          <w:p w14:paraId="7FC04FBD"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0FBFF635"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57" w:type="pct"/>
            <w:tcBorders>
              <w:top w:val="nil"/>
              <w:left w:val="nil"/>
              <w:bottom w:val="nil"/>
              <w:right w:val="nil"/>
            </w:tcBorders>
            <w:shd w:val="clear" w:color="000000" w:fill="FFFFFF"/>
            <w:noWrap/>
            <w:vAlign w:val="center"/>
            <w:hideMark/>
          </w:tcPr>
          <w:p w14:paraId="5254FC23"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3" w:type="pct"/>
            <w:tcBorders>
              <w:top w:val="nil"/>
              <w:left w:val="nil"/>
              <w:bottom w:val="nil"/>
              <w:right w:val="nil"/>
            </w:tcBorders>
            <w:shd w:val="clear" w:color="000000" w:fill="FFFFFF"/>
            <w:noWrap/>
            <w:vAlign w:val="center"/>
            <w:hideMark/>
          </w:tcPr>
          <w:p w14:paraId="21599CFD"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2" w:type="pct"/>
            <w:tcBorders>
              <w:top w:val="nil"/>
              <w:left w:val="nil"/>
              <w:bottom w:val="nil"/>
              <w:right w:val="nil"/>
            </w:tcBorders>
            <w:shd w:val="clear" w:color="000000" w:fill="E6F2FF"/>
            <w:noWrap/>
            <w:vAlign w:val="center"/>
            <w:hideMark/>
          </w:tcPr>
          <w:p w14:paraId="05E85A53"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2" w:type="pct"/>
            <w:tcBorders>
              <w:top w:val="nil"/>
              <w:left w:val="nil"/>
              <w:bottom w:val="nil"/>
              <w:right w:val="nil"/>
            </w:tcBorders>
            <w:shd w:val="clear" w:color="000000" w:fill="FFFFFF"/>
            <w:noWrap/>
            <w:vAlign w:val="center"/>
            <w:hideMark/>
          </w:tcPr>
          <w:p w14:paraId="3DDDCF69"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2" w:type="pct"/>
            <w:tcBorders>
              <w:top w:val="nil"/>
              <w:left w:val="nil"/>
              <w:bottom w:val="nil"/>
              <w:right w:val="nil"/>
            </w:tcBorders>
            <w:shd w:val="clear" w:color="000000" w:fill="FFFFFF"/>
            <w:noWrap/>
            <w:vAlign w:val="center"/>
            <w:hideMark/>
          </w:tcPr>
          <w:p w14:paraId="016ABDE6"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2" w:type="pct"/>
            <w:tcBorders>
              <w:top w:val="nil"/>
              <w:left w:val="nil"/>
              <w:bottom w:val="nil"/>
              <w:right w:val="nil"/>
            </w:tcBorders>
            <w:shd w:val="clear" w:color="000000" w:fill="FFFFFF"/>
            <w:noWrap/>
            <w:vAlign w:val="center"/>
            <w:hideMark/>
          </w:tcPr>
          <w:p w14:paraId="7703D05B"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57" w:type="pct"/>
            <w:tcBorders>
              <w:top w:val="nil"/>
              <w:left w:val="nil"/>
              <w:bottom w:val="nil"/>
              <w:right w:val="nil"/>
            </w:tcBorders>
            <w:shd w:val="clear" w:color="000000" w:fill="FFFFFF"/>
            <w:noWrap/>
            <w:vAlign w:val="center"/>
            <w:hideMark/>
          </w:tcPr>
          <w:p w14:paraId="685D2EEA"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59DDB620"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68" w:type="pct"/>
            <w:tcBorders>
              <w:top w:val="nil"/>
              <w:left w:val="nil"/>
              <w:bottom w:val="nil"/>
              <w:right w:val="nil"/>
            </w:tcBorders>
            <w:shd w:val="clear" w:color="000000" w:fill="FFFFFF"/>
            <w:noWrap/>
            <w:vAlign w:val="center"/>
            <w:hideMark/>
          </w:tcPr>
          <w:p w14:paraId="29A0D1C7"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199C8534"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r>
      <w:tr w:rsidR="00FA1AC7" w:rsidRPr="00FA1AC7" w14:paraId="64F0E29E" w14:textId="77777777" w:rsidTr="00AF1F1D">
        <w:trPr>
          <w:divId w:val="777674716"/>
          <w:trHeight w:hRule="exact" w:val="226"/>
        </w:trPr>
        <w:tc>
          <w:tcPr>
            <w:tcW w:w="1333" w:type="pct"/>
            <w:tcBorders>
              <w:top w:val="nil"/>
              <w:left w:val="nil"/>
              <w:bottom w:val="nil"/>
              <w:right w:val="nil"/>
            </w:tcBorders>
            <w:shd w:val="clear" w:color="000000" w:fill="FFFFFF"/>
            <w:noWrap/>
            <w:vAlign w:val="center"/>
            <w:hideMark/>
          </w:tcPr>
          <w:p w14:paraId="640ADBA7" w14:textId="77777777" w:rsidR="00AF1F1D" w:rsidRPr="00FA1AC7" w:rsidRDefault="00AF1F1D" w:rsidP="00AF1F1D">
            <w:pPr>
              <w:spacing w:before="0" w:after="0" w:line="240" w:lineRule="auto"/>
              <w:rPr>
                <w:rFonts w:ascii="Arial" w:hAnsi="Arial" w:cs="Arial"/>
                <w:b/>
                <w:bCs/>
                <w:sz w:val="16"/>
                <w:szCs w:val="16"/>
              </w:rPr>
            </w:pPr>
            <w:r w:rsidRPr="00FA1AC7">
              <w:rPr>
                <w:rFonts w:ascii="Arial" w:hAnsi="Arial" w:cs="Arial"/>
                <w:b/>
                <w:bCs/>
                <w:sz w:val="16"/>
                <w:szCs w:val="16"/>
              </w:rPr>
              <w:t>Receipts</w:t>
            </w:r>
          </w:p>
        </w:tc>
        <w:tc>
          <w:tcPr>
            <w:tcW w:w="395" w:type="pct"/>
            <w:tcBorders>
              <w:top w:val="nil"/>
              <w:left w:val="nil"/>
              <w:bottom w:val="nil"/>
              <w:right w:val="nil"/>
            </w:tcBorders>
            <w:shd w:val="clear" w:color="000000" w:fill="FFFFFF"/>
            <w:noWrap/>
            <w:vAlign w:val="center"/>
            <w:hideMark/>
          </w:tcPr>
          <w:p w14:paraId="0F997355"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584.4</w:t>
            </w:r>
          </w:p>
        </w:tc>
        <w:tc>
          <w:tcPr>
            <w:tcW w:w="57" w:type="pct"/>
            <w:tcBorders>
              <w:top w:val="nil"/>
              <w:left w:val="nil"/>
              <w:bottom w:val="nil"/>
              <w:right w:val="nil"/>
            </w:tcBorders>
            <w:shd w:val="clear" w:color="000000" w:fill="FFFFFF"/>
            <w:noWrap/>
            <w:vAlign w:val="center"/>
            <w:hideMark/>
          </w:tcPr>
          <w:p w14:paraId="0CEA394E"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w:t>
            </w:r>
          </w:p>
        </w:tc>
        <w:tc>
          <w:tcPr>
            <w:tcW w:w="443" w:type="pct"/>
            <w:tcBorders>
              <w:top w:val="nil"/>
              <w:left w:val="nil"/>
              <w:bottom w:val="nil"/>
              <w:right w:val="nil"/>
            </w:tcBorders>
            <w:shd w:val="clear" w:color="000000" w:fill="FFFFFF"/>
            <w:noWrap/>
            <w:vAlign w:val="center"/>
            <w:hideMark/>
          </w:tcPr>
          <w:p w14:paraId="10A52C5F"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635.6</w:t>
            </w:r>
          </w:p>
        </w:tc>
        <w:tc>
          <w:tcPr>
            <w:tcW w:w="442" w:type="pct"/>
            <w:tcBorders>
              <w:top w:val="nil"/>
              <w:left w:val="nil"/>
              <w:bottom w:val="nil"/>
              <w:right w:val="nil"/>
            </w:tcBorders>
            <w:shd w:val="clear" w:color="000000" w:fill="E6F2FF"/>
            <w:noWrap/>
            <w:vAlign w:val="center"/>
            <w:hideMark/>
          </w:tcPr>
          <w:p w14:paraId="2BA3F37B"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668.1</w:t>
            </w:r>
          </w:p>
        </w:tc>
        <w:tc>
          <w:tcPr>
            <w:tcW w:w="442" w:type="pct"/>
            <w:tcBorders>
              <w:top w:val="nil"/>
              <w:left w:val="nil"/>
              <w:bottom w:val="nil"/>
              <w:right w:val="nil"/>
            </w:tcBorders>
            <w:shd w:val="clear" w:color="000000" w:fill="FFFFFF"/>
            <w:noWrap/>
            <w:vAlign w:val="center"/>
            <w:hideMark/>
          </w:tcPr>
          <w:p w14:paraId="4BC08DA6"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671.2</w:t>
            </w:r>
          </w:p>
        </w:tc>
        <w:tc>
          <w:tcPr>
            <w:tcW w:w="442" w:type="pct"/>
            <w:tcBorders>
              <w:top w:val="nil"/>
              <w:left w:val="nil"/>
              <w:bottom w:val="nil"/>
              <w:right w:val="nil"/>
            </w:tcBorders>
            <w:shd w:val="clear" w:color="000000" w:fill="FFFFFF"/>
            <w:noWrap/>
            <w:vAlign w:val="center"/>
            <w:hideMark/>
          </w:tcPr>
          <w:p w14:paraId="3506FC96"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700.9</w:t>
            </w:r>
          </w:p>
        </w:tc>
        <w:tc>
          <w:tcPr>
            <w:tcW w:w="442" w:type="pct"/>
            <w:tcBorders>
              <w:top w:val="nil"/>
              <w:left w:val="nil"/>
              <w:bottom w:val="nil"/>
              <w:right w:val="nil"/>
            </w:tcBorders>
            <w:shd w:val="clear" w:color="000000" w:fill="FFFFFF"/>
            <w:noWrap/>
            <w:vAlign w:val="center"/>
            <w:hideMark/>
          </w:tcPr>
          <w:p w14:paraId="6814D3D1"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735.1</w:t>
            </w:r>
          </w:p>
        </w:tc>
        <w:tc>
          <w:tcPr>
            <w:tcW w:w="57" w:type="pct"/>
            <w:tcBorders>
              <w:top w:val="nil"/>
              <w:left w:val="nil"/>
              <w:bottom w:val="nil"/>
              <w:right w:val="nil"/>
            </w:tcBorders>
            <w:shd w:val="clear" w:color="000000" w:fill="FFFFFF"/>
            <w:noWrap/>
            <w:vAlign w:val="center"/>
            <w:hideMark/>
          </w:tcPr>
          <w:p w14:paraId="020EE427"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w:t>
            </w:r>
          </w:p>
        </w:tc>
        <w:tc>
          <w:tcPr>
            <w:tcW w:w="395" w:type="pct"/>
            <w:tcBorders>
              <w:top w:val="nil"/>
              <w:left w:val="nil"/>
              <w:bottom w:val="nil"/>
              <w:right w:val="nil"/>
            </w:tcBorders>
            <w:shd w:val="clear" w:color="000000" w:fill="FFFFFF"/>
            <w:noWrap/>
            <w:vAlign w:val="center"/>
            <w:hideMark/>
          </w:tcPr>
          <w:p w14:paraId="10535CE0"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3,411.0</w:t>
            </w:r>
          </w:p>
        </w:tc>
        <w:tc>
          <w:tcPr>
            <w:tcW w:w="68" w:type="pct"/>
            <w:tcBorders>
              <w:top w:val="nil"/>
              <w:left w:val="nil"/>
              <w:bottom w:val="nil"/>
              <w:right w:val="nil"/>
            </w:tcBorders>
            <w:shd w:val="clear" w:color="000000" w:fill="FFFFFF"/>
            <w:noWrap/>
            <w:vAlign w:val="center"/>
            <w:hideMark/>
          </w:tcPr>
          <w:p w14:paraId="691EB366"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w:t>
            </w:r>
          </w:p>
        </w:tc>
        <w:tc>
          <w:tcPr>
            <w:tcW w:w="482" w:type="pct"/>
            <w:tcBorders>
              <w:top w:val="nil"/>
              <w:left w:val="nil"/>
              <w:bottom w:val="nil"/>
              <w:right w:val="nil"/>
            </w:tcBorders>
            <w:shd w:val="clear" w:color="000000" w:fill="FFFFFF"/>
            <w:noWrap/>
            <w:vAlign w:val="center"/>
            <w:hideMark/>
          </w:tcPr>
          <w:p w14:paraId="59D53F79"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w:t>
            </w:r>
          </w:p>
        </w:tc>
      </w:tr>
      <w:tr w:rsidR="00FA1AC7" w:rsidRPr="00FA1AC7" w14:paraId="166470B8" w14:textId="77777777" w:rsidTr="00AF1F1D">
        <w:trPr>
          <w:divId w:val="777674716"/>
          <w:trHeight w:hRule="exact" w:val="226"/>
        </w:trPr>
        <w:tc>
          <w:tcPr>
            <w:tcW w:w="1333" w:type="pct"/>
            <w:tcBorders>
              <w:top w:val="nil"/>
              <w:left w:val="nil"/>
              <w:bottom w:val="nil"/>
              <w:right w:val="nil"/>
            </w:tcBorders>
            <w:shd w:val="clear" w:color="000000" w:fill="FFFFFF"/>
            <w:noWrap/>
            <w:vAlign w:val="center"/>
            <w:hideMark/>
          </w:tcPr>
          <w:p w14:paraId="0832A330"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Per cent of GDP</w:t>
            </w:r>
          </w:p>
        </w:tc>
        <w:tc>
          <w:tcPr>
            <w:tcW w:w="395" w:type="pct"/>
            <w:tcBorders>
              <w:top w:val="nil"/>
              <w:left w:val="nil"/>
              <w:bottom w:val="nil"/>
              <w:right w:val="nil"/>
            </w:tcBorders>
            <w:shd w:val="clear" w:color="000000" w:fill="FFFFFF"/>
            <w:noWrap/>
            <w:vAlign w:val="center"/>
            <w:hideMark/>
          </w:tcPr>
          <w:p w14:paraId="19AB2F79"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25.3</w:t>
            </w:r>
          </w:p>
        </w:tc>
        <w:tc>
          <w:tcPr>
            <w:tcW w:w="57" w:type="pct"/>
            <w:tcBorders>
              <w:top w:val="nil"/>
              <w:left w:val="nil"/>
              <w:bottom w:val="nil"/>
              <w:right w:val="nil"/>
            </w:tcBorders>
            <w:shd w:val="clear" w:color="000000" w:fill="FFFFFF"/>
            <w:noWrap/>
            <w:vAlign w:val="center"/>
            <w:hideMark/>
          </w:tcPr>
          <w:p w14:paraId="5748EFED"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3" w:type="pct"/>
            <w:tcBorders>
              <w:top w:val="nil"/>
              <w:left w:val="nil"/>
              <w:bottom w:val="nil"/>
              <w:right w:val="nil"/>
            </w:tcBorders>
            <w:shd w:val="clear" w:color="000000" w:fill="FFFFFF"/>
            <w:noWrap/>
            <w:vAlign w:val="center"/>
            <w:hideMark/>
          </w:tcPr>
          <w:p w14:paraId="24292F11"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25.0</w:t>
            </w:r>
          </w:p>
        </w:tc>
        <w:tc>
          <w:tcPr>
            <w:tcW w:w="442" w:type="pct"/>
            <w:tcBorders>
              <w:top w:val="nil"/>
              <w:left w:val="nil"/>
              <w:bottom w:val="nil"/>
              <w:right w:val="nil"/>
            </w:tcBorders>
            <w:shd w:val="clear" w:color="000000" w:fill="E6F2FF"/>
            <w:noWrap/>
            <w:vAlign w:val="center"/>
            <w:hideMark/>
          </w:tcPr>
          <w:p w14:paraId="5AFF5C17"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25.9</w:t>
            </w:r>
          </w:p>
        </w:tc>
        <w:tc>
          <w:tcPr>
            <w:tcW w:w="442" w:type="pct"/>
            <w:tcBorders>
              <w:top w:val="nil"/>
              <w:left w:val="nil"/>
              <w:bottom w:val="nil"/>
              <w:right w:val="nil"/>
            </w:tcBorders>
            <w:shd w:val="clear" w:color="000000" w:fill="FFFFFF"/>
            <w:noWrap/>
            <w:vAlign w:val="center"/>
            <w:hideMark/>
          </w:tcPr>
          <w:p w14:paraId="117CD20C"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25.4</w:t>
            </w:r>
          </w:p>
        </w:tc>
        <w:tc>
          <w:tcPr>
            <w:tcW w:w="442" w:type="pct"/>
            <w:tcBorders>
              <w:top w:val="nil"/>
              <w:left w:val="nil"/>
              <w:bottom w:val="nil"/>
              <w:right w:val="nil"/>
            </w:tcBorders>
            <w:shd w:val="clear" w:color="000000" w:fill="FFFFFF"/>
            <w:noWrap/>
            <w:vAlign w:val="center"/>
            <w:hideMark/>
          </w:tcPr>
          <w:p w14:paraId="7C92DB37"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25.2</w:t>
            </w:r>
          </w:p>
        </w:tc>
        <w:tc>
          <w:tcPr>
            <w:tcW w:w="442" w:type="pct"/>
            <w:tcBorders>
              <w:top w:val="nil"/>
              <w:left w:val="nil"/>
              <w:bottom w:val="nil"/>
              <w:right w:val="nil"/>
            </w:tcBorders>
            <w:shd w:val="clear" w:color="000000" w:fill="FFFFFF"/>
            <w:noWrap/>
            <w:vAlign w:val="center"/>
            <w:hideMark/>
          </w:tcPr>
          <w:p w14:paraId="28F0CA6A"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25.2</w:t>
            </w:r>
          </w:p>
        </w:tc>
        <w:tc>
          <w:tcPr>
            <w:tcW w:w="57" w:type="pct"/>
            <w:tcBorders>
              <w:top w:val="nil"/>
              <w:left w:val="nil"/>
              <w:bottom w:val="nil"/>
              <w:right w:val="nil"/>
            </w:tcBorders>
            <w:shd w:val="clear" w:color="000000" w:fill="FFFFFF"/>
            <w:noWrap/>
            <w:vAlign w:val="center"/>
            <w:hideMark/>
          </w:tcPr>
          <w:p w14:paraId="3891FAAF"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534ACB90"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68" w:type="pct"/>
            <w:tcBorders>
              <w:top w:val="nil"/>
              <w:left w:val="nil"/>
              <w:bottom w:val="nil"/>
              <w:right w:val="nil"/>
            </w:tcBorders>
            <w:shd w:val="clear" w:color="000000" w:fill="FFFFFF"/>
            <w:noWrap/>
            <w:vAlign w:val="center"/>
            <w:hideMark/>
          </w:tcPr>
          <w:p w14:paraId="777031CB"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26333AD3"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26.3</w:t>
            </w:r>
          </w:p>
        </w:tc>
      </w:tr>
      <w:tr w:rsidR="00FA1AC7" w:rsidRPr="00FA1AC7" w14:paraId="4D34CB33" w14:textId="77777777" w:rsidTr="00AF1F1D">
        <w:trPr>
          <w:divId w:val="777674716"/>
          <w:trHeight w:hRule="exact" w:val="60"/>
        </w:trPr>
        <w:tc>
          <w:tcPr>
            <w:tcW w:w="1333" w:type="pct"/>
            <w:tcBorders>
              <w:top w:val="nil"/>
              <w:left w:val="nil"/>
              <w:bottom w:val="nil"/>
              <w:right w:val="nil"/>
            </w:tcBorders>
            <w:shd w:val="clear" w:color="000000" w:fill="FFFFFF"/>
            <w:noWrap/>
            <w:vAlign w:val="center"/>
            <w:hideMark/>
          </w:tcPr>
          <w:p w14:paraId="264501EF"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4068056A"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57" w:type="pct"/>
            <w:tcBorders>
              <w:top w:val="nil"/>
              <w:left w:val="nil"/>
              <w:bottom w:val="nil"/>
              <w:right w:val="nil"/>
            </w:tcBorders>
            <w:shd w:val="clear" w:color="000000" w:fill="FFFFFF"/>
            <w:noWrap/>
            <w:vAlign w:val="center"/>
            <w:hideMark/>
          </w:tcPr>
          <w:p w14:paraId="71A49A4F"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3" w:type="pct"/>
            <w:tcBorders>
              <w:top w:val="nil"/>
              <w:left w:val="nil"/>
              <w:bottom w:val="nil"/>
              <w:right w:val="nil"/>
            </w:tcBorders>
            <w:shd w:val="clear" w:color="000000" w:fill="FFFFFF"/>
            <w:noWrap/>
            <w:vAlign w:val="center"/>
            <w:hideMark/>
          </w:tcPr>
          <w:p w14:paraId="52C0AAA1"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2" w:type="pct"/>
            <w:tcBorders>
              <w:top w:val="nil"/>
              <w:left w:val="nil"/>
              <w:bottom w:val="nil"/>
              <w:right w:val="nil"/>
            </w:tcBorders>
            <w:shd w:val="clear" w:color="000000" w:fill="E6F2FF"/>
            <w:noWrap/>
            <w:vAlign w:val="center"/>
            <w:hideMark/>
          </w:tcPr>
          <w:p w14:paraId="445ECBEA"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2" w:type="pct"/>
            <w:tcBorders>
              <w:top w:val="nil"/>
              <w:left w:val="nil"/>
              <w:bottom w:val="nil"/>
              <w:right w:val="nil"/>
            </w:tcBorders>
            <w:shd w:val="clear" w:color="000000" w:fill="FFFFFF"/>
            <w:noWrap/>
            <w:vAlign w:val="center"/>
            <w:hideMark/>
          </w:tcPr>
          <w:p w14:paraId="03C1994B"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2" w:type="pct"/>
            <w:tcBorders>
              <w:top w:val="nil"/>
              <w:left w:val="nil"/>
              <w:bottom w:val="nil"/>
              <w:right w:val="nil"/>
            </w:tcBorders>
            <w:shd w:val="clear" w:color="000000" w:fill="FFFFFF"/>
            <w:noWrap/>
            <w:vAlign w:val="center"/>
            <w:hideMark/>
          </w:tcPr>
          <w:p w14:paraId="35227816"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2" w:type="pct"/>
            <w:tcBorders>
              <w:top w:val="nil"/>
              <w:left w:val="nil"/>
              <w:bottom w:val="nil"/>
              <w:right w:val="nil"/>
            </w:tcBorders>
            <w:shd w:val="clear" w:color="000000" w:fill="FFFFFF"/>
            <w:noWrap/>
            <w:vAlign w:val="center"/>
            <w:hideMark/>
          </w:tcPr>
          <w:p w14:paraId="0665B36C"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57" w:type="pct"/>
            <w:tcBorders>
              <w:top w:val="nil"/>
              <w:left w:val="nil"/>
              <w:bottom w:val="nil"/>
              <w:right w:val="nil"/>
            </w:tcBorders>
            <w:shd w:val="clear" w:color="000000" w:fill="FFFFFF"/>
            <w:noWrap/>
            <w:vAlign w:val="center"/>
            <w:hideMark/>
          </w:tcPr>
          <w:p w14:paraId="06A0D808"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638C5B4F"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68" w:type="pct"/>
            <w:tcBorders>
              <w:top w:val="nil"/>
              <w:left w:val="nil"/>
              <w:bottom w:val="nil"/>
              <w:right w:val="nil"/>
            </w:tcBorders>
            <w:shd w:val="clear" w:color="000000" w:fill="FFFFFF"/>
            <w:noWrap/>
            <w:vAlign w:val="center"/>
            <w:hideMark/>
          </w:tcPr>
          <w:p w14:paraId="1A97CC94"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4C900C4D"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r>
      <w:tr w:rsidR="00FA1AC7" w:rsidRPr="00FA1AC7" w14:paraId="525FDD8E" w14:textId="77777777" w:rsidTr="00AF1F1D">
        <w:trPr>
          <w:divId w:val="777674716"/>
          <w:trHeight w:hRule="exact" w:val="226"/>
        </w:trPr>
        <w:tc>
          <w:tcPr>
            <w:tcW w:w="1333" w:type="pct"/>
            <w:tcBorders>
              <w:top w:val="nil"/>
              <w:left w:val="nil"/>
              <w:bottom w:val="nil"/>
              <w:right w:val="nil"/>
            </w:tcBorders>
            <w:shd w:val="clear" w:color="000000" w:fill="FFFFFF"/>
            <w:noWrap/>
            <w:vAlign w:val="center"/>
            <w:hideMark/>
          </w:tcPr>
          <w:p w14:paraId="7D644C93" w14:textId="77777777" w:rsidR="00AF1F1D" w:rsidRPr="00FA1AC7" w:rsidRDefault="00AF1F1D" w:rsidP="00AF1F1D">
            <w:pPr>
              <w:spacing w:before="0" w:after="0" w:line="240" w:lineRule="auto"/>
              <w:ind w:left="170"/>
              <w:rPr>
                <w:rFonts w:ascii="Arial" w:hAnsi="Arial" w:cs="Arial"/>
                <w:b/>
                <w:bCs/>
                <w:sz w:val="16"/>
                <w:szCs w:val="16"/>
              </w:rPr>
            </w:pPr>
            <w:r w:rsidRPr="00FA1AC7">
              <w:rPr>
                <w:rFonts w:ascii="Arial" w:hAnsi="Arial" w:cs="Arial"/>
                <w:b/>
                <w:bCs/>
                <w:sz w:val="16"/>
                <w:szCs w:val="16"/>
              </w:rPr>
              <w:t>Tax receipts</w:t>
            </w:r>
          </w:p>
        </w:tc>
        <w:tc>
          <w:tcPr>
            <w:tcW w:w="395" w:type="pct"/>
            <w:tcBorders>
              <w:top w:val="nil"/>
              <w:left w:val="nil"/>
              <w:bottom w:val="nil"/>
              <w:right w:val="nil"/>
            </w:tcBorders>
            <w:shd w:val="clear" w:color="000000" w:fill="FFFFFF"/>
            <w:noWrap/>
            <w:vAlign w:val="center"/>
            <w:hideMark/>
          </w:tcPr>
          <w:p w14:paraId="0BDA9692"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536.6</w:t>
            </w:r>
          </w:p>
        </w:tc>
        <w:tc>
          <w:tcPr>
            <w:tcW w:w="57" w:type="pct"/>
            <w:tcBorders>
              <w:top w:val="nil"/>
              <w:left w:val="nil"/>
              <w:bottom w:val="nil"/>
              <w:right w:val="nil"/>
            </w:tcBorders>
            <w:shd w:val="clear" w:color="000000" w:fill="FFFFFF"/>
            <w:noWrap/>
            <w:vAlign w:val="center"/>
            <w:hideMark/>
          </w:tcPr>
          <w:p w14:paraId="5BCF198F"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3" w:type="pct"/>
            <w:tcBorders>
              <w:top w:val="nil"/>
              <w:left w:val="nil"/>
              <w:bottom w:val="nil"/>
              <w:right w:val="nil"/>
            </w:tcBorders>
            <w:shd w:val="clear" w:color="000000" w:fill="FFFFFF"/>
            <w:noWrap/>
            <w:vAlign w:val="center"/>
            <w:hideMark/>
          </w:tcPr>
          <w:p w14:paraId="33145778"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588.1</w:t>
            </w:r>
          </w:p>
        </w:tc>
        <w:tc>
          <w:tcPr>
            <w:tcW w:w="442" w:type="pct"/>
            <w:tcBorders>
              <w:top w:val="nil"/>
              <w:left w:val="nil"/>
              <w:bottom w:val="nil"/>
              <w:right w:val="nil"/>
            </w:tcBorders>
            <w:shd w:val="clear" w:color="000000" w:fill="E6F2FF"/>
            <w:noWrap/>
            <w:vAlign w:val="center"/>
            <w:hideMark/>
          </w:tcPr>
          <w:p w14:paraId="2E6C6C3D"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616.3</w:t>
            </w:r>
          </w:p>
        </w:tc>
        <w:tc>
          <w:tcPr>
            <w:tcW w:w="442" w:type="pct"/>
            <w:tcBorders>
              <w:top w:val="nil"/>
              <w:left w:val="nil"/>
              <w:bottom w:val="nil"/>
              <w:right w:val="nil"/>
            </w:tcBorders>
            <w:shd w:val="clear" w:color="000000" w:fill="FFFFFF"/>
            <w:noWrap/>
            <w:vAlign w:val="center"/>
            <w:hideMark/>
          </w:tcPr>
          <w:p w14:paraId="10812B3E"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614.3</w:t>
            </w:r>
          </w:p>
        </w:tc>
        <w:tc>
          <w:tcPr>
            <w:tcW w:w="442" w:type="pct"/>
            <w:tcBorders>
              <w:top w:val="nil"/>
              <w:left w:val="nil"/>
              <w:bottom w:val="nil"/>
              <w:right w:val="nil"/>
            </w:tcBorders>
            <w:shd w:val="clear" w:color="000000" w:fill="FFFFFF"/>
            <w:noWrap/>
            <w:vAlign w:val="center"/>
            <w:hideMark/>
          </w:tcPr>
          <w:p w14:paraId="46649D26"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647.8</w:t>
            </w:r>
          </w:p>
        </w:tc>
        <w:tc>
          <w:tcPr>
            <w:tcW w:w="442" w:type="pct"/>
            <w:tcBorders>
              <w:top w:val="nil"/>
              <w:left w:val="nil"/>
              <w:bottom w:val="nil"/>
              <w:right w:val="nil"/>
            </w:tcBorders>
            <w:shd w:val="clear" w:color="000000" w:fill="FFFFFF"/>
            <w:noWrap/>
            <w:vAlign w:val="center"/>
            <w:hideMark/>
          </w:tcPr>
          <w:p w14:paraId="1CED9A6A"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680.7</w:t>
            </w:r>
          </w:p>
        </w:tc>
        <w:tc>
          <w:tcPr>
            <w:tcW w:w="57" w:type="pct"/>
            <w:tcBorders>
              <w:top w:val="nil"/>
              <w:left w:val="nil"/>
              <w:bottom w:val="nil"/>
              <w:right w:val="nil"/>
            </w:tcBorders>
            <w:shd w:val="clear" w:color="000000" w:fill="FFFFFF"/>
            <w:noWrap/>
            <w:vAlign w:val="center"/>
            <w:hideMark/>
          </w:tcPr>
          <w:p w14:paraId="6249A5A7" w14:textId="77777777" w:rsidR="00AF1F1D" w:rsidRPr="00FA1AC7" w:rsidRDefault="00AF1F1D" w:rsidP="00AF1F1D">
            <w:pPr>
              <w:spacing w:before="0" w:after="0" w:line="240" w:lineRule="auto"/>
              <w:jc w:val="right"/>
              <w:rPr>
                <w:rFonts w:ascii="Arial" w:hAnsi="Arial" w:cs="Arial"/>
                <w:i/>
                <w:iCs/>
                <w:sz w:val="16"/>
                <w:szCs w:val="16"/>
              </w:rPr>
            </w:pPr>
            <w:r w:rsidRPr="00FA1AC7">
              <w:rPr>
                <w:rFonts w:ascii="Arial" w:hAnsi="Arial" w:cs="Arial"/>
                <w:i/>
                <w:iCs/>
                <w:sz w:val="16"/>
                <w:szCs w:val="16"/>
              </w:rPr>
              <w:t> </w:t>
            </w:r>
          </w:p>
        </w:tc>
        <w:tc>
          <w:tcPr>
            <w:tcW w:w="395" w:type="pct"/>
            <w:tcBorders>
              <w:top w:val="nil"/>
              <w:left w:val="nil"/>
              <w:bottom w:val="nil"/>
              <w:right w:val="nil"/>
            </w:tcBorders>
            <w:shd w:val="clear" w:color="000000" w:fill="FFFFFF"/>
            <w:noWrap/>
            <w:vAlign w:val="center"/>
            <w:hideMark/>
          </w:tcPr>
          <w:p w14:paraId="3E64ED02"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3,147.2</w:t>
            </w:r>
          </w:p>
        </w:tc>
        <w:tc>
          <w:tcPr>
            <w:tcW w:w="68" w:type="pct"/>
            <w:tcBorders>
              <w:top w:val="nil"/>
              <w:left w:val="nil"/>
              <w:bottom w:val="nil"/>
              <w:right w:val="nil"/>
            </w:tcBorders>
            <w:shd w:val="clear" w:color="000000" w:fill="FFFFFF"/>
            <w:noWrap/>
            <w:vAlign w:val="center"/>
            <w:hideMark/>
          </w:tcPr>
          <w:p w14:paraId="40E52A70"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w:t>
            </w:r>
          </w:p>
        </w:tc>
        <w:tc>
          <w:tcPr>
            <w:tcW w:w="482" w:type="pct"/>
            <w:tcBorders>
              <w:top w:val="nil"/>
              <w:left w:val="nil"/>
              <w:bottom w:val="nil"/>
              <w:right w:val="nil"/>
            </w:tcBorders>
            <w:shd w:val="clear" w:color="000000" w:fill="FFFFFF"/>
            <w:noWrap/>
            <w:vAlign w:val="center"/>
            <w:hideMark/>
          </w:tcPr>
          <w:p w14:paraId="3299D3D2"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w:t>
            </w:r>
          </w:p>
        </w:tc>
      </w:tr>
      <w:tr w:rsidR="00FA1AC7" w:rsidRPr="00FA1AC7" w14:paraId="67545711" w14:textId="77777777" w:rsidTr="00AF1F1D">
        <w:trPr>
          <w:divId w:val="777674716"/>
          <w:trHeight w:hRule="exact" w:val="226"/>
        </w:trPr>
        <w:tc>
          <w:tcPr>
            <w:tcW w:w="1333" w:type="pct"/>
            <w:tcBorders>
              <w:top w:val="nil"/>
              <w:left w:val="nil"/>
              <w:bottom w:val="nil"/>
              <w:right w:val="nil"/>
            </w:tcBorders>
            <w:shd w:val="clear" w:color="000000" w:fill="FFFFFF"/>
            <w:noWrap/>
            <w:vAlign w:val="center"/>
            <w:hideMark/>
          </w:tcPr>
          <w:p w14:paraId="42C36841" w14:textId="77777777" w:rsidR="00AF1F1D" w:rsidRPr="00FA1AC7" w:rsidRDefault="00AF1F1D" w:rsidP="00AF1F1D">
            <w:pPr>
              <w:spacing w:before="0" w:after="0" w:line="240" w:lineRule="auto"/>
              <w:ind w:left="170"/>
              <w:rPr>
                <w:rFonts w:ascii="Arial" w:hAnsi="Arial" w:cs="Arial"/>
                <w:sz w:val="16"/>
                <w:szCs w:val="16"/>
              </w:rPr>
            </w:pPr>
            <w:r w:rsidRPr="00FA1AC7">
              <w:rPr>
                <w:rFonts w:ascii="Arial" w:hAnsi="Arial" w:cs="Arial"/>
                <w:sz w:val="16"/>
                <w:szCs w:val="16"/>
              </w:rPr>
              <w:t>Per cent of GDP</w:t>
            </w:r>
          </w:p>
        </w:tc>
        <w:tc>
          <w:tcPr>
            <w:tcW w:w="395" w:type="pct"/>
            <w:tcBorders>
              <w:top w:val="nil"/>
              <w:left w:val="nil"/>
              <w:bottom w:val="nil"/>
              <w:right w:val="nil"/>
            </w:tcBorders>
            <w:shd w:val="clear" w:color="000000" w:fill="FFFFFF"/>
            <w:noWrap/>
            <w:vAlign w:val="center"/>
            <w:hideMark/>
          </w:tcPr>
          <w:p w14:paraId="5D834D05"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23.2</w:t>
            </w:r>
          </w:p>
        </w:tc>
        <w:tc>
          <w:tcPr>
            <w:tcW w:w="57" w:type="pct"/>
            <w:tcBorders>
              <w:top w:val="nil"/>
              <w:left w:val="nil"/>
              <w:bottom w:val="nil"/>
              <w:right w:val="nil"/>
            </w:tcBorders>
            <w:shd w:val="clear" w:color="000000" w:fill="FFFFFF"/>
            <w:noWrap/>
            <w:vAlign w:val="center"/>
            <w:hideMark/>
          </w:tcPr>
          <w:p w14:paraId="112E96A1"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3" w:type="pct"/>
            <w:tcBorders>
              <w:top w:val="nil"/>
              <w:left w:val="nil"/>
              <w:bottom w:val="nil"/>
              <w:right w:val="nil"/>
            </w:tcBorders>
            <w:shd w:val="clear" w:color="000000" w:fill="FFFFFF"/>
            <w:noWrap/>
            <w:vAlign w:val="center"/>
            <w:hideMark/>
          </w:tcPr>
          <w:p w14:paraId="435561D9"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23.1</w:t>
            </w:r>
          </w:p>
        </w:tc>
        <w:tc>
          <w:tcPr>
            <w:tcW w:w="442" w:type="pct"/>
            <w:tcBorders>
              <w:top w:val="nil"/>
              <w:left w:val="nil"/>
              <w:bottom w:val="nil"/>
              <w:right w:val="nil"/>
            </w:tcBorders>
            <w:shd w:val="clear" w:color="000000" w:fill="E6F2FF"/>
            <w:noWrap/>
            <w:vAlign w:val="center"/>
            <w:hideMark/>
          </w:tcPr>
          <w:p w14:paraId="3D97A6FC"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23.9</w:t>
            </w:r>
          </w:p>
        </w:tc>
        <w:tc>
          <w:tcPr>
            <w:tcW w:w="442" w:type="pct"/>
            <w:tcBorders>
              <w:top w:val="nil"/>
              <w:left w:val="nil"/>
              <w:bottom w:val="nil"/>
              <w:right w:val="nil"/>
            </w:tcBorders>
            <w:shd w:val="clear" w:color="000000" w:fill="FFFFFF"/>
            <w:noWrap/>
            <w:vAlign w:val="center"/>
            <w:hideMark/>
          </w:tcPr>
          <w:p w14:paraId="7DEDF3A0"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23.3</w:t>
            </w:r>
          </w:p>
        </w:tc>
        <w:tc>
          <w:tcPr>
            <w:tcW w:w="442" w:type="pct"/>
            <w:tcBorders>
              <w:top w:val="nil"/>
              <w:left w:val="nil"/>
              <w:bottom w:val="nil"/>
              <w:right w:val="nil"/>
            </w:tcBorders>
            <w:shd w:val="clear" w:color="000000" w:fill="FFFFFF"/>
            <w:noWrap/>
            <w:vAlign w:val="center"/>
            <w:hideMark/>
          </w:tcPr>
          <w:p w14:paraId="2CA8386A"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23.3</w:t>
            </w:r>
          </w:p>
        </w:tc>
        <w:tc>
          <w:tcPr>
            <w:tcW w:w="442" w:type="pct"/>
            <w:tcBorders>
              <w:top w:val="nil"/>
              <w:left w:val="nil"/>
              <w:bottom w:val="nil"/>
              <w:right w:val="nil"/>
            </w:tcBorders>
            <w:shd w:val="clear" w:color="000000" w:fill="FFFFFF"/>
            <w:noWrap/>
            <w:vAlign w:val="center"/>
            <w:hideMark/>
          </w:tcPr>
          <w:p w14:paraId="4C88F494"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23.3</w:t>
            </w:r>
          </w:p>
        </w:tc>
        <w:tc>
          <w:tcPr>
            <w:tcW w:w="57" w:type="pct"/>
            <w:tcBorders>
              <w:top w:val="nil"/>
              <w:left w:val="nil"/>
              <w:bottom w:val="nil"/>
              <w:right w:val="nil"/>
            </w:tcBorders>
            <w:shd w:val="clear" w:color="000000" w:fill="FFFFFF"/>
            <w:noWrap/>
            <w:vAlign w:val="center"/>
            <w:hideMark/>
          </w:tcPr>
          <w:p w14:paraId="3D1BA2D7" w14:textId="77777777" w:rsidR="00AF1F1D" w:rsidRPr="00FA1AC7" w:rsidRDefault="00AF1F1D" w:rsidP="00AF1F1D">
            <w:pPr>
              <w:spacing w:before="0" w:after="0" w:line="240" w:lineRule="auto"/>
              <w:jc w:val="right"/>
              <w:rPr>
                <w:rFonts w:ascii="Arial" w:hAnsi="Arial" w:cs="Arial"/>
                <w:i/>
                <w:iCs/>
                <w:sz w:val="16"/>
                <w:szCs w:val="16"/>
              </w:rPr>
            </w:pPr>
            <w:r w:rsidRPr="00FA1AC7">
              <w:rPr>
                <w:rFonts w:ascii="Arial" w:hAnsi="Arial" w:cs="Arial"/>
                <w:i/>
                <w:iCs/>
                <w:sz w:val="16"/>
                <w:szCs w:val="16"/>
              </w:rPr>
              <w:t> </w:t>
            </w:r>
          </w:p>
        </w:tc>
        <w:tc>
          <w:tcPr>
            <w:tcW w:w="395" w:type="pct"/>
            <w:tcBorders>
              <w:top w:val="nil"/>
              <w:left w:val="nil"/>
              <w:bottom w:val="nil"/>
              <w:right w:val="nil"/>
            </w:tcBorders>
            <w:shd w:val="clear" w:color="000000" w:fill="FFFFFF"/>
            <w:noWrap/>
            <w:vAlign w:val="center"/>
            <w:hideMark/>
          </w:tcPr>
          <w:p w14:paraId="6842DA1C"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68" w:type="pct"/>
            <w:tcBorders>
              <w:top w:val="nil"/>
              <w:left w:val="nil"/>
              <w:bottom w:val="nil"/>
              <w:right w:val="nil"/>
            </w:tcBorders>
            <w:shd w:val="clear" w:color="000000" w:fill="FFFFFF"/>
            <w:noWrap/>
            <w:vAlign w:val="center"/>
            <w:hideMark/>
          </w:tcPr>
          <w:p w14:paraId="67B6535D"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58A905E7"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24.4</w:t>
            </w:r>
          </w:p>
        </w:tc>
      </w:tr>
      <w:tr w:rsidR="00FA1AC7" w:rsidRPr="00FA1AC7" w14:paraId="6B290192" w14:textId="77777777" w:rsidTr="00AF1F1D">
        <w:trPr>
          <w:divId w:val="777674716"/>
          <w:trHeight w:hRule="exact" w:val="60"/>
        </w:trPr>
        <w:tc>
          <w:tcPr>
            <w:tcW w:w="1333" w:type="pct"/>
            <w:tcBorders>
              <w:top w:val="nil"/>
              <w:left w:val="nil"/>
              <w:bottom w:val="nil"/>
              <w:right w:val="nil"/>
            </w:tcBorders>
            <w:shd w:val="clear" w:color="000000" w:fill="FFFFFF"/>
            <w:noWrap/>
            <w:vAlign w:val="center"/>
            <w:hideMark/>
          </w:tcPr>
          <w:p w14:paraId="299D1373"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09FFE850" w14:textId="77777777" w:rsidR="00AF1F1D" w:rsidRPr="00FA1AC7" w:rsidRDefault="00AF1F1D" w:rsidP="00AF1F1D">
            <w:pPr>
              <w:spacing w:before="0" w:after="0" w:line="240" w:lineRule="auto"/>
              <w:jc w:val="right"/>
              <w:rPr>
                <w:rFonts w:ascii="Arial" w:hAnsi="Arial" w:cs="Arial"/>
                <w:i/>
                <w:iCs/>
                <w:sz w:val="16"/>
                <w:szCs w:val="16"/>
              </w:rPr>
            </w:pPr>
            <w:r w:rsidRPr="00FA1AC7">
              <w:rPr>
                <w:rFonts w:ascii="Arial" w:hAnsi="Arial" w:cs="Arial"/>
                <w:i/>
                <w:iCs/>
                <w:sz w:val="16"/>
                <w:szCs w:val="16"/>
              </w:rPr>
              <w:t> </w:t>
            </w:r>
          </w:p>
        </w:tc>
        <w:tc>
          <w:tcPr>
            <w:tcW w:w="57" w:type="pct"/>
            <w:tcBorders>
              <w:top w:val="nil"/>
              <w:left w:val="nil"/>
              <w:bottom w:val="nil"/>
              <w:right w:val="nil"/>
            </w:tcBorders>
            <w:shd w:val="clear" w:color="000000" w:fill="FFFFFF"/>
            <w:noWrap/>
            <w:vAlign w:val="center"/>
            <w:hideMark/>
          </w:tcPr>
          <w:p w14:paraId="39800E1E"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3" w:type="pct"/>
            <w:tcBorders>
              <w:top w:val="nil"/>
              <w:left w:val="nil"/>
              <w:bottom w:val="nil"/>
              <w:right w:val="nil"/>
            </w:tcBorders>
            <w:shd w:val="clear" w:color="000000" w:fill="FFFFFF"/>
            <w:noWrap/>
            <w:vAlign w:val="center"/>
            <w:hideMark/>
          </w:tcPr>
          <w:p w14:paraId="00AA7290" w14:textId="77777777" w:rsidR="00AF1F1D" w:rsidRPr="00FA1AC7" w:rsidRDefault="00AF1F1D" w:rsidP="00AF1F1D">
            <w:pPr>
              <w:spacing w:before="0" w:after="0" w:line="240" w:lineRule="auto"/>
              <w:jc w:val="right"/>
              <w:rPr>
                <w:rFonts w:ascii="Arial" w:hAnsi="Arial" w:cs="Arial"/>
                <w:i/>
                <w:iCs/>
                <w:sz w:val="16"/>
                <w:szCs w:val="16"/>
              </w:rPr>
            </w:pPr>
            <w:r w:rsidRPr="00FA1AC7">
              <w:rPr>
                <w:rFonts w:ascii="Arial" w:hAnsi="Arial" w:cs="Arial"/>
                <w:i/>
                <w:iCs/>
                <w:sz w:val="16"/>
                <w:szCs w:val="16"/>
              </w:rPr>
              <w:t> </w:t>
            </w:r>
          </w:p>
        </w:tc>
        <w:tc>
          <w:tcPr>
            <w:tcW w:w="442" w:type="pct"/>
            <w:tcBorders>
              <w:top w:val="nil"/>
              <w:left w:val="nil"/>
              <w:bottom w:val="nil"/>
              <w:right w:val="nil"/>
            </w:tcBorders>
            <w:shd w:val="clear" w:color="000000" w:fill="E6F2FF"/>
            <w:noWrap/>
            <w:vAlign w:val="center"/>
            <w:hideMark/>
          </w:tcPr>
          <w:p w14:paraId="25F9B3BD" w14:textId="77777777" w:rsidR="00AF1F1D" w:rsidRPr="00FA1AC7" w:rsidRDefault="00AF1F1D" w:rsidP="00AF1F1D">
            <w:pPr>
              <w:spacing w:before="0" w:after="0" w:line="240" w:lineRule="auto"/>
              <w:jc w:val="right"/>
              <w:rPr>
                <w:rFonts w:ascii="Arial" w:hAnsi="Arial" w:cs="Arial"/>
                <w:i/>
                <w:iCs/>
                <w:sz w:val="16"/>
                <w:szCs w:val="16"/>
              </w:rPr>
            </w:pPr>
            <w:r w:rsidRPr="00FA1AC7">
              <w:rPr>
                <w:rFonts w:ascii="Arial" w:hAnsi="Arial" w:cs="Arial"/>
                <w:i/>
                <w:iCs/>
                <w:sz w:val="16"/>
                <w:szCs w:val="16"/>
              </w:rPr>
              <w:t> </w:t>
            </w:r>
          </w:p>
        </w:tc>
        <w:tc>
          <w:tcPr>
            <w:tcW w:w="442" w:type="pct"/>
            <w:tcBorders>
              <w:top w:val="nil"/>
              <w:left w:val="nil"/>
              <w:bottom w:val="nil"/>
              <w:right w:val="nil"/>
            </w:tcBorders>
            <w:shd w:val="clear" w:color="000000" w:fill="FFFFFF"/>
            <w:noWrap/>
            <w:vAlign w:val="center"/>
            <w:hideMark/>
          </w:tcPr>
          <w:p w14:paraId="777120B1" w14:textId="77777777" w:rsidR="00AF1F1D" w:rsidRPr="00FA1AC7" w:rsidRDefault="00AF1F1D" w:rsidP="00AF1F1D">
            <w:pPr>
              <w:spacing w:before="0" w:after="0" w:line="240" w:lineRule="auto"/>
              <w:jc w:val="right"/>
              <w:rPr>
                <w:rFonts w:ascii="Arial" w:hAnsi="Arial" w:cs="Arial"/>
                <w:i/>
                <w:iCs/>
                <w:sz w:val="16"/>
                <w:szCs w:val="16"/>
              </w:rPr>
            </w:pPr>
            <w:r w:rsidRPr="00FA1AC7">
              <w:rPr>
                <w:rFonts w:ascii="Arial" w:hAnsi="Arial" w:cs="Arial"/>
                <w:i/>
                <w:iCs/>
                <w:sz w:val="16"/>
                <w:szCs w:val="16"/>
              </w:rPr>
              <w:t> </w:t>
            </w:r>
          </w:p>
        </w:tc>
        <w:tc>
          <w:tcPr>
            <w:tcW w:w="442" w:type="pct"/>
            <w:tcBorders>
              <w:top w:val="nil"/>
              <w:left w:val="nil"/>
              <w:bottom w:val="nil"/>
              <w:right w:val="nil"/>
            </w:tcBorders>
            <w:shd w:val="clear" w:color="000000" w:fill="FFFFFF"/>
            <w:noWrap/>
            <w:vAlign w:val="center"/>
            <w:hideMark/>
          </w:tcPr>
          <w:p w14:paraId="4A001322" w14:textId="77777777" w:rsidR="00AF1F1D" w:rsidRPr="00FA1AC7" w:rsidRDefault="00AF1F1D" w:rsidP="00AF1F1D">
            <w:pPr>
              <w:spacing w:before="0" w:after="0" w:line="240" w:lineRule="auto"/>
              <w:jc w:val="right"/>
              <w:rPr>
                <w:rFonts w:ascii="Arial" w:hAnsi="Arial" w:cs="Arial"/>
                <w:i/>
                <w:iCs/>
                <w:sz w:val="16"/>
                <w:szCs w:val="16"/>
              </w:rPr>
            </w:pPr>
            <w:r w:rsidRPr="00FA1AC7">
              <w:rPr>
                <w:rFonts w:ascii="Arial" w:hAnsi="Arial" w:cs="Arial"/>
                <w:i/>
                <w:iCs/>
                <w:sz w:val="16"/>
                <w:szCs w:val="16"/>
              </w:rPr>
              <w:t> </w:t>
            </w:r>
          </w:p>
        </w:tc>
        <w:tc>
          <w:tcPr>
            <w:tcW w:w="442" w:type="pct"/>
            <w:tcBorders>
              <w:top w:val="nil"/>
              <w:left w:val="nil"/>
              <w:bottom w:val="nil"/>
              <w:right w:val="nil"/>
            </w:tcBorders>
            <w:shd w:val="clear" w:color="000000" w:fill="FFFFFF"/>
            <w:noWrap/>
            <w:vAlign w:val="center"/>
            <w:hideMark/>
          </w:tcPr>
          <w:p w14:paraId="7FEAE613" w14:textId="77777777" w:rsidR="00AF1F1D" w:rsidRPr="00FA1AC7" w:rsidRDefault="00AF1F1D" w:rsidP="00AF1F1D">
            <w:pPr>
              <w:spacing w:before="0" w:after="0" w:line="240" w:lineRule="auto"/>
              <w:jc w:val="right"/>
              <w:rPr>
                <w:rFonts w:ascii="Arial" w:hAnsi="Arial" w:cs="Arial"/>
                <w:i/>
                <w:iCs/>
                <w:sz w:val="16"/>
                <w:szCs w:val="16"/>
              </w:rPr>
            </w:pPr>
            <w:r w:rsidRPr="00FA1AC7">
              <w:rPr>
                <w:rFonts w:ascii="Arial" w:hAnsi="Arial" w:cs="Arial"/>
                <w:i/>
                <w:iCs/>
                <w:sz w:val="16"/>
                <w:szCs w:val="16"/>
              </w:rPr>
              <w:t> </w:t>
            </w:r>
          </w:p>
        </w:tc>
        <w:tc>
          <w:tcPr>
            <w:tcW w:w="57" w:type="pct"/>
            <w:tcBorders>
              <w:top w:val="nil"/>
              <w:left w:val="nil"/>
              <w:bottom w:val="nil"/>
              <w:right w:val="nil"/>
            </w:tcBorders>
            <w:shd w:val="clear" w:color="000000" w:fill="FFFFFF"/>
            <w:noWrap/>
            <w:vAlign w:val="center"/>
            <w:hideMark/>
          </w:tcPr>
          <w:p w14:paraId="7189683A" w14:textId="77777777" w:rsidR="00AF1F1D" w:rsidRPr="00FA1AC7" w:rsidRDefault="00AF1F1D" w:rsidP="00AF1F1D">
            <w:pPr>
              <w:spacing w:before="0" w:after="0" w:line="240" w:lineRule="auto"/>
              <w:jc w:val="right"/>
              <w:rPr>
                <w:rFonts w:ascii="Arial" w:hAnsi="Arial" w:cs="Arial"/>
                <w:i/>
                <w:iCs/>
                <w:sz w:val="16"/>
                <w:szCs w:val="16"/>
              </w:rPr>
            </w:pPr>
            <w:r w:rsidRPr="00FA1AC7">
              <w:rPr>
                <w:rFonts w:ascii="Arial" w:hAnsi="Arial" w:cs="Arial"/>
                <w:i/>
                <w:iCs/>
                <w:sz w:val="16"/>
                <w:szCs w:val="16"/>
              </w:rPr>
              <w:t> </w:t>
            </w:r>
          </w:p>
        </w:tc>
        <w:tc>
          <w:tcPr>
            <w:tcW w:w="395" w:type="pct"/>
            <w:tcBorders>
              <w:top w:val="nil"/>
              <w:left w:val="nil"/>
              <w:bottom w:val="nil"/>
              <w:right w:val="nil"/>
            </w:tcBorders>
            <w:shd w:val="clear" w:color="000000" w:fill="FFFFFF"/>
            <w:noWrap/>
            <w:vAlign w:val="center"/>
            <w:hideMark/>
          </w:tcPr>
          <w:p w14:paraId="3F7066B1"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68" w:type="pct"/>
            <w:tcBorders>
              <w:top w:val="nil"/>
              <w:left w:val="nil"/>
              <w:bottom w:val="nil"/>
              <w:right w:val="nil"/>
            </w:tcBorders>
            <w:shd w:val="clear" w:color="000000" w:fill="FFFFFF"/>
            <w:noWrap/>
            <w:vAlign w:val="center"/>
            <w:hideMark/>
          </w:tcPr>
          <w:p w14:paraId="56206440"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33B2BDD2"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r>
      <w:tr w:rsidR="00FA1AC7" w:rsidRPr="00FA1AC7" w14:paraId="4851F3CE" w14:textId="77777777" w:rsidTr="00AF1F1D">
        <w:trPr>
          <w:divId w:val="777674716"/>
          <w:trHeight w:hRule="exact" w:val="226"/>
        </w:trPr>
        <w:tc>
          <w:tcPr>
            <w:tcW w:w="1333" w:type="pct"/>
            <w:tcBorders>
              <w:top w:val="nil"/>
              <w:left w:val="nil"/>
              <w:bottom w:val="nil"/>
              <w:right w:val="nil"/>
            </w:tcBorders>
            <w:shd w:val="clear" w:color="000000" w:fill="FFFFFF"/>
            <w:noWrap/>
            <w:vAlign w:val="center"/>
            <w:hideMark/>
          </w:tcPr>
          <w:p w14:paraId="1F2E278A" w14:textId="77777777" w:rsidR="00AF1F1D" w:rsidRPr="00FA1AC7" w:rsidRDefault="00AF1F1D" w:rsidP="00AF1F1D">
            <w:pPr>
              <w:spacing w:before="0" w:after="0" w:line="240" w:lineRule="auto"/>
              <w:ind w:left="170"/>
              <w:rPr>
                <w:rFonts w:ascii="Arial" w:hAnsi="Arial" w:cs="Arial"/>
                <w:b/>
                <w:bCs/>
                <w:sz w:val="16"/>
                <w:szCs w:val="16"/>
              </w:rPr>
            </w:pPr>
            <w:r w:rsidRPr="00FA1AC7">
              <w:rPr>
                <w:rFonts w:ascii="Arial" w:hAnsi="Arial" w:cs="Arial"/>
                <w:b/>
                <w:bCs/>
                <w:sz w:val="16"/>
                <w:szCs w:val="16"/>
              </w:rPr>
              <w:t>Non-tax receipts</w:t>
            </w:r>
          </w:p>
        </w:tc>
        <w:tc>
          <w:tcPr>
            <w:tcW w:w="395" w:type="pct"/>
            <w:tcBorders>
              <w:top w:val="nil"/>
              <w:left w:val="nil"/>
              <w:bottom w:val="nil"/>
              <w:right w:val="nil"/>
            </w:tcBorders>
            <w:shd w:val="clear" w:color="000000" w:fill="FFFFFF"/>
            <w:noWrap/>
            <w:vAlign w:val="center"/>
            <w:hideMark/>
          </w:tcPr>
          <w:p w14:paraId="48AFA961"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47.8</w:t>
            </w:r>
          </w:p>
        </w:tc>
        <w:tc>
          <w:tcPr>
            <w:tcW w:w="57" w:type="pct"/>
            <w:tcBorders>
              <w:top w:val="nil"/>
              <w:left w:val="nil"/>
              <w:bottom w:val="nil"/>
              <w:right w:val="nil"/>
            </w:tcBorders>
            <w:shd w:val="clear" w:color="000000" w:fill="FFFFFF"/>
            <w:noWrap/>
            <w:vAlign w:val="center"/>
            <w:hideMark/>
          </w:tcPr>
          <w:p w14:paraId="1601DCAF"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3" w:type="pct"/>
            <w:tcBorders>
              <w:top w:val="nil"/>
              <w:left w:val="nil"/>
              <w:bottom w:val="nil"/>
              <w:right w:val="nil"/>
            </w:tcBorders>
            <w:shd w:val="clear" w:color="000000" w:fill="FFFFFF"/>
            <w:noWrap/>
            <w:vAlign w:val="center"/>
            <w:hideMark/>
          </w:tcPr>
          <w:p w14:paraId="607BF55F"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47.5</w:t>
            </w:r>
          </w:p>
        </w:tc>
        <w:tc>
          <w:tcPr>
            <w:tcW w:w="442" w:type="pct"/>
            <w:tcBorders>
              <w:top w:val="nil"/>
              <w:left w:val="nil"/>
              <w:bottom w:val="nil"/>
              <w:right w:val="nil"/>
            </w:tcBorders>
            <w:shd w:val="clear" w:color="000000" w:fill="E6F2FF"/>
            <w:noWrap/>
            <w:vAlign w:val="center"/>
            <w:hideMark/>
          </w:tcPr>
          <w:p w14:paraId="0E812883"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51.9</w:t>
            </w:r>
          </w:p>
        </w:tc>
        <w:tc>
          <w:tcPr>
            <w:tcW w:w="442" w:type="pct"/>
            <w:tcBorders>
              <w:top w:val="nil"/>
              <w:left w:val="nil"/>
              <w:bottom w:val="nil"/>
              <w:right w:val="nil"/>
            </w:tcBorders>
            <w:shd w:val="clear" w:color="000000" w:fill="FFFFFF"/>
            <w:noWrap/>
            <w:vAlign w:val="center"/>
            <w:hideMark/>
          </w:tcPr>
          <w:p w14:paraId="0BFBEBC1"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56.9</w:t>
            </w:r>
          </w:p>
        </w:tc>
        <w:tc>
          <w:tcPr>
            <w:tcW w:w="442" w:type="pct"/>
            <w:tcBorders>
              <w:top w:val="nil"/>
              <w:left w:val="nil"/>
              <w:bottom w:val="nil"/>
              <w:right w:val="nil"/>
            </w:tcBorders>
            <w:shd w:val="clear" w:color="000000" w:fill="FFFFFF"/>
            <w:noWrap/>
            <w:vAlign w:val="center"/>
            <w:hideMark/>
          </w:tcPr>
          <w:p w14:paraId="5A900D80"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53.1</w:t>
            </w:r>
          </w:p>
        </w:tc>
        <w:tc>
          <w:tcPr>
            <w:tcW w:w="442" w:type="pct"/>
            <w:tcBorders>
              <w:top w:val="nil"/>
              <w:left w:val="nil"/>
              <w:bottom w:val="nil"/>
              <w:right w:val="nil"/>
            </w:tcBorders>
            <w:shd w:val="clear" w:color="000000" w:fill="FFFFFF"/>
            <w:noWrap/>
            <w:vAlign w:val="center"/>
            <w:hideMark/>
          </w:tcPr>
          <w:p w14:paraId="6362BECA"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54.4</w:t>
            </w:r>
          </w:p>
        </w:tc>
        <w:tc>
          <w:tcPr>
            <w:tcW w:w="57" w:type="pct"/>
            <w:tcBorders>
              <w:top w:val="nil"/>
              <w:left w:val="nil"/>
              <w:bottom w:val="nil"/>
              <w:right w:val="nil"/>
            </w:tcBorders>
            <w:shd w:val="clear" w:color="000000" w:fill="FFFFFF"/>
            <w:noWrap/>
            <w:vAlign w:val="center"/>
            <w:hideMark/>
          </w:tcPr>
          <w:p w14:paraId="5E3E3CAC" w14:textId="77777777" w:rsidR="00AF1F1D" w:rsidRPr="00FA1AC7" w:rsidRDefault="00AF1F1D" w:rsidP="00AF1F1D">
            <w:pPr>
              <w:spacing w:before="0" w:after="0" w:line="240" w:lineRule="auto"/>
              <w:jc w:val="right"/>
              <w:rPr>
                <w:rFonts w:ascii="Arial" w:hAnsi="Arial" w:cs="Arial"/>
                <w:i/>
                <w:iCs/>
                <w:sz w:val="16"/>
                <w:szCs w:val="16"/>
              </w:rPr>
            </w:pPr>
            <w:r w:rsidRPr="00FA1AC7">
              <w:rPr>
                <w:rFonts w:ascii="Arial" w:hAnsi="Arial" w:cs="Arial"/>
                <w:i/>
                <w:iCs/>
                <w:sz w:val="16"/>
                <w:szCs w:val="16"/>
              </w:rPr>
              <w:t> </w:t>
            </w:r>
          </w:p>
        </w:tc>
        <w:tc>
          <w:tcPr>
            <w:tcW w:w="395" w:type="pct"/>
            <w:tcBorders>
              <w:top w:val="nil"/>
              <w:left w:val="nil"/>
              <w:bottom w:val="nil"/>
              <w:right w:val="nil"/>
            </w:tcBorders>
            <w:shd w:val="clear" w:color="000000" w:fill="FFFFFF"/>
            <w:noWrap/>
            <w:vAlign w:val="center"/>
            <w:hideMark/>
          </w:tcPr>
          <w:p w14:paraId="14AA84E7"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263.8</w:t>
            </w:r>
          </w:p>
        </w:tc>
        <w:tc>
          <w:tcPr>
            <w:tcW w:w="68" w:type="pct"/>
            <w:tcBorders>
              <w:top w:val="nil"/>
              <w:left w:val="nil"/>
              <w:bottom w:val="nil"/>
              <w:right w:val="nil"/>
            </w:tcBorders>
            <w:shd w:val="clear" w:color="000000" w:fill="FFFFFF"/>
            <w:noWrap/>
            <w:vAlign w:val="center"/>
            <w:hideMark/>
          </w:tcPr>
          <w:p w14:paraId="6CB95367"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w:t>
            </w:r>
          </w:p>
        </w:tc>
        <w:tc>
          <w:tcPr>
            <w:tcW w:w="482" w:type="pct"/>
            <w:tcBorders>
              <w:top w:val="nil"/>
              <w:left w:val="nil"/>
              <w:bottom w:val="nil"/>
              <w:right w:val="nil"/>
            </w:tcBorders>
            <w:shd w:val="clear" w:color="000000" w:fill="FFFFFF"/>
            <w:noWrap/>
            <w:vAlign w:val="center"/>
            <w:hideMark/>
          </w:tcPr>
          <w:p w14:paraId="1CC18D2F"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w:t>
            </w:r>
          </w:p>
        </w:tc>
      </w:tr>
      <w:tr w:rsidR="00FA1AC7" w:rsidRPr="00FA1AC7" w14:paraId="512B6BC5" w14:textId="77777777" w:rsidTr="00AF1F1D">
        <w:trPr>
          <w:divId w:val="777674716"/>
          <w:trHeight w:hRule="exact" w:val="226"/>
        </w:trPr>
        <w:tc>
          <w:tcPr>
            <w:tcW w:w="1333" w:type="pct"/>
            <w:tcBorders>
              <w:top w:val="nil"/>
              <w:left w:val="nil"/>
              <w:bottom w:val="nil"/>
              <w:right w:val="nil"/>
            </w:tcBorders>
            <w:shd w:val="clear" w:color="000000" w:fill="FFFFFF"/>
            <w:noWrap/>
            <w:vAlign w:val="center"/>
            <w:hideMark/>
          </w:tcPr>
          <w:p w14:paraId="0B02F45D" w14:textId="77777777" w:rsidR="00AF1F1D" w:rsidRPr="00FA1AC7" w:rsidRDefault="00AF1F1D" w:rsidP="00AF1F1D">
            <w:pPr>
              <w:spacing w:before="0" w:after="0" w:line="240" w:lineRule="auto"/>
              <w:ind w:left="170"/>
              <w:rPr>
                <w:rFonts w:ascii="Arial" w:hAnsi="Arial" w:cs="Arial"/>
                <w:sz w:val="16"/>
                <w:szCs w:val="16"/>
              </w:rPr>
            </w:pPr>
            <w:r w:rsidRPr="00FA1AC7">
              <w:rPr>
                <w:rFonts w:ascii="Arial" w:hAnsi="Arial" w:cs="Arial"/>
                <w:sz w:val="16"/>
                <w:szCs w:val="16"/>
              </w:rPr>
              <w:t>Per cent of GDP</w:t>
            </w:r>
          </w:p>
        </w:tc>
        <w:tc>
          <w:tcPr>
            <w:tcW w:w="395" w:type="pct"/>
            <w:tcBorders>
              <w:top w:val="nil"/>
              <w:left w:val="nil"/>
              <w:bottom w:val="nil"/>
              <w:right w:val="nil"/>
            </w:tcBorders>
            <w:shd w:val="clear" w:color="000000" w:fill="FFFFFF"/>
            <w:noWrap/>
            <w:vAlign w:val="center"/>
            <w:hideMark/>
          </w:tcPr>
          <w:p w14:paraId="0B65550D"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2.1</w:t>
            </w:r>
          </w:p>
        </w:tc>
        <w:tc>
          <w:tcPr>
            <w:tcW w:w="57" w:type="pct"/>
            <w:tcBorders>
              <w:top w:val="nil"/>
              <w:left w:val="nil"/>
              <w:bottom w:val="nil"/>
              <w:right w:val="nil"/>
            </w:tcBorders>
            <w:shd w:val="clear" w:color="000000" w:fill="FFFFFF"/>
            <w:noWrap/>
            <w:vAlign w:val="center"/>
            <w:hideMark/>
          </w:tcPr>
          <w:p w14:paraId="497C8F37"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3" w:type="pct"/>
            <w:tcBorders>
              <w:top w:val="nil"/>
              <w:left w:val="nil"/>
              <w:bottom w:val="nil"/>
              <w:right w:val="nil"/>
            </w:tcBorders>
            <w:shd w:val="clear" w:color="000000" w:fill="FFFFFF"/>
            <w:noWrap/>
            <w:vAlign w:val="center"/>
            <w:hideMark/>
          </w:tcPr>
          <w:p w14:paraId="4A8F135C"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1.9</w:t>
            </w:r>
          </w:p>
        </w:tc>
        <w:tc>
          <w:tcPr>
            <w:tcW w:w="442" w:type="pct"/>
            <w:tcBorders>
              <w:top w:val="nil"/>
              <w:left w:val="nil"/>
              <w:bottom w:val="nil"/>
              <w:right w:val="nil"/>
            </w:tcBorders>
            <w:shd w:val="clear" w:color="000000" w:fill="E6F2FF"/>
            <w:noWrap/>
            <w:vAlign w:val="center"/>
            <w:hideMark/>
          </w:tcPr>
          <w:p w14:paraId="6DE69D37"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2.0</w:t>
            </w:r>
          </w:p>
        </w:tc>
        <w:tc>
          <w:tcPr>
            <w:tcW w:w="442" w:type="pct"/>
            <w:tcBorders>
              <w:top w:val="nil"/>
              <w:left w:val="nil"/>
              <w:bottom w:val="nil"/>
              <w:right w:val="nil"/>
            </w:tcBorders>
            <w:shd w:val="clear" w:color="000000" w:fill="FFFFFF"/>
            <w:noWrap/>
            <w:vAlign w:val="center"/>
            <w:hideMark/>
          </w:tcPr>
          <w:p w14:paraId="432A3D4B"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2.2</w:t>
            </w:r>
          </w:p>
        </w:tc>
        <w:tc>
          <w:tcPr>
            <w:tcW w:w="442" w:type="pct"/>
            <w:tcBorders>
              <w:top w:val="nil"/>
              <w:left w:val="nil"/>
              <w:bottom w:val="nil"/>
              <w:right w:val="nil"/>
            </w:tcBorders>
            <w:shd w:val="clear" w:color="000000" w:fill="FFFFFF"/>
            <w:noWrap/>
            <w:vAlign w:val="center"/>
            <w:hideMark/>
          </w:tcPr>
          <w:p w14:paraId="467E38E4"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1.9</w:t>
            </w:r>
          </w:p>
        </w:tc>
        <w:tc>
          <w:tcPr>
            <w:tcW w:w="442" w:type="pct"/>
            <w:tcBorders>
              <w:top w:val="nil"/>
              <w:left w:val="nil"/>
              <w:bottom w:val="nil"/>
              <w:right w:val="nil"/>
            </w:tcBorders>
            <w:shd w:val="clear" w:color="000000" w:fill="FFFFFF"/>
            <w:noWrap/>
            <w:vAlign w:val="center"/>
            <w:hideMark/>
          </w:tcPr>
          <w:p w14:paraId="73596A14"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1.9</w:t>
            </w:r>
          </w:p>
        </w:tc>
        <w:tc>
          <w:tcPr>
            <w:tcW w:w="57" w:type="pct"/>
            <w:tcBorders>
              <w:top w:val="nil"/>
              <w:left w:val="nil"/>
              <w:bottom w:val="nil"/>
              <w:right w:val="nil"/>
            </w:tcBorders>
            <w:shd w:val="clear" w:color="000000" w:fill="FFFFFF"/>
            <w:noWrap/>
            <w:vAlign w:val="center"/>
            <w:hideMark/>
          </w:tcPr>
          <w:p w14:paraId="484766A5" w14:textId="77777777" w:rsidR="00AF1F1D" w:rsidRPr="00FA1AC7" w:rsidRDefault="00AF1F1D" w:rsidP="00AF1F1D">
            <w:pPr>
              <w:spacing w:before="0" w:after="0" w:line="240" w:lineRule="auto"/>
              <w:jc w:val="right"/>
              <w:rPr>
                <w:rFonts w:ascii="Arial" w:hAnsi="Arial" w:cs="Arial"/>
                <w:i/>
                <w:iCs/>
                <w:sz w:val="16"/>
                <w:szCs w:val="16"/>
              </w:rPr>
            </w:pPr>
            <w:r w:rsidRPr="00FA1AC7">
              <w:rPr>
                <w:rFonts w:ascii="Arial" w:hAnsi="Arial" w:cs="Arial"/>
                <w:i/>
                <w:iCs/>
                <w:sz w:val="16"/>
                <w:szCs w:val="16"/>
              </w:rPr>
              <w:t> </w:t>
            </w:r>
          </w:p>
        </w:tc>
        <w:tc>
          <w:tcPr>
            <w:tcW w:w="395" w:type="pct"/>
            <w:tcBorders>
              <w:top w:val="nil"/>
              <w:left w:val="nil"/>
              <w:bottom w:val="nil"/>
              <w:right w:val="nil"/>
            </w:tcBorders>
            <w:shd w:val="clear" w:color="000000" w:fill="FFFFFF"/>
            <w:noWrap/>
            <w:vAlign w:val="center"/>
            <w:hideMark/>
          </w:tcPr>
          <w:p w14:paraId="763998A3"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68" w:type="pct"/>
            <w:tcBorders>
              <w:top w:val="nil"/>
              <w:left w:val="nil"/>
              <w:bottom w:val="nil"/>
              <w:right w:val="nil"/>
            </w:tcBorders>
            <w:shd w:val="clear" w:color="000000" w:fill="FFFFFF"/>
            <w:noWrap/>
            <w:vAlign w:val="center"/>
            <w:hideMark/>
          </w:tcPr>
          <w:p w14:paraId="1AA1971C"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442EC43F"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1.9</w:t>
            </w:r>
          </w:p>
        </w:tc>
      </w:tr>
      <w:tr w:rsidR="00FA1AC7" w:rsidRPr="00FA1AC7" w14:paraId="4EE320FA" w14:textId="77777777" w:rsidTr="00AF1F1D">
        <w:trPr>
          <w:divId w:val="777674716"/>
          <w:trHeight w:hRule="exact" w:val="60"/>
        </w:trPr>
        <w:tc>
          <w:tcPr>
            <w:tcW w:w="1333" w:type="pct"/>
            <w:tcBorders>
              <w:top w:val="nil"/>
              <w:left w:val="nil"/>
              <w:bottom w:val="nil"/>
              <w:right w:val="nil"/>
            </w:tcBorders>
            <w:shd w:val="clear" w:color="000000" w:fill="FFFFFF"/>
            <w:noWrap/>
            <w:vAlign w:val="center"/>
            <w:hideMark/>
          </w:tcPr>
          <w:p w14:paraId="09D237F7"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60B9B893" w14:textId="77777777" w:rsidR="00AF1F1D" w:rsidRPr="00FA1AC7" w:rsidRDefault="00AF1F1D" w:rsidP="00AF1F1D">
            <w:pPr>
              <w:spacing w:before="0" w:after="0" w:line="240" w:lineRule="auto"/>
              <w:jc w:val="right"/>
              <w:rPr>
                <w:rFonts w:ascii="Arial" w:hAnsi="Arial" w:cs="Arial"/>
                <w:i/>
                <w:iCs/>
                <w:sz w:val="16"/>
                <w:szCs w:val="16"/>
              </w:rPr>
            </w:pPr>
            <w:r w:rsidRPr="00FA1AC7">
              <w:rPr>
                <w:rFonts w:ascii="Arial" w:hAnsi="Arial" w:cs="Arial"/>
                <w:i/>
                <w:iCs/>
                <w:sz w:val="16"/>
                <w:szCs w:val="16"/>
              </w:rPr>
              <w:t> </w:t>
            </w:r>
          </w:p>
        </w:tc>
        <w:tc>
          <w:tcPr>
            <w:tcW w:w="57" w:type="pct"/>
            <w:tcBorders>
              <w:top w:val="nil"/>
              <w:left w:val="nil"/>
              <w:bottom w:val="nil"/>
              <w:right w:val="nil"/>
            </w:tcBorders>
            <w:shd w:val="clear" w:color="000000" w:fill="FFFFFF"/>
            <w:noWrap/>
            <w:vAlign w:val="center"/>
            <w:hideMark/>
          </w:tcPr>
          <w:p w14:paraId="4FEAC1EF"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3" w:type="pct"/>
            <w:tcBorders>
              <w:top w:val="nil"/>
              <w:left w:val="nil"/>
              <w:bottom w:val="nil"/>
              <w:right w:val="nil"/>
            </w:tcBorders>
            <w:shd w:val="clear" w:color="000000" w:fill="FFFFFF"/>
            <w:noWrap/>
            <w:vAlign w:val="center"/>
            <w:hideMark/>
          </w:tcPr>
          <w:p w14:paraId="7C1EC231" w14:textId="77777777" w:rsidR="00AF1F1D" w:rsidRPr="00FA1AC7" w:rsidRDefault="00AF1F1D" w:rsidP="00AF1F1D">
            <w:pPr>
              <w:spacing w:before="0" w:after="0" w:line="240" w:lineRule="auto"/>
              <w:jc w:val="right"/>
              <w:rPr>
                <w:rFonts w:ascii="Arial" w:hAnsi="Arial" w:cs="Arial"/>
                <w:i/>
                <w:iCs/>
                <w:sz w:val="16"/>
                <w:szCs w:val="16"/>
              </w:rPr>
            </w:pPr>
            <w:r w:rsidRPr="00FA1AC7">
              <w:rPr>
                <w:rFonts w:ascii="Arial" w:hAnsi="Arial" w:cs="Arial"/>
                <w:i/>
                <w:iCs/>
                <w:sz w:val="16"/>
                <w:szCs w:val="16"/>
              </w:rPr>
              <w:t> </w:t>
            </w:r>
          </w:p>
        </w:tc>
        <w:tc>
          <w:tcPr>
            <w:tcW w:w="442" w:type="pct"/>
            <w:tcBorders>
              <w:top w:val="nil"/>
              <w:left w:val="nil"/>
              <w:bottom w:val="nil"/>
              <w:right w:val="nil"/>
            </w:tcBorders>
            <w:shd w:val="clear" w:color="000000" w:fill="E6F2FF"/>
            <w:noWrap/>
            <w:vAlign w:val="center"/>
            <w:hideMark/>
          </w:tcPr>
          <w:p w14:paraId="430CBFDF" w14:textId="77777777" w:rsidR="00AF1F1D" w:rsidRPr="00FA1AC7" w:rsidRDefault="00AF1F1D" w:rsidP="00AF1F1D">
            <w:pPr>
              <w:spacing w:before="0" w:after="0" w:line="240" w:lineRule="auto"/>
              <w:jc w:val="right"/>
              <w:rPr>
                <w:rFonts w:ascii="Arial" w:hAnsi="Arial" w:cs="Arial"/>
                <w:i/>
                <w:iCs/>
                <w:sz w:val="16"/>
                <w:szCs w:val="16"/>
              </w:rPr>
            </w:pPr>
            <w:r w:rsidRPr="00FA1AC7">
              <w:rPr>
                <w:rFonts w:ascii="Arial" w:hAnsi="Arial" w:cs="Arial"/>
                <w:i/>
                <w:iCs/>
                <w:sz w:val="16"/>
                <w:szCs w:val="16"/>
              </w:rPr>
              <w:t> </w:t>
            </w:r>
          </w:p>
        </w:tc>
        <w:tc>
          <w:tcPr>
            <w:tcW w:w="442" w:type="pct"/>
            <w:tcBorders>
              <w:top w:val="nil"/>
              <w:left w:val="nil"/>
              <w:bottom w:val="nil"/>
              <w:right w:val="nil"/>
            </w:tcBorders>
            <w:shd w:val="clear" w:color="000000" w:fill="FFFFFF"/>
            <w:noWrap/>
            <w:vAlign w:val="center"/>
            <w:hideMark/>
          </w:tcPr>
          <w:p w14:paraId="5B29A168" w14:textId="77777777" w:rsidR="00AF1F1D" w:rsidRPr="00FA1AC7" w:rsidRDefault="00AF1F1D" w:rsidP="00AF1F1D">
            <w:pPr>
              <w:spacing w:before="0" w:after="0" w:line="240" w:lineRule="auto"/>
              <w:jc w:val="right"/>
              <w:rPr>
                <w:rFonts w:ascii="Arial" w:hAnsi="Arial" w:cs="Arial"/>
                <w:i/>
                <w:iCs/>
                <w:sz w:val="16"/>
                <w:szCs w:val="16"/>
              </w:rPr>
            </w:pPr>
            <w:r w:rsidRPr="00FA1AC7">
              <w:rPr>
                <w:rFonts w:ascii="Arial" w:hAnsi="Arial" w:cs="Arial"/>
                <w:i/>
                <w:iCs/>
                <w:sz w:val="16"/>
                <w:szCs w:val="16"/>
              </w:rPr>
              <w:t> </w:t>
            </w:r>
          </w:p>
        </w:tc>
        <w:tc>
          <w:tcPr>
            <w:tcW w:w="442" w:type="pct"/>
            <w:tcBorders>
              <w:top w:val="nil"/>
              <w:left w:val="nil"/>
              <w:bottom w:val="nil"/>
              <w:right w:val="nil"/>
            </w:tcBorders>
            <w:shd w:val="clear" w:color="000000" w:fill="FFFFFF"/>
            <w:noWrap/>
            <w:vAlign w:val="center"/>
            <w:hideMark/>
          </w:tcPr>
          <w:p w14:paraId="6721F2FD" w14:textId="77777777" w:rsidR="00AF1F1D" w:rsidRPr="00FA1AC7" w:rsidRDefault="00AF1F1D" w:rsidP="00AF1F1D">
            <w:pPr>
              <w:spacing w:before="0" w:after="0" w:line="240" w:lineRule="auto"/>
              <w:jc w:val="right"/>
              <w:rPr>
                <w:rFonts w:ascii="Arial" w:hAnsi="Arial" w:cs="Arial"/>
                <w:i/>
                <w:iCs/>
                <w:sz w:val="16"/>
                <w:szCs w:val="16"/>
              </w:rPr>
            </w:pPr>
            <w:r w:rsidRPr="00FA1AC7">
              <w:rPr>
                <w:rFonts w:ascii="Arial" w:hAnsi="Arial" w:cs="Arial"/>
                <w:i/>
                <w:iCs/>
                <w:sz w:val="16"/>
                <w:szCs w:val="16"/>
              </w:rPr>
              <w:t> </w:t>
            </w:r>
          </w:p>
        </w:tc>
        <w:tc>
          <w:tcPr>
            <w:tcW w:w="442" w:type="pct"/>
            <w:tcBorders>
              <w:top w:val="nil"/>
              <w:left w:val="nil"/>
              <w:bottom w:val="nil"/>
              <w:right w:val="nil"/>
            </w:tcBorders>
            <w:shd w:val="clear" w:color="000000" w:fill="FFFFFF"/>
            <w:noWrap/>
            <w:vAlign w:val="center"/>
            <w:hideMark/>
          </w:tcPr>
          <w:p w14:paraId="1C73B671" w14:textId="77777777" w:rsidR="00AF1F1D" w:rsidRPr="00FA1AC7" w:rsidRDefault="00AF1F1D" w:rsidP="00AF1F1D">
            <w:pPr>
              <w:spacing w:before="0" w:after="0" w:line="240" w:lineRule="auto"/>
              <w:jc w:val="right"/>
              <w:rPr>
                <w:rFonts w:ascii="Arial" w:hAnsi="Arial" w:cs="Arial"/>
                <w:i/>
                <w:iCs/>
                <w:sz w:val="16"/>
                <w:szCs w:val="16"/>
              </w:rPr>
            </w:pPr>
            <w:r w:rsidRPr="00FA1AC7">
              <w:rPr>
                <w:rFonts w:ascii="Arial" w:hAnsi="Arial" w:cs="Arial"/>
                <w:i/>
                <w:iCs/>
                <w:sz w:val="16"/>
                <w:szCs w:val="16"/>
              </w:rPr>
              <w:t> </w:t>
            </w:r>
          </w:p>
        </w:tc>
        <w:tc>
          <w:tcPr>
            <w:tcW w:w="57" w:type="pct"/>
            <w:tcBorders>
              <w:top w:val="nil"/>
              <w:left w:val="nil"/>
              <w:bottom w:val="nil"/>
              <w:right w:val="nil"/>
            </w:tcBorders>
            <w:shd w:val="clear" w:color="000000" w:fill="FFFFFF"/>
            <w:noWrap/>
            <w:vAlign w:val="center"/>
            <w:hideMark/>
          </w:tcPr>
          <w:p w14:paraId="1E2AE16C" w14:textId="77777777" w:rsidR="00AF1F1D" w:rsidRPr="00FA1AC7" w:rsidRDefault="00AF1F1D" w:rsidP="00AF1F1D">
            <w:pPr>
              <w:spacing w:before="0" w:after="0" w:line="240" w:lineRule="auto"/>
              <w:jc w:val="right"/>
              <w:rPr>
                <w:rFonts w:ascii="Arial" w:hAnsi="Arial" w:cs="Arial"/>
                <w:i/>
                <w:iCs/>
                <w:sz w:val="16"/>
                <w:szCs w:val="16"/>
              </w:rPr>
            </w:pPr>
            <w:r w:rsidRPr="00FA1AC7">
              <w:rPr>
                <w:rFonts w:ascii="Arial" w:hAnsi="Arial" w:cs="Arial"/>
                <w:i/>
                <w:iCs/>
                <w:sz w:val="16"/>
                <w:szCs w:val="16"/>
              </w:rPr>
              <w:t> </w:t>
            </w:r>
          </w:p>
        </w:tc>
        <w:tc>
          <w:tcPr>
            <w:tcW w:w="395" w:type="pct"/>
            <w:tcBorders>
              <w:top w:val="nil"/>
              <w:left w:val="nil"/>
              <w:bottom w:val="nil"/>
              <w:right w:val="nil"/>
            </w:tcBorders>
            <w:shd w:val="clear" w:color="000000" w:fill="FFFFFF"/>
            <w:noWrap/>
            <w:vAlign w:val="center"/>
            <w:hideMark/>
          </w:tcPr>
          <w:p w14:paraId="6E16B3F0"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68" w:type="pct"/>
            <w:tcBorders>
              <w:top w:val="nil"/>
              <w:left w:val="nil"/>
              <w:bottom w:val="nil"/>
              <w:right w:val="nil"/>
            </w:tcBorders>
            <w:shd w:val="clear" w:color="000000" w:fill="FFFFFF"/>
            <w:noWrap/>
            <w:vAlign w:val="center"/>
            <w:hideMark/>
          </w:tcPr>
          <w:p w14:paraId="7801F7DE"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7E8EFF3F"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r>
      <w:tr w:rsidR="00FA1AC7" w:rsidRPr="00FA1AC7" w14:paraId="1418A683" w14:textId="77777777" w:rsidTr="00AF1F1D">
        <w:trPr>
          <w:divId w:val="777674716"/>
          <w:trHeight w:hRule="exact" w:val="226"/>
        </w:trPr>
        <w:tc>
          <w:tcPr>
            <w:tcW w:w="1333" w:type="pct"/>
            <w:tcBorders>
              <w:top w:val="nil"/>
              <w:left w:val="nil"/>
              <w:bottom w:val="nil"/>
              <w:right w:val="nil"/>
            </w:tcBorders>
            <w:shd w:val="clear" w:color="000000" w:fill="FFFFFF"/>
            <w:noWrap/>
            <w:vAlign w:val="center"/>
            <w:hideMark/>
          </w:tcPr>
          <w:p w14:paraId="7A74F1DB" w14:textId="77777777" w:rsidR="00AF1F1D" w:rsidRPr="00FA1AC7" w:rsidRDefault="00AF1F1D" w:rsidP="00AF1F1D">
            <w:pPr>
              <w:spacing w:before="0" w:after="0" w:line="240" w:lineRule="auto"/>
              <w:rPr>
                <w:rFonts w:ascii="Arial" w:hAnsi="Arial" w:cs="Arial"/>
                <w:b/>
                <w:bCs/>
                <w:sz w:val="16"/>
                <w:szCs w:val="16"/>
              </w:rPr>
            </w:pPr>
            <w:r w:rsidRPr="00FA1AC7">
              <w:rPr>
                <w:rFonts w:ascii="Arial" w:hAnsi="Arial" w:cs="Arial"/>
                <w:b/>
                <w:bCs/>
                <w:sz w:val="16"/>
                <w:szCs w:val="16"/>
              </w:rPr>
              <w:t>Payments(b)</w:t>
            </w:r>
          </w:p>
        </w:tc>
        <w:tc>
          <w:tcPr>
            <w:tcW w:w="395" w:type="pct"/>
            <w:tcBorders>
              <w:top w:val="nil"/>
              <w:left w:val="nil"/>
              <w:bottom w:val="nil"/>
              <w:right w:val="nil"/>
            </w:tcBorders>
            <w:shd w:val="clear" w:color="000000" w:fill="FFFFFF"/>
            <w:noWrap/>
            <w:vAlign w:val="center"/>
            <w:hideMark/>
          </w:tcPr>
          <w:p w14:paraId="736F52FF"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616.3</w:t>
            </w:r>
          </w:p>
        </w:tc>
        <w:tc>
          <w:tcPr>
            <w:tcW w:w="57" w:type="pct"/>
            <w:tcBorders>
              <w:top w:val="nil"/>
              <w:left w:val="nil"/>
              <w:bottom w:val="nil"/>
              <w:right w:val="nil"/>
            </w:tcBorders>
            <w:shd w:val="clear" w:color="000000" w:fill="FFFFFF"/>
            <w:noWrap/>
            <w:vAlign w:val="center"/>
            <w:hideMark/>
          </w:tcPr>
          <w:p w14:paraId="10CFE4F8"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w:t>
            </w:r>
          </w:p>
        </w:tc>
        <w:tc>
          <w:tcPr>
            <w:tcW w:w="443" w:type="pct"/>
            <w:tcBorders>
              <w:top w:val="nil"/>
              <w:left w:val="nil"/>
              <w:bottom w:val="nil"/>
              <w:right w:val="nil"/>
            </w:tcBorders>
            <w:shd w:val="clear" w:color="000000" w:fill="FFFFFF"/>
            <w:noWrap/>
            <w:vAlign w:val="center"/>
            <w:hideMark/>
          </w:tcPr>
          <w:p w14:paraId="128FB9F7"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631.4</w:t>
            </w:r>
          </w:p>
        </w:tc>
        <w:tc>
          <w:tcPr>
            <w:tcW w:w="442" w:type="pct"/>
            <w:tcBorders>
              <w:top w:val="nil"/>
              <w:left w:val="nil"/>
              <w:bottom w:val="nil"/>
              <w:right w:val="nil"/>
            </w:tcBorders>
            <w:shd w:val="clear" w:color="000000" w:fill="E6F2FF"/>
            <w:noWrap/>
            <w:vAlign w:val="center"/>
            <w:hideMark/>
          </w:tcPr>
          <w:p w14:paraId="2EDDF13A"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682.1</w:t>
            </w:r>
          </w:p>
        </w:tc>
        <w:tc>
          <w:tcPr>
            <w:tcW w:w="442" w:type="pct"/>
            <w:tcBorders>
              <w:top w:val="nil"/>
              <w:left w:val="nil"/>
              <w:bottom w:val="nil"/>
              <w:right w:val="nil"/>
            </w:tcBorders>
            <w:shd w:val="clear" w:color="000000" w:fill="FFFFFF"/>
            <w:noWrap/>
            <w:vAlign w:val="center"/>
            <w:hideMark/>
          </w:tcPr>
          <w:p w14:paraId="137C1644"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706.3</w:t>
            </w:r>
          </w:p>
        </w:tc>
        <w:tc>
          <w:tcPr>
            <w:tcW w:w="442" w:type="pct"/>
            <w:tcBorders>
              <w:top w:val="nil"/>
              <w:left w:val="nil"/>
              <w:bottom w:val="nil"/>
              <w:right w:val="nil"/>
            </w:tcBorders>
            <w:shd w:val="clear" w:color="000000" w:fill="FFFFFF"/>
            <w:noWrap/>
            <w:vAlign w:val="center"/>
            <w:hideMark/>
          </w:tcPr>
          <w:p w14:paraId="1A6EDA2A"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737.5</w:t>
            </w:r>
          </w:p>
        </w:tc>
        <w:tc>
          <w:tcPr>
            <w:tcW w:w="442" w:type="pct"/>
            <w:tcBorders>
              <w:top w:val="nil"/>
              <w:left w:val="nil"/>
              <w:bottom w:val="nil"/>
              <w:right w:val="nil"/>
            </w:tcBorders>
            <w:shd w:val="clear" w:color="000000" w:fill="FFFFFF"/>
            <w:noWrap/>
            <w:vAlign w:val="center"/>
            <w:hideMark/>
          </w:tcPr>
          <w:p w14:paraId="29B43E39"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763.6</w:t>
            </w:r>
          </w:p>
        </w:tc>
        <w:tc>
          <w:tcPr>
            <w:tcW w:w="57" w:type="pct"/>
            <w:tcBorders>
              <w:top w:val="nil"/>
              <w:left w:val="nil"/>
              <w:bottom w:val="nil"/>
              <w:right w:val="nil"/>
            </w:tcBorders>
            <w:shd w:val="clear" w:color="000000" w:fill="FFFFFF"/>
            <w:noWrap/>
            <w:vAlign w:val="center"/>
            <w:hideMark/>
          </w:tcPr>
          <w:p w14:paraId="02C3D6B2"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w:t>
            </w:r>
          </w:p>
        </w:tc>
        <w:tc>
          <w:tcPr>
            <w:tcW w:w="395" w:type="pct"/>
            <w:tcBorders>
              <w:top w:val="nil"/>
              <w:left w:val="nil"/>
              <w:bottom w:val="nil"/>
              <w:right w:val="nil"/>
            </w:tcBorders>
            <w:shd w:val="clear" w:color="000000" w:fill="FFFFFF"/>
            <w:noWrap/>
            <w:vAlign w:val="center"/>
            <w:hideMark/>
          </w:tcPr>
          <w:p w14:paraId="2E1010CE"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3,520.9</w:t>
            </w:r>
          </w:p>
        </w:tc>
        <w:tc>
          <w:tcPr>
            <w:tcW w:w="68" w:type="pct"/>
            <w:tcBorders>
              <w:top w:val="nil"/>
              <w:left w:val="nil"/>
              <w:bottom w:val="nil"/>
              <w:right w:val="nil"/>
            </w:tcBorders>
            <w:shd w:val="clear" w:color="000000" w:fill="FFFFFF"/>
            <w:noWrap/>
            <w:vAlign w:val="center"/>
            <w:hideMark/>
          </w:tcPr>
          <w:p w14:paraId="396173C6"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w:t>
            </w:r>
          </w:p>
        </w:tc>
        <w:tc>
          <w:tcPr>
            <w:tcW w:w="482" w:type="pct"/>
            <w:tcBorders>
              <w:top w:val="nil"/>
              <w:left w:val="nil"/>
              <w:bottom w:val="nil"/>
              <w:right w:val="nil"/>
            </w:tcBorders>
            <w:shd w:val="clear" w:color="000000" w:fill="FFFFFF"/>
            <w:noWrap/>
            <w:vAlign w:val="center"/>
            <w:hideMark/>
          </w:tcPr>
          <w:p w14:paraId="6AA3419A"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w:t>
            </w:r>
          </w:p>
        </w:tc>
      </w:tr>
      <w:tr w:rsidR="00FA1AC7" w:rsidRPr="00FA1AC7" w14:paraId="2A2DEC6A" w14:textId="77777777" w:rsidTr="00AF1F1D">
        <w:trPr>
          <w:divId w:val="777674716"/>
          <w:trHeight w:hRule="exact" w:val="226"/>
        </w:trPr>
        <w:tc>
          <w:tcPr>
            <w:tcW w:w="1333" w:type="pct"/>
            <w:tcBorders>
              <w:top w:val="nil"/>
              <w:left w:val="nil"/>
              <w:bottom w:val="nil"/>
              <w:right w:val="nil"/>
            </w:tcBorders>
            <w:shd w:val="clear" w:color="000000" w:fill="FFFFFF"/>
            <w:noWrap/>
            <w:vAlign w:val="center"/>
            <w:hideMark/>
          </w:tcPr>
          <w:p w14:paraId="10B8A2D8"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Per cent of GDP</w:t>
            </w:r>
          </w:p>
        </w:tc>
        <w:tc>
          <w:tcPr>
            <w:tcW w:w="395" w:type="pct"/>
            <w:tcBorders>
              <w:top w:val="nil"/>
              <w:left w:val="nil"/>
              <w:bottom w:val="nil"/>
              <w:right w:val="nil"/>
            </w:tcBorders>
            <w:shd w:val="clear" w:color="000000" w:fill="FFFFFF"/>
            <w:noWrap/>
            <w:vAlign w:val="center"/>
            <w:hideMark/>
          </w:tcPr>
          <w:p w14:paraId="164BF53D"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26.7</w:t>
            </w:r>
          </w:p>
        </w:tc>
        <w:tc>
          <w:tcPr>
            <w:tcW w:w="57" w:type="pct"/>
            <w:tcBorders>
              <w:top w:val="nil"/>
              <w:left w:val="nil"/>
              <w:bottom w:val="nil"/>
              <w:right w:val="nil"/>
            </w:tcBorders>
            <w:shd w:val="clear" w:color="000000" w:fill="FFFFFF"/>
            <w:noWrap/>
            <w:vAlign w:val="center"/>
            <w:hideMark/>
          </w:tcPr>
          <w:p w14:paraId="7B0BE48C"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3" w:type="pct"/>
            <w:tcBorders>
              <w:top w:val="nil"/>
              <w:left w:val="nil"/>
              <w:bottom w:val="nil"/>
              <w:right w:val="nil"/>
            </w:tcBorders>
            <w:shd w:val="clear" w:color="000000" w:fill="FFFFFF"/>
            <w:noWrap/>
            <w:vAlign w:val="center"/>
            <w:hideMark/>
          </w:tcPr>
          <w:p w14:paraId="124BC254"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24.8</w:t>
            </w:r>
          </w:p>
        </w:tc>
        <w:tc>
          <w:tcPr>
            <w:tcW w:w="442" w:type="pct"/>
            <w:tcBorders>
              <w:top w:val="nil"/>
              <w:left w:val="nil"/>
              <w:bottom w:val="nil"/>
              <w:right w:val="nil"/>
            </w:tcBorders>
            <w:shd w:val="clear" w:color="000000" w:fill="E6F2FF"/>
            <w:noWrap/>
            <w:vAlign w:val="center"/>
            <w:hideMark/>
          </w:tcPr>
          <w:p w14:paraId="7F6AC08B"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26.5</w:t>
            </w:r>
          </w:p>
        </w:tc>
        <w:tc>
          <w:tcPr>
            <w:tcW w:w="442" w:type="pct"/>
            <w:tcBorders>
              <w:top w:val="nil"/>
              <w:left w:val="nil"/>
              <w:bottom w:val="nil"/>
              <w:right w:val="nil"/>
            </w:tcBorders>
            <w:shd w:val="clear" w:color="000000" w:fill="FFFFFF"/>
            <w:noWrap/>
            <w:vAlign w:val="center"/>
            <w:hideMark/>
          </w:tcPr>
          <w:p w14:paraId="3D697EE5"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26.8</w:t>
            </w:r>
          </w:p>
        </w:tc>
        <w:tc>
          <w:tcPr>
            <w:tcW w:w="442" w:type="pct"/>
            <w:tcBorders>
              <w:top w:val="nil"/>
              <w:left w:val="nil"/>
              <w:bottom w:val="nil"/>
              <w:right w:val="nil"/>
            </w:tcBorders>
            <w:shd w:val="clear" w:color="000000" w:fill="FFFFFF"/>
            <w:noWrap/>
            <w:vAlign w:val="center"/>
            <w:hideMark/>
          </w:tcPr>
          <w:p w14:paraId="1335EE56"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26.6</w:t>
            </w:r>
          </w:p>
        </w:tc>
        <w:tc>
          <w:tcPr>
            <w:tcW w:w="442" w:type="pct"/>
            <w:tcBorders>
              <w:top w:val="nil"/>
              <w:left w:val="nil"/>
              <w:bottom w:val="nil"/>
              <w:right w:val="nil"/>
            </w:tcBorders>
            <w:shd w:val="clear" w:color="000000" w:fill="FFFFFF"/>
            <w:noWrap/>
            <w:vAlign w:val="center"/>
            <w:hideMark/>
          </w:tcPr>
          <w:p w14:paraId="1705163D"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26.1</w:t>
            </w:r>
          </w:p>
        </w:tc>
        <w:tc>
          <w:tcPr>
            <w:tcW w:w="57" w:type="pct"/>
            <w:tcBorders>
              <w:top w:val="nil"/>
              <w:left w:val="nil"/>
              <w:bottom w:val="nil"/>
              <w:right w:val="nil"/>
            </w:tcBorders>
            <w:shd w:val="clear" w:color="000000" w:fill="FFFFFF"/>
            <w:noWrap/>
            <w:vAlign w:val="center"/>
            <w:hideMark/>
          </w:tcPr>
          <w:p w14:paraId="3932D018"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6D65E974"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68" w:type="pct"/>
            <w:tcBorders>
              <w:top w:val="nil"/>
              <w:left w:val="nil"/>
              <w:bottom w:val="nil"/>
              <w:right w:val="nil"/>
            </w:tcBorders>
            <w:shd w:val="clear" w:color="000000" w:fill="FFFFFF"/>
            <w:noWrap/>
            <w:vAlign w:val="center"/>
            <w:hideMark/>
          </w:tcPr>
          <w:p w14:paraId="79BA04F1"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705C90DA"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26.4</w:t>
            </w:r>
          </w:p>
        </w:tc>
      </w:tr>
      <w:tr w:rsidR="00FA1AC7" w:rsidRPr="00FA1AC7" w14:paraId="21479B41" w14:textId="77777777" w:rsidTr="00AF1F1D">
        <w:trPr>
          <w:divId w:val="777674716"/>
          <w:trHeight w:hRule="exact" w:val="60"/>
        </w:trPr>
        <w:tc>
          <w:tcPr>
            <w:tcW w:w="1333" w:type="pct"/>
            <w:tcBorders>
              <w:top w:val="nil"/>
              <w:left w:val="nil"/>
              <w:bottom w:val="nil"/>
              <w:right w:val="nil"/>
            </w:tcBorders>
            <w:shd w:val="clear" w:color="000000" w:fill="FFFFFF"/>
            <w:noWrap/>
            <w:vAlign w:val="center"/>
            <w:hideMark/>
          </w:tcPr>
          <w:p w14:paraId="3ED363AB"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4EA363B2"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57" w:type="pct"/>
            <w:tcBorders>
              <w:top w:val="nil"/>
              <w:left w:val="nil"/>
              <w:bottom w:val="nil"/>
              <w:right w:val="nil"/>
            </w:tcBorders>
            <w:shd w:val="clear" w:color="000000" w:fill="FFFFFF"/>
            <w:noWrap/>
            <w:vAlign w:val="center"/>
            <w:hideMark/>
          </w:tcPr>
          <w:p w14:paraId="6D3495ED"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3" w:type="pct"/>
            <w:tcBorders>
              <w:top w:val="nil"/>
              <w:left w:val="nil"/>
              <w:bottom w:val="nil"/>
              <w:right w:val="nil"/>
            </w:tcBorders>
            <w:shd w:val="clear" w:color="000000" w:fill="FFFFFF"/>
            <w:noWrap/>
            <w:vAlign w:val="center"/>
            <w:hideMark/>
          </w:tcPr>
          <w:p w14:paraId="1568A561"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2" w:type="pct"/>
            <w:tcBorders>
              <w:top w:val="nil"/>
              <w:left w:val="nil"/>
              <w:bottom w:val="nil"/>
              <w:right w:val="nil"/>
            </w:tcBorders>
            <w:shd w:val="clear" w:color="000000" w:fill="E6F2FF"/>
            <w:noWrap/>
            <w:vAlign w:val="center"/>
            <w:hideMark/>
          </w:tcPr>
          <w:p w14:paraId="6A9D2C83"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2" w:type="pct"/>
            <w:tcBorders>
              <w:top w:val="nil"/>
              <w:left w:val="nil"/>
              <w:bottom w:val="nil"/>
              <w:right w:val="nil"/>
            </w:tcBorders>
            <w:shd w:val="clear" w:color="000000" w:fill="FFFFFF"/>
            <w:noWrap/>
            <w:vAlign w:val="center"/>
            <w:hideMark/>
          </w:tcPr>
          <w:p w14:paraId="2AC19939"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2" w:type="pct"/>
            <w:tcBorders>
              <w:top w:val="nil"/>
              <w:left w:val="nil"/>
              <w:bottom w:val="nil"/>
              <w:right w:val="nil"/>
            </w:tcBorders>
            <w:shd w:val="clear" w:color="000000" w:fill="FFFFFF"/>
            <w:noWrap/>
            <w:vAlign w:val="center"/>
            <w:hideMark/>
          </w:tcPr>
          <w:p w14:paraId="601FEE4E"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2" w:type="pct"/>
            <w:tcBorders>
              <w:top w:val="nil"/>
              <w:left w:val="nil"/>
              <w:bottom w:val="nil"/>
              <w:right w:val="nil"/>
            </w:tcBorders>
            <w:shd w:val="clear" w:color="000000" w:fill="FFFFFF"/>
            <w:noWrap/>
            <w:vAlign w:val="center"/>
            <w:hideMark/>
          </w:tcPr>
          <w:p w14:paraId="440614EE"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57" w:type="pct"/>
            <w:tcBorders>
              <w:top w:val="nil"/>
              <w:left w:val="nil"/>
              <w:bottom w:val="nil"/>
              <w:right w:val="nil"/>
            </w:tcBorders>
            <w:shd w:val="clear" w:color="000000" w:fill="FFFFFF"/>
            <w:noWrap/>
            <w:vAlign w:val="center"/>
            <w:hideMark/>
          </w:tcPr>
          <w:p w14:paraId="385DCC32"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016F7CEC"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68" w:type="pct"/>
            <w:tcBorders>
              <w:top w:val="nil"/>
              <w:left w:val="nil"/>
              <w:bottom w:val="nil"/>
              <w:right w:val="nil"/>
            </w:tcBorders>
            <w:shd w:val="clear" w:color="000000" w:fill="FFFFFF"/>
            <w:noWrap/>
            <w:vAlign w:val="center"/>
            <w:hideMark/>
          </w:tcPr>
          <w:p w14:paraId="2D182CA6"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137597A7"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r>
      <w:tr w:rsidR="00FA1AC7" w:rsidRPr="00FA1AC7" w14:paraId="21FA7F7D" w14:textId="77777777" w:rsidTr="00AF1F1D">
        <w:trPr>
          <w:divId w:val="777674716"/>
          <w:trHeight w:hRule="exact" w:val="226"/>
        </w:trPr>
        <w:tc>
          <w:tcPr>
            <w:tcW w:w="1333" w:type="pct"/>
            <w:tcBorders>
              <w:top w:val="nil"/>
              <w:left w:val="nil"/>
              <w:bottom w:val="nil"/>
              <w:right w:val="nil"/>
            </w:tcBorders>
            <w:shd w:val="clear" w:color="000000" w:fill="FFFFFF"/>
            <w:noWrap/>
            <w:vAlign w:val="center"/>
            <w:hideMark/>
          </w:tcPr>
          <w:p w14:paraId="531BC393" w14:textId="77777777" w:rsidR="00AF1F1D" w:rsidRPr="00FA1AC7" w:rsidRDefault="00AF1F1D" w:rsidP="00AF1F1D">
            <w:pPr>
              <w:spacing w:before="0" w:after="0" w:line="240" w:lineRule="auto"/>
              <w:rPr>
                <w:rFonts w:ascii="Arial" w:hAnsi="Arial" w:cs="Arial"/>
                <w:b/>
                <w:bCs/>
                <w:sz w:val="16"/>
                <w:szCs w:val="16"/>
              </w:rPr>
            </w:pPr>
            <w:r w:rsidRPr="00FA1AC7">
              <w:rPr>
                <w:rFonts w:ascii="Arial" w:hAnsi="Arial" w:cs="Arial"/>
                <w:b/>
                <w:bCs/>
                <w:sz w:val="16"/>
                <w:szCs w:val="16"/>
              </w:rPr>
              <w:t>Gross debt(c)</w:t>
            </w:r>
          </w:p>
        </w:tc>
        <w:tc>
          <w:tcPr>
            <w:tcW w:w="395" w:type="pct"/>
            <w:tcBorders>
              <w:top w:val="nil"/>
              <w:left w:val="nil"/>
              <w:bottom w:val="nil"/>
              <w:right w:val="nil"/>
            </w:tcBorders>
            <w:shd w:val="clear" w:color="000000" w:fill="FFFFFF"/>
            <w:noWrap/>
            <w:vAlign w:val="center"/>
            <w:hideMark/>
          </w:tcPr>
          <w:p w14:paraId="6B2AAE03"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895.3</w:t>
            </w:r>
          </w:p>
        </w:tc>
        <w:tc>
          <w:tcPr>
            <w:tcW w:w="57" w:type="pct"/>
            <w:tcBorders>
              <w:top w:val="nil"/>
              <w:left w:val="nil"/>
              <w:bottom w:val="nil"/>
              <w:right w:val="nil"/>
            </w:tcBorders>
            <w:shd w:val="clear" w:color="000000" w:fill="FFFFFF"/>
            <w:noWrap/>
            <w:vAlign w:val="center"/>
            <w:hideMark/>
          </w:tcPr>
          <w:p w14:paraId="5F6295E2"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w:t>
            </w:r>
          </w:p>
        </w:tc>
        <w:tc>
          <w:tcPr>
            <w:tcW w:w="443" w:type="pct"/>
            <w:tcBorders>
              <w:top w:val="nil"/>
              <w:left w:val="nil"/>
              <w:bottom w:val="nil"/>
              <w:right w:val="nil"/>
            </w:tcBorders>
            <w:shd w:val="clear" w:color="000000" w:fill="FFFFFF"/>
            <w:noWrap/>
            <w:vAlign w:val="center"/>
            <w:hideMark/>
          </w:tcPr>
          <w:p w14:paraId="641CF569"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887.0</w:t>
            </w:r>
          </w:p>
        </w:tc>
        <w:tc>
          <w:tcPr>
            <w:tcW w:w="442" w:type="pct"/>
            <w:tcBorders>
              <w:top w:val="nil"/>
              <w:left w:val="nil"/>
              <w:bottom w:val="nil"/>
              <w:right w:val="nil"/>
            </w:tcBorders>
            <w:shd w:val="clear" w:color="000000" w:fill="E6F2FF"/>
            <w:noWrap/>
            <w:vAlign w:val="center"/>
            <w:hideMark/>
          </w:tcPr>
          <w:p w14:paraId="45FFB614"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923.0</w:t>
            </w:r>
          </w:p>
        </w:tc>
        <w:tc>
          <w:tcPr>
            <w:tcW w:w="442" w:type="pct"/>
            <w:tcBorders>
              <w:top w:val="nil"/>
              <w:left w:val="nil"/>
              <w:bottom w:val="nil"/>
              <w:right w:val="nil"/>
            </w:tcBorders>
            <w:shd w:val="clear" w:color="000000" w:fill="FFFFFF"/>
            <w:noWrap/>
            <w:vAlign w:val="center"/>
            <w:hideMark/>
          </w:tcPr>
          <w:p w14:paraId="7DF8FD8C"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958.0</w:t>
            </w:r>
          </w:p>
        </w:tc>
        <w:tc>
          <w:tcPr>
            <w:tcW w:w="442" w:type="pct"/>
            <w:tcBorders>
              <w:top w:val="nil"/>
              <w:left w:val="nil"/>
              <w:bottom w:val="nil"/>
              <w:right w:val="nil"/>
            </w:tcBorders>
            <w:shd w:val="clear" w:color="000000" w:fill="FFFFFF"/>
            <w:noWrap/>
            <w:vAlign w:val="center"/>
            <w:hideMark/>
          </w:tcPr>
          <w:p w14:paraId="5423CD5C"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1,015.0</w:t>
            </w:r>
          </w:p>
        </w:tc>
        <w:tc>
          <w:tcPr>
            <w:tcW w:w="442" w:type="pct"/>
            <w:tcBorders>
              <w:top w:val="nil"/>
              <w:left w:val="nil"/>
              <w:bottom w:val="nil"/>
              <w:right w:val="nil"/>
            </w:tcBorders>
            <w:shd w:val="clear" w:color="000000" w:fill="FFFFFF"/>
            <w:noWrap/>
            <w:vAlign w:val="center"/>
            <w:hideMark/>
          </w:tcPr>
          <w:p w14:paraId="7C8A12AB"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1,067.0</w:t>
            </w:r>
          </w:p>
        </w:tc>
        <w:tc>
          <w:tcPr>
            <w:tcW w:w="57" w:type="pct"/>
            <w:tcBorders>
              <w:top w:val="nil"/>
              <w:left w:val="nil"/>
              <w:bottom w:val="nil"/>
              <w:right w:val="nil"/>
            </w:tcBorders>
            <w:shd w:val="clear" w:color="000000" w:fill="FFFFFF"/>
            <w:noWrap/>
            <w:vAlign w:val="center"/>
            <w:hideMark/>
          </w:tcPr>
          <w:p w14:paraId="57FB1890"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w:t>
            </w:r>
          </w:p>
        </w:tc>
        <w:tc>
          <w:tcPr>
            <w:tcW w:w="395" w:type="pct"/>
            <w:tcBorders>
              <w:top w:val="nil"/>
              <w:left w:val="nil"/>
              <w:bottom w:val="nil"/>
              <w:right w:val="nil"/>
            </w:tcBorders>
            <w:shd w:val="clear" w:color="000000" w:fill="FFFFFF"/>
            <w:noWrap/>
            <w:vAlign w:val="center"/>
            <w:hideMark/>
          </w:tcPr>
          <w:p w14:paraId="56EA42A0"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w:t>
            </w:r>
          </w:p>
        </w:tc>
        <w:tc>
          <w:tcPr>
            <w:tcW w:w="68" w:type="pct"/>
            <w:tcBorders>
              <w:top w:val="nil"/>
              <w:left w:val="nil"/>
              <w:bottom w:val="nil"/>
              <w:right w:val="nil"/>
            </w:tcBorders>
            <w:shd w:val="clear" w:color="000000" w:fill="FFFFFF"/>
            <w:noWrap/>
            <w:vAlign w:val="center"/>
            <w:hideMark/>
          </w:tcPr>
          <w:p w14:paraId="740AC6B1"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w:t>
            </w:r>
          </w:p>
        </w:tc>
        <w:tc>
          <w:tcPr>
            <w:tcW w:w="482" w:type="pct"/>
            <w:tcBorders>
              <w:top w:val="nil"/>
              <w:left w:val="nil"/>
              <w:bottom w:val="nil"/>
              <w:right w:val="nil"/>
            </w:tcBorders>
            <w:shd w:val="clear" w:color="000000" w:fill="FFFFFF"/>
            <w:noWrap/>
            <w:vAlign w:val="center"/>
            <w:hideMark/>
          </w:tcPr>
          <w:p w14:paraId="5C757AF2" w14:textId="77777777" w:rsidR="00AF1F1D" w:rsidRPr="00FA1AC7" w:rsidRDefault="00AF1F1D" w:rsidP="00AF1F1D">
            <w:pPr>
              <w:spacing w:before="0" w:after="0" w:line="240" w:lineRule="auto"/>
              <w:rPr>
                <w:rFonts w:ascii="Arial" w:hAnsi="Arial" w:cs="Arial"/>
                <w:b/>
                <w:bCs/>
                <w:sz w:val="16"/>
                <w:szCs w:val="16"/>
              </w:rPr>
            </w:pPr>
            <w:r w:rsidRPr="00FA1AC7">
              <w:rPr>
                <w:rFonts w:ascii="Arial" w:hAnsi="Arial" w:cs="Arial"/>
                <w:b/>
                <w:bCs/>
                <w:sz w:val="16"/>
                <w:szCs w:val="16"/>
              </w:rPr>
              <w:t> </w:t>
            </w:r>
          </w:p>
        </w:tc>
      </w:tr>
      <w:tr w:rsidR="00FA1AC7" w:rsidRPr="00FA1AC7" w14:paraId="2AF14392" w14:textId="77777777" w:rsidTr="00AF1F1D">
        <w:trPr>
          <w:divId w:val="777674716"/>
          <w:trHeight w:hRule="exact" w:val="226"/>
        </w:trPr>
        <w:tc>
          <w:tcPr>
            <w:tcW w:w="1333" w:type="pct"/>
            <w:tcBorders>
              <w:top w:val="nil"/>
              <w:left w:val="nil"/>
              <w:bottom w:val="nil"/>
              <w:right w:val="nil"/>
            </w:tcBorders>
            <w:shd w:val="clear" w:color="000000" w:fill="FFFFFF"/>
            <w:noWrap/>
            <w:vAlign w:val="center"/>
            <w:hideMark/>
          </w:tcPr>
          <w:p w14:paraId="21F9B5A1"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Per cent of GDP</w:t>
            </w:r>
          </w:p>
        </w:tc>
        <w:tc>
          <w:tcPr>
            <w:tcW w:w="395" w:type="pct"/>
            <w:tcBorders>
              <w:top w:val="nil"/>
              <w:left w:val="nil"/>
              <w:bottom w:val="nil"/>
              <w:right w:val="nil"/>
            </w:tcBorders>
            <w:shd w:val="clear" w:color="auto" w:fill="auto"/>
            <w:noWrap/>
            <w:vAlign w:val="center"/>
            <w:hideMark/>
          </w:tcPr>
          <w:p w14:paraId="03B9A574"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38.8</w:t>
            </w:r>
          </w:p>
        </w:tc>
        <w:tc>
          <w:tcPr>
            <w:tcW w:w="57" w:type="pct"/>
            <w:tcBorders>
              <w:top w:val="nil"/>
              <w:left w:val="nil"/>
              <w:bottom w:val="nil"/>
              <w:right w:val="nil"/>
            </w:tcBorders>
            <w:shd w:val="clear" w:color="000000" w:fill="FFFFFF"/>
            <w:noWrap/>
            <w:vAlign w:val="center"/>
            <w:hideMark/>
          </w:tcPr>
          <w:p w14:paraId="040CFCF4"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3" w:type="pct"/>
            <w:tcBorders>
              <w:top w:val="nil"/>
              <w:left w:val="nil"/>
              <w:bottom w:val="nil"/>
              <w:right w:val="nil"/>
            </w:tcBorders>
            <w:shd w:val="clear" w:color="000000" w:fill="FFFFFF"/>
            <w:noWrap/>
            <w:vAlign w:val="center"/>
            <w:hideMark/>
          </w:tcPr>
          <w:p w14:paraId="0150DDC2"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34.9</w:t>
            </w:r>
          </w:p>
        </w:tc>
        <w:tc>
          <w:tcPr>
            <w:tcW w:w="442" w:type="pct"/>
            <w:tcBorders>
              <w:top w:val="nil"/>
              <w:left w:val="nil"/>
              <w:bottom w:val="nil"/>
              <w:right w:val="nil"/>
            </w:tcBorders>
            <w:shd w:val="clear" w:color="000000" w:fill="E6F2FF"/>
            <w:noWrap/>
            <w:vAlign w:val="center"/>
            <w:hideMark/>
          </w:tcPr>
          <w:p w14:paraId="16580909"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35.8</w:t>
            </w:r>
          </w:p>
        </w:tc>
        <w:tc>
          <w:tcPr>
            <w:tcW w:w="442" w:type="pct"/>
            <w:tcBorders>
              <w:top w:val="nil"/>
              <w:left w:val="nil"/>
              <w:bottom w:val="nil"/>
              <w:right w:val="nil"/>
            </w:tcBorders>
            <w:shd w:val="clear" w:color="000000" w:fill="FFFFFF"/>
            <w:noWrap/>
            <w:vAlign w:val="center"/>
            <w:hideMark/>
          </w:tcPr>
          <w:p w14:paraId="4A5F6288"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36.3</w:t>
            </w:r>
          </w:p>
        </w:tc>
        <w:tc>
          <w:tcPr>
            <w:tcW w:w="442" w:type="pct"/>
            <w:tcBorders>
              <w:top w:val="nil"/>
              <w:left w:val="nil"/>
              <w:bottom w:val="nil"/>
              <w:right w:val="nil"/>
            </w:tcBorders>
            <w:shd w:val="clear" w:color="000000" w:fill="FFFFFF"/>
            <w:noWrap/>
            <w:vAlign w:val="center"/>
            <w:hideMark/>
          </w:tcPr>
          <w:p w14:paraId="4853CC97"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36.5</w:t>
            </w:r>
          </w:p>
        </w:tc>
        <w:tc>
          <w:tcPr>
            <w:tcW w:w="442" w:type="pct"/>
            <w:tcBorders>
              <w:top w:val="nil"/>
              <w:left w:val="nil"/>
              <w:bottom w:val="nil"/>
              <w:right w:val="nil"/>
            </w:tcBorders>
            <w:shd w:val="clear" w:color="000000" w:fill="FFFFFF"/>
            <w:noWrap/>
            <w:vAlign w:val="center"/>
            <w:hideMark/>
          </w:tcPr>
          <w:p w14:paraId="51DCA275"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36.5</w:t>
            </w:r>
          </w:p>
        </w:tc>
        <w:tc>
          <w:tcPr>
            <w:tcW w:w="57" w:type="pct"/>
            <w:tcBorders>
              <w:top w:val="nil"/>
              <w:left w:val="nil"/>
              <w:bottom w:val="nil"/>
              <w:right w:val="nil"/>
            </w:tcBorders>
            <w:shd w:val="clear" w:color="000000" w:fill="FFFFFF"/>
            <w:noWrap/>
            <w:vAlign w:val="center"/>
            <w:hideMark/>
          </w:tcPr>
          <w:p w14:paraId="18514809"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01453978"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68" w:type="pct"/>
            <w:tcBorders>
              <w:top w:val="nil"/>
              <w:left w:val="nil"/>
              <w:bottom w:val="nil"/>
              <w:right w:val="nil"/>
            </w:tcBorders>
            <w:shd w:val="clear" w:color="000000" w:fill="FFFFFF"/>
            <w:noWrap/>
            <w:vAlign w:val="center"/>
            <w:hideMark/>
          </w:tcPr>
          <w:p w14:paraId="57BA6CE9"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25F108F4"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32.3</w:t>
            </w:r>
          </w:p>
        </w:tc>
      </w:tr>
      <w:tr w:rsidR="00FA1AC7" w:rsidRPr="00FA1AC7" w14:paraId="557ADAB2" w14:textId="77777777" w:rsidTr="00AF1F1D">
        <w:trPr>
          <w:divId w:val="777674716"/>
          <w:trHeight w:hRule="exact" w:val="60"/>
        </w:trPr>
        <w:tc>
          <w:tcPr>
            <w:tcW w:w="1333" w:type="pct"/>
            <w:tcBorders>
              <w:top w:val="nil"/>
              <w:left w:val="nil"/>
              <w:bottom w:val="nil"/>
              <w:right w:val="nil"/>
            </w:tcBorders>
            <w:shd w:val="clear" w:color="000000" w:fill="FFFFFF"/>
            <w:noWrap/>
            <w:vAlign w:val="center"/>
            <w:hideMark/>
          </w:tcPr>
          <w:p w14:paraId="04BA0418"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6F3BCE34"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57" w:type="pct"/>
            <w:tcBorders>
              <w:top w:val="nil"/>
              <w:left w:val="nil"/>
              <w:bottom w:val="nil"/>
              <w:right w:val="nil"/>
            </w:tcBorders>
            <w:shd w:val="clear" w:color="000000" w:fill="FFFFFF"/>
            <w:noWrap/>
            <w:vAlign w:val="center"/>
            <w:hideMark/>
          </w:tcPr>
          <w:p w14:paraId="646297A6"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3" w:type="pct"/>
            <w:tcBorders>
              <w:top w:val="nil"/>
              <w:left w:val="nil"/>
              <w:bottom w:val="nil"/>
              <w:right w:val="nil"/>
            </w:tcBorders>
            <w:shd w:val="clear" w:color="000000" w:fill="FFFFFF"/>
            <w:noWrap/>
            <w:vAlign w:val="center"/>
            <w:hideMark/>
          </w:tcPr>
          <w:p w14:paraId="3560B7C3"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2" w:type="pct"/>
            <w:tcBorders>
              <w:top w:val="nil"/>
              <w:left w:val="nil"/>
              <w:bottom w:val="nil"/>
              <w:right w:val="nil"/>
            </w:tcBorders>
            <w:shd w:val="clear" w:color="000000" w:fill="E6F2FF"/>
            <w:noWrap/>
            <w:vAlign w:val="center"/>
            <w:hideMark/>
          </w:tcPr>
          <w:p w14:paraId="5A76825D"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2" w:type="pct"/>
            <w:tcBorders>
              <w:top w:val="nil"/>
              <w:left w:val="nil"/>
              <w:bottom w:val="nil"/>
              <w:right w:val="nil"/>
            </w:tcBorders>
            <w:shd w:val="clear" w:color="000000" w:fill="FFFFFF"/>
            <w:noWrap/>
            <w:vAlign w:val="center"/>
            <w:hideMark/>
          </w:tcPr>
          <w:p w14:paraId="0F74116A"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2" w:type="pct"/>
            <w:tcBorders>
              <w:top w:val="nil"/>
              <w:left w:val="nil"/>
              <w:bottom w:val="nil"/>
              <w:right w:val="nil"/>
            </w:tcBorders>
            <w:shd w:val="clear" w:color="000000" w:fill="FFFFFF"/>
            <w:noWrap/>
            <w:vAlign w:val="center"/>
            <w:hideMark/>
          </w:tcPr>
          <w:p w14:paraId="72CCCB00"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2" w:type="pct"/>
            <w:tcBorders>
              <w:top w:val="nil"/>
              <w:left w:val="nil"/>
              <w:bottom w:val="nil"/>
              <w:right w:val="nil"/>
            </w:tcBorders>
            <w:shd w:val="clear" w:color="000000" w:fill="FFFFFF"/>
            <w:noWrap/>
            <w:vAlign w:val="center"/>
            <w:hideMark/>
          </w:tcPr>
          <w:p w14:paraId="3594A162"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57" w:type="pct"/>
            <w:tcBorders>
              <w:top w:val="nil"/>
              <w:left w:val="nil"/>
              <w:bottom w:val="nil"/>
              <w:right w:val="nil"/>
            </w:tcBorders>
            <w:shd w:val="clear" w:color="000000" w:fill="FFFFFF"/>
            <w:noWrap/>
            <w:vAlign w:val="center"/>
            <w:hideMark/>
          </w:tcPr>
          <w:p w14:paraId="21FFF31C"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731E5016"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68" w:type="pct"/>
            <w:tcBorders>
              <w:top w:val="nil"/>
              <w:left w:val="nil"/>
              <w:bottom w:val="nil"/>
              <w:right w:val="nil"/>
            </w:tcBorders>
            <w:shd w:val="clear" w:color="000000" w:fill="FFFFFF"/>
            <w:noWrap/>
            <w:vAlign w:val="center"/>
            <w:hideMark/>
          </w:tcPr>
          <w:p w14:paraId="6CF350CE"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4D6FCF91"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 </w:t>
            </w:r>
          </w:p>
        </w:tc>
      </w:tr>
      <w:tr w:rsidR="00FA1AC7" w:rsidRPr="00FA1AC7" w14:paraId="77CCDD7C" w14:textId="77777777" w:rsidTr="00AF1F1D">
        <w:trPr>
          <w:divId w:val="777674716"/>
          <w:trHeight w:hRule="exact" w:val="226"/>
        </w:trPr>
        <w:tc>
          <w:tcPr>
            <w:tcW w:w="1333" w:type="pct"/>
            <w:tcBorders>
              <w:top w:val="nil"/>
              <w:left w:val="nil"/>
              <w:bottom w:val="nil"/>
              <w:right w:val="nil"/>
            </w:tcBorders>
            <w:shd w:val="clear" w:color="000000" w:fill="FFFFFF"/>
            <w:noWrap/>
            <w:vAlign w:val="center"/>
            <w:hideMark/>
          </w:tcPr>
          <w:p w14:paraId="6524C384" w14:textId="77777777" w:rsidR="00AF1F1D" w:rsidRPr="00FA1AC7" w:rsidRDefault="00AF1F1D" w:rsidP="00AF1F1D">
            <w:pPr>
              <w:spacing w:before="0" w:after="0" w:line="240" w:lineRule="auto"/>
              <w:rPr>
                <w:rFonts w:ascii="Arial" w:hAnsi="Arial" w:cs="Arial"/>
                <w:b/>
                <w:bCs/>
                <w:sz w:val="16"/>
                <w:szCs w:val="16"/>
              </w:rPr>
            </w:pPr>
            <w:r w:rsidRPr="00FA1AC7">
              <w:rPr>
                <w:rFonts w:ascii="Arial" w:hAnsi="Arial" w:cs="Arial"/>
                <w:b/>
                <w:bCs/>
                <w:sz w:val="16"/>
                <w:szCs w:val="16"/>
              </w:rPr>
              <w:t xml:space="preserve">Net debt(d) </w:t>
            </w:r>
          </w:p>
        </w:tc>
        <w:tc>
          <w:tcPr>
            <w:tcW w:w="395" w:type="pct"/>
            <w:tcBorders>
              <w:top w:val="nil"/>
              <w:left w:val="nil"/>
              <w:bottom w:val="nil"/>
              <w:right w:val="nil"/>
            </w:tcBorders>
            <w:shd w:val="clear" w:color="000000" w:fill="FFFFFF"/>
            <w:noWrap/>
            <w:vAlign w:val="center"/>
            <w:hideMark/>
          </w:tcPr>
          <w:p w14:paraId="4E6D8B86"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515.6</w:t>
            </w:r>
          </w:p>
        </w:tc>
        <w:tc>
          <w:tcPr>
            <w:tcW w:w="57" w:type="pct"/>
            <w:tcBorders>
              <w:top w:val="nil"/>
              <w:left w:val="nil"/>
              <w:bottom w:val="nil"/>
              <w:right w:val="nil"/>
            </w:tcBorders>
            <w:shd w:val="clear" w:color="000000" w:fill="FFFFFF"/>
            <w:noWrap/>
            <w:vAlign w:val="center"/>
            <w:hideMark/>
          </w:tcPr>
          <w:p w14:paraId="5B8E7516"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3" w:type="pct"/>
            <w:tcBorders>
              <w:top w:val="nil"/>
              <w:left w:val="nil"/>
              <w:bottom w:val="nil"/>
              <w:right w:val="nil"/>
            </w:tcBorders>
            <w:shd w:val="clear" w:color="000000" w:fill="FFFFFF"/>
            <w:noWrap/>
            <w:vAlign w:val="center"/>
            <w:hideMark/>
          </w:tcPr>
          <w:p w14:paraId="032EABEE"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548.6</w:t>
            </w:r>
          </w:p>
        </w:tc>
        <w:tc>
          <w:tcPr>
            <w:tcW w:w="442" w:type="pct"/>
            <w:tcBorders>
              <w:top w:val="nil"/>
              <w:left w:val="nil"/>
              <w:bottom w:val="nil"/>
              <w:right w:val="nil"/>
            </w:tcBorders>
            <w:shd w:val="clear" w:color="000000" w:fill="E6F2FF"/>
            <w:noWrap/>
            <w:vAlign w:val="center"/>
            <w:hideMark/>
          </w:tcPr>
          <w:p w14:paraId="30868242"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574.9</w:t>
            </w:r>
          </w:p>
        </w:tc>
        <w:tc>
          <w:tcPr>
            <w:tcW w:w="442" w:type="pct"/>
            <w:tcBorders>
              <w:top w:val="nil"/>
              <w:left w:val="nil"/>
              <w:bottom w:val="nil"/>
              <w:right w:val="nil"/>
            </w:tcBorders>
            <w:shd w:val="clear" w:color="000000" w:fill="FFFFFF"/>
            <w:noWrap/>
            <w:vAlign w:val="center"/>
            <w:hideMark/>
          </w:tcPr>
          <w:p w14:paraId="333FEBAE"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620.6</w:t>
            </w:r>
          </w:p>
        </w:tc>
        <w:tc>
          <w:tcPr>
            <w:tcW w:w="442" w:type="pct"/>
            <w:tcBorders>
              <w:top w:val="nil"/>
              <w:left w:val="nil"/>
              <w:bottom w:val="nil"/>
              <w:right w:val="nil"/>
            </w:tcBorders>
            <w:shd w:val="clear" w:color="000000" w:fill="FFFFFF"/>
            <w:noWrap/>
            <w:vAlign w:val="center"/>
            <w:hideMark/>
          </w:tcPr>
          <w:p w14:paraId="36414A8D"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665.2</w:t>
            </w:r>
          </w:p>
        </w:tc>
        <w:tc>
          <w:tcPr>
            <w:tcW w:w="442" w:type="pct"/>
            <w:tcBorders>
              <w:top w:val="nil"/>
              <w:left w:val="nil"/>
              <w:bottom w:val="nil"/>
              <w:right w:val="nil"/>
            </w:tcBorders>
            <w:shd w:val="clear" w:color="000000" w:fill="FFFFFF"/>
            <w:noWrap/>
            <w:vAlign w:val="center"/>
            <w:hideMark/>
          </w:tcPr>
          <w:p w14:paraId="01D5E2FC"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702.9</w:t>
            </w:r>
          </w:p>
        </w:tc>
        <w:tc>
          <w:tcPr>
            <w:tcW w:w="57" w:type="pct"/>
            <w:tcBorders>
              <w:top w:val="nil"/>
              <w:left w:val="nil"/>
              <w:bottom w:val="nil"/>
              <w:right w:val="nil"/>
            </w:tcBorders>
            <w:shd w:val="clear" w:color="000000" w:fill="FFFFFF"/>
            <w:noWrap/>
            <w:vAlign w:val="center"/>
            <w:hideMark/>
          </w:tcPr>
          <w:p w14:paraId="05719646"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719E9BCC"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w:t>
            </w:r>
          </w:p>
        </w:tc>
        <w:tc>
          <w:tcPr>
            <w:tcW w:w="68" w:type="pct"/>
            <w:tcBorders>
              <w:top w:val="nil"/>
              <w:left w:val="nil"/>
              <w:bottom w:val="nil"/>
              <w:right w:val="nil"/>
            </w:tcBorders>
            <w:shd w:val="clear" w:color="000000" w:fill="FFFFFF"/>
            <w:noWrap/>
            <w:vAlign w:val="center"/>
            <w:hideMark/>
          </w:tcPr>
          <w:p w14:paraId="6CCBE3EC"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w:t>
            </w:r>
          </w:p>
        </w:tc>
        <w:tc>
          <w:tcPr>
            <w:tcW w:w="482" w:type="pct"/>
            <w:tcBorders>
              <w:top w:val="nil"/>
              <w:left w:val="nil"/>
              <w:bottom w:val="nil"/>
              <w:right w:val="nil"/>
            </w:tcBorders>
            <w:shd w:val="clear" w:color="000000" w:fill="FFFFFF"/>
            <w:noWrap/>
            <w:vAlign w:val="center"/>
            <w:hideMark/>
          </w:tcPr>
          <w:p w14:paraId="64F3CB58"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 </w:t>
            </w:r>
          </w:p>
        </w:tc>
      </w:tr>
      <w:tr w:rsidR="00FA1AC7" w:rsidRPr="00FA1AC7" w14:paraId="1968DAEE" w14:textId="77777777" w:rsidTr="00AF1F1D">
        <w:trPr>
          <w:divId w:val="777674716"/>
          <w:trHeight w:hRule="exact" w:val="226"/>
        </w:trPr>
        <w:tc>
          <w:tcPr>
            <w:tcW w:w="1333" w:type="pct"/>
            <w:tcBorders>
              <w:top w:val="nil"/>
              <w:left w:val="nil"/>
              <w:bottom w:val="nil"/>
              <w:right w:val="nil"/>
            </w:tcBorders>
            <w:shd w:val="clear" w:color="000000" w:fill="FFFFFF"/>
            <w:noWrap/>
            <w:vAlign w:val="center"/>
            <w:hideMark/>
          </w:tcPr>
          <w:p w14:paraId="0959DB2E"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 xml:space="preserve">Per cent of GDP </w:t>
            </w:r>
          </w:p>
        </w:tc>
        <w:tc>
          <w:tcPr>
            <w:tcW w:w="395" w:type="pct"/>
            <w:tcBorders>
              <w:top w:val="nil"/>
              <w:left w:val="nil"/>
              <w:bottom w:val="nil"/>
              <w:right w:val="nil"/>
            </w:tcBorders>
            <w:shd w:val="clear" w:color="000000" w:fill="FFFFFF"/>
            <w:noWrap/>
            <w:vAlign w:val="center"/>
            <w:hideMark/>
          </w:tcPr>
          <w:p w14:paraId="573A345F"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22.3</w:t>
            </w:r>
          </w:p>
        </w:tc>
        <w:tc>
          <w:tcPr>
            <w:tcW w:w="57" w:type="pct"/>
            <w:tcBorders>
              <w:top w:val="nil"/>
              <w:left w:val="nil"/>
              <w:bottom w:val="nil"/>
              <w:right w:val="nil"/>
            </w:tcBorders>
            <w:shd w:val="clear" w:color="000000" w:fill="FFFFFF"/>
            <w:noWrap/>
            <w:vAlign w:val="center"/>
            <w:hideMark/>
          </w:tcPr>
          <w:p w14:paraId="6EF81758"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3" w:type="pct"/>
            <w:tcBorders>
              <w:top w:val="nil"/>
              <w:left w:val="nil"/>
              <w:bottom w:val="nil"/>
              <w:right w:val="nil"/>
            </w:tcBorders>
            <w:shd w:val="clear" w:color="000000" w:fill="FFFFFF"/>
            <w:noWrap/>
            <w:vAlign w:val="center"/>
            <w:hideMark/>
          </w:tcPr>
          <w:p w14:paraId="3EA48E52"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21.6</w:t>
            </w:r>
          </w:p>
        </w:tc>
        <w:tc>
          <w:tcPr>
            <w:tcW w:w="442" w:type="pct"/>
            <w:tcBorders>
              <w:top w:val="nil"/>
              <w:left w:val="nil"/>
              <w:bottom w:val="nil"/>
              <w:right w:val="nil"/>
            </w:tcBorders>
            <w:shd w:val="clear" w:color="000000" w:fill="E6F2FF"/>
            <w:noWrap/>
            <w:vAlign w:val="center"/>
            <w:hideMark/>
          </w:tcPr>
          <w:p w14:paraId="49F4A34D"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22.3</w:t>
            </w:r>
          </w:p>
        </w:tc>
        <w:tc>
          <w:tcPr>
            <w:tcW w:w="442" w:type="pct"/>
            <w:tcBorders>
              <w:top w:val="nil"/>
              <w:left w:val="nil"/>
              <w:bottom w:val="nil"/>
              <w:right w:val="nil"/>
            </w:tcBorders>
            <w:shd w:val="clear" w:color="000000" w:fill="FFFFFF"/>
            <w:noWrap/>
            <w:vAlign w:val="center"/>
            <w:hideMark/>
          </w:tcPr>
          <w:p w14:paraId="49298DB3"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23.5</w:t>
            </w:r>
          </w:p>
        </w:tc>
        <w:tc>
          <w:tcPr>
            <w:tcW w:w="442" w:type="pct"/>
            <w:tcBorders>
              <w:top w:val="nil"/>
              <w:left w:val="nil"/>
              <w:bottom w:val="nil"/>
              <w:right w:val="nil"/>
            </w:tcBorders>
            <w:shd w:val="clear" w:color="000000" w:fill="FFFFFF"/>
            <w:noWrap/>
            <w:vAlign w:val="center"/>
            <w:hideMark/>
          </w:tcPr>
          <w:p w14:paraId="5A2DE5DD"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24.0</w:t>
            </w:r>
          </w:p>
        </w:tc>
        <w:tc>
          <w:tcPr>
            <w:tcW w:w="442" w:type="pct"/>
            <w:tcBorders>
              <w:top w:val="nil"/>
              <w:left w:val="nil"/>
              <w:bottom w:val="nil"/>
              <w:right w:val="nil"/>
            </w:tcBorders>
            <w:shd w:val="clear" w:color="000000" w:fill="FFFFFF"/>
            <w:noWrap/>
            <w:vAlign w:val="center"/>
            <w:hideMark/>
          </w:tcPr>
          <w:p w14:paraId="2DD84752"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24.1</w:t>
            </w:r>
          </w:p>
        </w:tc>
        <w:tc>
          <w:tcPr>
            <w:tcW w:w="57" w:type="pct"/>
            <w:tcBorders>
              <w:top w:val="nil"/>
              <w:left w:val="nil"/>
              <w:bottom w:val="nil"/>
              <w:right w:val="nil"/>
            </w:tcBorders>
            <w:shd w:val="clear" w:color="000000" w:fill="FFFFFF"/>
            <w:noWrap/>
            <w:vAlign w:val="center"/>
            <w:hideMark/>
          </w:tcPr>
          <w:p w14:paraId="5D34EE2D"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52A228EF"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68" w:type="pct"/>
            <w:tcBorders>
              <w:top w:val="nil"/>
              <w:left w:val="nil"/>
              <w:bottom w:val="nil"/>
              <w:right w:val="nil"/>
            </w:tcBorders>
            <w:shd w:val="clear" w:color="000000" w:fill="FFFFFF"/>
            <w:noWrap/>
            <w:vAlign w:val="center"/>
            <w:hideMark/>
          </w:tcPr>
          <w:p w14:paraId="32094AF1"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298CCB88"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19.9</w:t>
            </w:r>
          </w:p>
        </w:tc>
      </w:tr>
      <w:tr w:rsidR="00FA1AC7" w:rsidRPr="00FA1AC7" w14:paraId="056F0DC6" w14:textId="77777777" w:rsidTr="00AF1F1D">
        <w:trPr>
          <w:divId w:val="777674716"/>
          <w:trHeight w:hRule="exact" w:val="60"/>
        </w:trPr>
        <w:tc>
          <w:tcPr>
            <w:tcW w:w="1333" w:type="pct"/>
            <w:tcBorders>
              <w:top w:val="nil"/>
              <w:left w:val="nil"/>
              <w:bottom w:val="nil"/>
              <w:right w:val="nil"/>
            </w:tcBorders>
            <w:shd w:val="clear" w:color="000000" w:fill="FFFFFF"/>
            <w:noWrap/>
            <w:vAlign w:val="center"/>
            <w:hideMark/>
          </w:tcPr>
          <w:p w14:paraId="66A38A9D"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2B09A50B"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57" w:type="pct"/>
            <w:tcBorders>
              <w:top w:val="nil"/>
              <w:left w:val="nil"/>
              <w:bottom w:val="nil"/>
              <w:right w:val="nil"/>
            </w:tcBorders>
            <w:shd w:val="clear" w:color="000000" w:fill="FFFFFF"/>
            <w:noWrap/>
            <w:vAlign w:val="center"/>
            <w:hideMark/>
          </w:tcPr>
          <w:p w14:paraId="2C0D6213"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3" w:type="pct"/>
            <w:tcBorders>
              <w:top w:val="nil"/>
              <w:left w:val="nil"/>
              <w:bottom w:val="nil"/>
              <w:right w:val="nil"/>
            </w:tcBorders>
            <w:shd w:val="clear" w:color="000000" w:fill="FFFFFF"/>
            <w:noWrap/>
            <w:vAlign w:val="center"/>
            <w:hideMark/>
          </w:tcPr>
          <w:p w14:paraId="18784CE5"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2" w:type="pct"/>
            <w:tcBorders>
              <w:top w:val="nil"/>
              <w:left w:val="nil"/>
              <w:bottom w:val="nil"/>
              <w:right w:val="nil"/>
            </w:tcBorders>
            <w:shd w:val="clear" w:color="000000" w:fill="E6F2FF"/>
            <w:noWrap/>
            <w:vAlign w:val="center"/>
            <w:hideMark/>
          </w:tcPr>
          <w:p w14:paraId="5A2AA66F"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2" w:type="pct"/>
            <w:tcBorders>
              <w:top w:val="nil"/>
              <w:left w:val="nil"/>
              <w:bottom w:val="nil"/>
              <w:right w:val="nil"/>
            </w:tcBorders>
            <w:shd w:val="clear" w:color="000000" w:fill="FFFFFF"/>
            <w:noWrap/>
            <w:vAlign w:val="center"/>
            <w:hideMark/>
          </w:tcPr>
          <w:p w14:paraId="313FE7D6"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2" w:type="pct"/>
            <w:tcBorders>
              <w:top w:val="nil"/>
              <w:left w:val="nil"/>
              <w:bottom w:val="nil"/>
              <w:right w:val="nil"/>
            </w:tcBorders>
            <w:shd w:val="clear" w:color="000000" w:fill="FFFFFF"/>
            <w:noWrap/>
            <w:vAlign w:val="center"/>
            <w:hideMark/>
          </w:tcPr>
          <w:p w14:paraId="7BADCBB7"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2" w:type="pct"/>
            <w:tcBorders>
              <w:top w:val="nil"/>
              <w:left w:val="nil"/>
              <w:bottom w:val="nil"/>
              <w:right w:val="nil"/>
            </w:tcBorders>
            <w:shd w:val="clear" w:color="000000" w:fill="FFFFFF"/>
            <w:noWrap/>
            <w:vAlign w:val="center"/>
            <w:hideMark/>
          </w:tcPr>
          <w:p w14:paraId="556D168D"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57" w:type="pct"/>
            <w:tcBorders>
              <w:top w:val="nil"/>
              <w:left w:val="nil"/>
              <w:bottom w:val="nil"/>
              <w:right w:val="nil"/>
            </w:tcBorders>
            <w:shd w:val="clear" w:color="000000" w:fill="FFFFFF"/>
            <w:noWrap/>
            <w:vAlign w:val="center"/>
            <w:hideMark/>
          </w:tcPr>
          <w:p w14:paraId="55070ECA"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395" w:type="pct"/>
            <w:tcBorders>
              <w:top w:val="nil"/>
              <w:left w:val="nil"/>
              <w:bottom w:val="nil"/>
              <w:right w:val="nil"/>
            </w:tcBorders>
            <w:shd w:val="clear" w:color="000000" w:fill="FFFFFF"/>
            <w:noWrap/>
            <w:vAlign w:val="center"/>
            <w:hideMark/>
          </w:tcPr>
          <w:p w14:paraId="0ACF46FC"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68" w:type="pct"/>
            <w:tcBorders>
              <w:top w:val="nil"/>
              <w:left w:val="nil"/>
              <w:bottom w:val="nil"/>
              <w:right w:val="nil"/>
            </w:tcBorders>
            <w:shd w:val="clear" w:color="000000" w:fill="FFFFFF"/>
            <w:noWrap/>
            <w:vAlign w:val="center"/>
            <w:hideMark/>
          </w:tcPr>
          <w:p w14:paraId="4CE2DEBA"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368773B7"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 </w:t>
            </w:r>
          </w:p>
        </w:tc>
      </w:tr>
      <w:tr w:rsidR="00FA1AC7" w:rsidRPr="00FA1AC7" w14:paraId="172A7446" w14:textId="77777777" w:rsidTr="00AF1F1D">
        <w:trPr>
          <w:divId w:val="777674716"/>
          <w:trHeight w:hRule="exact" w:val="226"/>
        </w:trPr>
        <w:tc>
          <w:tcPr>
            <w:tcW w:w="1333" w:type="pct"/>
            <w:tcBorders>
              <w:top w:val="nil"/>
              <w:left w:val="nil"/>
              <w:bottom w:val="nil"/>
              <w:right w:val="nil"/>
            </w:tcBorders>
            <w:shd w:val="clear" w:color="000000" w:fill="FFFFFF"/>
            <w:noWrap/>
            <w:vAlign w:val="center"/>
            <w:hideMark/>
          </w:tcPr>
          <w:p w14:paraId="107013B0" w14:textId="77777777" w:rsidR="00AF1F1D" w:rsidRPr="00FA1AC7" w:rsidRDefault="00AF1F1D" w:rsidP="00AF1F1D">
            <w:pPr>
              <w:spacing w:before="0" w:after="0" w:line="240" w:lineRule="auto"/>
              <w:rPr>
                <w:rFonts w:ascii="Arial" w:hAnsi="Arial" w:cs="Arial"/>
                <w:b/>
                <w:bCs/>
                <w:sz w:val="16"/>
                <w:szCs w:val="16"/>
              </w:rPr>
            </w:pPr>
            <w:r w:rsidRPr="00FA1AC7">
              <w:rPr>
                <w:rFonts w:ascii="Arial" w:hAnsi="Arial" w:cs="Arial"/>
                <w:b/>
                <w:bCs/>
                <w:sz w:val="16"/>
                <w:szCs w:val="16"/>
              </w:rPr>
              <w:t>Net interest payments(e)</w:t>
            </w:r>
          </w:p>
        </w:tc>
        <w:tc>
          <w:tcPr>
            <w:tcW w:w="395" w:type="pct"/>
            <w:tcBorders>
              <w:top w:val="nil"/>
              <w:left w:val="nil"/>
              <w:bottom w:val="nil"/>
              <w:right w:val="nil"/>
            </w:tcBorders>
            <w:shd w:val="clear" w:color="000000" w:fill="FFFFFF"/>
            <w:noWrap/>
            <w:vAlign w:val="center"/>
            <w:hideMark/>
          </w:tcPr>
          <w:p w14:paraId="36B0079A"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15.0</w:t>
            </w:r>
          </w:p>
        </w:tc>
        <w:tc>
          <w:tcPr>
            <w:tcW w:w="57" w:type="pct"/>
            <w:tcBorders>
              <w:top w:val="nil"/>
              <w:left w:val="nil"/>
              <w:bottom w:val="nil"/>
              <w:right w:val="nil"/>
            </w:tcBorders>
            <w:shd w:val="clear" w:color="000000" w:fill="FFFFFF"/>
            <w:noWrap/>
            <w:vAlign w:val="center"/>
            <w:hideMark/>
          </w:tcPr>
          <w:p w14:paraId="1A206F6C"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w:t>
            </w:r>
          </w:p>
        </w:tc>
        <w:tc>
          <w:tcPr>
            <w:tcW w:w="443" w:type="pct"/>
            <w:tcBorders>
              <w:top w:val="nil"/>
              <w:left w:val="nil"/>
              <w:bottom w:val="nil"/>
              <w:right w:val="nil"/>
            </w:tcBorders>
            <w:shd w:val="clear" w:color="000000" w:fill="FFFFFF"/>
            <w:noWrap/>
            <w:vAlign w:val="center"/>
            <w:hideMark/>
          </w:tcPr>
          <w:p w14:paraId="695F38DB"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12.7</w:t>
            </w:r>
          </w:p>
        </w:tc>
        <w:tc>
          <w:tcPr>
            <w:tcW w:w="442" w:type="pct"/>
            <w:tcBorders>
              <w:top w:val="nil"/>
              <w:left w:val="nil"/>
              <w:bottom w:val="nil"/>
              <w:right w:val="nil"/>
            </w:tcBorders>
            <w:shd w:val="clear" w:color="000000" w:fill="E6F2FF"/>
            <w:noWrap/>
            <w:vAlign w:val="center"/>
            <w:hideMark/>
          </w:tcPr>
          <w:p w14:paraId="0515135C"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13.4</w:t>
            </w:r>
          </w:p>
        </w:tc>
        <w:tc>
          <w:tcPr>
            <w:tcW w:w="442" w:type="pct"/>
            <w:tcBorders>
              <w:top w:val="nil"/>
              <w:left w:val="nil"/>
              <w:bottom w:val="nil"/>
              <w:right w:val="nil"/>
            </w:tcBorders>
            <w:shd w:val="clear" w:color="000000" w:fill="FFFFFF"/>
            <w:noWrap/>
            <w:vAlign w:val="center"/>
            <w:hideMark/>
          </w:tcPr>
          <w:p w14:paraId="1494762F"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15.2</w:t>
            </w:r>
          </w:p>
        </w:tc>
        <w:tc>
          <w:tcPr>
            <w:tcW w:w="442" w:type="pct"/>
            <w:tcBorders>
              <w:top w:val="nil"/>
              <w:left w:val="nil"/>
              <w:bottom w:val="nil"/>
              <w:right w:val="nil"/>
            </w:tcBorders>
            <w:shd w:val="clear" w:color="000000" w:fill="FFFFFF"/>
            <w:noWrap/>
            <w:vAlign w:val="center"/>
            <w:hideMark/>
          </w:tcPr>
          <w:p w14:paraId="1E86A0AC"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21.3</w:t>
            </w:r>
          </w:p>
        </w:tc>
        <w:tc>
          <w:tcPr>
            <w:tcW w:w="442" w:type="pct"/>
            <w:tcBorders>
              <w:top w:val="nil"/>
              <w:left w:val="nil"/>
              <w:bottom w:val="nil"/>
              <w:right w:val="nil"/>
            </w:tcBorders>
            <w:shd w:val="clear" w:color="000000" w:fill="FFFFFF"/>
            <w:noWrap/>
            <w:vAlign w:val="center"/>
            <w:hideMark/>
          </w:tcPr>
          <w:p w14:paraId="2DCEB7C8" w14:textId="7777777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20.0</w:t>
            </w:r>
          </w:p>
        </w:tc>
        <w:tc>
          <w:tcPr>
            <w:tcW w:w="57" w:type="pct"/>
            <w:tcBorders>
              <w:top w:val="nil"/>
              <w:left w:val="nil"/>
              <w:bottom w:val="nil"/>
              <w:right w:val="nil"/>
            </w:tcBorders>
            <w:shd w:val="clear" w:color="auto" w:fill="auto"/>
            <w:noWrap/>
            <w:vAlign w:val="center"/>
            <w:hideMark/>
          </w:tcPr>
          <w:p w14:paraId="6E6D5091" w14:textId="77777777" w:rsidR="00AF1F1D" w:rsidRPr="00FA1AC7" w:rsidRDefault="00AF1F1D" w:rsidP="00AF1F1D">
            <w:pPr>
              <w:spacing w:before="0" w:after="0" w:line="240" w:lineRule="auto"/>
              <w:jc w:val="right"/>
              <w:rPr>
                <w:rFonts w:ascii="Arial" w:hAnsi="Arial" w:cs="Arial"/>
                <w:b/>
                <w:bCs/>
                <w:sz w:val="16"/>
                <w:szCs w:val="16"/>
              </w:rPr>
            </w:pPr>
          </w:p>
        </w:tc>
        <w:tc>
          <w:tcPr>
            <w:tcW w:w="395" w:type="pct"/>
            <w:tcBorders>
              <w:top w:val="nil"/>
              <w:left w:val="nil"/>
              <w:bottom w:val="nil"/>
              <w:right w:val="nil"/>
            </w:tcBorders>
            <w:shd w:val="clear" w:color="000000" w:fill="FFFFFF"/>
            <w:noWrap/>
            <w:vAlign w:val="center"/>
            <w:hideMark/>
          </w:tcPr>
          <w:p w14:paraId="72B8AD81" w14:textId="41686227" w:rsidR="00AF1F1D" w:rsidRPr="00FA1AC7" w:rsidRDefault="00AF1F1D" w:rsidP="00AF1F1D">
            <w:pPr>
              <w:spacing w:before="0" w:after="0" w:line="240" w:lineRule="auto"/>
              <w:jc w:val="right"/>
              <w:rPr>
                <w:rFonts w:ascii="Arial" w:hAnsi="Arial" w:cs="Arial"/>
                <w:b/>
                <w:bCs/>
                <w:sz w:val="16"/>
                <w:szCs w:val="16"/>
              </w:rPr>
            </w:pPr>
            <w:r w:rsidRPr="00FA1AC7">
              <w:rPr>
                <w:rFonts w:ascii="Arial" w:hAnsi="Arial" w:cs="Arial"/>
                <w:b/>
                <w:bCs/>
                <w:sz w:val="16"/>
                <w:szCs w:val="16"/>
              </w:rPr>
              <w:t xml:space="preserve">82.5 </w:t>
            </w:r>
          </w:p>
        </w:tc>
        <w:tc>
          <w:tcPr>
            <w:tcW w:w="68" w:type="pct"/>
            <w:tcBorders>
              <w:top w:val="nil"/>
              <w:left w:val="nil"/>
              <w:bottom w:val="nil"/>
              <w:right w:val="nil"/>
            </w:tcBorders>
            <w:shd w:val="clear" w:color="000000" w:fill="FFFFFF"/>
            <w:noWrap/>
            <w:vAlign w:val="center"/>
            <w:hideMark/>
          </w:tcPr>
          <w:p w14:paraId="31E51E2F"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 </w:t>
            </w:r>
          </w:p>
        </w:tc>
        <w:tc>
          <w:tcPr>
            <w:tcW w:w="482" w:type="pct"/>
            <w:tcBorders>
              <w:top w:val="nil"/>
              <w:left w:val="nil"/>
              <w:bottom w:val="nil"/>
              <w:right w:val="nil"/>
            </w:tcBorders>
            <w:shd w:val="clear" w:color="000000" w:fill="FFFFFF"/>
            <w:noWrap/>
            <w:vAlign w:val="center"/>
            <w:hideMark/>
          </w:tcPr>
          <w:p w14:paraId="3DC3AF57"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 </w:t>
            </w:r>
          </w:p>
        </w:tc>
      </w:tr>
      <w:tr w:rsidR="00FA1AC7" w:rsidRPr="00FA1AC7" w14:paraId="6999692D" w14:textId="77777777" w:rsidTr="00AF1F1D">
        <w:trPr>
          <w:divId w:val="777674716"/>
          <w:trHeight w:hRule="exact" w:val="226"/>
        </w:trPr>
        <w:tc>
          <w:tcPr>
            <w:tcW w:w="1333" w:type="pct"/>
            <w:tcBorders>
              <w:top w:val="nil"/>
              <w:left w:val="nil"/>
              <w:bottom w:val="single" w:sz="4" w:space="0" w:color="000000"/>
              <w:right w:val="nil"/>
            </w:tcBorders>
            <w:shd w:val="clear" w:color="000000" w:fill="FFFFFF"/>
            <w:noWrap/>
            <w:vAlign w:val="center"/>
            <w:hideMark/>
          </w:tcPr>
          <w:p w14:paraId="52BB68D6"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Per cent of GDP</w:t>
            </w:r>
          </w:p>
        </w:tc>
        <w:tc>
          <w:tcPr>
            <w:tcW w:w="395" w:type="pct"/>
            <w:tcBorders>
              <w:top w:val="nil"/>
              <w:left w:val="nil"/>
              <w:bottom w:val="single" w:sz="4" w:space="0" w:color="000000"/>
              <w:right w:val="nil"/>
            </w:tcBorders>
            <w:shd w:val="clear" w:color="000000" w:fill="FFFFFF"/>
            <w:noWrap/>
            <w:vAlign w:val="center"/>
            <w:hideMark/>
          </w:tcPr>
          <w:p w14:paraId="7AB1B78D"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0.6</w:t>
            </w:r>
          </w:p>
        </w:tc>
        <w:tc>
          <w:tcPr>
            <w:tcW w:w="57" w:type="pct"/>
            <w:tcBorders>
              <w:top w:val="nil"/>
              <w:left w:val="nil"/>
              <w:bottom w:val="single" w:sz="4" w:space="0" w:color="000000"/>
              <w:right w:val="nil"/>
            </w:tcBorders>
            <w:shd w:val="clear" w:color="000000" w:fill="FFFFFF"/>
            <w:noWrap/>
            <w:vAlign w:val="center"/>
            <w:hideMark/>
          </w:tcPr>
          <w:p w14:paraId="0EDB85F3"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w:t>
            </w:r>
          </w:p>
        </w:tc>
        <w:tc>
          <w:tcPr>
            <w:tcW w:w="443" w:type="pct"/>
            <w:tcBorders>
              <w:top w:val="nil"/>
              <w:left w:val="nil"/>
              <w:bottom w:val="single" w:sz="4" w:space="0" w:color="000000"/>
              <w:right w:val="nil"/>
            </w:tcBorders>
            <w:shd w:val="clear" w:color="000000" w:fill="FFFFFF"/>
            <w:noWrap/>
            <w:vAlign w:val="center"/>
            <w:hideMark/>
          </w:tcPr>
          <w:p w14:paraId="16AE7A25"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0.5</w:t>
            </w:r>
          </w:p>
        </w:tc>
        <w:tc>
          <w:tcPr>
            <w:tcW w:w="442" w:type="pct"/>
            <w:tcBorders>
              <w:top w:val="nil"/>
              <w:left w:val="nil"/>
              <w:bottom w:val="single" w:sz="4" w:space="0" w:color="000000"/>
              <w:right w:val="nil"/>
            </w:tcBorders>
            <w:shd w:val="clear" w:color="000000" w:fill="E6F2FF"/>
            <w:noWrap/>
            <w:vAlign w:val="center"/>
            <w:hideMark/>
          </w:tcPr>
          <w:p w14:paraId="3E90A021"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0.5</w:t>
            </w:r>
          </w:p>
        </w:tc>
        <w:tc>
          <w:tcPr>
            <w:tcW w:w="442" w:type="pct"/>
            <w:tcBorders>
              <w:top w:val="nil"/>
              <w:left w:val="nil"/>
              <w:bottom w:val="single" w:sz="4" w:space="0" w:color="000000"/>
              <w:right w:val="nil"/>
            </w:tcBorders>
            <w:shd w:val="clear" w:color="000000" w:fill="FFFFFF"/>
            <w:noWrap/>
            <w:vAlign w:val="center"/>
            <w:hideMark/>
          </w:tcPr>
          <w:p w14:paraId="4D5BDECA"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0.6</w:t>
            </w:r>
          </w:p>
        </w:tc>
        <w:tc>
          <w:tcPr>
            <w:tcW w:w="442" w:type="pct"/>
            <w:tcBorders>
              <w:top w:val="nil"/>
              <w:left w:val="nil"/>
              <w:bottom w:val="single" w:sz="4" w:space="0" w:color="000000"/>
              <w:right w:val="nil"/>
            </w:tcBorders>
            <w:shd w:val="clear" w:color="000000" w:fill="FFFFFF"/>
            <w:noWrap/>
            <w:vAlign w:val="center"/>
            <w:hideMark/>
          </w:tcPr>
          <w:p w14:paraId="587ECC30"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0.8</w:t>
            </w:r>
          </w:p>
        </w:tc>
        <w:tc>
          <w:tcPr>
            <w:tcW w:w="442" w:type="pct"/>
            <w:tcBorders>
              <w:top w:val="nil"/>
              <w:left w:val="nil"/>
              <w:bottom w:val="single" w:sz="4" w:space="0" w:color="000000"/>
              <w:right w:val="nil"/>
            </w:tcBorders>
            <w:shd w:val="clear" w:color="000000" w:fill="FFFFFF"/>
            <w:noWrap/>
            <w:vAlign w:val="center"/>
            <w:hideMark/>
          </w:tcPr>
          <w:p w14:paraId="136C415B"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0.7</w:t>
            </w:r>
          </w:p>
        </w:tc>
        <w:tc>
          <w:tcPr>
            <w:tcW w:w="57" w:type="pct"/>
            <w:tcBorders>
              <w:top w:val="nil"/>
              <w:left w:val="nil"/>
              <w:bottom w:val="single" w:sz="4" w:space="0" w:color="000000"/>
              <w:right w:val="nil"/>
            </w:tcBorders>
            <w:shd w:val="clear" w:color="auto" w:fill="auto"/>
            <w:noWrap/>
            <w:vAlign w:val="center"/>
            <w:hideMark/>
          </w:tcPr>
          <w:p w14:paraId="3B13F376"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 </w:t>
            </w:r>
          </w:p>
        </w:tc>
        <w:tc>
          <w:tcPr>
            <w:tcW w:w="395" w:type="pct"/>
            <w:tcBorders>
              <w:top w:val="nil"/>
              <w:left w:val="nil"/>
              <w:bottom w:val="single" w:sz="4" w:space="0" w:color="000000"/>
              <w:right w:val="nil"/>
            </w:tcBorders>
            <w:shd w:val="clear" w:color="000000" w:fill="FFFFFF"/>
            <w:noWrap/>
            <w:vAlign w:val="center"/>
            <w:hideMark/>
          </w:tcPr>
          <w:p w14:paraId="076FC093"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 </w:t>
            </w:r>
          </w:p>
        </w:tc>
        <w:tc>
          <w:tcPr>
            <w:tcW w:w="68" w:type="pct"/>
            <w:tcBorders>
              <w:top w:val="nil"/>
              <w:left w:val="nil"/>
              <w:bottom w:val="single" w:sz="4" w:space="0" w:color="000000"/>
              <w:right w:val="nil"/>
            </w:tcBorders>
            <w:shd w:val="clear" w:color="000000" w:fill="FFFFFF"/>
            <w:noWrap/>
            <w:vAlign w:val="center"/>
            <w:hideMark/>
          </w:tcPr>
          <w:p w14:paraId="653B7E8C" w14:textId="77777777" w:rsidR="00AF1F1D" w:rsidRPr="00FA1AC7" w:rsidRDefault="00AF1F1D" w:rsidP="00AF1F1D">
            <w:pPr>
              <w:spacing w:before="0" w:after="0" w:line="240" w:lineRule="auto"/>
              <w:rPr>
                <w:rFonts w:ascii="Arial" w:hAnsi="Arial" w:cs="Arial"/>
                <w:sz w:val="16"/>
                <w:szCs w:val="16"/>
              </w:rPr>
            </w:pPr>
            <w:r w:rsidRPr="00FA1AC7">
              <w:rPr>
                <w:rFonts w:ascii="Arial" w:hAnsi="Arial" w:cs="Arial"/>
                <w:sz w:val="16"/>
                <w:szCs w:val="16"/>
              </w:rPr>
              <w:t> </w:t>
            </w:r>
          </w:p>
        </w:tc>
        <w:tc>
          <w:tcPr>
            <w:tcW w:w="482" w:type="pct"/>
            <w:tcBorders>
              <w:top w:val="nil"/>
              <w:left w:val="nil"/>
              <w:bottom w:val="single" w:sz="4" w:space="0" w:color="000000"/>
              <w:right w:val="nil"/>
            </w:tcBorders>
            <w:shd w:val="clear" w:color="000000" w:fill="FFFFFF"/>
            <w:noWrap/>
            <w:vAlign w:val="center"/>
            <w:hideMark/>
          </w:tcPr>
          <w:p w14:paraId="3672B513" w14:textId="77777777" w:rsidR="00AF1F1D" w:rsidRPr="00FA1AC7" w:rsidRDefault="00AF1F1D" w:rsidP="00AF1F1D">
            <w:pPr>
              <w:spacing w:before="0" w:after="0" w:line="240" w:lineRule="auto"/>
              <w:jc w:val="right"/>
              <w:rPr>
                <w:rFonts w:ascii="Arial" w:hAnsi="Arial" w:cs="Arial"/>
                <w:sz w:val="16"/>
                <w:szCs w:val="16"/>
              </w:rPr>
            </w:pPr>
            <w:r w:rsidRPr="00FA1AC7">
              <w:rPr>
                <w:rFonts w:ascii="Arial" w:hAnsi="Arial" w:cs="Arial"/>
                <w:sz w:val="16"/>
                <w:szCs w:val="16"/>
              </w:rPr>
              <w:t xml:space="preserve">0.8 </w:t>
            </w:r>
          </w:p>
        </w:tc>
      </w:tr>
    </w:tbl>
    <w:p w14:paraId="6971793C" w14:textId="25C8AEA8" w:rsidR="00210B77" w:rsidRPr="00AF1F1D" w:rsidRDefault="00210B77" w:rsidP="00AF1F1D">
      <w:pPr>
        <w:pStyle w:val="ChartandTableFootnoteAlpha"/>
      </w:pPr>
      <w:r w:rsidRPr="004E1159">
        <w:rPr>
          <w:rFonts w:eastAsiaTheme="minorHAnsi"/>
          <w:lang w:eastAsia="en-US"/>
        </w:rPr>
        <w:t>Total is equal to the sum of amounts from</w:t>
      </w:r>
      <w:r w:rsidRPr="004E1159">
        <w:rPr>
          <w:rFonts w:eastAsiaTheme="minorHAnsi"/>
        </w:rPr>
        <w:t xml:space="preserve"> 2022–23 to 2026–27.</w:t>
      </w:r>
    </w:p>
    <w:p w14:paraId="0AA455C6" w14:textId="44EFE26E" w:rsidR="00210B77" w:rsidRPr="004E1159" w:rsidRDefault="00210B77" w:rsidP="00D57DA8">
      <w:pPr>
        <w:pStyle w:val="ChartandTableFootnoteAlpha"/>
        <w:rPr>
          <w:rFonts w:eastAsiaTheme="minorHAnsi"/>
          <w:color w:val="auto"/>
          <w:lang w:eastAsia="en-US"/>
        </w:rPr>
      </w:pPr>
      <w:r w:rsidRPr="004E1159">
        <w:rPr>
          <w:rFonts w:eastAsiaTheme="minorHAnsi"/>
          <w:color w:val="auto"/>
          <w:lang w:eastAsia="en-US"/>
        </w:rPr>
        <w:t>Equivalent to cash payments for operating activities, purchases of non</w:t>
      </w:r>
      <w:r w:rsidR="00594653" w:rsidRPr="004E1159">
        <w:rPr>
          <w:rFonts w:eastAsiaTheme="minorHAnsi"/>
          <w:color w:val="auto"/>
          <w:lang w:eastAsia="en-US"/>
        </w:rPr>
        <w:noBreakHyphen/>
      </w:r>
      <w:r w:rsidRPr="004E1159">
        <w:rPr>
          <w:rFonts w:eastAsiaTheme="minorHAnsi"/>
          <w:color w:val="auto"/>
          <w:lang w:eastAsia="en-US"/>
        </w:rPr>
        <w:t>financial assets and principal payments of lease liabilities.</w:t>
      </w:r>
      <w:r w:rsidR="00D82DA5" w:rsidRPr="004E1159">
        <w:rPr>
          <w:color w:val="auto"/>
        </w:rPr>
        <w:t xml:space="preserve"> </w:t>
      </w:r>
    </w:p>
    <w:p w14:paraId="5D7B4679" w14:textId="68A7C276" w:rsidR="00210B77" w:rsidRPr="004E1159" w:rsidRDefault="00210B77" w:rsidP="00D57DA8">
      <w:pPr>
        <w:pStyle w:val="ChartandTableFootnoteAlpha"/>
        <w:rPr>
          <w:rFonts w:eastAsiaTheme="minorHAnsi"/>
          <w:color w:val="auto"/>
        </w:rPr>
      </w:pPr>
      <w:r w:rsidRPr="004E1159">
        <w:rPr>
          <w:rFonts w:eastAsiaTheme="minorHAnsi"/>
          <w:color w:val="auto"/>
          <w:lang w:eastAsia="en-US"/>
        </w:rPr>
        <w:t xml:space="preserve">Gross debt </w:t>
      </w:r>
      <w:r w:rsidRPr="004E1159">
        <w:rPr>
          <w:rFonts w:eastAsiaTheme="minorHAnsi"/>
          <w:color w:val="auto"/>
        </w:rPr>
        <w:t>measures the face value of Australian Government Securities</w:t>
      </w:r>
      <w:r w:rsidR="009C7657" w:rsidRPr="004E1159">
        <w:rPr>
          <w:rFonts w:eastAsiaTheme="minorHAnsi"/>
          <w:color w:val="auto"/>
        </w:rPr>
        <w:t xml:space="preserve"> (AGS)</w:t>
      </w:r>
      <w:r w:rsidRPr="004E1159">
        <w:rPr>
          <w:rFonts w:eastAsiaTheme="minorHAnsi"/>
          <w:color w:val="auto"/>
        </w:rPr>
        <w:t xml:space="preserve"> on issue.</w:t>
      </w:r>
      <w:r w:rsidR="00D82DA5" w:rsidRPr="004E1159">
        <w:rPr>
          <w:rFonts w:eastAsiaTheme="minorHAnsi"/>
          <w:color w:val="auto"/>
        </w:rPr>
        <w:t xml:space="preserve"> </w:t>
      </w:r>
    </w:p>
    <w:p w14:paraId="74C41E0D" w14:textId="1E036DE6" w:rsidR="00210B77" w:rsidRPr="004E1159" w:rsidRDefault="00210B77" w:rsidP="00D57DA8">
      <w:pPr>
        <w:pStyle w:val="ChartandTableFootnoteAlpha"/>
        <w:rPr>
          <w:rFonts w:eastAsiaTheme="minorHAnsi"/>
          <w:color w:val="auto"/>
        </w:rPr>
      </w:pPr>
      <w:r w:rsidRPr="004E1159">
        <w:rPr>
          <w:rFonts w:eastAsiaTheme="minorHAnsi"/>
          <w:color w:val="auto"/>
          <w:lang w:eastAsia="en-US"/>
        </w:rPr>
        <w:t>Net debt is the sum of interest</w:t>
      </w:r>
      <w:r w:rsidR="00594653" w:rsidRPr="004E1159">
        <w:rPr>
          <w:rFonts w:eastAsiaTheme="minorHAnsi"/>
          <w:color w:val="auto"/>
          <w:lang w:eastAsia="en-US"/>
        </w:rPr>
        <w:noBreakHyphen/>
      </w:r>
      <w:r w:rsidRPr="004E1159">
        <w:rPr>
          <w:rFonts w:eastAsiaTheme="minorHAnsi"/>
          <w:color w:val="auto"/>
          <w:lang w:eastAsia="en-US"/>
        </w:rPr>
        <w:t>bearing</w:t>
      </w:r>
      <w:r w:rsidRPr="004E1159">
        <w:rPr>
          <w:rFonts w:eastAsiaTheme="minorHAnsi"/>
          <w:color w:val="auto"/>
        </w:rPr>
        <w:t xml:space="preserve"> liabilities (which includes AGS on issue measured at market value) less the sum of selected financial assets (cash and deposits, advances paid and investments, loans and placements).</w:t>
      </w:r>
      <w:r w:rsidR="00D82DA5" w:rsidRPr="004E1159">
        <w:rPr>
          <w:rFonts w:eastAsiaTheme="minorHAnsi"/>
          <w:color w:val="auto"/>
        </w:rPr>
        <w:t xml:space="preserve"> </w:t>
      </w:r>
      <w:r w:rsidR="00D82DA5">
        <w:t xml:space="preserve"> </w:t>
      </w:r>
    </w:p>
    <w:p w14:paraId="4D06D153" w14:textId="7EB72AFE" w:rsidR="004802FB" w:rsidRDefault="00210B77" w:rsidP="00D57DA8">
      <w:pPr>
        <w:pStyle w:val="ChartandTableFootnoteAlpha"/>
        <w:rPr>
          <w:rFonts w:eastAsiaTheme="minorHAnsi"/>
          <w:lang w:eastAsia="en-US"/>
        </w:rPr>
      </w:pPr>
      <w:r w:rsidRPr="004E1159">
        <w:rPr>
          <w:rFonts w:eastAsiaTheme="minorHAnsi"/>
          <w:color w:val="auto"/>
          <w:lang w:eastAsia="en-US"/>
        </w:rPr>
        <w:t xml:space="preserve">Net interest payments are equal to the difference between interest payments and interest receipts. The increase in 2025–26 primarily reflects a Treasury Indexed Bond maturing in that year (details can be found in Statement </w:t>
      </w:r>
      <w:r w:rsidR="00323538" w:rsidRPr="004E1159">
        <w:rPr>
          <w:rFonts w:eastAsiaTheme="minorHAnsi"/>
          <w:color w:val="auto"/>
          <w:lang w:eastAsia="en-US"/>
        </w:rPr>
        <w:t>7</w:t>
      </w:r>
      <w:r w:rsidRPr="004E1159">
        <w:rPr>
          <w:rFonts w:eastAsiaTheme="minorHAnsi"/>
          <w:color w:val="auto"/>
          <w:lang w:eastAsia="en-US"/>
        </w:rPr>
        <w:t xml:space="preserve">: Debt Statement). </w:t>
      </w:r>
    </w:p>
    <w:p w14:paraId="467C2CCE" w14:textId="77777777" w:rsidR="00DA4C22" w:rsidRPr="00DA4C22" w:rsidRDefault="00DA4C22" w:rsidP="00DA4C22">
      <w:pPr>
        <w:pStyle w:val="TableLine"/>
        <w:rPr>
          <w:lang w:eastAsia="en-US"/>
        </w:rPr>
      </w:pPr>
    </w:p>
    <w:p w14:paraId="00A1C01B" w14:textId="77777777" w:rsidR="00A90A2D" w:rsidRPr="00FF3EF8" w:rsidRDefault="00A90A2D" w:rsidP="00FF3EF8">
      <w:bookmarkStart w:id="0" w:name="_Toc117356555"/>
      <w:r>
        <w:br w:type="page"/>
      </w:r>
    </w:p>
    <w:p w14:paraId="0F3DF67D" w14:textId="06B8F1A7" w:rsidR="004802FB" w:rsidRPr="00EA288B" w:rsidRDefault="004802FB" w:rsidP="004802FB">
      <w:pPr>
        <w:pStyle w:val="Heading2"/>
        <w:spacing w:after="120"/>
        <w:jc w:val="both"/>
      </w:pPr>
      <w:bookmarkStart w:id="1" w:name="_Toc134321284"/>
      <w:r w:rsidRPr="00EA288B">
        <w:lastRenderedPageBreak/>
        <w:t>Economic and Fiscal Strategy</w:t>
      </w:r>
      <w:bookmarkEnd w:id="0"/>
      <w:bookmarkEnd w:id="1"/>
    </w:p>
    <w:p w14:paraId="5725CC83" w14:textId="784B6038" w:rsidR="004802FB" w:rsidRPr="003A2B54" w:rsidRDefault="004802FB" w:rsidP="003A2B54">
      <w:pPr>
        <w:spacing w:after="360"/>
      </w:pPr>
      <w:r w:rsidRPr="004E1159">
        <w:t>The Government</w:t>
      </w:r>
      <w:r w:rsidR="00594653" w:rsidRPr="004E1159">
        <w:t>’</w:t>
      </w:r>
      <w:r w:rsidRPr="004E1159">
        <w:t xml:space="preserve">s Economic and Fiscal Strategy is making the economy and budget stronger, more resilient and </w:t>
      </w:r>
      <w:r w:rsidR="00A47BDB" w:rsidRPr="004E1159">
        <w:t xml:space="preserve">more </w:t>
      </w:r>
      <w:r w:rsidRPr="004E1159">
        <w:t>sustainable over the medium term</w:t>
      </w:r>
      <w:r w:rsidR="00A34295" w:rsidRPr="004E1159">
        <w:t xml:space="preserve"> (Box</w:t>
      </w:r>
      <w:r w:rsidR="009E2E1F" w:rsidRPr="004E1159">
        <w:t> </w:t>
      </w:r>
      <w:r w:rsidR="00A34295" w:rsidRPr="004E1159">
        <w:t>3.1)</w:t>
      </w:r>
      <w:r w:rsidRPr="004E1159">
        <w:t xml:space="preserve">. The </w:t>
      </w:r>
      <w:r w:rsidR="00F25528" w:rsidRPr="004E1159">
        <w:t>S</w:t>
      </w:r>
      <w:r w:rsidRPr="004E1159">
        <w:t xml:space="preserve">trategy is consistent with the requirements of the </w:t>
      </w:r>
      <w:r w:rsidRPr="004E1159">
        <w:rPr>
          <w:rStyle w:val="Emphasis"/>
        </w:rPr>
        <w:t>Charter of Budget Honesty Act 1998</w:t>
      </w:r>
      <w:r w:rsidR="00061978" w:rsidRPr="004E1159">
        <w:t xml:space="preserve">, with </w:t>
      </w:r>
      <w:r w:rsidR="00061978" w:rsidRPr="004E1159">
        <w:rPr>
          <w:rStyle w:val="BoxTextChar"/>
          <w:rFonts w:eastAsia="Calibri"/>
        </w:rPr>
        <w:t>p</w:t>
      </w:r>
      <w:r w:rsidRPr="004E1159">
        <w:rPr>
          <w:rStyle w:val="BoxTextChar"/>
          <w:rFonts w:eastAsia="Calibri"/>
        </w:rPr>
        <w:t>rogress</w:t>
      </w:r>
      <w:r w:rsidR="007273D4" w:rsidRPr="004E1159">
        <w:rPr>
          <w:rStyle w:val="BoxTextChar"/>
          <w:rFonts w:eastAsia="Calibri"/>
        </w:rPr>
        <w:t xml:space="preserve"> </w:t>
      </w:r>
      <w:r w:rsidRPr="004E1159">
        <w:rPr>
          <w:rStyle w:val="BoxTextChar"/>
          <w:rFonts w:eastAsia="Calibri"/>
        </w:rPr>
        <w:t>reviewed each budget update</w:t>
      </w:r>
      <w:r w:rsidRPr="004E1159">
        <w:rPr>
          <w:rFonts w:eastAsia="Calibri"/>
        </w:rPr>
        <w:t>.</w:t>
      </w:r>
      <w:r w:rsidR="00923689" w:rsidRPr="004E1159">
        <w:t xml:space="preserve"> </w:t>
      </w:r>
    </w:p>
    <w:tbl>
      <w:tblPr>
        <w:tblpPr w:leftFromText="180" w:rightFromText="180" w:vertAnchor="text" w:horzAnchor="margin" w:tblpY="-57"/>
        <w:tblW w:w="5024" w:type="pct"/>
        <w:shd w:val="clear" w:color="auto" w:fill="E6F2FF"/>
        <w:tblCellMar>
          <w:top w:w="284" w:type="dxa"/>
          <w:left w:w="284" w:type="dxa"/>
          <w:bottom w:w="284" w:type="dxa"/>
          <w:right w:w="284" w:type="dxa"/>
        </w:tblCellMar>
        <w:tblLook w:val="0000" w:firstRow="0" w:lastRow="0" w:firstColumn="0" w:lastColumn="0" w:noHBand="0" w:noVBand="0"/>
      </w:tblPr>
      <w:tblGrid>
        <w:gridCol w:w="7747"/>
      </w:tblGrid>
      <w:tr w:rsidR="004802FB" w:rsidRPr="00EA288B" w14:paraId="382863B9" w14:textId="77777777">
        <w:tc>
          <w:tcPr>
            <w:tcW w:w="5000" w:type="pct"/>
            <w:shd w:val="clear" w:color="auto" w:fill="E6F2FF"/>
          </w:tcPr>
          <w:p w14:paraId="602392C8" w14:textId="42B52929" w:rsidR="004802FB" w:rsidRPr="004E1159" w:rsidRDefault="004802FB" w:rsidP="003A2B54">
            <w:pPr>
              <w:pStyle w:val="BoxHeading"/>
            </w:pPr>
            <w:r w:rsidRPr="004E1159">
              <w:t xml:space="preserve">Box 3.1: </w:t>
            </w:r>
            <w:r w:rsidRPr="004E1159">
              <w:rPr>
                <w:spacing w:val="-4"/>
              </w:rPr>
              <w:t>The Government</w:t>
            </w:r>
            <w:r w:rsidR="00594653" w:rsidRPr="004E1159">
              <w:rPr>
                <w:spacing w:val="-4"/>
              </w:rPr>
              <w:t>’</w:t>
            </w:r>
            <w:r w:rsidRPr="004E1159">
              <w:rPr>
                <w:spacing w:val="-4"/>
              </w:rPr>
              <w:t xml:space="preserve">s </w:t>
            </w:r>
            <w:r w:rsidRPr="004E1159">
              <w:t>Economic</w:t>
            </w:r>
            <w:r w:rsidRPr="004E1159">
              <w:rPr>
                <w:sz w:val="19"/>
                <w:szCs w:val="19"/>
              </w:rPr>
              <w:t xml:space="preserve"> and Fiscal Strategy</w:t>
            </w:r>
          </w:p>
          <w:p w14:paraId="4FC2F0A6" w14:textId="5F750AE2" w:rsidR="004802FB" w:rsidRPr="004E1159" w:rsidRDefault="004802FB" w:rsidP="00731B94">
            <w:pPr>
              <w:pStyle w:val="BoxText"/>
              <w:spacing w:after="0"/>
              <w:rPr>
                <w:rFonts w:eastAsia="Calibri"/>
              </w:rPr>
            </w:pPr>
            <w:r w:rsidRPr="004E1159">
              <w:rPr>
                <w:rFonts w:eastAsia="Calibri"/>
              </w:rPr>
              <w:t>The Government</w:t>
            </w:r>
            <w:r w:rsidR="00594653" w:rsidRPr="004E1159">
              <w:rPr>
                <w:rFonts w:eastAsia="Calibri"/>
              </w:rPr>
              <w:t>’</w:t>
            </w:r>
            <w:r w:rsidRPr="004E1159">
              <w:rPr>
                <w:rFonts w:eastAsia="Calibri"/>
              </w:rPr>
              <w:t xml:space="preserve">s Economic and Fiscal Strategy will make the economy more resilient and put the budget on a more sustainable footing over time. </w:t>
            </w:r>
          </w:p>
          <w:p w14:paraId="04970306" w14:textId="3C8E993B" w:rsidR="004802FB" w:rsidRPr="004E1159" w:rsidRDefault="004802FB" w:rsidP="00731B94">
            <w:pPr>
              <w:pStyle w:val="BoxText"/>
              <w:spacing w:after="0"/>
              <w:rPr>
                <w:rFonts w:eastAsia="Calibri"/>
                <w:szCs w:val="19"/>
              </w:rPr>
            </w:pPr>
            <w:r w:rsidRPr="004E1159">
              <w:rPr>
                <w:rFonts w:eastAsia="Calibri"/>
              </w:rPr>
              <w:t>The strategy is focused on the objectives of strong, inclusive and sustainable economic growth, full employment, growing real wages, ensuring women</w:t>
            </w:r>
            <w:r w:rsidR="00594653" w:rsidRPr="004E1159">
              <w:rPr>
                <w:rFonts w:eastAsia="Calibri"/>
              </w:rPr>
              <w:t>’</w:t>
            </w:r>
            <w:r w:rsidRPr="004E1159">
              <w:rPr>
                <w:rFonts w:eastAsia="Calibri"/>
              </w:rPr>
              <w:t xml:space="preserve">s economic participation and equality, and improving living standards for all </w:t>
            </w:r>
            <w:r w:rsidRPr="004E1159">
              <w:rPr>
                <w:rFonts w:eastAsia="Calibri"/>
                <w:szCs w:val="19"/>
              </w:rPr>
              <w:t xml:space="preserve">Australians. </w:t>
            </w:r>
          </w:p>
          <w:p w14:paraId="0CC2E46F" w14:textId="247676C7" w:rsidR="00FB6B91" w:rsidRPr="004E1159" w:rsidRDefault="00AE6AA6" w:rsidP="00EA2488">
            <w:pPr>
              <w:pStyle w:val="BoxText"/>
              <w:spacing w:after="0"/>
              <w:rPr>
                <w:rFonts w:eastAsia="Calibri"/>
                <w:szCs w:val="19"/>
              </w:rPr>
            </w:pPr>
            <w:r w:rsidRPr="004E1159">
              <w:rPr>
                <w:rFonts w:eastAsia="Calibri"/>
                <w:szCs w:val="19"/>
              </w:rPr>
              <w:t>The Government will improve the budget position in a measured way, consistent with the overarching goal of reducing gross debt as a share of the economy over time. This approach enables fiscal policy to respond to changes in economic conditions to support macroeconomic stability, including in times of high inflation.</w:t>
            </w:r>
          </w:p>
          <w:p w14:paraId="491C08A0" w14:textId="7523C1A3" w:rsidR="004802FB" w:rsidRPr="004E1159" w:rsidRDefault="004802FB" w:rsidP="00731B94">
            <w:pPr>
              <w:pStyle w:val="BoxText"/>
              <w:spacing w:after="0"/>
              <w:rPr>
                <w:rFonts w:eastAsia="Calibri"/>
                <w:szCs w:val="19"/>
              </w:rPr>
            </w:pPr>
            <w:r w:rsidRPr="004E1159">
              <w:rPr>
                <w:rFonts w:eastAsia="Calibri"/>
                <w:szCs w:val="19"/>
              </w:rPr>
              <w:t xml:space="preserve">These objectives will be achieved by investments that grow the economy and expand productive capacity, and budget discipline that restrains spending growth and enhances the quality of spending. The budget will be improved in a manner consistent with the objective of maintaining full employment, while continuing to deliver essential services. </w:t>
            </w:r>
          </w:p>
          <w:p w14:paraId="5383B9A4" w14:textId="77C88B77" w:rsidR="004802FB" w:rsidRPr="004E1159" w:rsidRDefault="004802FB" w:rsidP="00731B94">
            <w:pPr>
              <w:pStyle w:val="BoxText"/>
              <w:spacing w:after="0"/>
              <w:rPr>
                <w:rFonts w:eastAsia="Calibri"/>
                <w:szCs w:val="19"/>
              </w:rPr>
            </w:pPr>
            <w:r w:rsidRPr="004E1159">
              <w:rPr>
                <w:rFonts w:eastAsia="Calibri"/>
                <w:szCs w:val="19"/>
              </w:rPr>
              <w:t xml:space="preserve">Putting the budget on a more sustainable footing will ensure the Government has the fiscal buffers to withstand economic shocks and better manage the fiscal pressures from an ageing population and climate change. </w:t>
            </w:r>
          </w:p>
          <w:p w14:paraId="7F75A868" w14:textId="77777777" w:rsidR="004802FB" w:rsidRPr="004E1159" w:rsidRDefault="004802FB" w:rsidP="00731B94">
            <w:pPr>
              <w:pStyle w:val="BoxText"/>
              <w:spacing w:after="0"/>
              <w:rPr>
                <w:rFonts w:eastAsia="Calibri"/>
              </w:rPr>
            </w:pPr>
            <w:r w:rsidRPr="004E1159">
              <w:rPr>
                <w:rFonts w:eastAsia="Calibri"/>
              </w:rPr>
              <w:t>These commitments will be underpinned by the following elements:</w:t>
            </w:r>
          </w:p>
          <w:p w14:paraId="5FCAAA32" w14:textId="0A51763C" w:rsidR="004802FB" w:rsidRPr="004E1159" w:rsidRDefault="004802FB" w:rsidP="00731B94">
            <w:pPr>
              <w:pStyle w:val="BoxBullet"/>
              <w:spacing w:after="0"/>
              <w:rPr>
                <w:rFonts w:eastAsia="Calibri"/>
              </w:rPr>
            </w:pPr>
            <w:r w:rsidRPr="004E1159">
              <w:rPr>
                <w:rFonts w:eastAsia="Calibri"/>
              </w:rPr>
              <w:t xml:space="preserve">Allowing tax receipts and income support to respond in line with changes in the economy and directing the majority of improvements in tax receipts to budget repair. </w:t>
            </w:r>
          </w:p>
          <w:p w14:paraId="7CF02949" w14:textId="7231A214" w:rsidR="004802FB" w:rsidRPr="004E1159" w:rsidRDefault="004802FB" w:rsidP="00731B94">
            <w:pPr>
              <w:pStyle w:val="BoxBullet"/>
              <w:spacing w:after="0"/>
              <w:rPr>
                <w:rFonts w:eastAsia="Calibri"/>
              </w:rPr>
            </w:pPr>
            <w:r w:rsidRPr="004E1159">
              <w:rPr>
                <w:rFonts w:eastAsia="Calibri"/>
              </w:rPr>
              <w:t>Limiting growth in spending until gross debt as a share of GDP is on a downwards trajectory, while growth prospects are sound and unemployment is low.</w:t>
            </w:r>
          </w:p>
          <w:p w14:paraId="246CCFA8" w14:textId="77777777" w:rsidR="004802FB" w:rsidRPr="004E1159" w:rsidRDefault="004802FB" w:rsidP="00731B94">
            <w:pPr>
              <w:pStyle w:val="BoxBullet"/>
              <w:spacing w:after="0"/>
              <w:rPr>
                <w:rFonts w:eastAsia="Calibri"/>
              </w:rPr>
            </w:pPr>
            <w:r w:rsidRPr="004E1159">
              <w:rPr>
                <w:rFonts w:eastAsia="Calibri"/>
              </w:rPr>
              <w:t>Improving the efficiency, quality and sustainability of spending.</w:t>
            </w:r>
          </w:p>
          <w:p w14:paraId="7D671680" w14:textId="77777777" w:rsidR="004802FB" w:rsidRPr="004E1159" w:rsidRDefault="004802FB" w:rsidP="00731B94">
            <w:pPr>
              <w:pStyle w:val="BoxBullet"/>
              <w:spacing w:after="0"/>
              <w:rPr>
                <w:rFonts w:eastAsia="Calibri"/>
              </w:rPr>
            </w:pPr>
            <w:r w:rsidRPr="004E1159">
              <w:rPr>
                <w:rFonts w:eastAsia="Calibri"/>
              </w:rPr>
              <w:t>Focusing new spending on investments and reforms that build the capability of our people, expand the productive capacity of our economy, and support action on climate change.</w:t>
            </w:r>
          </w:p>
          <w:p w14:paraId="76D72EB9" w14:textId="133A6804" w:rsidR="004802FB" w:rsidRPr="00EA288B" w:rsidRDefault="004802FB" w:rsidP="00731B94">
            <w:pPr>
              <w:pStyle w:val="BoxBullet"/>
              <w:spacing w:after="0"/>
              <w:rPr>
                <w:rFonts w:eastAsia="Calibri"/>
              </w:rPr>
            </w:pPr>
            <w:r w:rsidRPr="004E1159">
              <w:rPr>
                <w:rFonts w:eastAsia="Calibri"/>
              </w:rPr>
              <w:t>Delivering a tax system that funds government services in an efficient, fair and sustainable way.</w:t>
            </w:r>
          </w:p>
        </w:tc>
      </w:tr>
    </w:tbl>
    <w:p w14:paraId="00867512" w14:textId="72400956" w:rsidR="004802FB" w:rsidRPr="00EA288B" w:rsidRDefault="004802FB" w:rsidP="004802FB">
      <w:pPr>
        <w:pStyle w:val="Heading3"/>
      </w:pPr>
      <w:bookmarkStart w:id="2" w:name="_Toc117356556"/>
      <w:bookmarkStart w:id="3" w:name="_Toc134321285"/>
      <w:r w:rsidRPr="00EA288B">
        <w:lastRenderedPageBreak/>
        <w:t>Delivering on the Economic and Fiscal Strategy</w:t>
      </w:r>
      <w:bookmarkEnd w:id="2"/>
      <w:bookmarkEnd w:id="3"/>
    </w:p>
    <w:p w14:paraId="08595328" w14:textId="7BEECCF9" w:rsidR="00B170AC" w:rsidRPr="004E1159" w:rsidRDefault="00B170AC" w:rsidP="00FF3EF8">
      <w:r w:rsidRPr="004E1159">
        <w:t>This Budget delivers on the Government</w:t>
      </w:r>
      <w:r w:rsidR="00594653" w:rsidRPr="004E1159">
        <w:t>’</w:t>
      </w:r>
      <w:r w:rsidRPr="004E1159">
        <w:t>s Economic and Fiscal Strategy by:</w:t>
      </w:r>
    </w:p>
    <w:p w14:paraId="4736EF81" w14:textId="3D81E411" w:rsidR="00396F48" w:rsidRPr="004E1159" w:rsidRDefault="00172665" w:rsidP="00D57DA8">
      <w:pPr>
        <w:pStyle w:val="Bullet"/>
        <w:numPr>
          <w:ilvl w:val="0"/>
          <w:numId w:val="7"/>
        </w:numPr>
      </w:pPr>
      <w:r w:rsidRPr="004E1159">
        <w:t>R</w:t>
      </w:r>
      <w:r w:rsidR="00396F48" w:rsidRPr="004E1159">
        <w:t xml:space="preserve">eturning </w:t>
      </w:r>
      <w:r w:rsidRPr="004E1159">
        <w:t xml:space="preserve">to </w:t>
      </w:r>
      <w:r w:rsidR="00770C33" w:rsidRPr="004E1159">
        <w:t>the</w:t>
      </w:r>
      <w:r w:rsidRPr="004E1159">
        <w:t xml:space="preserve"> budget </w:t>
      </w:r>
      <w:r w:rsidR="00396F48" w:rsidRPr="004E1159">
        <w:t xml:space="preserve">a cumulative </w:t>
      </w:r>
      <w:r w:rsidR="00445C7D" w:rsidRPr="004E1159">
        <w:t>87</w:t>
      </w:r>
      <w:r w:rsidR="00F634C3" w:rsidRPr="004E1159">
        <w:t> per </w:t>
      </w:r>
      <w:r w:rsidR="00445C7D" w:rsidRPr="004E1159">
        <w:t xml:space="preserve">cent </w:t>
      </w:r>
      <w:r w:rsidR="00396F48" w:rsidRPr="004E1159">
        <w:t xml:space="preserve">of tax receipt upgrades </w:t>
      </w:r>
      <w:r w:rsidR="00A20C10" w:rsidRPr="004E1159">
        <w:t xml:space="preserve">(excluding GST) </w:t>
      </w:r>
      <w:r w:rsidR="00396F48" w:rsidRPr="004E1159">
        <w:t xml:space="preserve">from estimates variations </w:t>
      </w:r>
      <w:r w:rsidR="00333A53" w:rsidRPr="004E1159">
        <w:t xml:space="preserve">over the forward estimates </w:t>
      </w:r>
      <w:r w:rsidRPr="004E1159">
        <w:t>across this and</w:t>
      </w:r>
      <w:r w:rsidR="00396F48" w:rsidRPr="004E1159">
        <w:t xml:space="preserve"> the </w:t>
      </w:r>
      <w:r w:rsidR="00F634C3" w:rsidRPr="004E1159">
        <w:t>October Budget</w:t>
      </w:r>
      <w:r w:rsidR="00D44349" w:rsidRPr="004E1159">
        <w:t>, including 82</w:t>
      </w:r>
      <w:r w:rsidR="003C6A6F" w:rsidRPr="004E1159">
        <w:t xml:space="preserve"> per cent in this Budget</w:t>
      </w:r>
      <w:r w:rsidR="00396F48" w:rsidRPr="004E1159">
        <w:t>.</w:t>
      </w:r>
      <w:r w:rsidR="00E6302C" w:rsidRPr="004E1159">
        <w:rPr>
          <w:rStyle w:val="FootnoteReference"/>
        </w:rPr>
        <w:t xml:space="preserve"> </w:t>
      </w:r>
    </w:p>
    <w:p w14:paraId="35493334" w14:textId="4699235F" w:rsidR="000E27DD" w:rsidRDefault="00396F48" w:rsidP="00396F48">
      <w:pPr>
        <w:pStyle w:val="Dash"/>
        <w:tabs>
          <w:tab w:val="num" w:pos="-850"/>
        </w:tabs>
        <w:ind w:left="568"/>
      </w:pPr>
      <w:r w:rsidRPr="004E1159">
        <w:t xml:space="preserve">Returning upgrades over the past </w:t>
      </w:r>
      <w:r w:rsidR="00321E27" w:rsidRPr="004E1159">
        <w:t>2</w:t>
      </w:r>
      <w:r w:rsidRPr="004E1159">
        <w:t xml:space="preserve"> Budgets will avoid $</w:t>
      </w:r>
      <w:r w:rsidR="004439FF" w:rsidRPr="004E1159">
        <w:t>8</w:t>
      </w:r>
      <w:r w:rsidR="00C40852" w:rsidRPr="004E1159">
        <w:t>3</w:t>
      </w:r>
      <w:r w:rsidR="00F634C3" w:rsidRPr="004E1159">
        <w:t> billion</w:t>
      </w:r>
      <w:r w:rsidRPr="004E1159">
        <w:t xml:space="preserve"> in interest payments </w:t>
      </w:r>
      <w:r w:rsidR="00A834B8" w:rsidRPr="004E1159">
        <w:t>over</w:t>
      </w:r>
      <w:r w:rsidR="00B50CD2" w:rsidRPr="004E1159">
        <w:t xml:space="preserve"> the </w:t>
      </w:r>
      <w:r w:rsidR="003D7D13" w:rsidRPr="004E1159">
        <w:t>12</w:t>
      </w:r>
      <w:r w:rsidR="00DC01B2" w:rsidRPr="004E1159">
        <w:t> year</w:t>
      </w:r>
      <w:r w:rsidR="00B50CD2" w:rsidRPr="004E1159">
        <w:t xml:space="preserve">s </w:t>
      </w:r>
      <w:r w:rsidRPr="004E1159">
        <w:t>to 2033</w:t>
      </w:r>
      <w:r w:rsidR="00F634C3" w:rsidRPr="004E1159">
        <w:t>–</w:t>
      </w:r>
      <w:r w:rsidRPr="004E1159">
        <w:t>34</w:t>
      </w:r>
      <w:r w:rsidR="00BA5D28" w:rsidRPr="004E1159">
        <w:t xml:space="preserve"> (Chart 3.1)</w:t>
      </w:r>
      <w:r w:rsidRPr="004E1159">
        <w:t xml:space="preserve">. </w:t>
      </w:r>
      <w:r w:rsidR="005E170D" w:rsidRPr="004E1159">
        <w:t>It also means g</w:t>
      </w:r>
      <w:r w:rsidRPr="004E1159">
        <w:t xml:space="preserve">ross debt as a share of GDP will be </w:t>
      </w:r>
      <w:r w:rsidR="00054F0E" w:rsidRPr="004E1159">
        <w:t>7.</w:t>
      </w:r>
      <w:r w:rsidR="003877A2" w:rsidRPr="004E1159">
        <w:t>1</w:t>
      </w:r>
      <w:r w:rsidR="00F634C3" w:rsidRPr="004E1159">
        <w:t> percentage</w:t>
      </w:r>
      <w:r w:rsidRPr="004E1159">
        <w:t xml:space="preserve"> points lower in 2033</w:t>
      </w:r>
      <w:r w:rsidR="00F634C3" w:rsidRPr="004E1159">
        <w:t>–</w:t>
      </w:r>
      <w:r w:rsidRPr="004E1159">
        <w:t xml:space="preserve">34 </w:t>
      </w:r>
      <w:r w:rsidR="00B70796" w:rsidRPr="004E1159">
        <w:t>(Chart 3.</w:t>
      </w:r>
      <w:r w:rsidR="00BA5D28" w:rsidRPr="004E1159">
        <w:t>2</w:t>
      </w:r>
      <w:r w:rsidR="00B70796" w:rsidRPr="004E1159">
        <w:t>).</w:t>
      </w:r>
    </w:p>
    <w:p w14:paraId="50C7B699" w14:textId="4A4EA83E" w:rsidR="00174179" w:rsidRPr="004E1159" w:rsidRDefault="006E1527" w:rsidP="00D57DA8">
      <w:pPr>
        <w:pStyle w:val="Bullet"/>
        <w:numPr>
          <w:ilvl w:val="0"/>
          <w:numId w:val="7"/>
        </w:numPr>
      </w:pPr>
      <w:r w:rsidRPr="004E1159">
        <w:t>Supporting budget repair through responsible,</w:t>
      </w:r>
      <w:r w:rsidRPr="004E1159" w:rsidDel="00F71B20">
        <w:t xml:space="preserve"> </w:t>
      </w:r>
      <w:r w:rsidRPr="004E1159">
        <w:t xml:space="preserve">calibrated improvements to spending and </w:t>
      </w:r>
      <w:r w:rsidR="00DA631D" w:rsidRPr="004E1159">
        <w:t xml:space="preserve">strengthening the fairness and integrity of the </w:t>
      </w:r>
      <w:r w:rsidRPr="004E1159">
        <w:t>tax system. Together with improvements from the October Budget, the Government has identified $</w:t>
      </w:r>
      <w:r w:rsidR="00AC534F" w:rsidRPr="004E1159">
        <w:t>61.0</w:t>
      </w:r>
      <w:r w:rsidRPr="004E1159">
        <w:t xml:space="preserve"> billion in budget improvements, $</w:t>
      </w:r>
      <w:r w:rsidR="00257D0D" w:rsidRPr="004E1159">
        <w:t>32.5</w:t>
      </w:r>
      <w:r w:rsidRPr="004E1159">
        <w:t xml:space="preserve"> billion in this Budget. </w:t>
      </w:r>
    </w:p>
    <w:p w14:paraId="36CA8575" w14:textId="6BAC5A87" w:rsidR="006E1527" w:rsidRPr="007537E6" w:rsidRDefault="003C5F6B" w:rsidP="00D57DA8">
      <w:pPr>
        <w:pStyle w:val="Dash"/>
        <w:numPr>
          <w:ilvl w:val="1"/>
          <w:numId w:val="7"/>
        </w:numPr>
      </w:pPr>
      <w:r w:rsidRPr="004E1159">
        <w:t xml:space="preserve">This Budget has </w:t>
      </w:r>
      <w:r w:rsidR="00A144BE" w:rsidRPr="004E1159">
        <w:t>identified</w:t>
      </w:r>
      <w:r w:rsidR="0025002C" w:rsidRPr="004E1159">
        <w:t xml:space="preserve"> </w:t>
      </w:r>
      <w:r w:rsidR="006E1527" w:rsidRPr="004E1159">
        <w:t xml:space="preserve">$17.8 billion in </w:t>
      </w:r>
      <w:r w:rsidR="004078AD" w:rsidRPr="004E1159">
        <w:t xml:space="preserve">spending </w:t>
      </w:r>
      <w:r w:rsidR="006E1527" w:rsidRPr="004E1159">
        <w:t>reprioritisations</w:t>
      </w:r>
      <w:r w:rsidR="00742DA4" w:rsidRPr="004E1159">
        <w:t xml:space="preserve"> </w:t>
      </w:r>
      <w:r w:rsidR="0030364F" w:rsidRPr="004E1159">
        <w:t>over</w:t>
      </w:r>
      <w:r w:rsidR="00FF169B" w:rsidRPr="004E1159">
        <w:t xml:space="preserve"> the 5</w:t>
      </w:r>
      <w:r w:rsidR="008D0F99" w:rsidRPr="004E1159">
        <w:t> </w:t>
      </w:r>
      <w:r w:rsidR="00FF169B" w:rsidRPr="004E1159">
        <w:t xml:space="preserve">years to </w:t>
      </w:r>
      <w:r w:rsidR="003C0160" w:rsidRPr="004E1159">
        <w:t>2026</w:t>
      </w:r>
      <w:r w:rsidR="00235899" w:rsidRPr="004E1159">
        <w:t>–</w:t>
      </w:r>
      <w:r w:rsidR="003C0160" w:rsidRPr="004E1159">
        <w:t>27</w:t>
      </w:r>
      <w:r w:rsidR="006E1527" w:rsidRPr="004E1159">
        <w:t>.</w:t>
      </w:r>
      <w:r w:rsidR="00E173C1" w:rsidRPr="004E1159">
        <w:t xml:space="preserve"> This brings the total to $39.8 billion </w:t>
      </w:r>
      <w:r w:rsidR="005A1E1E" w:rsidRPr="004E1159">
        <w:t>across</w:t>
      </w:r>
      <w:r w:rsidR="0077348A" w:rsidRPr="004E1159">
        <w:t xml:space="preserve"> </w:t>
      </w:r>
      <w:r w:rsidR="00E173C1" w:rsidRPr="004E1159">
        <w:t>2 budgets.</w:t>
      </w:r>
      <w:r w:rsidR="00382774" w:rsidRPr="004E1159">
        <w:t xml:space="preserve"> </w:t>
      </w:r>
    </w:p>
    <w:p w14:paraId="37BE585D" w14:textId="4B1E7CF3" w:rsidR="006E1527" w:rsidRPr="004E1159" w:rsidRDefault="006E1527" w:rsidP="006E1527">
      <w:pPr>
        <w:pStyle w:val="Bullet"/>
      </w:pPr>
      <w:r w:rsidRPr="004E1159">
        <w:t xml:space="preserve">Limiting growth in payments, with real payments growth expected to average 0.6 per cent </w:t>
      </w:r>
      <w:r w:rsidR="00A52DC2" w:rsidRPr="004E1159">
        <w:t xml:space="preserve">a year </w:t>
      </w:r>
      <w:r w:rsidRPr="004E1159">
        <w:t xml:space="preserve">over </w:t>
      </w:r>
      <w:r w:rsidR="00A52DC2" w:rsidRPr="004E1159">
        <w:t>the</w:t>
      </w:r>
      <w:r w:rsidRPr="004E1159">
        <w:t xml:space="preserve"> 5 years from 2022–23 to 2026–27.</w:t>
      </w:r>
    </w:p>
    <w:p w14:paraId="39DB8847" w14:textId="3AF7FEE2" w:rsidR="006C51A5" w:rsidRPr="004E1159" w:rsidRDefault="006E1527" w:rsidP="006E1527">
      <w:pPr>
        <w:pStyle w:val="Dash"/>
      </w:pPr>
      <w:r w:rsidRPr="004E1159">
        <w:t>This compares to an average spending growth of around 4.0 per cent prior to the Global Financial Crisis (2000–01 to 2007–08) and 2.2 per cent prior to the pandemic (2011–12 to 2018–19).</w:t>
      </w:r>
    </w:p>
    <w:p w14:paraId="3C40A698" w14:textId="316CBA49" w:rsidR="00362B12" w:rsidRPr="004E1159" w:rsidRDefault="00C56557" w:rsidP="00FF3EF8">
      <w:r w:rsidRPr="004E1159">
        <w:t>This combination of returning tax receipt upgrades</w:t>
      </w:r>
      <w:r w:rsidR="00362B12" w:rsidRPr="004E1159">
        <w:t xml:space="preserve"> and spending restraint means that fiscal policy is not adding to </w:t>
      </w:r>
      <w:r w:rsidR="00265AA0" w:rsidRPr="004E1159">
        <w:t xml:space="preserve">inflationary pressures </w:t>
      </w:r>
      <w:r w:rsidR="00621717" w:rsidRPr="004E1159">
        <w:t xml:space="preserve">(Box 3.2) </w:t>
      </w:r>
      <w:r w:rsidR="00E6268D" w:rsidRPr="004E1159">
        <w:t>and</w:t>
      </w:r>
      <w:r w:rsidR="00621717" w:rsidRPr="004E1159">
        <w:t xml:space="preserve"> </w:t>
      </w:r>
      <w:r w:rsidR="00A467CA" w:rsidRPr="004E1159">
        <w:t xml:space="preserve">is supporting budget repair and </w:t>
      </w:r>
      <w:r w:rsidR="00265AA0" w:rsidRPr="004E1159">
        <w:t>long</w:t>
      </w:r>
      <w:r w:rsidR="00594653" w:rsidRPr="004E1159">
        <w:noBreakHyphen/>
      </w:r>
      <w:r w:rsidR="00265AA0" w:rsidRPr="004E1159">
        <w:t>term fiscal sustainability.</w:t>
      </w:r>
    </w:p>
    <w:p w14:paraId="58FA4060" w14:textId="52F837C7" w:rsidR="00005278" w:rsidRPr="004E1159" w:rsidRDefault="009D3EC1" w:rsidP="00D57DA8">
      <w:pPr>
        <w:pStyle w:val="Bullet"/>
        <w:numPr>
          <w:ilvl w:val="0"/>
          <w:numId w:val="7"/>
        </w:numPr>
      </w:pPr>
      <w:r w:rsidRPr="004E1159">
        <w:rPr>
          <w:rFonts w:eastAsia="Calibri"/>
        </w:rPr>
        <w:t xml:space="preserve">Since </w:t>
      </w:r>
      <w:r w:rsidR="000A4E20" w:rsidRPr="004E1159">
        <w:rPr>
          <w:rFonts w:eastAsia="Calibri"/>
        </w:rPr>
        <w:t>the 2022</w:t>
      </w:r>
      <w:r w:rsidR="000A4E20" w:rsidRPr="004E1159">
        <w:t xml:space="preserve"> Pre</w:t>
      </w:r>
      <w:r w:rsidR="00594653" w:rsidRPr="004E1159">
        <w:noBreakHyphen/>
      </w:r>
      <w:r w:rsidR="000A4E20" w:rsidRPr="004E1159">
        <w:t>Election Fiscal Outlook</w:t>
      </w:r>
      <w:r w:rsidRPr="004E1159">
        <w:rPr>
          <w:rFonts w:eastAsia="Calibri"/>
        </w:rPr>
        <w:t xml:space="preserve"> </w:t>
      </w:r>
      <w:r w:rsidR="000A4E20" w:rsidRPr="004E1159">
        <w:rPr>
          <w:rFonts w:eastAsia="Calibri"/>
        </w:rPr>
        <w:t>(</w:t>
      </w:r>
      <w:r w:rsidRPr="004E1159">
        <w:rPr>
          <w:rFonts w:eastAsia="Calibri"/>
        </w:rPr>
        <w:t>PEFO</w:t>
      </w:r>
      <w:r w:rsidR="000A4E20" w:rsidRPr="004E1159">
        <w:rPr>
          <w:rFonts w:eastAsia="Calibri"/>
        </w:rPr>
        <w:t>)</w:t>
      </w:r>
      <w:r w:rsidRPr="004E1159">
        <w:rPr>
          <w:rFonts w:eastAsia="Calibri"/>
        </w:rPr>
        <w:t xml:space="preserve">, </w:t>
      </w:r>
      <w:r w:rsidR="00A77C74" w:rsidRPr="004E1159">
        <w:rPr>
          <w:rFonts w:eastAsia="Calibri"/>
        </w:rPr>
        <w:t>t</w:t>
      </w:r>
      <w:r w:rsidR="00005278" w:rsidRPr="004E1159">
        <w:rPr>
          <w:rFonts w:eastAsia="Calibri"/>
        </w:rPr>
        <w:t>he underlying cash balance has improved</w:t>
      </w:r>
      <w:r w:rsidR="00DE4133" w:rsidRPr="004E1159">
        <w:rPr>
          <w:rFonts w:eastAsia="Calibri"/>
        </w:rPr>
        <w:t xml:space="preserve"> by</w:t>
      </w:r>
      <w:r w:rsidR="00005278" w:rsidRPr="004E1159">
        <w:rPr>
          <w:rFonts w:eastAsia="Calibri"/>
        </w:rPr>
        <w:t xml:space="preserve"> a cumulative $1</w:t>
      </w:r>
      <w:r w:rsidR="00A416BF" w:rsidRPr="004E1159">
        <w:rPr>
          <w:rFonts w:eastAsia="Calibri"/>
        </w:rPr>
        <w:t>25</w:t>
      </w:r>
      <w:r w:rsidR="00005278" w:rsidRPr="004E1159">
        <w:rPr>
          <w:rFonts w:eastAsia="Calibri"/>
        </w:rPr>
        <w:t xml:space="preserve"> billion (</w:t>
      </w:r>
      <w:r w:rsidR="00A77C74" w:rsidRPr="004E1159">
        <w:rPr>
          <w:rFonts w:eastAsia="Calibri"/>
        </w:rPr>
        <w:t>2.4 </w:t>
      </w:r>
      <w:r w:rsidR="00005278" w:rsidRPr="004E1159">
        <w:rPr>
          <w:rFonts w:eastAsia="Calibri"/>
        </w:rPr>
        <w:t>per</w:t>
      </w:r>
      <w:r w:rsidR="00A77C74" w:rsidRPr="004E1159">
        <w:rPr>
          <w:rFonts w:eastAsia="Calibri"/>
        </w:rPr>
        <w:t> </w:t>
      </w:r>
      <w:r w:rsidR="00005278" w:rsidRPr="004E1159">
        <w:rPr>
          <w:rFonts w:eastAsia="Calibri"/>
        </w:rPr>
        <w:t xml:space="preserve">cent of GDP) over the two years to </w:t>
      </w:r>
      <w:r w:rsidR="000268A5" w:rsidRPr="004E1159">
        <w:rPr>
          <w:rFonts w:eastAsia="Calibri"/>
        </w:rPr>
        <w:br/>
      </w:r>
      <w:r w:rsidR="00005278" w:rsidRPr="004E1159">
        <w:rPr>
          <w:rFonts w:eastAsia="Calibri"/>
        </w:rPr>
        <w:t>2023</w:t>
      </w:r>
      <w:r w:rsidR="00235899" w:rsidRPr="004E1159">
        <w:rPr>
          <w:rFonts w:eastAsia="Calibri"/>
        </w:rPr>
        <w:t>–</w:t>
      </w:r>
      <w:r w:rsidR="00005278" w:rsidRPr="004E1159">
        <w:rPr>
          <w:rFonts w:eastAsia="Calibri"/>
        </w:rPr>
        <w:t xml:space="preserve">24. </w:t>
      </w:r>
    </w:p>
    <w:p w14:paraId="683C2991" w14:textId="0FA1BEB9" w:rsidR="00A32A79" w:rsidRDefault="00A32A79" w:rsidP="00D57DA8">
      <w:pPr>
        <w:pStyle w:val="Bullet"/>
        <w:numPr>
          <w:ilvl w:val="0"/>
          <w:numId w:val="7"/>
        </w:numPr>
      </w:pPr>
      <w:r w:rsidRPr="004E1159">
        <w:t xml:space="preserve">Gross debt is now expected to peak at 36.5 per cent of GDP </w:t>
      </w:r>
      <w:r w:rsidR="0053590C" w:rsidRPr="004E1159">
        <w:t>in</w:t>
      </w:r>
      <w:r w:rsidRPr="004E1159">
        <w:t xml:space="preserve"> 2025</w:t>
      </w:r>
      <w:r w:rsidR="00235899" w:rsidRPr="004E1159">
        <w:t>–</w:t>
      </w:r>
      <w:r w:rsidRPr="004E1159">
        <w:t xml:space="preserve">26, 10.4 percentage points lower and 5 years earlier than at </w:t>
      </w:r>
      <w:r w:rsidR="00905F07" w:rsidRPr="004E1159">
        <w:t xml:space="preserve">the </w:t>
      </w:r>
      <w:r w:rsidRPr="004E1159">
        <w:t>October Budget. It will then reduce to 32.3 per cent of GDP by the end of the medium term.</w:t>
      </w:r>
      <w:r w:rsidR="00946652" w:rsidRPr="004E1159">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855"/>
        <w:gridCol w:w="3855"/>
      </w:tblGrid>
      <w:tr w:rsidR="00582589" w:rsidRPr="0058391B" w14:paraId="708A145F" w14:textId="77777777" w:rsidTr="00F77212">
        <w:tc>
          <w:tcPr>
            <w:tcW w:w="3855" w:type="dxa"/>
          </w:tcPr>
          <w:p w14:paraId="292FCA1C" w14:textId="0323CDFB" w:rsidR="00A020F2" w:rsidRPr="004E1159" w:rsidRDefault="00582589" w:rsidP="00AB4D24">
            <w:pPr>
              <w:pStyle w:val="ChartMainHeading"/>
            </w:pPr>
            <w:r w:rsidRPr="004E1159">
              <w:lastRenderedPageBreak/>
              <w:t>Chart 3.</w:t>
            </w:r>
            <w:r w:rsidR="00420E79" w:rsidRPr="004E1159">
              <w:t>1</w:t>
            </w:r>
            <w:r w:rsidRPr="004E1159">
              <w:t xml:space="preserve"> </w:t>
            </w:r>
            <w:r w:rsidR="00B94CC8" w:rsidRPr="004E1159">
              <w:t>Total interest payments</w:t>
            </w:r>
          </w:p>
          <w:p w14:paraId="12D2D2F6" w14:textId="0F87306A" w:rsidR="00582589" w:rsidRPr="0058391B" w:rsidRDefault="0094269C" w:rsidP="005E6704">
            <w:pPr>
              <w:pStyle w:val="ChartGraphic"/>
            </w:pPr>
            <w:r>
              <w:pict w14:anchorId="4C9F1F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chart shows the impact of spending tax receipt upgrades on interest payments over the medium term. Under the baseline, interest payments increase from 0.8 per cent of GDP in 2022-23 to 1.1 cent of GDP in 2033-34. Had tax upgrades been spent, interest payments as a share of GDP would be 0.2 percentage points higher in 2033-34" style="width:181.4pt;height:180.45pt">
                  <v:imagedata r:id="rId18" o:title=""/>
                </v:shape>
              </w:pict>
            </w:r>
          </w:p>
        </w:tc>
        <w:tc>
          <w:tcPr>
            <w:tcW w:w="3855" w:type="dxa"/>
          </w:tcPr>
          <w:p w14:paraId="0F33FD0F" w14:textId="289DB672" w:rsidR="00183018" w:rsidRPr="004E1159" w:rsidRDefault="00582589" w:rsidP="00AB4D24">
            <w:pPr>
              <w:pStyle w:val="ChartMainHeading"/>
            </w:pPr>
            <w:r w:rsidRPr="004E1159">
              <w:t>Chart 3.</w:t>
            </w:r>
            <w:r w:rsidR="00420E79" w:rsidRPr="004E1159">
              <w:t>2</w:t>
            </w:r>
            <w:r w:rsidRPr="004E1159">
              <w:t xml:space="preserve">: </w:t>
            </w:r>
            <w:r w:rsidR="00016CC7" w:rsidRPr="004E1159">
              <w:t>Gross debt</w:t>
            </w:r>
            <w:r w:rsidRPr="004E1159" w:rsidDel="00316E2D">
              <w:t xml:space="preserve"> </w:t>
            </w:r>
          </w:p>
          <w:p w14:paraId="3CF3D047" w14:textId="0CDEC101" w:rsidR="00582589" w:rsidRPr="0058391B" w:rsidRDefault="0094269C" w:rsidP="00B560D1">
            <w:pPr>
              <w:pStyle w:val="ChartGraphic"/>
            </w:pPr>
            <w:r>
              <w:pict w14:anchorId="2806184B">
                <v:shape id="_x0000_i1026" type="#_x0000_t75" alt="This chart shows the impact of spending tax receipt upgrades on gross debt over the medium term. Under the baseline, tax receipt upgrades are 32.3 per cent of GDP in 2033-34. Had tax receipt upgrades been spent, gross debt as a share of GDP would be 7.1 percentage points higher in 2033-34." style="width:181.4pt;height:181.4pt">
                  <v:imagedata r:id="rId19" o:title=""/>
                </v:shape>
              </w:pict>
            </w:r>
          </w:p>
        </w:tc>
      </w:tr>
      <w:tr w:rsidR="00582589" w:rsidRPr="0058391B" w14:paraId="4A23DB2B" w14:textId="77777777" w:rsidTr="00F77212">
        <w:tc>
          <w:tcPr>
            <w:tcW w:w="3855" w:type="dxa"/>
          </w:tcPr>
          <w:p w14:paraId="1654350A" w14:textId="08D0E046" w:rsidR="00582589" w:rsidRPr="0013535E" w:rsidRDefault="00582589">
            <w:pPr>
              <w:pStyle w:val="ChartandTableFootnote"/>
              <w:rPr>
                <w:color w:val="auto"/>
              </w:rPr>
            </w:pPr>
            <w:r w:rsidRPr="0013535E">
              <w:rPr>
                <w:color w:val="auto"/>
              </w:rPr>
              <w:t xml:space="preserve">Source: </w:t>
            </w:r>
            <w:r w:rsidRPr="0013535E">
              <w:rPr>
                <w:color w:val="auto"/>
              </w:rPr>
              <w:tab/>
              <w:t>Treasury</w:t>
            </w:r>
            <w:r w:rsidR="00280CED" w:rsidRPr="0013535E">
              <w:rPr>
                <w:color w:val="auto"/>
              </w:rPr>
              <w:t>, AOFM</w:t>
            </w:r>
            <w:r w:rsidRPr="0013535E">
              <w:rPr>
                <w:color w:val="auto"/>
              </w:rPr>
              <w:t>.</w:t>
            </w:r>
          </w:p>
        </w:tc>
        <w:tc>
          <w:tcPr>
            <w:tcW w:w="3855" w:type="dxa"/>
          </w:tcPr>
          <w:p w14:paraId="37837B74" w14:textId="6253D862" w:rsidR="00582589" w:rsidRPr="0013535E" w:rsidRDefault="00582589">
            <w:pPr>
              <w:pStyle w:val="ChartandTableFootnote"/>
              <w:rPr>
                <w:color w:val="auto"/>
              </w:rPr>
            </w:pPr>
            <w:r w:rsidRPr="0013535E">
              <w:rPr>
                <w:color w:val="auto"/>
              </w:rPr>
              <w:t xml:space="preserve">Source: </w:t>
            </w:r>
            <w:r w:rsidRPr="0013535E">
              <w:rPr>
                <w:color w:val="auto"/>
              </w:rPr>
              <w:tab/>
              <w:t>Treasury</w:t>
            </w:r>
            <w:r w:rsidR="00280CED" w:rsidRPr="0013535E">
              <w:rPr>
                <w:color w:val="auto"/>
              </w:rPr>
              <w:t>, AOFM</w:t>
            </w:r>
            <w:r w:rsidRPr="0013535E">
              <w:rPr>
                <w:color w:val="auto"/>
              </w:rPr>
              <w:t>.</w:t>
            </w:r>
          </w:p>
        </w:tc>
      </w:tr>
    </w:tbl>
    <w:p w14:paraId="17FD0177" w14:textId="77777777" w:rsidR="005A1D60" w:rsidRPr="007537E6" w:rsidRDefault="005A1D60" w:rsidP="00FF3EF8">
      <w:pPr>
        <w:pStyle w:val="ChartLine"/>
      </w:pPr>
    </w:p>
    <w:p w14:paraId="49CB4B7E" w14:textId="7B784264" w:rsidR="00051A3A" w:rsidRPr="00FF3EF8" w:rsidRDefault="00051A3A" w:rsidP="00FF3EF8"/>
    <w:tbl>
      <w:tblPr>
        <w:tblW w:w="5154" w:type="pct"/>
        <w:shd w:val="clear" w:color="auto" w:fill="E6F2FF"/>
        <w:tblCellMar>
          <w:top w:w="284" w:type="dxa"/>
          <w:left w:w="284" w:type="dxa"/>
          <w:bottom w:w="284" w:type="dxa"/>
          <w:right w:w="284" w:type="dxa"/>
        </w:tblCellMar>
        <w:tblLook w:val="0000" w:firstRow="0" w:lastRow="0" w:firstColumn="0" w:lastColumn="0" w:noHBand="0" w:noVBand="0"/>
      </w:tblPr>
      <w:tblGrid>
        <w:gridCol w:w="7947"/>
      </w:tblGrid>
      <w:tr w:rsidR="00015856" w:rsidRPr="00EA288B" w14:paraId="40F47578" w14:textId="77777777" w:rsidTr="00EF1412">
        <w:trPr>
          <w:cantSplit/>
        </w:trPr>
        <w:tc>
          <w:tcPr>
            <w:tcW w:w="7947" w:type="dxa"/>
            <w:shd w:val="clear" w:color="auto" w:fill="E6F2FF"/>
          </w:tcPr>
          <w:p w14:paraId="7EFC6E15" w14:textId="77777777" w:rsidR="00DA7A4A" w:rsidRPr="0093103A" w:rsidRDefault="00DA7A4A" w:rsidP="00885771">
            <w:pPr>
              <w:pStyle w:val="BoxHeading"/>
            </w:pPr>
            <w:r w:rsidRPr="0093103A">
              <w:lastRenderedPageBreak/>
              <w:t>Box 3.2: Fiscal and monetary policy in a period of high inflation</w:t>
            </w:r>
          </w:p>
          <w:p w14:paraId="3518250C" w14:textId="658D5393" w:rsidR="007C6EC7" w:rsidRPr="0093103A" w:rsidRDefault="007C6EC7" w:rsidP="007C6EC7">
            <w:pPr>
              <w:pStyle w:val="BoxText"/>
              <w:rPr>
                <w:rFonts w:eastAsia="Calibri"/>
              </w:rPr>
            </w:pPr>
            <w:r w:rsidRPr="004E1159">
              <w:rPr>
                <w:rFonts w:eastAsia="Calibri"/>
              </w:rPr>
              <w:t xml:space="preserve">The peak in inflation appears to have passed in Australia. Annual inflation has fallen from its peak of 7.8 per cent </w:t>
            </w:r>
            <w:r w:rsidR="00DE6262" w:rsidRPr="004E1159">
              <w:rPr>
                <w:rFonts w:eastAsia="Calibri"/>
              </w:rPr>
              <w:t>over</w:t>
            </w:r>
            <w:r w:rsidRPr="004E1159">
              <w:rPr>
                <w:rFonts w:eastAsia="Calibri"/>
              </w:rPr>
              <w:t xml:space="preserve"> the year to the December quarter 2022 to 7.0 per cent over the year to the March quarter 2023. </w:t>
            </w:r>
            <w:r w:rsidRPr="004E1159">
              <w:rPr>
                <w:rFonts w:eastAsia="Segoe UI"/>
              </w:rPr>
              <w:t xml:space="preserve">Inflation </w:t>
            </w:r>
            <w:r w:rsidRPr="004E1159">
              <w:t xml:space="preserve">is expected to </w:t>
            </w:r>
            <w:r w:rsidR="00B525E4" w:rsidRPr="004E1159">
              <w:rPr>
                <w:rFonts w:eastAsia="Calibri"/>
              </w:rPr>
              <w:t>moderate further</w:t>
            </w:r>
            <w:r w:rsidRPr="004E1159">
              <w:t>, driven by easing global price shocks and supply constraints and supported by policy measures such as the Energy Price Relief Plan.</w:t>
            </w:r>
            <w:r w:rsidR="00B525E4" w:rsidRPr="004E1159">
              <w:rPr>
                <w:rFonts w:eastAsia="Calibri"/>
              </w:rPr>
              <w:t xml:space="preserve"> Inflation</w:t>
            </w:r>
            <w:r w:rsidR="00B525E4" w:rsidRPr="004E1159">
              <w:rPr>
                <w:rFonts w:eastAsia="Segoe UI"/>
              </w:rPr>
              <w:t xml:space="preserve"> </w:t>
            </w:r>
            <w:r w:rsidR="00B525E4" w:rsidRPr="004E1159">
              <w:t>is expected to return to the target band in 2024–25</w:t>
            </w:r>
            <w:r w:rsidRPr="004E1159">
              <w:t>.</w:t>
            </w:r>
            <w:r w:rsidRPr="0013535E">
              <w:rPr>
                <w:rFonts w:eastAsia="Calibri"/>
              </w:rPr>
              <w:t xml:space="preserve"> </w:t>
            </w:r>
          </w:p>
          <w:p w14:paraId="7A521C4A" w14:textId="2CF0B7E5" w:rsidR="00DA7A4A" w:rsidRPr="0093103A" w:rsidRDefault="00DA7A4A" w:rsidP="00DA7A4A">
            <w:pPr>
              <w:pStyle w:val="BoxText"/>
              <w:rPr>
                <w:rFonts w:eastAsia="Calibri"/>
              </w:rPr>
            </w:pPr>
            <w:r w:rsidRPr="004E1159">
              <w:rPr>
                <w:rFonts w:eastAsia="Calibri"/>
              </w:rPr>
              <w:t>In response to above</w:t>
            </w:r>
            <w:r w:rsidR="00594653" w:rsidRPr="004E1159">
              <w:rPr>
                <w:rFonts w:eastAsia="Calibri"/>
              </w:rPr>
              <w:noBreakHyphen/>
            </w:r>
            <w:r w:rsidRPr="004E1159">
              <w:rPr>
                <w:rFonts w:eastAsia="Calibri"/>
              </w:rPr>
              <w:t xml:space="preserve">target inflation, the Reserve Bank of Australia has embarked on its </w:t>
            </w:r>
            <w:r w:rsidR="00644625" w:rsidRPr="004E1159">
              <w:rPr>
                <w:rFonts w:eastAsia="Calibri"/>
              </w:rPr>
              <w:t>sharpest</w:t>
            </w:r>
            <w:r w:rsidRPr="004E1159">
              <w:rPr>
                <w:rFonts w:eastAsia="Calibri"/>
              </w:rPr>
              <w:t xml:space="preserve"> tightening cycle since the introduction of inflation targeting in 1993. The cash rate has increased by a cumulative 3</w:t>
            </w:r>
            <w:r w:rsidR="00DE1AC2" w:rsidRPr="004E1159">
              <w:rPr>
                <w:rFonts w:eastAsia="Calibri"/>
              </w:rPr>
              <w:t>75</w:t>
            </w:r>
            <w:r w:rsidRPr="004E1159">
              <w:rPr>
                <w:rFonts w:eastAsia="Calibri"/>
              </w:rPr>
              <w:t xml:space="preserve"> basis points since May 2022. </w:t>
            </w:r>
            <w:r w:rsidR="003D7276" w:rsidRPr="004E1159">
              <w:rPr>
                <w:rFonts w:eastAsia="Calibri"/>
              </w:rPr>
              <w:t xml:space="preserve">Monetary policy is known to operate with long and variable lags, meaning the full effects of policy tightening are </w:t>
            </w:r>
            <w:r w:rsidR="006F285D" w:rsidRPr="004E1159">
              <w:rPr>
                <w:rFonts w:eastAsia="Calibri"/>
              </w:rPr>
              <w:t>yet</w:t>
            </w:r>
            <w:r w:rsidR="003D7276" w:rsidRPr="004E1159">
              <w:rPr>
                <w:rFonts w:eastAsia="Calibri"/>
              </w:rPr>
              <w:t xml:space="preserve"> to flow through the economy. </w:t>
            </w:r>
            <w:r w:rsidR="0026789E" w:rsidRPr="004E1159">
              <w:rPr>
                <w:rFonts w:eastAsia="Calibri"/>
              </w:rPr>
              <w:t xml:space="preserve">Increases to </w:t>
            </w:r>
            <w:r w:rsidR="00B22B07" w:rsidRPr="004E1159">
              <w:rPr>
                <w:rFonts w:eastAsia="Calibri"/>
              </w:rPr>
              <w:t xml:space="preserve">the cash rate </w:t>
            </w:r>
            <w:r w:rsidR="00F44C20" w:rsidRPr="004E1159">
              <w:rPr>
                <w:rFonts w:eastAsia="Calibri"/>
              </w:rPr>
              <w:t>since May</w:t>
            </w:r>
            <w:r w:rsidR="00A93DEF" w:rsidRPr="004E1159">
              <w:rPr>
                <w:rFonts w:eastAsia="Calibri"/>
              </w:rPr>
              <w:t> </w:t>
            </w:r>
            <w:r w:rsidR="00B22B07" w:rsidRPr="004E1159">
              <w:rPr>
                <w:rFonts w:eastAsia="Calibri"/>
              </w:rPr>
              <w:t>2022</w:t>
            </w:r>
            <w:r w:rsidR="00330279" w:rsidRPr="004E1159">
              <w:rPr>
                <w:rFonts w:eastAsia="Calibri"/>
              </w:rPr>
              <w:t xml:space="preserve"> will contribute to a slowing in economic growth in 2023</w:t>
            </w:r>
            <w:r w:rsidR="00F634C3" w:rsidRPr="004E1159">
              <w:rPr>
                <w:rFonts w:eastAsia="Calibri"/>
              </w:rPr>
              <w:t>–</w:t>
            </w:r>
            <w:r w:rsidR="00330279" w:rsidRPr="004E1159">
              <w:rPr>
                <w:rFonts w:eastAsia="Calibri"/>
              </w:rPr>
              <w:t>24</w:t>
            </w:r>
            <w:r w:rsidR="00361797" w:rsidRPr="004E1159">
              <w:rPr>
                <w:rFonts w:eastAsia="Calibri"/>
              </w:rPr>
              <w:t xml:space="preserve">, </w:t>
            </w:r>
            <w:r w:rsidR="00CF7370" w:rsidRPr="004E1159">
              <w:rPr>
                <w:rFonts w:eastAsia="Calibri"/>
              </w:rPr>
              <w:t>and help return supply and demand</w:t>
            </w:r>
            <w:r w:rsidR="00361797" w:rsidRPr="004E1159">
              <w:rPr>
                <w:rFonts w:eastAsia="Calibri"/>
              </w:rPr>
              <w:t xml:space="preserve"> </w:t>
            </w:r>
            <w:r w:rsidR="006531FA" w:rsidRPr="004E1159">
              <w:rPr>
                <w:rFonts w:eastAsia="Calibri"/>
              </w:rPr>
              <w:t>in the economy</w:t>
            </w:r>
            <w:r w:rsidR="00CF7370" w:rsidRPr="004E1159">
              <w:rPr>
                <w:rFonts w:eastAsia="Calibri"/>
              </w:rPr>
              <w:t xml:space="preserve"> </w:t>
            </w:r>
            <w:r w:rsidR="00361797" w:rsidRPr="004E1159">
              <w:rPr>
                <w:rFonts w:eastAsia="Calibri"/>
              </w:rPr>
              <w:t xml:space="preserve">to </w:t>
            </w:r>
            <w:r w:rsidR="00CF7370" w:rsidRPr="004E1159">
              <w:rPr>
                <w:rFonts w:eastAsia="Calibri"/>
              </w:rPr>
              <w:t xml:space="preserve">a more sustainable </w:t>
            </w:r>
            <w:r w:rsidR="006531FA" w:rsidRPr="004E1159">
              <w:rPr>
                <w:rFonts w:eastAsia="Calibri"/>
              </w:rPr>
              <w:t>balance</w:t>
            </w:r>
            <w:r w:rsidR="00361797" w:rsidRPr="004E1159">
              <w:rPr>
                <w:rFonts w:eastAsia="Calibri"/>
              </w:rPr>
              <w:t>.</w:t>
            </w:r>
            <w:r w:rsidR="008208C6" w:rsidRPr="004E1159">
              <w:rPr>
                <w:rFonts w:eastAsia="Calibri"/>
              </w:rPr>
              <w:t xml:space="preserve"> </w:t>
            </w:r>
          </w:p>
          <w:p w14:paraId="3B144868" w14:textId="32DF30C0" w:rsidR="004C0786" w:rsidRPr="004E1159" w:rsidRDefault="004C0786" w:rsidP="004C0786">
            <w:pPr>
              <w:pStyle w:val="BoxText"/>
              <w:rPr>
                <w:rFonts w:eastAsia="Calibri"/>
              </w:rPr>
            </w:pPr>
            <w:r w:rsidRPr="004E1159">
              <w:rPr>
                <w:rFonts w:eastAsia="Calibri"/>
              </w:rPr>
              <w:t xml:space="preserve">Fiscal policy plays </w:t>
            </w:r>
            <w:r w:rsidR="007E10E3" w:rsidRPr="004E1159">
              <w:rPr>
                <w:rFonts w:eastAsia="Calibri"/>
              </w:rPr>
              <w:t xml:space="preserve">an important </w:t>
            </w:r>
            <w:r w:rsidRPr="004E1159">
              <w:rPr>
                <w:rFonts w:eastAsia="Calibri"/>
              </w:rPr>
              <w:t>role in managing business cycles alongside monetary policy</w:t>
            </w:r>
            <w:r w:rsidR="00BE5AB8" w:rsidRPr="004E1159">
              <w:rPr>
                <w:rFonts w:eastAsia="Calibri"/>
              </w:rPr>
              <w:t>,</w:t>
            </w:r>
            <w:r w:rsidR="00CB1BE8" w:rsidRPr="004E1159">
              <w:rPr>
                <w:rFonts w:eastAsia="Calibri"/>
              </w:rPr>
              <w:t xml:space="preserve"> </w:t>
            </w:r>
            <w:r w:rsidR="00DA7A4A" w:rsidRPr="004E1159">
              <w:rPr>
                <w:rFonts w:eastAsia="Calibri"/>
              </w:rPr>
              <w:t>particular</w:t>
            </w:r>
            <w:r w:rsidR="00BE5AB8" w:rsidRPr="004E1159">
              <w:rPr>
                <w:rFonts w:eastAsia="Calibri"/>
              </w:rPr>
              <w:t>ly</w:t>
            </w:r>
            <w:r w:rsidRPr="004E1159">
              <w:rPr>
                <w:rFonts w:eastAsia="Calibri"/>
              </w:rPr>
              <w:t xml:space="preserve"> when supply disruptions are prevalent because it can better target policies to affected sectors and households. It </w:t>
            </w:r>
            <w:r w:rsidR="00812514" w:rsidRPr="004E1159">
              <w:rPr>
                <w:rFonts w:eastAsia="Calibri"/>
              </w:rPr>
              <w:t>is</w:t>
            </w:r>
            <w:r w:rsidRPr="004E1159">
              <w:rPr>
                <w:rFonts w:eastAsia="Calibri"/>
              </w:rPr>
              <w:t xml:space="preserve"> especially important that fiscal policy not add unnecessarily to aggregate demand when inflationary pressures </w:t>
            </w:r>
            <w:r w:rsidR="00812514" w:rsidRPr="004E1159">
              <w:rPr>
                <w:rFonts w:eastAsia="Calibri"/>
              </w:rPr>
              <w:t>are</w:t>
            </w:r>
            <w:r w:rsidRPr="004E1159">
              <w:rPr>
                <w:rFonts w:eastAsia="Calibri"/>
              </w:rPr>
              <w:t xml:space="preserve"> acute. </w:t>
            </w:r>
          </w:p>
          <w:p w14:paraId="142A8BA2" w14:textId="67408FF2" w:rsidR="00931D1E" w:rsidRPr="004E1159" w:rsidRDefault="001C013C" w:rsidP="006A3E85">
            <w:pPr>
              <w:pStyle w:val="BoxText"/>
              <w:rPr>
                <w:rFonts w:eastAsia="Calibri"/>
              </w:rPr>
            </w:pPr>
            <w:r w:rsidRPr="004E1159">
              <w:rPr>
                <w:rFonts w:eastAsia="Calibri"/>
              </w:rPr>
              <w:t xml:space="preserve">Fiscal policy is working in line with monetary policy to tackle inflation in the near term. </w:t>
            </w:r>
            <w:r w:rsidR="006A3E85" w:rsidRPr="004E1159">
              <w:rPr>
                <w:rFonts w:eastAsia="Calibri"/>
              </w:rPr>
              <w:t>The Government has achieved this through its decision to</w:t>
            </w:r>
            <w:r w:rsidR="006A3E85" w:rsidRPr="004E1159" w:rsidDel="00951D0E">
              <w:rPr>
                <w:rFonts w:eastAsia="Calibri"/>
              </w:rPr>
              <w:t xml:space="preserve"> </w:t>
            </w:r>
            <w:r w:rsidR="006A3E85" w:rsidRPr="004E1159">
              <w:rPr>
                <w:rFonts w:eastAsia="Calibri"/>
              </w:rPr>
              <w:t xml:space="preserve">bank </w:t>
            </w:r>
            <w:r w:rsidR="002214D8" w:rsidRPr="004E1159">
              <w:rPr>
                <w:rFonts w:eastAsia="Calibri"/>
              </w:rPr>
              <w:t>9</w:t>
            </w:r>
            <w:r w:rsidR="003274B6" w:rsidRPr="004E1159">
              <w:rPr>
                <w:rFonts w:eastAsia="Calibri"/>
              </w:rPr>
              <w:t>1</w:t>
            </w:r>
            <w:r w:rsidR="006A3E85" w:rsidRPr="004E1159">
              <w:rPr>
                <w:rFonts w:eastAsia="Calibri"/>
              </w:rPr>
              <w:t xml:space="preserve"> per cent of tax windfalls </w:t>
            </w:r>
            <w:r w:rsidR="00260048" w:rsidRPr="004E1159">
              <w:rPr>
                <w:rFonts w:eastAsia="Calibri"/>
              </w:rPr>
              <w:t>in 2022–23 and 2023–24</w:t>
            </w:r>
            <w:r w:rsidR="00AF2B4D" w:rsidRPr="004E1159">
              <w:rPr>
                <w:rFonts w:eastAsia="Calibri"/>
              </w:rPr>
              <w:t>,</w:t>
            </w:r>
            <w:r w:rsidR="00260048" w:rsidRPr="004E1159">
              <w:rPr>
                <w:rFonts w:eastAsia="Calibri"/>
              </w:rPr>
              <w:t xml:space="preserve"> </w:t>
            </w:r>
            <w:r w:rsidR="006A3E85" w:rsidRPr="004E1159">
              <w:rPr>
                <w:rFonts w:eastAsia="Calibri"/>
              </w:rPr>
              <w:t xml:space="preserve">over the past 2 budgets. It has also shown </w:t>
            </w:r>
            <w:r w:rsidR="006A3E85" w:rsidRPr="004E1159">
              <w:t>spending restraint, by limiting annual real payments growth to 0.</w:t>
            </w:r>
            <w:r w:rsidR="00C35720" w:rsidRPr="004E1159">
              <w:t>6</w:t>
            </w:r>
            <w:r w:rsidR="006A3E85" w:rsidRPr="004E1159">
              <w:t> per cent on average over the 5</w:t>
            </w:r>
            <w:r w:rsidR="00B92BD3" w:rsidRPr="004E1159">
              <w:t> </w:t>
            </w:r>
            <w:r w:rsidR="006A3E85" w:rsidRPr="004E1159">
              <w:t>years from 202</w:t>
            </w:r>
            <w:r w:rsidR="00E47707" w:rsidRPr="004E1159">
              <w:t>2</w:t>
            </w:r>
            <w:r w:rsidR="00235899" w:rsidRPr="004E1159">
              <w:t>–</w:t>
            </w:r>
            <w:r w:rsidR="00E47707" w:rsidRPr="004E1159">
              <w:t>23</w:t>
            </w:r>
            <w:r w:rsidR="006A3E85" w:rsidRPr="004E1159">
              <w:t>.</w:t>
            </w:r>
            <w:r w:rsidR="006A3E85" w:rsidRPr="004E1159">
              <w:rPr>
                <w:rFonts w:eastAsia="Calibri"/>
              </w:rPr>
              <w:t xml:space="preserve"> This has resulted in the cumulative underlying cash balance being $</w:t>
            </w:r>
            <w:r w:rsidR="000A07C9" w:rsidRPr="004E1159">
              <w:rPr>
                <w:rFonts w:eastAsia="Calibri"/>
              </w:rPr>
              <w:t>124.7</w:t>
            </w:r>
            <w:r w:rsidR="006A3E85" w:rsidRPr="004E1159">
              <w:rPr>
                <w:rFonts w:eastAsia="Calibri"/>
              </w:rPr>
              <w:t xml:space="preserve"> billion higher over the two years to 2023</w:t>
            </w:r>
            <w:r w:rsidR="00235899" w:rsidRPr="004E1159">
              <w:rPr>
                <w:rFonts w:eastAsia="Calibri"/>
              </w:rPr>
              <w:t>–</w:t>
            </w:r>
            <w:r w:rsidR="006A3E85" w:rsidRPr="004E1159">
              <w:rPr>
                <w:rFonts w:eastAsia="Calibri"/>
              </w:rPr>
              <w:t xml:space="preserve">24 than was projected at PEFO. </w:t>
            </w:r>
          </w:p>
          <w:p w14:paraId="3F3B9520" w14:textId="0F09A650" w:rsidR="0079477E" w:rsidRPr="0013535E" w:rsidRDefault="00837C77" w:rsidP="0079477E">
            <w:pPr>
              <w:pStyle w:val="BoxText"/>
              <w:rPr>
                <w:rFonts w:eastAsia="Calibri"/>
              </w:rPr>
            </w:pPr>
            <w:r w:rsidRPr="004E1159">
              <w:rPr>
                <w:rFonts w:eastAsia="Calibri"/>
              </w:rPr>
              <w:t>From 2023</w:t>
            </w:r>
            <w:r w:rsidR="00235899" w:rsidRPr="004E1159">
              <w:rPr>
                <w:rFonts w:eastAsia="Calibri"/>
              </w:rPr>
              <w:t>–</w:t>
            </w:r>
            <w:r w:rsidRPr="004E1159">
              <w:rPr>
                <w:rFonts w:eastAsia="Calibri"/>
              </w:rPr>
              <w:t xml:space="preserve">24, the underlying cash balance is </w:t>
            </w:r>
            <w:r w:rsidRPr="004E1159">
              <w:t>forecast</w:t>
            </w:r>
            <w:r w:rsidRPr="004E1159">
              <w:rPr>
                <w:rFonts w:eastAsia="Calibri"/>
              </w:rPr>
              <w:t xml:space="preserve"> to </w:t>
            </w:r>
            <w:r w:rsidRPr="004E1159">
              <w:t>transition back towards its structural deficit position</w:t>
            </w:r>
            <w:r w:rsidR="008224A1" w:rsidRPr="004E1159">
              <w:t>, albeit significantly improved from estimates since the 2022</w:t>
            </w:r>
            <w:r w:rsidR="008F7C7E" w:rsidRPr="004E1159">
              <w:t> </w:t>
            </w:r>
            <w:r w:rsidR="008224A1" w:rsidRPr="004E1159">
              <w:t>PEFO,</w:t>
            </w:r>
            <w:r w:rsidRPr="004E1159">
              <w:t xml:space="preserve"> as cyclical factors, such as current high commodity prices, unwind. </w:t>
            </w:r>
            <w:r w:rsidR="0079477E" w:rsidRPr="004E1159">
              <w:rPr>
                <w:rFonts w:eastAsia="Calibri"/>
              </w:rPr>
              <w:t>Restraining spending and returning most revenue upgrades to the budget</w:t>
            </w:r>
            <w:r w:rsidR="0079477E" w:rsidRPr="004E1159" w:rsidDel="0030269A">
              <w:rPr>
                <w:rFonts w:eastAsia="Calibri"/>
              </w:rPr>
              <w:t xml:space="preserve"> </w:t>
            </w:r>
            <w:r w:rsidR="0079477E" w:rsidRPr="004E1159">
              <w:rPr>
                <w:rFonts w:eastAsia="Calibri"/>
              </w:rPr>
              <w:t>also helps to ensure the fiscal position is sustainable, with adequate buffers to enable fiscal policy to respond to future crises.</w:t>
            </w:r>
            <w:r w:rsidR="00A7539D" w:rsidRPr="004E1159">
              <w:t xml:space="preserve"> </w:t>
            </w:r>
          </w:p>
          <w:p w14:paraId="6BD4CD35" w14:textId="0B3CE2AB" w:rsidR="00840D3D" w:rsidRPr="00566CF5" w:rsidRDefault="00840D3D" w:rsidP="0079477E">
            <w:pPr>
              <w:pStyle w:val="BoxText"/>
              <w:rPr>
                <w:rFonts w:eastAsia="Calibri"/>
              </w:rPr>
            </w:pPr>
            <w:r w:rsidRPr="004E1159">
              <w:t>The Government</w:t>
            </w:r>
            <w:r w:rsidR="00594653" w:rsidRPr="004E1159">
              <w:t>’</w:t>
            </w:r>
            <w:r w:rsidRPr="004E1159">
              <w:t>s measures to deliver cost</w:t>
            </w:r>
            <w:r w:rsidR="00CF5226" w:rsidRPr="004E1159">
              <w:t>-</w:t>
            </w:r>
            <w:r w:rsidRPr="004E1159">
              <w:t>of</w:t>
            </w:r>
            <w:r w:rsidR="00CF5226" w:rsidRPr="004E1159">
              <w:t>-</w:t>
            </w:r>
            <w:r w:rsidRPr="004E1159">
              <w:t>living relief directly reduce</w:t>
            </w:r>
            <w:r w:rsidRPr="004E1159">
              <w:rPr>
                <w:rFonts w:eastAsia="Calibri"/>
              </w:rPr>
              <w:t xml:space="preserve"> the </w:t>
            </w:r>
            <w:r w:rsidRPr="004E1159">
              <w:t>CPI in 2023</w:t>
            </w:r>
            <w:r w:rsidR="00235899" w:rsidRPr="004E1159">
              <w:t>–</w:t>
            </w:r>
            <w:r w:rsidRPr="004E1159">
              <w:t>24 and are not expected to add to broader inflationary pressures in the economy. These measures are expected to reduce inflation by ¾ of a percentage point in 2023–24</w:t>
            </w:r>
            <w:r w:rsidR="00A82E7D" w:rsidRPr="004E1159">
              <w:t>.</w:t>
            </w:r>
            <w:r w:rsidR="00BC5012" w:rsidRPr="004E1159">
              <w:rPr>
                <w:rFonts w:eastAsia="Calibri"/>
              </w:rPr>
              <w:t xml:space="preserve"> </w:t>
            </w:r>
          </w:p>
          <w:p w14:paraId="5DD14943" w14:textId="77777777" w:rsidR="00DA7A4A" w:rsidRPr="00C77274" w:rsidRDefault="00F77212" w:rsidP="00F77212">
            <w:pPr>
              <w:pStyle w:val="Box-continuedon"/>
            </w:pPr>
            <w:r>
              <w:t>continued on next page</w:t>
            </w:r>
          </w:p>
        </w:tc>
      </w:tr>
      <w:tr w:rsidR="00F77212" w:rsidRPr="00EA288B" w14:paraId="73B3A2A1" w14:textId="77777777" w:rsidTr="00EF1412">
        <w:trPr>
          <w:cantSplit/>
        </w:trPr>
        <w:tc>
          <w:tcPr>
            <w:tcW w:w="7947" w:type="dxa"/>
            <w:shd w:val="clear" w:color="auto" w:fill="E6F2FF"/>
          </w:tcPr>
          <w:p w14:paraId="7D4B462B" w14:textId="77777777" w:rsidR="00F77212" w:rsidRPr="0093103A" w:rsidRDefault="00F77212" w:rsidP="00F77212">
            <w:pPr>
              <w:pStyle w:val="BoxHeading"/>
            </w:pPr>
            <w:r w:rsidRPr="0093103A">
              <w:lastRenderedPageBreak/>
              <w:t>Box 3.2: Fiscal and monetary policy in a period of high inflation</w:t>
            </w:r>
            <w:r>
              <w:t xml:space="preserve"> </w:t>
            </w:r>
            <w:r w:rsidRPr="006D2E93">
              <w:rPr>
                <w:rStyle w:val="BoxHeading-Continued"/>
              </w:rPr>
              <w:t>(continued)</w:t>
            </w:r>
          </w:p>
          <w:p w14:paraId="4BCFEE0F" w14:textId="66F8F37A" w:rsidR="005620BF" w:rsidRPr="0093103A" w:rsidRDefault="005620BF" w:rsidP="006D2E93">
            <w:pPr>
              <w:pStyle w:val="BoxText"/>
              <w:rPr>
                <w:rFonts w:eastAsia="Calibri"/>
              </w:rPr>
            </w:pPr>
            <w:r w:rsidRPr="004E1159">
              <w:rPr>
                <w:rFonts w:eastAsia="Calibri"/>
              </w:rPr>
              <w:t>The Government is acting through targeted, cost</w:t>
            </w:r>
            <w:r w:rsidR="00594653" w:rsidRPr="004E1159">
              <w:rPr>
                <w:rFonts w:eastAsia="Calibri"/>
              </w:rPr>
              <w:noBreakHyphen/>
            </w:r>
            <w:r w:rsidRPr="004E1159">
              <w:rPr>
                <w:rFonts w:eastAsia="Calibri"/>
              </w:rPr>
              <w:t>of</w:t>
            </w:r>
            <w:r w:rsidR="00594653" w:rsidRPr="004E1159">
              <w:rPr>
                <w:rFonts w:eastAsia="Calibri"/>
              </w:rPr>
              <w:noBreakHyphen/>
            </w:r>
            <w:r w:rsidRPr="004E1159">
              <w:rPr>
                <w:rFonts w:eastAsia="Calibri"/>
              </w:rPr>
              <w:t>living relief to support low</w:t>
            </w:r>
            <w:r w:rsidR="00594653" w:rsidRPr="004E1159">
              <w:rPr>
                <w:rFonts w:eastAsia="Calibri"/>
              </w:rPr>
              <w:noBreakHyphen/>
            </w:r>
            <w:r w:rsidRPr="004E1159">
              <w:rPr>
                <w:rFonts w:eastAsia="Calibri"/>
              </w:rPr>
              <w:t>income Australians, including:</w:t>
            </w:r>
            <w:r w:rsidRPr="004E1159">
              <w:t xml:space="preserve"> </w:t>
            </w:r>
            <w:r w:rsidRPr="0093103A">
              <w:rPr>
                <w:rFonts w:eastAsia="Calibri"/>
              </w:rPr>
              <w:t xml:space="preserve"> </w:t>
            </w:r>
          </w:p>
          <w:p w14:paraId="02EC9AD5" w14:textId="37742D35" w:rsidR="005620BF" w:rsidRPr="00522FA3" w:rsidRDefault="005620BF" w:rsidP="005620BF">
            <w:pPr>
              <w:pStyle w:val="BoxBullet"/>
            </w:pPr>
            <w:r w:rsidRPr="004E1159">
              <w:rPr>
                <w:rFonts w:eastAsia="Calibri"/>
              </w:rPr>
              <w:t xml:space="preserve">providing direct energy bill relief for households and small businesses </w:t>
            </w:r>
          </w:p>
          <w:p w14:paraId="49FC87A3" w14:textId="010EA78D" w:rsidR="005620BF" w:rsidRPr="005D0435" w:rsidRDefault="005620BF" w:rsidP="005620BF">
            <w:pPr>
              <w:pStyle w:val="BoxBullet"/>
            </w:pPr>
            <w:r w:rsidRPr="004E1159">
              <w:t>reducing out of pocket health costs</w:t>
            </w:r>
          </w:p>
          <w:p w14:paraId="77EC6323" w14:textId="0C0591F3" w:rsidR="00F77212" w:rsidRPr="005620BF" w:rsidRDefault="00F77212" w:rsidP="005620BF">
            <w:pPr>
              <w:pStyle w:val="BoxBullet"/>
            </w:pPr>
            <w:r w:rsidRPr="004E1159">
              <w:t>supporting Australians most in need through increases to the rate of working age payments and targeted support for single parents</w:t>
            </w:r>
            <w:r w:rsidRPr="005620BF">
              <w:t xml:space="preserve"> </w:t>
            </w:r>
          </w:p>
          <w:p w14:paraId="42A42E46" w14:textId="79D50E3A" w:rsidR="00F77212" w:rsidRPr="0093103A" w:rsidRDefault="00F77212" w:rsidP="005620BF">
            <w:pPr>
              <w:pStyle w:val="BoxBullet"/>
            </w:pPr>
            <w:r w:rsidRPr="004E1159">
              <w:t>increasing</w:t>
            </w:r>
            <w:r w:rsidRPr="004E1159" w:rsidDel="00E771FC">
              <w:t xml:space="preserve"> </w:t>
            </w:r>
            <w:r w:rsidRPr="004E1159">
              <w:t>Commonwealth Rent Assistance maximum rates by 15 per cent.</w:t>
            </w:r>
          </w:p>
          <w:p w14:paraId="2F90174F" w14:textId="0B02B2A6" w:rsidR="00F77212" w:rsidRPr="004E1159" w:rsidRDefault="00F77212" w:rsidP="006D2E93">
            <w:pPr>
              <w:pStyle w:val="BoxText"/>
              <w:rPr>
                <w:rFonts w:eastAsia="Calibri"/>
              </w:rPr>
            </w:pPr>
            <w:r w:rsidRPr="004E1159">
              <w:rPr>
                <w:rFonts w:eastAsia="Calibri"/>
              </w:rPr>
              <w:t>Fiscal policy can also bring down inflation by growing supply, for example through productivity</w:t>
            </w:r>
            <w:r w:rsidR="00594653" w:rsidRPr="004E1159">
              <w:rPr>
                <w:rFonts w:eastAsia="Calibri"/>
              </w:rPr>
              <w:noBreakHyphen/>
            </w:r>
            <w:r w:rsidRPr="004E1159">
              <w:rPr>
                <w:rFonts w:eastAsia="Calibri"/>
              </w:rPr>
              <w:t>enhancing investment or measures that increase the participation rate. These policies take time to expand production. While they won</w:t>
            </w:r>
            <w:r w:rsidR="00594653" w:rsidRPr="004E1159">
              <w:rPr>
                <w:rFonts w:eastAsia="Calibri"/>
              </w:rPr>
              <w:t>’</w:t>
            </w:r>
            <w:r w:rsidRPr="004E1159">
              <w:rPr>
                <w:rFonts w:eastAsia="Calibri"/>
              </w:rPr>
              <w:t xml:space="preserve">t offer immediate relief to current inflationary pressures, they improve the productive capacity of the economy over time, allowing it to grow more strongly without generating inflationary pressures. They can also make our economy more resilient to future shocks in our supply chain. </w:t>
            </w:r>
          </w:p>
          <w:p w14:paraId="45DB1069" w14:textId="204826BC" w:rsidR="00F77212" w:rsidRPr="0093103A" w:rsidRDefault="00F77212" w:rsidP="00F77212">
            <w:pPr>
              <w:pStyle w:val="BoxText"/>
              <w:rPr>
                <w:rFonts w:eastAsia="Calibri"/>
              </w:rPr>
            </w:pPr>
            <w:r w:rsidRPr="004E1159">
              <w:rPr>
                <w:rFonts w:eastAsia="Calibri"/>
              </w:rPr>
              <w:t xml:space="preserve">The Government is working to expand the productive capacity of the economy including by: </w:t>
            </w:r>
          </w:p>
          <w:p w14:paraId="00115667" w14:textId="1A072CA3" w:rsidR="00F77212" w:rsidRPr="0093103A" w:rsidRDefault="00F77212" w:rsidP="005620BF">
            <w:pPr>
              <w:pStyle w:val="BoxBullet"/>
            </w:pPr>
            <w:r w:rsidRPr="004E1159">
              <w:t>rebuilding Australia</w:t>
            </w:r>
            <w:r w:rsidR="00594653" w:rsidRPr="004E1159">
              <w:t>’</w:t>
            </w:r>
            <w:r w:rsidRPr="004E1159">
              <w:t xml:space="preserve">s industrial capability with a focus on priority areas of the Australian economy, including through the National Reconstruction Fund </w:t>
            </w:r>
          </w:p>
          <w:p w14:paraId="342C611F" w14:textId="5EE77FB5" w:rsidR="00F77212" w:rsidRDefault="00F77212" w:rsidP="005620BF">
            <w:pPr>
              <w:pStyle w:val="BoxBullet"/>
            </w:pPr>
            <w:r w:rsidRPr="004E1159">
              <w:t>supporting the transformation to net zero including through investments to support large scale hydrogen projects to commercialisation</w:t>
            </w:r>
            <w:r w:rsidRPr="004E1159" w:rsidDel="00722421">
              <w:t xml:space="preserve"> </w:t>
            </w:r>
            <w:r w:rsidRPr="004E1159">
              <w:t xml:space="preserve">through the Hydrogen Headstart </w:t>
            </w:r>
          </w:p>
          <w:p w14:paraId="2596A27B" w14:textId="6D8F474E" w:rsidR="00F77212" w:rsidRPr="00A014DA" w:rsidRDefault="00F77212" w:rsidP="005620BF">
            <w:pPr>
              <w:pStyle w:val="BoxBullet"/>
            </w:pPr>
            <w:r w:rsidRPr="004E1159">
              <w:t>continuing to improve the sustainability and impact of the Infrastructure Investment Program, and ensuring it is focused on delivering nationally significant land transport infrastructure projects</w:t>
            </w:r>
          </w:p>
          <w:p w14:paraId="1EE3FCFC" w14:textId="6D11C5EE" w:rsidR="00F77212" w:rsidRPr="00566CF5" w:rsidRDefault="00F77212" w:rsidP="005620BF">
            <w:pPr>
              <w:pStyle w:val="BoxBullet"/>
            </w:pPr>
            <w:r w:rsidRPr="004E1159">
              <w:t>improving the affordability of early childhood education and care and expanding Paid Parental Leave</w:t>
            </w:r>
          </w:p>
          <w:p w14:paraId="2B6D2125" w14:textId="1665B36A" w:rsidR="00F77212" w:rsidRPr="00566CF5" w:rsidRDefault="00F77212" w:rsidP="005620BF">
            <w:pPr>
              <w:pStyle w:val="BoxBullet"/>
            </w:pPr>
            <w:r w:rsidRPr="004E1159">
              <w:t>targeting skilled migration and negotiating a new National Skills Agreement with the states and territories</w:t>
            </w:r>
          </w:p>
          <w:p w14:paraId="149D5ADE" w14:textId="551C6DA1" w:rsidR="00F77212" w:rsidRPr="0093103A" w:rsidRDefault="00F77212" w:rsidP="005620BF">
            <w:pPr>
              <w:pStyle w:val="BoxBullet"/>
            </w:pPr>
            <w:r w:rsidRPr="004E1159">
              <w:t>supporting competition and innovation through the Consumer Data Right.</w:t>
            </w:r>
            <w:r w:rsidR="006F7FF1" w:rsidRPr="004E1159">
              <w:t xml:space="preserve"> </w:t>
            </w:r>
          </w:p>
        </w:tc>
      </w:tr>
      <w:tr w:rsidR="00EF1412" w:rsidRPr="00EA288B" w14:paraId="4552C628" w14:textId="77777777" w:rsidTr="00EF1412">
        <w:trPr>
          <w:cantSplit/>
        </w:trPr>
        <w:tc>
          <w:tcPr>
            <w:tcW w:w="7947" w:type="dxa"/>
            <w:shd w:val="clear" w:color="auto" w:fill="E6F2FF"/>
          </w:tcPr>
          <w:p w14:paraId="5E42D784" w14:textId="77777777" w:rsidR="00EF1412" w:rsidRPr="0093103A" w:rsidRDefault="00EF1412" w:rsidP="00885771">
            <w:pPr>
              <w:pStyle w:val="BoxHeading"/>
            </w:pPr>
          </w:p>
        </w:tc>
      </w:tr>
    </w:tbl>
    <w:p w14:paraId="3393C86D" w14:textId="77777777" w:rsidR="00DE3CA4" w:rsidRPr="006D2E93" w:rsidRDefault="00DE3CA4" w:rsidP="006D2E93">
      <w:bookmarkStart w:id="4" w:name="_Toc117356557"/>
      <w:r>
        <w:br w:type="page"/>
      </w:r>
    </w:p>
    <w:p w14:paraId="2A01A802" w14:textId="4E732D0A" w:rsidR="004802FB" w:rsidRPr="00EA288B" w:rsidRDefault="004802FB" w:rsidP="004802FB">
      <w:pPr>
        <w:pStyle w:val="Heading2"/>
      </w:pPr>
      <w:bookmarkStart w:id="5" w:name="_Toc134321286"/>
      <w:r w:rsidRPr="00EA288B">
        <w:lastRenderedPageBreak/>
        <w:t>Fiscal outlook</w:t>
      </w:r>
      <w:bookmarkEnd w:id="4"/>
      <w:bookmarkEnd w:id="5"/>
      <w:r w:rsidRPr="00EA288B">
        <w:t xml:space="preserve"> </w:t>
      </w:r>
    </w:p>
    <w:p w14:paraId="1C972175" w14:textId="2B3407D6" w:rsidR="004802FB" w:rsidRPr="00EA288B" w:rsidRDefault="004802FB" w:rsidP="004802FB">
      <w:pPr>
        <w:pStyle w:val="Heading3"/>
        <w:rPr>
          <w:rFonts w:eastAsiaTheme="minorHAnsi"/>
        </w:rPr>
      </w:pPr>
      <w:bookmarkStart w:id="6" w:name="_Toc117356558"/>
      <w:bookmarkStart w:id="7" w:name="_Toc134321287"/>
      <w:r w:rsidRPr="00EA288B">
        <w:t>Underlying cash balance estimates</w:t>
      </w:r>
      <w:bookmarkEnd w:id="6"/>
      <w:bookmarkEnd w:id="7"/>
      <w:r w:rsidR="00C76645" w:rsidRPr="00EA288B">
        <w:t xml:space="preserve"> </w:t>
      </w:r>
    </w:p>
    <w:p w14:paraId="196C0ABD" w14:textId="7B8AC2EC" w:rsidR="00032F0D" w:rsidRDefault="003303D8" w:rsidP="00065911">
      <w:r w:rsidRPr="004E1159">
        <w:t>The underlying cash balance is estimated to be</w:t>
      </w:r>
      <w:r w:rsidR="00D5380F" w:rsidRPr="004E1159">
        <w:t xml:space="preserve"> in surplus</w:t>
      </w:r>
      <w:r w:rsidR="003F02DF" w:rsidRPr="004E1159">
        <w:t xml:space="preserve"> by</w:t>
      </w:r>
      <w:r w:rsidRPr="004E1159">
        <w:t xml:space="preserve"> $</w:t>
      </w:r>
      <w:r w:rsidR="004322AE" w:rsidRPr="004E1159">
        <w:t>4.2</w:t>
      </w:r>
      <w:r w:rsidR="00F634C3" w:rsidRPr="004E1159">
        <w:t> billion</w:t>
      </w:r>
      <w:r w:rsidRPr="004E1159">
        <w:t xml:space="preserve"> (</w:t>
      </w:r>
      <w:r w:rsidR="008D766C" w:rsidRPr="004E1159">
        <w:t>0.2</w:t>
      </w:r>
      <w:r w:rsidR="00F634C3" w:rsidRPr="004E1159">
        <w:t> per </w:t>
      </w:r>
      <w:r w:rsidRPr="004E1159">
        <w:t>cent of GDP) in 2022</w:t>
      </w:r>
      <w:r w:rsidR="00F634C3" w:rsidRPr="004E1159">
        <w:t>–</w:t>
      </w:r>
      <w:r w:rsidRPr="004E1159">
        <w:t>23, an improvement of $</w:t>
      </w:r>
      <w:r w:rsidR="00630584" w:rsidRPr="004E1159">
        <w:t>4</w:t>
      </w:r>
      <w:r w:rsidR="00A54D37" w:rsidRPr="004E1159">
        <w:t>1.1</w:t>
      </w:r>
      <w:r w:rsidR="00F634C3" w:rsidRPr="004E1159">
        <w:t> billion</w:t>
      </w:r>
      <w:r w:rsidRPr="004E1159">
        <w:t xml:space="preserve"> compared to the </w:t>
      </w:r>
      <w:r w:rsidR="00F634C3" w:rsidRPr="004E1159">
        <w:t>October Budget</w:t>
      </w:r>
      <w:r w:rsidRPr="004E1159">
        <w:t xml:space="preserve"> </w:t>
      </w:r>
      <w:r w:rsidR="00683538" w:rsidRPr="004E1159">
        <w:t>and $8</w:t>
      </w:r>
      <w:r w:rsidR="001F6454" w:rsidRPr="004E1159">
        <w:t>2</w:t>
      </w:r>
      <w:r w:rsidR="00683538" w:rsidRPr="004E1159">
        <w:t>.</w:t>
      </w:r>
      <w:r w:rsidR="001F6454" w:rsidRPr="004E1159">
        <w:t>1</w:t>
      </w:r>
      <w:r w:rsidR="00F634C3" w:rsidRPr="004E1159">
        <w:t> billion</w:t>
      </w:r>
      <w:r w:rsidR="00683538" w:rsidRPr="004E1159">
        <w:t xml:space="preserve"> since the 2022 </w:t>
      </w:r>
      <w:r w:rsidR="007C4407" w:rsidRPr="004E1159">
        <w:t>PEFO</w:t>
      </w:r>
      <w:r w:rsidR="00683538" w:rsidRPr="004E1159">
        <w:t xml:space="preserve">. </w:t>
      </w:r>
      <w:r w:rsidR="00DF47CB" w:rsidRPr="004E1159">
        <w:t xml:space="preserve">The </w:t>
      </w:r>
      <w:r w:rsidR="00683538" w:rsidRPr="004E1159">
        <w:t>Australia</w:t>
      </w:r>
      <w:r w:rsidR="00194BB4" w:rsidRPr="004E1159">
        <w:t>n Government</w:t>
      </w:r>
      <w:r w:rsidR="00683538" w:rsidRPr="004E1159">
        <w:t xml:space="preserve"> is forecasting a surplus before </w:t>
      </w:r>
      <w:r w:rsidR="005E746D" w:rsidRPr="004E1159">
        <w:t>most</w:t>
      </w:r>
      <w:r w:rsidR="005C5391" w:rsidRPr="004E1159">
        <w:t xml:space="preserve"> of the</w:t>
      </w:r>
      <w:r w:rsidR="00683538" w:rsidRPr="004E1159">
        <w:t xml:space="preserve"> </w:t>
      </w:r>
      <w:r w:rsidR="003F37E2" w:rsidRPr="004E1159">
        <w:t>major</w:t>
      </w:r>
      <w:r w:rsidR="00C73440" w:rsidRPr="004E1159">
        <w:t xml:space="preserve"> </w:t>
      </w:r>
      <w:r w:rsidR="00683538" w:rsidRPr="004E1159">
        <w:t>advanced econom</w:t>
      </w:r>
      <w:r w:rsidR="005E746D" w:rsidRPr="004E1159">
        <w:t>ies</w:t>
      </w:r>
      <w:r w:rsidR="000E4DE3" w:rsidRPr="004E1159">
        <w:t xml:space="preserve"> (Chart 3.3)</w:t>
      </w:r>
      <w:r w:rsidR="007C2891" w:rsidRPr="004E1159">
        <w:t>.</w:t>
      </w:r>
    </w:p>
    <w:p w14:paraId="3312986C" w14:textId="63F0B28D" w:rsidR="005620BF" w:rsidRDefault="009B3149" w:rsidP="006D2E93">
      <w:pPr>
        <w:pStyle w:val="ChartMainHeading"/>
      </w:pPr>
      <w:r w:rsidRPr="004E1159">
        <w:t xml:space="preserve">Chart 3.3 </w:t>
      </w:r>
      <w:r w:rsidR="003B2468" w:rsidRPr="004E1159">
        <w:t>International c</w:t>
      </w:r>
      <w:r w:rsidRPr="004E1159">
        <w:t>omparison of budget balances</w:t>
      </w:r>
      <w:bookmarkStart w:id="8" w:name="_1744826645"/>
      <w:bookmarkEnd w:id="8"/>
    </w:p>
    <w:p w14:paraId="38A9FF48" w14:textId="075C5B5A" w:rsidR="009B3149" w:rsidRDefault="0094269C" w:rsidP="005620BF">
      <w:pPr>
        <w:pStyle w:val="ChartGraphic"/>
      </w:pPr>
      <w:r>
        <w:rPr>
          <w:noProof/>
        </w:rPr>
        <w:pict w14:anchorId="7DA39371">
          <v:shape id="_x0000_i1027" type="#_x0000_t75" alt="This chart shows that Australia's Commonwealth underlying cash balance for 2022-23 is higher than the IMF's fiscal balance forecast for all G7 countries in 2023. At 0.2 per cent of GDP, the Australian Commonwealth is the only surplus with the IMF projecting that all G7 countries will have deficits, ranging from 0.4 to 6.8 per cent of GDP in 2023." style="width:367.5pt;height:205.7pt">
            <v:imagedata r:id="rId20" o:title=""/>
          </v:shape>
        </w:pict>
      </w:r>
    </w:p>
    <w:p w14:paraId="758EF715" w14:textId="1EE231B5" w:rsidR="00032F0D" w:rsidRPr="00957885" w:rsidRDefault="00A27E4F" w:rsidP="00D2259F">
      <w:pPr>
        <w:pStyle w:val="ChartandTableFootnote"/>
        <w:tabs>
          <w:tab w:val="clear" w:pos="709"/>
        </w:tabs>
        <w:rPr>
          <w:color w:val="auto"/>
        </w:rPr>
      </w:pPr>
      <w:r>
        <w:rPr>
          <w:color w:val="auto"/>
        </w:rPr>
        <w:t>Note:</w:t>
      </w:r>
      <w:r>
        <w:rPr>
          <w:color w:val="auto"/>
        </w:rPr>
        <w:tab/>
      </w:r>
      <w:r w:rsidR="00032F0D" w:rsidRPr="00957885">
        <w:rPr>
          <w:color w:val="auto"/>
        </w:rPr>
        <w:t>Estimates for Australian Commonwealth underlying cash balance have been prepared by Treasury. Overall fiscal balance estimates for other countries are prepared by the IMF on a calendar year basis and include total government fiscal balance (inclusive of state and local net lending). Therefore, care must be taken when trying to reconcile with Treasury Commonwealth estimates (which is exclusive of state and local lending, and calculated on a financial year basis) as they are not directly comparable.</w:t>
      </w:r>
    </w:p>
    <w:p w14:paraId="08A9D67F" w14:textId="3A6259BE" w:rsidR="00032F0D" w:rsidRDefault="00032F0D" w:rsidP="006D2E93">
      <w:pPr>
        <w:pStyle w:val="ChartandTableFootnote"/>
      </w:pPr>
      <w:r>
        <w:t xml:space="preserve">Source: </w:t>
      </w:r>
      <w:r>
        <w:tab/>
        <w:t>IMF staff estimates contained in the April 2023 Fiscal Monitor and Treasury</w:t>
      </w:r>
      <w:r w:rsidR="00CA268A">
        <w:t>.</w:t>
      </w:r>
      <w:r w:rsidR="00D2259F" w:rsidRPr="00D2259F">
        <w:t xml:space="preserve"> </w:t>
      </w:r>
    </w:p>
    <w:p w14:paraId="53C23660" w14:textId="77777777" w:rsidR="00B94095" w:rsidRDefault="00B94095" w:rsidP="00FF3EF8">
      <w:pPr>
        <w:pStyle w:val="ChartLine"/>
      </w:pPr>
    </w:p>
    <w:p w14:paraId="58FC8224" w14:textId="499AB438" w:rsidR="004E1E86" w:rsidRPr="004E1159" w:rsidRDefault="003F5A8F" w:rsidP="00065911">
      <w:r w:rsidRPr="004E1159">
        <w:t xml:space="preserve">An </w:t>
      </w:r>
      <w:r w:rsidR="00065911" w:rsidRPr="004E1159">
        <w:t>underlying cash</w:t>
      </w:r>
      <w:r w:rsidR="00691934" w:rsidRPr="004E1159">
        <w:t xml:space="preserve"> deficit of </w:t>
      </w:r>
      <w:r w:rsidR="00065911" w:rsidRPr="004E1159">
        <w:t>$</w:t>
      </w:r>
      <w:r w:rsidR="00B1265A" w:rsidRPr="004E1159">
        <w:t>13.</w:t>
      </w:r>
      <w:r w:rsidR="00C86692" w:rsidRPr="004E1159">
        <w:t>9</w:t>
      </w:r>
      <w:r w:rsidR="00F634C3" w:rsidRPr="004E1159">
        <w:t> billion</w:t>
      </w:r>
      <w:r w:rsidR="00065911" w:rsidRPr="004E1159">
        <w:t xml:space="preserve"> (</w:t>
      </w:r>
      <w:r w:rsidR="00B1265A" w:rsidRPr="004E1159">
        <w:t>0.5</w:t>
      </w:r>
      <w:r w:rsidR="00F634C3" w:rsidRPr="004E1159">
        <w:t> per </w:t>
      </w:r>
      <w:r w:rsidR="00065911" w:rsidRPr="004E1159">
        <w:t xml:space="preserve">cent of GDP) </w:t>
      </w:r>
      <w:r w:rsidRPr="004E1159">
        <w:t xml:space="preserve">is forecast for </w:t>
      </w:r>
      <w:r w:rsidR="00065911" w:rsidRPr="004E1159">
        <w:t>2023–24</w:t>
      </w:r>
      <w:r w:rsidR="00502EAA" w:rsidRPr="004E1159">
        <w:t>,</w:t>
      </w:r>
      <w:r w:rsidRPr="004E1159">
        <w:t xml:space="preserve"> </w:t>
      </w:r>
      <w:r w:rsidR="00691934" w:rsidRPr="004E1159">
        <w:t xml:space="preserve">a </w:t>
      </w:r>
      <w:r w:rsidR="00065911" w:rsidRPr="004E1159">
        <w:t>$</w:t>
      </w:r>
      <w:r w:rsidR="001B35A2" w:rsidRPr="004E1159">
        <w:t>30.</w:t>
      </w:r>
      <w:r w:rsidR="00C86692" w:rsidRPr="004E1159">
        <w:t>1</w:t>
      </w:r>
      <w:r w:rsidR="00F634C3" w:rsidRPr="004E1159">
        <w:t> billion</w:t>
      </w:r>
      <w:r w:rsidR="00065911" w:rsidRPr="004E1159">
        <w:t xml:space="preserve"> </w:t>
      </w:r>
      <w:r w:rsidRPr="004E1159">
        <w:t>(</w:t>
      </w:r>
      <w:r w:rsidR="00C86692" w:rsidRPr="004E1159">
        <w:t>1.3</w:t>
      </w:r>
      <w:r w:rsidRPr="004E1159">
        <w:t xml:space="preserve"> </w:t>
      </w:r>
      <w:r w:rsidR="002A55E1" w:rsidRPr="004E1159">
        <w:t>percentage points</w:t>
      </w:r>
      <w:r w:rsidRPr="004E1159">
        <w:t xml:space="preserve"> of GDP) </w:t>
      </w:r>
      <w:r w:rsidR="00492D33" w:rsidRPr="004E1159">
        <w:t>improvement since</w:t>
      </w:r>
      <w:r w:rsidR="00065911" w:rsidRPr="004E1159">
        <w:t xml:space="preserve"> the </w:t>
      </w:r>
      <w:r w:rsidR="00F634C3" w:rsidRPr="004E1159">
        <w:t>October Budget</w:t>
      </w:r>
      <w:r w:rsidR="00CC5EA0" w:rsidRPr="004E1159">
        <w:t>,</w:t>
      </w:r>
      <w:r w:rsidR="00D908B0" w:rsidRPr="004E1159">
        <w:t xml:space="preserve"> and a</w:t>
      </w:r>
      <w:r w:rsidR="00CC5EA0" w:rsidRPr="004E1159">
        <w:t xml:space="preserve"> $</w:t>
      </w:r>
      <w:r w:rsidR="00386AB8" w:rsidRPr="004E1159">
        <w:t>42.6</w:t>
      </w:r>
      <w:r w:rsidR="00D908B0" w:rsidRPr="004E1159">
        <w:t> </w:t>
      </w:r>
      <w:r w:rsidR="00CC5EA0" w:rsidRPr="004E1159">
        <w:t xml:space="preserve">billion </w:t>
      </w:r>
      <w:r w:rsidR="00D908B0" w:rsidRPr="004E1159">
        <w:t xml:space="preserve">improvement </w:t>
      </w:r>
      <w:r w:rsidR="00BC51B1" w:rsidRPr="004E1159">
        <w:t xml:space="preserve">since the </w:t>
      </w:r>
      <w:r w:rsidR="00CC5EA0" w:rsidRPr="004E1159">
        <w:t xml:space="preserve">2022 </w:t>
      </w:r>
      <w:r w:rsidR="008F34D2" w:rsidRPr="004E1159">
        <w:t>PEFO.</w:t>
      </w:r>
    </w:p>
    <w:p w14:paraId="4AA78ED2" w14:textId="5219FA0D" w:rsidR="00065911" w:rsidRPr="0013535E" w:rsidRDefault="00270B8B" w:rsidP="00065911">
      <w:r w:rsidRPr="004E1159">
        <w:t>From 2024</w:t>
      </w:r>
      <w:r w:rsidR="00235899" w:rsidRPr="004E1159">
        <w:t>–</w:t>
      </w:r>
      <w:r w:rsidRPr="004E1159">
        <w:t xml:space="preserve">25, the underlying cash </w:t>
      </w:r>
      <w:r w:rsidR="00065911" w:rsidRPr="004E1159">
        <w:t xml:space="preserve">deficit is expected to increase before </w:t>
      </w:r>
      <w:r w:rsidR="00691F4E" w:rsidRPr="004E1159">
        <w:t>declining</w:t>
      </w:r>
      <w:r w:rsidR="00065911" w:rsidRPr="004E1159">
        <w:t xml:space="preserve"> to $</w:t>
      </w:r>
      <w:r w:rsidR="004A3E4D" w:rsidRPr="004E1159">
        <w:t>28.</w:t>
      </w:r>
      <w:r w:rsidR="001938FE" w:rsidRPr="004E1159">
        <w:t>5</w:t>
      </w:r>
      <w:r w:rsidR="00F634C3" w:rsidRPr="004E1159">
        <w:t> billion</w:t>
      </w:r>
      <w:r w:rsidR="00065911" w:rsidRPr="004E1159">
        <w:t xml:space="preserve"> </w:t>
      </w:r>
      <w:r w:rsidR="00A923A9" w:rsidRPr="004E1159">
        <w:t>(1</w:t>
      </w:r>
      <w:r w:rsidR="00E12C7E" w:rsidRPr="004E1159">
        <w:t>.0</w:t>
      </w:r>
      <w:r w:rsidR="00A923A9" w:rsidRPr="004E1159">
        <w:t xml:space="preserve"> per cent of GDP)</w:t>
      </w:r>
      <w:r w:rsidR="00065911" w:rsidRPr="004E1159">
        <w:t xml:space="preserve"> in 2026</w:t>
      </w:r>
      <w:r w:rsidR="00F634C3" w:rsidRPr="004E1159">
        <w:t>–</w:t>
      </w:r>
      <w:r w:rsidR="00065911" w:rsidRPr="004E1159">
        <w:t>27</w:t>
      </w:r>
      <w:r w:rsidR="00B60401" w:rsidRPr="004E1159">
        <w:t xml:space="preserve">. </w:t>
      </w:r>
      <w:r w:rsidR="00F47E54" w:rsidRPr="004E1159">
        <w:t>Th</w:t>
      </w:r>
      <w:r w:rsidR="007749E8" w:rsidRPr="004E1159">
        <w:t xml:space="preserve">is reflects </w:t>
      </w:r>
      <w:r w:rsidR="00AC063C" w:rsidRPr="004E1159">
        <w:t>the moderation in</w:t>
      </w:r>
      <w:r w:rsidR="007749E8" w:rsidRPr="004E1159">
        <w:t xml:space="preserve"> tax upgrades</w:t>
      </w:r>
      <w:r w:rsidR="00623138" w:rsidRPr="004E1159">
        <w:t>, along with</w:t>
      </w:r>
      <w:r w:rsidR="007749E8" w:rsidRPr="004E1159">
        <w:t xml:space="preserve"> </w:t>
      </w:r>
      <w:r w:rsidR="003C5CFE" w:rsidRPr="004E1159">
        <w:t xml:space="preserve">key spending pressures across the </w:t>
      </w:r>
      <w:r w:rsidR="000C58C0" w:rsidRPr="004E1159">
        <w:t>forward estimates.</w:t>
      </w:r>
      <w:r w:rsidR="007749E8" w:rsidRPr="004E1159">
        <w:t xml:space="preserve"> </w:t>
      </w:r>
      <w:r w:rsidR="00CF3B11" w:rsidRPr="004E1159">
        <w:t xml:space="preserve">The deficit </w:t>
      </w:r>
      <w:r w:rsidR="00DF391B" w:rsidRPr="004E1159">
        <w:t>is</w:t>
      </w:r>
      <w:r w:rsidR="00CF3B11" w:rsidRPr="004E1159">
        <w:t xml:space="preserve"> lower across all years </w:t>
      </w:r>
      <w:r w:rsidR="00966EBB" w:rsidRPr="004E1159">
        <w:t>compared to the</w:t>
      </w:r>
      <w:r w:rsidR="00CF3B11" w:rsidRPr="004E1159">
        <w:t xml:space="preserve"> October</w:t>
      </w:r>
      <w:r w:rsidR="00966EBB" w:rsidRPr="004E1159">
        <w:t xml:space="preserve"> Budget</w:t>
      </w:r>
      <w:r w:rsidR="00CF3B11" w:rsidRPr="004E1159">
        <w:t xml:space="preserve">. </w:t>
      </w:r>
      <w:r w:rsidR="00065911" w:rsidRPr="004E1159">
        <w:t>Over</w:t>
      </w:r>
      <w:r w:rsidR="00065911" w:rsidRPr="004E1159" w:rsidDel="007219D2">
        <w:t xml:space="preserve"> </w:t>
      </w:r>
      <w:r w:rsidR="00065911" w:rsidRPr="004E1159">
        <w:t>5</w:t>
      </w:r>
      <w:r w:rsidR="00DC01B2" w:rsidRPr="004E1159">
        <w:t> year</w:t>
      </w:r>
      <w:r w:rsidR="00065911" w:rsidRPr="004E1159">
        <w:t xml:space="preserve">s </w:t>
      </w:r>
      <w:r w:rsidR="006C0B28" w:rsidRPr="004E1159">
        <w:t>from 2022</w:t>
      </w:r>
      <w:r w:rsidR="00F634C3" w:rsidRPr="004E1159">
        <w:t>–</w:t>
      </w:r>
      <w:r w:rsidR="006C0B28" w:rsidRPr="004E1159">
        <w:t>23</w:t>
      </w:r>
      <w:r w:rsidR="00065911" w:rsidRPr="004E1159">
        <w:t xml:space="preserve"> to </w:t>
      </w:r>
      <w:r w:rsidR="007C2891" w:rsidRPr="004E1159">
        <w:br/>
      </w:r>
      <w:r w:rsidR="00065911" w:rsidRPr="004E1159">
        <w:t>2026</w:t>
      </w:r>
      <w:r w:rsidR="00235899" w:rsidRPr="004E1159">
        <w:t>–</w:t>
      </w:r>
      <w:r w:rsidR="00065911" w:rsidRPr="004E1159">
        <w:t>27, the underlying cash balance improves by a cumulative $</w:t>
      </w:r>
      <w:r w:rsidR="004A3E4D" w:rsidRPr="004E1159">
        <w:t>1</w:t>
      </w:r>
      <w:r w:rsidR="0070633B" w:rsidRPr="004E1159">
        <w:t>2</w:t>
      </w:r>
      <w:r w:rsidR="001938FE" w:rsidRPr="004E1159">
        <w:t>5</w:t>
      </w:r>
      <w:r w:rsidR="004A3E4D" w:rsidRPr="004E1159">
        <w:t>.</w:t>
      </w:r>
      <w:r w:rsidR="001938FE" w:rsidRPr="004E1159">
        <w:t>9</w:t>
      </w:r>
      <w:r w:rsidR="00F634C3" w:rsidRPr="004E1159">
        <w:t> billion</w:t>
      </w:r>
      <w:r w:rsidR="00065911" w:rsidRPr="004E1159">
        <w:t xml:space="preserve">. </w:t>
      </w:r>
    </w:p>
    <w:p w14:paraId="2364EA36" w14:textId="035CB7D4" w:rsidR="004E6297" w:rsidRDefault="00422890" w:rsidP="005B185F">
      <w:pPr>
        <w:pStyle w:val="Heading3"/>
      </w:pPr>
      <w:bookmarkStart w:id="9" w:name="_Toc134321288"/>
      <w:r>
        <w:lastRenderedPageBreak/>
        <w:t>Changes in the underlying cash balance over the forward estimates</w:t>
      </w:r>
      <w:bookmarkEnd w:id="9"/>
    </w:p>
    <w:p w14:paraId="151CCA0A" w14:textId="01090539" w:rsidR="00323687" w:rsidRPr="00C46EEB" w:rsidRDefault="00034B52" w:rsidP="00323687">
      <w:r w:rsidRPr="004E1159">
        <w:t>The improved</w:t>
      </w:r>
      <w:r w:rsidR="00292FC9" w:rsidRPr="004E1159">
        <w:t xml:space="preserve"> </w:t>
      </w:r>
      <w:r w:rsidR="00D264ED" w:rsidRPr="004E1159">
        <w:t>fiscal outlook since October</w:t>
      </w:r>
      <w:r w:rsidR="0003415E" w:rsidRPr="004E1159">
        <w:t xml:space="preserve"> </w:t>
      </w:r>
      <w:r w:rsidRPr="004E1159">
        <w:t>largely reflects Government decisions to return tax upgrades to budget</w:t>
      </w:r>
      <w:r w:rsidR="00431220" w:rsidRPr="004E1159">
        <w:t xml:space="preserve">. </w:t>
      </w:r>
    </w:p>
    <w:p w14:paraId="73616FA0" w14:textId="524AD3F0" w:rsidR="00CC7CCE" w:rsidRDefault="00323687" w:rsidP="004802FB">
      <w:r w:rsidRPr="004E1159">
        <w:t xml:space="preserve">Over the past 2 Budgets, </w:t>
      </w:r>
      <w:r w:rsidR="00DE08CD" w:rsidRPr="004E1159">
        <w:t>87</w:t>
      </w:r>
      <w:r w:rsidR="00F634C3" w:rsidRPr="004E1159">
        <w:t> per </w:t>
      </w:r>
      <w:r w:rsidRPr="004E1159">
        <w:t>cent of tax upgrades are being returned</w:t>
      </w:r>
      <w:r w:rsidR="00625894" w:rsidRPr="004E1159">
        <w:t xml:space="preserve"> (82</w:t>
      </w:r>
      <w:r w:rsidR="00F634C3" w:rsidRPr="004E1159">
        <w:t> per </w:t>
      </w:r>
      <w:r w:rsidR="00625894" w:rsidRPr="004E1159">
        <w:t>cent this Budget)</w:t>
      </w:r>
      <w:r w:rsidRPr="004E1159">
        <w:t xml:space="preserve">. </w:t>
      </w:r>
      <w:r w:rsidR="006B6382" w:rsidRPr="004E1159">
        <w:t>The tax upgrades returned</w:t>
      </w:r>
      <w:r w:rsidR="00915AF5" w:rsidRPr="004E1159">
        <w:t xml:space="preserve"> in each of the past 2 Budgets have been among the strongest on record. </w:t>
      </w:r>
      <w:r w:rsidRPr="004E1159">
        <w:t>In addition to strengthening the structural fiscal position</w:t>
      </w:r>
      <w:r w:rsidR="00901872" w:rsidRPr="004E1159">
        <w:t xml:space="preserve"> and rebuilding fiscal buffers</w:t>
      </w:r>
      <w:r w:rsidRPr="004E1159">
        <w:t>, this commitment avoids fiscal policy adding to inflationary pressures while they are at their highest.</w:t>
      </w:r>
      <w:r w:rsidRPr="007E5581">
        <w:t xml:space="preserve"> </w:t>
      </w:r>
    </w:p>
    <w:p w14:paraId="552C06A2" w14:textId="1BB1C01F" w:rsidR="006A7888" w:rsidRPr="004E1159" w:rsidRDefault="00DA1B2A" w:rsidP="004802FB">
      <w:r w:rsidRPr="004E1159">
        <w:t>Payments in 2022</w:t>
      </w:r>
      <w:r w:rsidR="00F634C3" w:rsidRPr="004E1159">
        <w:t>–</w:t>
      </w:r>
      <w:r w:rsidRPr="004E1159">
        <w:t xml:space="preserve">23 have </w:t>
      </w:r>
      <w:r w:rsidR="00FE77AC" w:rsidRPr="004E1159">
        <w:t>decreased</w:t>
      </w:r>
      <w:r w:rsidRPr="004E1159">
        <w:t xml:space="preserve"> by $</w:t>
      </w:r>
      <w:r w:rsidR="002560D5" w:rsidRPr="004E1159">
        <w:t>1</w:t>
      </w:r>
      <w:r w:rsidR="008F34FD" w:rsidRPr="004E1159">
        <w:t>2</w:t>
      </w:r>
      <w:r w:rsidR="002560D5" w:rsidRPr="004E1159">
        <w:t>.</w:t>
      </w:r>
      <w:r w:rsidR="008F34FD" w:rsidRPr="004E1159">
        <w:t>7</w:t>
      </w:r>
      <w:r w:rsidR="00F634C3" w:rsidRPr="004E1159">
        <w:t> billion</w:t>
      </w:r>
      <w:r w:rsidR="00D8123F" w:rsidRPr="004E1159">
        <w:t xml:space="preserve"> since October</w:t>
      </w:r>
      <w:r w:rsidR="004A6987" w:rsidRPr="004E1159">
        <w:t xml:space="preserve">. </w:t>
      </w:r>
      <w:r w:rsidR="00370DC1" w:rsidRPr="004E1159">
        <w:t xml:space="preserve">Payments </w:t>
      </w:r>
      <w:r w:rsidR="00B560E5" w:rsidRPr="004E1159">
        <w:t xml:space="preserve">as a share of </w:t>
      </w:r>
      <w:r w:rsidR="00370DC1" w:rsidRPr="004E1159">
        <w:t>GDP are lower in every year of the forward estimates</w:t>
      </w:r>
      <w:r w:rsidR="003B2334" w:rsidRPr="004E1159">
        <w:t>, as a result of higher nominal GDP</w:t>
      </w:r>
      <w:r w:rsidR="00625894" w:rsidRPr="004E1159">
        <w:t xml:space="preserve"> and spending restraint</w:t>
      </w:r>
      <w:r w:rsidR="00370DC1" w:rsidRPr="004E1159">
        <w:t>.</w:t>
      </w:r>
      <w:r w:rsidR="005B2751" w:rsidRPr="004E1159">
        <w:t xml:space="preserve"> </w:t>
      </w:r>
    </w:p>
    <w:p w14:paraId="6CE7A27B" w14:textId="29B18E6D" w:rsidR="00B52C23" w:rsidRDefault="004802FB" w:rsidP="004802FB">
      <w:r w:rsidRPr="004E1159">
        <w:t xml:space="preserve">Policy decisions since </w:t>
      </w:r>
      <w:r w:rsidR="00B048B9" w:rsidRPr="004E1159">
        <w:t xml:space="preserve">the </w:t>
      </w:r>
      <w:r w:rsidR="00F634C3" w:rsidRPr="004E1159">
        <w:t>October Budget</w:t>
      </w:r>
      <w:r w:rsidR="00B048B9" w:rsidRPr="004E1159">
        <w:t xml:space="preserve"> </w:t>
      </w:r>
      <w:r w:rsidRPr="004E1159">
        <w:t xml:space="preserve">have </w:t>
      </w:r>
      <w:r w:rsidR="00E83B8A" w:rsidRPr="004E1159">
        <w:t>increased</w:t>
      </w:r>
      <w:r w:rsidRPr="004E1159">
        <w:t xml:space="preserve"> the underlying cash </w:t>
      </w:r>
      <w:r w:rsidR="00E83B8A" w:rsidRPr="004E1159">
        <w:t>deficit</w:t>
      </w:r>
      <w:r w:rsidRPr="004E1159">
        <w:t xml:space="preserve"> by $</w:t>
      </w:r>
      <w:r w:rsidR="001C1742" w:rsidRPr="004E1159">
        <w:t>20</w:t>
      </w:r>
      <w:r w:rsidR="00E35AAD" w:rsidRPr="004E1159">
        <w:t>.</w:t>
      </w:r>
      <w:r w:rsidR="001C1742" w:rsidRPr="004E1159">
        <w:t>6</w:t>
      </w:r>
      <w:r w:rsidR="00F634C3" w:rsidRPr="004E1159">
        <w:t> billion</w:t>
      </w:r>
      <w:r w:rsidRPr="004E1159">
        <w:t xml:space="preserve"> over </w:t>
      </w:r>
      <w:r w:rsidR="00054365" w:rsidRPr="004E1159">
        <w:t>5</w:t>
      </w:r>
      <w:r w:rsidR="00DC01B2" w:rsidRPr="004E1159">
        <w:t> year</w:t>
      </w:r>
      <w:r w:rsidRPr="004E1159">
        <w:t xml:space="preserve">s </w:t>
      </w:r>
      <w:r w:rsidR="006C0B28" w:rsidRPr="004E1159">
        <w:t>from 2022</w:t>
      </w:r>
      <w:r w:rsidR="00F634C3" w:rsidRPr="004E1159">
        <w:t>–</w:t>
      </w:r>
      <w:r w:rsidR="006C0B28" w:rsidRPr="004E1159">
        <w:t xml:space="preserve">23 </w:t>
      </w:r>
      <w:r w:rsidRPr="004E1159">
        <w:t>to 202</w:t>
      </w:r>
      <w:r w:rsidR="00E35AAD" w:rsidRPr="004E1159">
        <w:t>6</w:t>
      </w:r>
      <w:r w:rsidRPr="004E1159">
        <w:t>–2</w:t>
      </w:r>
      <w:r w:rsidR="00E35AAD" w:rsidRPr="004E1159">
        <w:t>7</w:t>
      </w:r>
      <w:r w:rsidR="00AD63DB" w:rsidRPr="004E1159">
        <w:t>.</w:t>
      </w:r>
      <w:r w:rsidRPr="004E1159">
        <w:t xml:space="preserve"> </w:t>
      </w:r>
      <w:r w:rsidR="003D57F1" w:rsidRPr="004E1159">
        <w:t>Around one half</w:t>
      </w:r>
      <w:r w:rsidR="008F7F30" w:rsidRPr="004E1159">
        <w:t xml:space="preserve"> </w:t>
      </w:r>
      <w:r w:rsidR="000F799E" w:rsidRPr="004E1159">
        <w:t xml:space="preserve">of policy decisions </w:t>
      </w:r>
      <w:r w:rsidR="000F07B7" w:rsidRPr="004E1159">
        <w:t>resolve</w:t>
      </w:r>
      <w:r w:rsidR="00A91538" w:rsidRPr="004E1159">
        <w:t xml:space="preserve"> </w:t>
      </w:r>
      <w:r w:rsidR="008F3126" w:rsidRPr="004E1159">
        <w:t xml:space="preserve">unfunded </w:t>
      </w:r>
      <w:r w:rsidR="00A91538" w:rsidRPr="004E1159">
        <w:t xml:space="preserve">legacy issues </w:t>
      </w:r>
      <w:r w:rsidR="008F3126" w:rsidRPr="004E1159">
        <w:t>from the previous Government</w:t>
      </w:r>
      <w:r w:rsidR="008B61FC" w:rsidRPr="004E1159">
        <w:t xml:space="preserve"> ($7.5 billion) or</w:t>
      </w:r>
      <w:r w:rsidR="008F3126" w:rsidRPr="004E1159">
        <w:t xml:space="preserve"> </w:t>
      </w:r>
      <w:r w:rsidR="00760144" w:rsidRPr="004E1159">
        <w:t>relate</w:t>
      </w:r>
      <w:r w:rsidR="00564421" w:rsidRPr="004E1159">
        <w:t xml:space="preserve"> to </w:t>
      </w:r>
      <w:r w:rsidR="00B51705" w:rsidRPr="004E1159">
        <w:t xml:space="preserve">the </w:t>
      </w:r>
      <w:r w:rsidR="00171D00" w:rsidRPr="004E1159">
        <w:t xml:space="preserve">ongoing </w:t>
      </w:r>
      <w:r w:rsidR="00B51705" w:rsidRPr="004E1159">
        <w:t>pandemic response</w:t>
      </w:r>
      <w:r w:rsidR="007479B4" w:rsidRPr="004E1159">
        <w:t xml:space="preserve"> ($2.</w:t>
      </w:r>
      <w:r w:rsidR="00FB0FCC" w:rsidRPr="004E1159">
        <w:t>3</w:t>
      </w:r>
      <w:r w:rsidR="007479B4" w:rsidRPr="004E1159">
        <w:t> billion)</w:t>
      </w:r>
      <w:r w:rsidR="00564421" w:rsidRPr="004E1159">
        <w:t>.</w:t>
      </w:r>
      <w:r w:rsidR="000F799E" w:rsidRPr="004E1159">
        <w:t xml:space="preserve"> </w:t>
      </w:r>
    </w:p>
    <w:p w14:paraId="69D15AC2" w14:textId="45961507" w:rsidR="00BC2D12" w:rsidRDefault="00644971" w:rsidP="009D1F0A">
      <w:r w:rsidRPr="004E1159" w:rsidDel="00BC68A0">
        <w:t xml:space="preserve">Parameter and other variations since </w:t>
      </w:r>
      <w:r w:rsidR="00905F07" w:rsidRPr="004E1159">
        <w:t xml:space="preserve">the </w:t>
      </w:r>
      <w:r w:rsidR="00F634C3" w:rsidRPr="004E1159">
        <w:t>October Budget</w:t>
      </w:r>
      <w:r w:rsidRPr="004E1159">
        <w:t xml:space="preserve"> </w:t>
      </w:r>
      <w:r w:rsidRPr="004E1159" w:rsidDel="00BC68A0">
        <w:t xml:space="preserve">have improved the </w:t>
      </w:r>
      <w:r w:rsidRPr="004E1159">
        <w:t>underlying cash balance by $</w:t>
      </w:r>
      <w:r w:rsidR="00EA2551" w:rsidRPr="004E1159">
        <w:t>14</w:t>
      </w:r>
      <w:r w:rsidR="001B3A58" w:rsidRPr="004E1159">
        <w:t>6</w:t>
      </w:r>
      <w:r w:rsidR="00EA2551" w:rsidRPr="004E1159">
        <w:t>.</w:t>
      </w:r>
      <w:r w:rsidR="001B3A58" w:rsidRPr="004E1159">
        <w:t>5</w:t>
      </w:r>
      <w:r w:rsidR="00F634C3" w:rsidRPr="004E1159">
        <w:t> billion</w:t>
      </w:r>
      <w:r w:rsidRPr="004E1159">
        <w:t xml:space="preserve"> over 5</w:t>
      </w:r>
      <w:r w:rsidR="00DC01B2" w:rsidRPr="004E1159">
        <w:t> year</w:t>
      </w:r>
      <w:r w:rsidRPr="004E1159">
        <w:t xml:space="preserve">s </w:t>
      </w:r>
      <w:r w:rsidR="006C0B28" w:rsidRPr="004E1159">
        <w:t>from 2022</w:t>
      </w:r>
      <w:r w:rsidR="00F634C3" w:rsidRPr="004E1159">
        <w:t>–</w:t>
      </w:r>
      <w:r w:rsidR="006C0B28" w:rsidRPr="004E1159">
        <w:t>23</w:t>
      </w:r>
      <w:r w:rsidRPr="004E1159">
        <w:t xml:space="preserve"> to 2026–27 (</w:t>
      </w:r>
      <w:r w:rsidR="00E21765" w:rsidRPr="004E1159">
        <w:t>Table </w:t>
      </w:r>
      <w:r w:rsidRPr="004E1159">
        <w:t>3.3).</w:t>
      </w:r>
      <w:r w:rsidR="00BC2D12" w:rsidRPr="004E1159" w:rsidDel="00BC2D12">
        <w:t xml:space="preserve"> </w:t>
      </w:r>
    </w:p>
    <w:p w14:paraId="74E154CC" w14:textId="4B84C71E" w:rsidR="00FD6BEE" w:rsidRDefault="00FD6BEE" w:rsidP="00DD1905">
      <w:pPr>
        <w:pStyle w:val="Heading3"/>
      </w:pPr>
      <w:bookmarkStart w:id="10" w:name="_Toc134321289"/>
      <w:r>
        <w:t xml:space="preserve">Addressing Legacy </w:t>
      </w:r>
      <w:r w:rsidRPr="00DD1905">
        <w:t>Issues</w:t>
      </w:r>
      <w:bookmarkEnd w:id="10"/>
    </w:p>
    <w:p w14:paraId="25EC41B8" w14:textId="19C7E670" w:rsidR="00F65733" w:rsidRPr="00486F08" w:rsidRDefault="00F65733" w:rsidP="0073426E">
      <w:r w:rsidRPr="004E1159">
        <w:t>Payments of $</w:t>
      </w:r>
      <w:r w:rsidR="006F2347" w:rsidRPr="004E1159">
        <w:t>2.3</w:t>
      </w:r>
      <w:r w:rsidR="00F634C3" w:rsidRPr="004E1159">
        <w:t> billion</w:t>
      </w:r>
      <w:r w:rsidRPr="004E1159">
        <w:t xml:space="preserve"> </w:t>
      </w:r>
      <w:r w:rsidR="00C571E6" w:rsidRPr="004E1159">
        <w:t>in 2023</w:t>
      </w:r>
      <w:r w:rsidR="00235899" w:rsidRPr="004E1159">
        <w:t>–</w:t>
      </w:r>
      <w:r w:rsidR="00C571E6" w:rsidRPr="004E1159">
        <w:t>24</w:t>
      </w:r>
      <w:r w:rsidRPr="004E1159">
        <w:t xml:space="preserve"> are required </w:t>
      </w:r>
      <w:r w:rsidR="0092571C" w:rsidRPr="004E1159">
        <w:t xml:space="preserve">to </w:t>
      </w:r>
      <w:r w:rsidRPr="004E1159">
        <w:t>address ongoing legacy issues</w:t>
      </w:r>
      <w:r w:rsidR="004F6612" w:rsidRPr="004E1159">
        <w:t xml:space="preserve"> </w:t>
      </w:r>
      <w:r w:rsidR="008E3DC2" w:rsidRPr="004E1159">
        <w:t>left by the</w:t>
      </w:r>
      <w:r w:rsidR="003A2B54" w:rsidRPr="004E1159">
        <w:t> </w:t>
      </w:r>
      <w:r w:rsidR="008E3DC2" w:rsidRPr="004E1159">
        <w:t xml:space="preserve">former </w:t>
      </w:r>
      <w:r w:rsidR="00CE4DCB" w:rsidRPr="004E1159">
        <w:t>G</w:t>
      </w:r>
      <w:r w:rsidR="008E3DC2" w:rsidRPr="004E1159">
        <w:t>overnment</w:t>
      </w:r>
      <w:r w:rsidR="00C45C18" w:rsidRPr="004E1159">
        <w:t>.</w:t>
      </w:r>
      <w:r w:rsidR="008E3DC2" w:rsidRPr="004E1159">
        <w:t xml:space="preserve"> </w:t>
      </w:r>
      <w:bookmarkStart w:id="11" w:name="_Hlk134178601"/>
      <w:r w:rsidRPr="004E1159">
        <w:t>Over</w:t>
      </w:r>
      <w:r w:rsidRPr="004E1159" w:rsidDel="007219D2">
        <w:t xml:space="preserve"> </w:t>
      </w:r>
      <w:r w:rsidRPr="004E1159">
        <w:t>5</w:t>
      </w:r>
      <w:r w:rsidR="00DC01B2" w:rsidRPr="004E1159">
        <w:t> year</w:t>
      </w:r>
      <w:r w:rsidRPr="004E1159">
        <w:t xml:space="preserve">s </w:t>
      </w:r>
      <w:r w:rsidR="006C0B28" w:rsidRPr="004E1159">
        <w:t>from 2022</w:t>
      </w:r>
      <w:r w:rsidR="00F634C3" w:rsidRPr="004E1159">
        <w:t>–</w:t>
      </w:r>
      <w:r w:rsidR="006C0B28" w:rsidRPr="004E1159">
        <w:t>23</w:t>
      </w:r>
      <w:r w:rsidRPr="004E1159">
        <w:t xml:space="preserve"> to 2026–27 there are $</w:t>
      </w:r>
      <w:r w:rsidR="006F2347" w:rsidRPr="004E1159">
        <w:t>7.5</w:t>
      </w:r>
      <w:r w:rsidR="00F634C3" w:rsidRPr="004E1159">
        <w:t> billion</w:t>
      </w:r>
      <w:r w:rsidRPr="004E1159">
        <w:t xml:space="preserve"> in new policy decisions to </w:t>
      </w:r>
      <w:r w:rsidR="00224F3B" w:rsidRPr="004E1159">
        <w:t xml:space="preserve">address </w:t>
      </w:r>
      <w:r w:rsidRPr="004E1159">
        <w:t xml:space="preserve">legacy issues inherited from the former Government. This includes providing for programs that were underfunded or had </w:t>
      </w:r>
      <w:r w:rsidR="0056482B" w:rsidRPr="004E1159">
        <w:t>terminating</w:t>
      </w:r>
      <w:r w:rsidRPr="004E1159">
        <w:t xml:space="preserve"> funding, including: </w:t>
      </w:r>
    </w:p>
    <w:bookmarkEnd w:id="11"/>
    <w:p w14:paraId="0A04E2D0" w14:textId="3FFD4B5C" w:rsidR="00B777B7" w:rsidRDefault="00653424" w:rsidP="00B777B7">
      <w:pPr>
        <w:pStyle w:val="Bullet"/>
      </w:pPr>
      <w:r w:rsidRPr="004E1159">
        <w:t>$</w:t>
      </w:r>
      <w:r w:rsidR="000A3E0E" w:rsidRPr="004E1159">
        <w:t>1.1</w:t>
      </w:r>
      <w:r w:rsidRPr="004E1159">
        <w:t xml:space="preserve"> </w:t>
      </w:r>
      <w:r w:rsidR="000A3E0E" w:rsidRPr="004E1159">
        <w:t>b</w:t>
      </w:r>
      <w:r w:rsidRPr="004E1159">
        <w:t xml:space="preserve">illion </w:t>
      </w:r>
      <w:r w:rsidR="00832BF6" w:rsidRPr="004E1159">
        <w:t>over 4 years from 2023</w:t>
      </w:r>
      <w:r w:rsidR="00235899" w:rsidRPr="004E1159">
        <w:t>–</w:t>
      </w:r>
      <w:r w:rsidR="00832BF6" w:rsidRPr="004E1159">
        <w:t xml:space="preserve">24 </w:t>
      </w:r>
      <w:r w:rsidRPr="004E1159">
        <w:t>(u</w:t>
      </w:r>
      <w:r w:rsidR="00643BD7" w:rsidRPr="004E1159">
        <w:t>p to</w:t>
      </w:r>
      <w:r w:rsidR="004672C4" w:rsidRPr="004E1159">
        <w:t xml:space="preserve"> $</w:t>
      </w:r>
      <w:r w:rsidR="00540622" w:rsidRPr="004E1159">
        <w:t>3.</w:t>
      </w:r>
      <w:r w:rsidR="004672C4" w:rsidRPr="004E1159">
        <w:t>4</w:t>
      </w:r>
      <w:r w:rsidR="00B777B7" w:rsidRPr="004E1159">
        <w:t xml:space="preserve"> billion </w:t>
      </w:r>
      <w:r w:rsidR="00F8546B" w:rsidRPr="004E1159">
        <w:t>over 10 years</w:t>
      </w:r>
      <w:r w:rsidRPr="004E1159">
        <w:t>)</w:t>
      </w:r>
      <w:r w:rsidR="00B777B7" w:rsidRPr="004E1159">
        <w:t xml:space="preserve"> for </w:t>
      </w:r>
      <w:r w:rsidR="00D27CAF" w:rsidRPr="004E1159">
        <w:t>investment in</w:t>
      </w:r>
      <w:r w:rsidR="00B777B7" w:rsidRPr="004E1159">
        <w:t xml:space="preserve"> Brisbane 2032 Olympic and Paralympic Games venue infrastructure </w:t>
      </w:r>
    </w:p>
    <w:p w14:paraId="74ADE433" w14:textId="2457D18B" w:rsidR="00AA23D0" w:rsidRDefault="4D9AAE31" w:rsidP="003B6E0E">
      <w:pPr>
        <w:pStyle w:val="Bullet"/>
      </w:pPr>
      <w:r w:rsidRPr="004E1159">
        <w:t>$75</w:t>
      </w:r>
      <w:r w:rsidR="00C66FE3" w:rsidRPr="004E1159">
        <w:t>4.7</w:t>
      </w:r>
      <w:r w:rsidRPr="004E1159">
        <w:t xml:space="preserve"> million to </w:t>
      </w:r>
      <w:r w:rsidR="006930A3" w:rsidRPr="004E1159">
        <w:t>secure</w:t>
      </w:r>
      <w:r w:rsidR="00EB323D" w:rsidRPr="004E1159">
        <w:t xml:space="preserve"> Australia</w:t>
      </w:r>
      <w:r w:rsidR="00594653" w:rsidRPr="004E1159">
        <w:t>’</w:t>
      </w:r>
      <w:r w:rsidR="00EB323D" w:rsidRPr="004E1159">
        <w:t xml:space="preserve">s digital health </w:t>
      </w:r>
      <w:r w:rsidR="006930A3" w:rsidRPr="004E1159">
        <w:t>infrastructure</w:t>
      </w:r>
      <w:r w:rsidR="006B2564" w:rsidRPr="004E1159">
        <w:t xml:space="preserve">, including </w:t>
      </w:r>
      <w:r w:rsidR="00EE56B7" w:rsidRPr="004E1159">
        <w:t xml:space="preserve">the Australian Digital Health Agency </w:t>
      </w:r>
      <w:r w:rsidR="006930A3" w:rsidRPr="004E1159">
        <w:t>and My Health Record</w:t>
      </w:r>
    </w:p>
    <w:p w14:paraId="754C99CC" w14:textId="3B62358B" w:rsidR="003B6E0E" w:rsidRPr="00486F08" w:rsidRDefault="003B6E0E" w:rsidP="003B6E0E">
      <w:pPr>
        <w:pStyle w:val="Bullet"/>
      </w:pPr>
      <w:bookmarkStart w:id="12" w:name="_Hlk134182461"/>
      <w:r w:rsidRPr="004E1159">
        <w:t>$</w:t>
      </w:r>
      <w:r w:rsidR="00496773" w:rsidRPr="004E1159">
        <w:t>804</w:t>
      </w:r>
      <w:r w:rsidR="00052C97" w:rsidRPr="004E1159">
        <w:t>.3</w:t>
      </w:r>
      <w:r w:rsidRPr="004E1159">
        <w:t> </w:t>
      </w:r>
      <w:r w:rsidR="00496773" w:rsidRPr="004E1159">
        <w:t>m</w:t>
      </w:r>
      <w:r w:rsidRPr="004E1159">
        <w:t xml:space="preserve">illion </w:t>
      </w:r>
      <w:r w:rsidR="001C3B47" w:rsidRPr="004E1159">
        <w:t>over 4 years from 2023</w:t>
      </w:r>
      <w:r w:rsidR="00235899" w:rsidRPr="004E1159">
        <w:t>–</w:t>
      </w:r>
      <w:r w:rsidR="001C3B47" w:rsidRPr="004E1159">
        <w:t>24 to 2026</w:t>
      </w:r>
      <w:r w:rsidR="00235899" w:rsidRPr="004E1159">
        <w:t>–</w:t>
      </w:r>
      <w:r w:rsidR="001C3B47" w:rsidRPr="004E1159">
        <w:t xml:space="preserve">27 </w:t>
      </w:r>
      <w:r w:rsidRPr="004E1159">
        <w:t>to sustainably</w:t>
      </w:r>
      <w:r w:rsidR="00E9219B" w:rsidRPr="004E1159">
        <w:t xml:space="preserve"> </w:t>
      </w:r>
      <w:r w:rsidRPr="004E1159">
        <w:t>fund Australia</w:t>
      </w:r>
      <w:r w:rsidR="00594653" w:rsidRPr="004E1159">
        <w:t>’</w:t>
      </w:r>
      <w:r w:rsidRPr="004E1159">
        <w:t>s biosecurity system</w:t>
      </w:r>
    </w:p>
    <w:bookmarkEnd w:id="12"/>
    <w:p w14:paraId="1914C84E" w14:textId="3A11ADBA" w:rsidR="00307BEF" w:rsidRDefault="0011101A" w:rsidP="0011101A">
      <w:pPr>
        <w:pStyle w:val="Bullet"/>
      </w:pPr>
      <w:r w:rsidRPr="004E1159">
        <w:t>$</w:t>
      </w:r>
      <w:r w:rsidR="00CA3FB0" w:rsidRPr="004E1159">
        <w:t>535.3</w:t>
      </w:r>
      <w:r w:rsidRPr="004E1159">
        <w:t xml:space="preserve"> million </w:t>
      </w:r>
      <w:r w:rsidR="001C3B47" w:rsidRPr="004E1159">
        <w:t>over 4 years from 2023</w:t>
      </w:r>
      <w:r w:rsidR="00235899" w:rsidRPr="004E1159">
        <w:t>–</w:t>
      </w:r>
      <w:r w:rsidR="001C3B47" w:rsidRPr="004E1159">
        <w:t>24 to 2026</w:t>
      </w:r>
      <w:r w:rsidR="00235899" w:rsidRPr="004E1159">
        <w:t>–</w:t>
      </w:r>
      <w:r w:rsidR="001C3B47" w:rsidRPr="004E1159">
        <w:t>27</w:t>
      </w:r>
      <w:r w:rsidRPr="004E1159">
        <w:t xml:space="preserve"> to provide financial sustainability to the 9 National Collecting Institutions, including the National Library of Australia and the National Gallery of Australia.</w:t>
      </w:r>
      <w:r w:rsidR="00946652" w:rsidRPr="004E1159">
        <w:t xml:space="preserve"> </w:t>
      </w:r>
    </w:p>
    <w:p w14:paraId="52F23963" w14:textId="77777777" w:rsidR="00307BEF" w:rsidRDefault="00307BEF">
      <w:pPr>
        <w:spacing w:before="0" w:after="160" w:line="259" w:lineRule="auto"/>
      </w:pPr>
      <w:r>
        <w:br w:type="page"/>
      </w:r>
    </w:p>
    <w:p w14:paraId="7BD32BC1" w14:textId="575F699C" w:rsidR="004E62A5" w:rsidRPr="004E1159" w:rsidRDefault="00E21765" w:rsidP="00776696">
      <w:pPr>
        <w:pStyle w:val="TableHeading"/>
        <w:rPr>
          <w:rFonts w:asciiTheme="minorHAnsi" w:eastAsiaTheme="minorHAnsi" w:hAnsiTheme="minorHAnsi" w:cstheme="minorBidi"/>
          <w:sz w:val="22"/>
          <w:szCs w:val="22"/>
          <w:lang w:eastAsia="en-US"/>
        </w:rPr>
      </w:pPr>
      <w:r w:rsidRPr="004E1159">
        <w:lastRenderedPageBreak/>
        <w:t>Table </w:t>
      </w:r>
      <w:r w:rsidR="00D01E96" w:rsidRPr="004E1159">
        <w:t>3.</w:t>
      </w:r>
      <w:r w:rsidR="00C00330" w:rsidRPr="004E1159">
        <w:t>2</w:t>
      </w:r>
      <w:r w:rsidR="00D01E96" w:rsidRPr="004E1159">
        <w:t xml:space="preserve">: Reconciliation of </w:t>
      </w:r>
      <w:r w:rsidR="009C7657" w:rsidRPr="004E1159">
        <w:t xml:space="preserve">general government sector </w:t>
      </w:r>
      <w:r w:rsidR="00D01E96" w:rsidRPr="004E1159">
        <w:t>underlying cash balance estimates</w:t>
      </w:r>
    </w:p>
    <w:tbl>
      <w:tblPr>
        <w:tblW w:w="5000" w:type="pct"/>
        <w:tblCellMar>
          <w:left w:w="0" w:type="dxa"/>
          <w:right w:w="28" w:type="dxa"/>
        </w:tblCellMar>
        <w:tblLook w:val="04A0" w:firstRow="1" w:lastRow="0" w:firstColumn="1" w:lastColumn="0" w:noHBand="0" w:noVBand="1"/>
      </w:tblPr>
      <w:tblGrid>
        <w:gridCol w:w="3259"/>
        <w:gridCol w:w="710"/>
        <w:gridCol w:w="730"/>
        <w:gridCol w:w="730"/>
        <w:gridCol w:w="731"/>
        <w:gridCol w:w="731"/>
        <w:gridCol w:w="73"/>
        <w:gridCol w:w="746"/>
      </w:tblGrid>
      <w:tr w:rsidR="003D5352" w:rsidRPr="003D5352" w14:paraId="7881A08D" w14:textId="77777777" w:rsidTr="004E62A5">
        <w:trPr>
          <w:trHeight w:hRule="exact" w:val="225"/>
        </w:trPr>
        <w:tc>
          <w:tcPr>
            <w:tcW w:w="2114" w:type="pct"/>
            <w:tcBorders>
              <w:top w:val="single" w:sz="4" w:space="0" w:color="293F5B"/>
              <w:left w:val="nil"/>
              <w:bottom w:val="nil"/>
              <w:right w:val="nil"/>
            </w:tcBorders>
            <w:shd w:val="clear" w:color="000000" w:fill="FFFFFF"/>
            <w:noWrap/>
            <w:vAlign w:val="bottom"/>
            <w:hideMark/>
          </w:tcPr>
          <w:p w14:paraId="34B1C652" w14:textId="169758BC" w:rsidR="004E62A5" w:rsidRPr="003D5352" w:rsidRDefault="004E62A5">
            <w:pPr>
              <w:rPr>
                <w:rFonts w:ascii="Calibri" w:hAnsi="Calibri" w:cs="Calibri"/>
                <w:sz w:val="22"/>
                <w:szCs w:val="22"/>
              </w:rPr>
            </w:pPr>
            <w:r w:rsidRPr="003D5352">
              <w:rPr>
                <w:rFonts w:ascii="Calibri" w:hAnsi="Calibri" w:cs="Calibri"/>
                <w:sz w:val="22"/>
                <w:szCs w:val="22"/>
              </w:rPr>
              <w:t> </w:t>
            </w:r>
          </w:p>
        </w:tc>
        <w:tc>
          <w:tcPr>
            <w:tcW w:w="2357" w:type="pct"/>
            <w:gridSpan w:val="5"/>
            <w:tcBorders>
              <w:top w:val="single" w:sz="4" w:space="0" w:color="293F5B"/>
              <w:left w:val="nil"/>
              <w:bottom w:val="single" w:sz="4" w:space="0" w:color="293F5B"/>
              <w:right w:val="nil"/>
            </w:tcBorders>
            <w:shd w:val="clear" w:color="000000" w:fill="FFFFFF"/>
            <w:noWrap/>
            <w:vAlign w:val="center"/>
            <w:hideMark/>
          </w:tcPr>
          <w:p w14:paraId="231201AC" w14:textId="77777777" w:rsidR="004E62A5" w:rsidRPr="003D5352" w:rsidRDefault="004E62A5" w:rsidP="004E62A5">
            <w:pPr>
              <w:spacing w:before="0" w:after="0" w:line="240" w:lineRule="auto"/>
              <w:jc w:val="center"/>
              <w:rPr>
                <w:rFonts w:ascii="Arial" w:hAnsi="Arial" w:cs="Arial"/>
                <w:sz w:val="16"/>
                <w:szCs w:val="16"/>
                <w:highlight w:val="darkCyan"/>
              </w:rPr>
            </w:pPr>
            <w:r w:rsidRPr="003D5352">
              <w:rPr>
                <w:rFonts w:ascii="Arial" w:hAnsi="Arial" w:cs="Arial"/>
                <w:sz w:val="16"/>
                <w:szCs w:val="16"/>
              </w:rPr>
              <w:t>Estimates</w:t>
            </w:r>
          </w:p>
        </w:tc>
        <w:tc>
          <w:tcPr>
            <w:tcW w:w="45" w:type="pct"/>
            <w:tcBorders>
              <w:top w:val="single" w:sz="4" w:space="0" w:color="293F5B"/>
              <w:left w:val="nil"/>
              <w:bottom w:val="nil"/>
              <w:right w:val="nil"/>
            </w:tcBorders>
            <w:shd w:val="clear" w:color="000000" w:fill="FFFFFF"/>
            <w:noWrap/>
            <w:vAlign w:val="center"/>
            <w:hideMark/>
          </w:tcPr>
          <w:p w14:paraId="04D6DAB6" w14:textId="77777777" w:rsidR="004E62A5" w:rsidRPr="003D5352" w:rsidRDefault="004E62A5" w:rsidP="004E62A5">
            <w:pPr>
              <w:spacing w:before="0" w:after="0" w:line="240" w:lineRule="auto"/>
              <w:rPr>
                <w:rFonts w:ascii="Arial" w:hAnsi="Arial" w:cs="Arial"/>
                <w:sz w:val="16"/>
                <w:szCs w:val="16"/>
                <w:highlight w:val="darkCyan"/>
              </w:rPr>
            </w:pPr>
            <w:r w:rsidRPr="003D5352">
              <w:rPr>
                <w:rFonts w:ascii="Arial" w:hAnsi="Arial" w:cs="Arial"/>
                <w:sz w:val="16"/>
                <w:szCs w:val="16"/>
              </w:rPr>
              <w:t> </w:t>
            </w:r>
          </w:p>
        </w:tc>
        <w:tc>
          <w:tcPr>
            <w:tcW w:w="484" w:type="pct"/>
            <w:tcBorders>
              <w:top w:val="single" w:sz="4" w:space="0" w:color="293F5B"/>
              <w:left w:val="nil"/>
              <w:bottom w:val="nil"/>
              <w:right w:val="nil"/>
            </w:tcBorders>
            <w:shd w:val="clear" w:color="000000" w:fill="FFFFFF"/>
            <w:noWrap/>
            <w:vAlign w:val="center"/>
            <w:hideMark/>
          </w:tcPr>
          <w:p w14:paraId="41912693"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 </w:t>
            </w:r>
          </w:p>
        </w:tc>
      </w:tr>
      <w:tr w:rsidR="003D5352" w:rsidRPr="003D5352" w14:paraId="6B7E829D" w14:textId="77777777" w:rsidTr="004E62A5">
        <w:trPr>
          <w:trHeight w:hRule="exact" w:val="225"/>
        </w:trPr>
        <w:tc>
          <w:tcPr>
            <w:tcW w:w="2114" w:type="pct"/>
            <w:tcBorders>
              <w:top w:val="nil"/>
              <w:left w:val="nil"/>
              <w:bottom w:val="nil"/>
              <w:right w:val="nil"/>
            </w:tcBorders>
            <w:shd w:val="clear" w:color="000000" w:fill="FFFFFF"/>
            <w:noWrap/>
            <w:vAlign w:val="bottom"/>
            <w:hideMark/>
          </w:tcPr>
          <w:p w14:paraId="1FF9488C"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 </w:t>
            </w:r>
          </w:p>
        </w:tc>
        <w:tc>
          <w:tcPr>
            <w:tcW w:w="461" w:type="pct"/>
            <w:tcBorders>
              <w:top w:val="single" w:sz="4" w:space="0" w:color="293F5B"/>
              <w:left w:val="nil"/>
              <w:bottom w:val="nil"/>
              <w:right w:val="nil"/>
            </w:tcBorders>
            <w:shd w:val="clear" w:color="000000" w:fill="FFFFFF"/>
            <w:noWrap/>
            <w:vAlign w:val="center"/>
            <w:hideMark/>
          </w:tcPr>
          <w:p w14:paraId="3960D822"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2022–23</w:t>
            </w:r>
          </w:p>
        </w:tc>
        <w:tc>
          <w:tcPr>
            <w:tcW w:w="474" w:type="pct"/>
            <w:tcBorders>
              <w:top w:val="single" w:sz="4" w:space="0" w:color="293F5B"/>
              <w:left w:val="nil"/>
              <w:bottom w:val="nil"/>
              <w:right w:val="nil"/>
            </w:tcBorders>
            <w:shd w:val="clear" w:color="000000" w:fill="E6F2FF"/>
            <w:noWrap/>
            <w:vAlign w:val="center"/>
            <w:hideMark/>
          </w:tcPr>
          <w:p w14:paraId="53506FCF"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2023–24</w:t>
            </w:r>
          </w:p>
        </w:tc>
        <w:tc>
          <w:tcPr>
            <w:tcW w:w="474" w:type="pct"/>
            <w:tcBorders>
              <w:top w:val="single" w:sz="4" w:space="0" w:color="293F5B"/>
              <w:left w:val="nil"/>
              <w:bottom w:val="nil"/>
              <w:right w:val="nil"/>
            </w:tcBorders>
            <w:shd w:val="clear" w:color="000000" w:fill="FFFFFF"/>
            <w:noWrap/>
            <w:vAlign w:val="center"/>
            <w:hideMark/>
          </w:tcPr>
          <w:p w14:paraId="4FDE41C6"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2024–25</w:t>
            </w:r>
          </w:p>
        </w:tc>
        <w:tc>
          <w:tcPr>
            <w:tcW w:w="474" w:type="pct"/>
            <w:tcBorders>
              <w:top w:val="single" w:sz="4" w:space="0" w:color="293F5B"/>
              <w:left w:val="nil"/>
              <w:bottom w:val="nil"/>
              <w:right w:val="nil"/>
            </w:tcBorders>
            <w:shd w:val="clear" w:color="000000" w:fill="FFFFFF"/>
            <w:noWrap/>
            <w:vAlign w:val="center"/>
            <w:hideMark/>
          </w:tcPr>
          <w:p w14:paraId="1C8E2026"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2025–26</w:t>
            </w:r>
          </w:p>
        </w:tc>
        <w:tc>
          <w:tcPr>
            <w:tcW w:w="474" w:type="pct"/>
            <w:tcBorders>
              <w:top w:val="single" w:sz="4" w:space="0" w:color="293F5B"/>
              <w:left w:val="nil"/>
              <w:bottom w:val="nil"/>
              <w:right w:val="nil"/>
            </w:tcBorders>
            <w:shd w:val="clear" w:color="000000" w:fill="FFFFFF"/>
            <w:noWrap/>
            <w:vAlign w:val="center"/>
            <w:hideMark/>
          </w:tcPr>
          <w:p w14:paraId="137415C5"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2026–27</w:t>
            </w:r>
          </w:p>
        </w:tc>
        <w:tc>
          <w:tcPr>
            <w:tcW w:w="45" w:type="pct"/>
            <w:tcBorders>
              <w:top w:val="nil"/>
              <w:left w:val="nil"/>
              <w:bottom w:val="nil"/>
              <w:right w:val="nil"/>
            </w:tcBorders>
            <w:shd w:val="clear" w:color="000000" w:fill="FFFFFF"/>
            <w:noWrap/>
            <w:vAlign w:val="center"/>
            <w:hideMark/>
          </w:tcPr>
          <w:p w14:paraId="6773D060"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84" w:type="pct"/>
            <w:tcBorders>
              <w:top w:val="single" w:sz="4" w:space="0" w:color="293F5B"/>
              <w:left w:val="nil"/>
              <w:bottom w:val="nil"/>
              <w:right w:val="nil"/>
            </w:tcBorders>
            <w:shd w:val="clear" w:color="000000" w:fill="FFFFFF"/>
            <w:noWrap/>
            <w:vAlign w:val="center"/>
            <w:hideMark/>
          </w:tcPr>
          <w:p w14:paraId="610DDA59" w14:textId="77777777" w:rsidR="004E62A5" w:rsidRPr="003D5352" w:rsidRDefault="004E62A5" w:rsidP="004E62A5">
            <w:pPr>
              <w:spacing w:before="0" w:after="0" w:line="240" w:lineRule="auto"/>
              <w:jc w:val="right"/>
              <w:rPr>
                <w:rFonts w:ascii="Arial" w:hAnsi="Arial" w:cs="Arial"/>
                <w:sz w:val="16"/>
                <w:szCs w:val="16"/>
              </w:rPr>
            </w:pPr>
            <w:r w:rsidRPr="003D5352">
              <w:rPr>
                <w:rFonts w:ascii="Arial" w:hAnsi="Arial" w:cs="Arial"/>
                <w:sz w:val="16"/>
                <w:szCs w:val="16"/>
              </w:rPr>
              <w:t>Total</w:t>
            </w:r>
          </w:p>
        </w:tc>
      </w:tr>
      <w:tr w:rsidR="003D5352" w:rsidRPr="003D5352" w14:paraId="46EBAB17"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6F65ABA8"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 </w:t>
            </w:r>
          </w:p>
        </w:tc>
        <w:tc>
          <w:tcPr>
            <w:tcW w:w="461" w:type="pct"/>
            <w:tcBorders>
              <w:top w:val="nil"/>
              <w:left w:val="nil"/>
              <w:bottom w:val="single" w:sz="4" w:space="0" w:color="293F5B"/>
              <w:right w:val="nil"/>
            </w:tcBorders>
            <w:shd w:val="clear" w:color="000000" w:fill="FFFFFF"/>
            <w:noWrap/>
            <w:vAlign w:val="center"/>
            <w:hideMark/>
          </w:tcPr>
          <w:p w14:paraId="2A773828"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$m</w:t>
            </w:r>
          </w:p>
        </w:tc>
        <w:tc>
          <w:tcPr>
            <w:tcW w:w="474" w:type="pct"/>
            <w:tcBorders>
              <w:top w:val="nil"/>
              <w:left w:val="nil"/>
              <w:bottom w:val="single" w:sz="4" w:space="0" w:color="293F5B"/>
              <w:right w:val="nil"/>
            </w:tcBorders>
            <w:shd w:val="clear" w:color="000000" w:fill="E6F2FF"/>
            <w:noWrap/>
            <w:vAlign w:val="center"/>
            <w:hideMark/>
          </w:tcPr>
          <w:p w14:paraId="3AB20E34"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$m</w:t>
            </w:r>
          </w:p>
        </w:tc>
        <w:tc>
          <w:tcPr>
            <w:tcW w:w="474" w:type="pct"/>
            <w:tcBorders>
              <w:top w:val="nil"/>
              <w:left w:val="nil"/>
              <w:bottom w:val="single" w:sz="4" w:space="0" w:color="293F5B"/>
              <w:right w:val="nil"/>
            </w:tcBorders>
            <w:shd w:val="clear" w:color="000000" w:fill="FFFFFF"/>
            <w:noWrap/>
            <w:vAlign w:val="center"/>
            <w:hideMark/>
          </w:tcPr>
          <w:p w14:paraId="5BD7B928"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$m</w:t>
            </w:r>
          </w:p>
        </w:tc>
        <w:tc>
          <w:tcPr>
            <w:tcW w:w="474" w:type="pct"/>
            <w:tcBorders>
              <w:top w:val="nil"/>
              <w:left w:val="nil"/>
              <w:bottom w:val="single" w:sz="4" w:space="0" w:color="293F5B"/>
              <w:right w:val="nil"/>
            </w:tcBorders>
            <w:shd w:val="clear" w:color="000000" w:fill="FFFFFF"/>
            <w:noWrap/>
            <w:vAlign w:val="center"/>
            <w:hideMark/>
          </w:tcPr>
          <w:p w14:paraId="7DE70C51"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$m</w:t>
            </w:r>
          </w:p>
        </w:tc>
        <w:tc>
          <w:tcPr>
            <w:tcW w:w="474" w:type="pct"/>
            <w:tcBorders>
              <w:top w:val="nil"/>
              <w:left w:val="nil"/>
              <w:bottom w:val="single" w:sz="4" w:space="0" w:color="293F5B"/>
              <w:right w:val="nil"/>
            </w:tcBorders>
            <w:shd w:val="clear" w:color="000000" w:fill="FFFFFF"/>
            <w:noWrap/>
            <w:vAlign w:val="center"/>
            <w:hideMark/>
          </w:tcPr>
          <w:p w14:paraId="23D088FF"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$m</w:t>
            </w:r>
          </w:p>
        </w:tc>
        <w:tc>
          <w:tcPr>
            <w:tcW w:w="45" w:type="pct"/>
            <w:tcBorders>
              <w:top w:val="nil"/>
              <w:left w:val="nil"/>
              <w:bottom w:val="nil"/>
              <w:right w:val="nil"/>
            </w:tcBorders>
            <w:shd w:val="clear" w:color="000000" w:fill="FFFFFF"/>
            <w:noWrap/>
            <w:vAlign w:val="center"/>
            <w:hideMark/>
          </w:tcPr>
          <w:p w14:paraId="122464FF"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84" w:type="pct"/>
            <w:tcBorders>
              <w:top w:val="nil"/>
              <w:left w:val="nil"/>
              <w:bottom w:val="single" w:sz="4" w:space="0" w:color="293F5B"/>
              <w:right w:val="nil"/>
            </w:tcBorders>
            <w:shd w:val="clear" w:color="000000" w:fill="FFFFFF"/>
            <w:noWrap/>
            <w:vAlign w:val="center"/>
            <w:hideMark/>
          </w:tcPr>
          <w:p w14:paraId="1943539F" w14:textId="77777777" w:rsidR="004E62A5" w:rsidRPr="003D5352" w:rsidRDefault="004E62A5" w:rsidP="004E62A5">
            <w:pPr>
              <w:spacing w:before="0" w:after="0" w:line="240" w:lineRule="auto"/>
              <w:jc w:val="right"/>
              <w:rPr>
                <w:rFonts w:ascii="Arial" w:hAnsi="Arial" w:cs="Arial"/>
                <w:sz w:val="16"/>
                <w:szCs w:val="16"/>
              </w:rPr>
            </w:pPr>
            <w:r w:rsidRPr="003D5352">
              <w:rPr>
                <w:rFonts w:ascii="Arial" w:hAnsi="Arial" w:cs="Arial"/>
                <w:sz w:val="16"/>
                <w:szCs w:val="16"/>
              </w:rPr>
              <w:t>$m</w:t>
            </w:r>
          </w:p>
        </w:tc>
      </w:tr>
      <w:tr w:rsidR="003D5352" w:rsidRPr="003D5352" w14:paraId="1BF61492"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5A0F7143" w14:textId="77777777" w:rsidR="004E62A5" w:rsidRPr="003D5352" w:rsidRDefault="004E62A5" w:rsidP="004E62A5">
            <w:pPr>
              <w:spacing w:before="0" w:after="0" w:line="240" w:lineRule="auto"/>
              <w:rPr>
                <w:rFonts w:ascii="Arial" w:hAnsi="Arial" w:cs="Arial"/>
                <w:b/>
                <w:bCs/>
                <w:sz w:val="16"/>
                <w:szCs w:val="16"/>
              </w:rPr>
            </w:pPr>
            <w:r w:rsidRPr="003D5352">
              <w:rPr>
                <w:rFonts w:ascii="Arial" w:hAnsi="Arial" w:cs="Arial"/>
                <w:b/>
                <w:bCs/>
                <w:sz w:val="16"/>
                <w:szCs w:val="16"/>
              </w:rPr>
              <w:t>2022 PEFO underlying cash</w:t>
            </w:r>
          </w:p>
        </w:tc>
        <w:tc>
          <w:tcPr>
            <w:tcW w:w="461" w:type="pct"/>
            <w:tcBorders>
              <w:top w:val="nil"/>
              <w:left w:val="nil"/>
              <w:bottom w:val="nil"/>
              <w:right w:val="nil"/>
            </w:tcBorders>
            <w:shd w:val="clear" w:color="000000" w:fill="FFFFFF"/>
            <w:noWrap/>
            <w:vAlign w:val="center"/>
            <w:hideMark/>
          </w:tcPr>
          <w:p w14:paraId="1D79045D"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46A92246"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6194C400"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23301569"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06B215B8"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5" w:type="pct"/>
            <w:tcBorders>
              <w:top w:val="nil"/>
              <w:left w:val="nil"/>
              <w:bottom w:val="nil"/>
              <w:right w:val="nil"/>
            </w:tcBorders>
            <w:shd w:val="clear" w:color="000000" w:fill="FFFFFF"/>
            <w:noWrap/>
            <w:vAlign w:val="center"/>
            <w:hideMark/>
          </w:tcPr>
          <w:p w14:paraId="78F7ECA3"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5A3E1D47" w14:textId="77777777" w:rsidR="004E62A5" w:rsidRPr="003D5352" w:rsidRDefault="004E62A5" w:rsidP="004E62A5">
            <w:pPr>
              <w:spacing w:before="0" w:after="0" w:line="240" w:lineRule="auto"/>
              <w:jc w:val="right"/>
              <w:rPr>
                <w:rFonts w:ascii="Arial" w:hAnsi="Arial" w:cs="Arial"/>
                <w:sz w:val="16"/>
                <w:szCs w:val="16"/>
              </w:rPr>
            </w:pPr>
            <w:r w:rsidRPr="003D5352">
              <w:rPr>
                <w:rFonts w:ascii="Arial" w:hAnsi="Arial" w:cs="Arial"/>
                <w:sz w:val="16"/>
                <w:szCs w:val="16"/>
              </w:rPr>
              <w:t> </w:t>
            </w:r>
          </w:p>
        </w:tc>
      </w:tr>
      <w:tr w:rsidR="003D5352" w:rsidRPr="003D5352" w14:paraId="4B585234"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4A7FEE78" w14:textId="77777777" w:rsidR="004E62A5" w:rsidRPr="003D5352" w:rsidRDefault="004E62A5" w:rsidP="004E62A5">
            <w:pPr>
              <w:spacing w:before="0" w:after="0" w:line="240" w:lineRule="auto"/>
              <w:ind w:left="170"/>
              <w:rPr>
                <w:rFonts w:ascii="Arial" w:hAnsi="Arial" w:cs="Arial"/>
                <w:b/>
                <w:bCs/>
                <w:sz w:val="16"/>
                <w:szCs w:val="16"/>
              </w:rPr>
            </w:pPr>
            <w:r w:rsidRPr="003D5352">
              <w:rPr>
                <w:rFonts w:ascii="Arial" w:hAnsi="Arial" w:cs="Arial"/>
                <w:b/>
                <w:bCs/>
                <w:sz w:val="16"/>
                <w:szCs w:val="16"/>
              </w:rPr>
              <w:t>balance(a)</w:t>
            </w:r>
          </w:p>
        </w:tc>
        <w:tc>
          <w:tcPr>
            <w:tcW w:w="461" w:type="pct"/>
            <w:tcBorders>
              <w:top w:val="nil"/>
              <w:left w:val="nil"/>
              <w:bottom w:val="nil"/>
              <w:right w:val="nil"/>
            </w:tcBorders>
            <w:shd w:val="clear" w:color="000000" w:fill="FFFFFF"/>
            <w:noWrap/>
            <w:vAlign w:val="bottom"/>
            <w:hideMark/>
          </w:tcPr>
          <w:p w14:paraId="28EC4BBC" w14:textId="7873ED3D" w:rsidR="004E62A5" w:rsidRPr="003D5352" w:rsidRDefault="00594653"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noBreakHyphen/>
            </w:r>
            <w:r w:rsidR="004E62A5" w:rsidRPr="003D5352">
              <w:rPr>
                <w:rFonts w:ascii="Arial" w:hAnsi="Arial" w:cs="Arial"/>
                <w:b/>
                <w:bCs/>
                <w:sz w:val="16"/>
                <w:szCs w:val="16"/>
              </w:rPr>
              <w:t>77,937</w:t>
            </w:r>
          </w:p>
        </w:tc>
        <w:tc>
          <w:tcPr>
            <w:tcW w:w="474" w:type="pct"/>
            <w:tcBorders>
              <w:top w:val="nil"/>
              <w:left w:val="nil"/>
              <w:bottom w:val="nil"/>
              <w:right w:val="nil"/>
            </w:tcBorders>
            <w:shd w:val="clear" w:color="000000" w:fill="E6F2FF"/>
            <w:noWrap/>
            <w:vAlign w:val="bottom"/>
            <w:hideMark/>
          </w:tcPr>
          <w:p w14:paraId="0C22327B" w14:textId="34A1CB62" w:rsidR="004E62A5" w:rsidRPr="003D5352" w:rsidRDefault="00594653"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noBreakHyphen/>
            </w:r>
            <w:r w:rsidR="004E62A5" w:rsidRPr="003D5352">
              <w:rPr>
                <w:rFonts w:ascii="Arial" w:hAnsi="Arial" w:cs="Arial"/>
                <w:b/>
                <w:bCs/>
                <w:sz w:val="16"/>
                <w:szCs w:val="16"/>
              </w:rPr>
              <w:t>56,525</w:t>
            </w:r>
          </w:p>
        </w:tc>
        <w:tc>
          <w:tcPr>
            <w:tcW w:w="474" w:type="pct"/>
            <w:tcBorders>
              <w:top w:val="nil"/>
              <w:left w:val="nil"/>
              <w:bottom w:val="nil"/>
              <w:right w:val="nil"/>
            </w:tcBorders>
            <w:shd w:val="clear" w:color="000000" w:fill="FFFFFF"/>
            <w:noWrap/>
            <w:vAlign w:val="bottom"/>
            <w:hideMark/>
          </w:tcPr>
          <w:p w14:paraId="16F76197" w14:textId="4239ECCE" w:rsidR="004E62A5" w:rsidRPr="003D5352" w:rsidRDefault="00594653"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noBreakHyphen/>
            </w:r>
            <w:r w:rsidR="004E62A5" w:rsidRPr="003D5352">
              <w:rPr>
                <w:rFonts w:ascii="Arial" w:hAnsi="Arial" w:cs="Arial"/>
                <w:b/>
                <w:bCs/>
                <w:sz w:val="16"/>
                <w:szCs w:val="16"/>
              </w:rPr>
              <w:t>47,093</w:t>
            </w:r>
          </w:p>
        </w:tc>
        <w:tc>
          <w:tcPr>
            <w:tcW w:w="474" w:type="pct"/>
            <w:tcBorders>
              <w:top w:val="nil"/>
              <w:left w:val="nil"/>
              <w:bottom w:val="nil"/>
              <w:right w:val="nil"/>
            </w:tcBorders>
            <w:shd w:val="clear" w:color="000000" w:fill="FFFFFF"/>
            <w:noWrap/>
            <w:vAlign w:val="bottom"/>
            <w:hideMark/>
          </w:tcPr>
          <w:p w14:paraId="2B67AD95" w14:textId="4DD2853C" w:rsidR="004E62A5" w:rsidRPr="003D5352" w:rsidRDefault="00594653"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noBreakHyphen/>
            </w:r>
            <w:r w:rsidR="004E62A5" w:rsidRPr="003D5352">
              <w:rPr>
                <w:rFonts w:ascii="Arial" w:hAnsi="Arial" w:cs="Arial"/>
                <w:b/>
                <w:bCs/>
                <w:sz w:val="16"/>
                <w:szCs w:val="16"/>
              </w:rPr>
              <w:t>42,936</w:t>
            </w:r>
          </w:p>
        </w:tc>
        <w:tc>
          <w:tcPr>
            <w:tcW w:w="474" w:type="pct"/>
            <w:tcBorders>
              <w:top w:val="nil"/>
              <w:left w:val="nil"/>
              <w:bottom w:val="nil"/>
              <w:right w:val="nil"/>
            </w:tcBorders>
            <w:shd w:val="clear" w:color="000000" w:fill="FFFFFF"/>
            <w:noWrap/>
            <w:vAlign w:val="bottom"/>
            <w:hideMark/>
          </w:tcPr>
          <w:p w14:paraId="437AEACC" w14:textId="72E116B8" w:rsidR="004E62A5" w:rsidRPr="003D5352" w:rsidRDefault="00594653"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noBreakHyphen/>
            </w:r>
            <w:r w:rsidR="004E62A5" w:rsidRPr="003D5352">
              <w:rPr>
                <w:rFonts w:ascii="Arial" w:hAnsi="Arial" w:cs="Arial"/>
                <w:b/>
                <w:bCs/>
                <w:sz w:val="16"/>
                <w:szCs w:val="16"/>
              </w:rPr>
              <w:t>39,374</w:t>
            </w:r>
          </w:p>
        </w:tc>
        <w:tc>
          <w:tcPr>
            <w:tcW w:w="45" w:type="pct"/>
            <w:tcBorders>
              <w:top w:val="nil"/>
              <w:left w:val="nil"/>
              <w:bottom w:val="nil"/>
              <w:right w:val="nil"/>
            </w:tcBorders>
            <w:shd w:val="clear" w:color="000000" w:fill="FFFFFF"/>
            <w:noWrap/>
            <w:vAlign w:val="center"/>
            <w:hideMark/>
          </w:tcPr>
          <w:p w14:paraId="5D8E5A64"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392E96B4" w14:textId="460F8848" w:rsidR="004E62A5" w:rsidRPr="003D5352" w:rsidRDefault="00594653" w:rsidP="004E62A5">
            <w:pPr>
              <w:spacing w:before="0" w:after="0" w:line="240" w:lineRule="auto"/>
              <w:jc w:val="right"/>
              <w:rPr>
                <w:rFonts w:ascii="Arial" w:hAnsi="Arial" w:cs="Arial"/>
                <w:b/>
                <w:bCs/>
                <w:sz w:val="16"/>
                <w:szCs w:val="16"/>
              </w:rPr>
            </w:pPr>
            <w:r w:rsidRPr="003D5352">
              <w:rPr>
                <w:rFonts w:ascii="Arial" w:hAnsi="Arial" w:cs="Arial"/>
                <w:b/>
                <w:bCs/>
                <w:sz w:val="16"/>
                <w:szCs w:val="16"/>
              </w:rPr>
              <w:noBreakHyphen/>
            </w:r>
            <w:r w:rsidR="004E62A5" w:rsidRPr="003D5352">
              <w:rPr>
                <w:rFonts w:ascii="Arial" w:hAnsi="Arial" w:cs="Arial"/>
                <w:b/>
                <w:bCs/>
                <w:sz w:val="16"/>
                <w:szCs w:val="16"/>
              </w:rPr>
              <w:t>263,864</w:t>
            </w:r>
          </w:p>
        </w:tc>
      </w:tr>
      <w:tr w:rsidR="003D5352" w:rsidRPr="003D5352" w14:paraId="476B68AA"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1656746D"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Per cent of GDP</w:t>
            </w:r>
          </w:p>
        </w:tc>
        <w:tc>
          <w:tcPr>
            <w:tcW w:w="461" w:type="pct"/>
            <w:tcBorders>
              <w:top w:val="nil"/>
              <w:left w:val="nil"/>
              <w:bottom w:val="nil"/>
              <w:right w:val="nil"/>
            </w:tcBorders>
            <w:shd w:val="clear" w:color="000000" w:fill="FFFFFF"/>
            <w:noWrap/>
            <w:vAlign w:val="center"/>
            <w:hideMark/>
          </w:tcPr>
          <w:p w14:paraId="0DBD43C8" w14:textId="63D4C6FE" w:rsidR="004E62A5" w:rsidRPr="003D5352" w:rsidRDefault="00594653"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noBreakHyphen/>
            </w:r>
            <w:r w:rsidR="004E62A5" w:rsidRPr="003D5352">
              <w:rPr>
                <w:rFonts w:ascii="Arial" w:hAnsi="Arial" w:cs="Arial"/>
                <w:sz w:val="16"/>
                <w:szCs w:val="16"/>
              </w:rPr>
              <w:t>3.4</w:t>
            </w:r>
          </w:p>
        </w:tc>
        <w:tc>
          <w:tcPr>
            <w:tcW w:w="474" w:type="pct"/>
            <w:tcBorders>
              <w:top w:val="nil"/>
              <w:left w:val="nil"/>
              <w:bottom w:val="nil"/>
              <w:right w:val="nil"/>
            </w:tcBorders>
            <w:shd w:val="clear" w:color="000000" w:fill="E6F2FF"/>
            <w:noWrap/>
            <w:vAlign w:val="center"/>
            <w:hideMark/>
          </w:tcPr>
          <w:p w14:paraId="30DDFC64" w14:textId="3F4CEDE7" w:rsidR="004E62A5" w:rsidRPr="003D5352" w:rsidRDefault="00594653"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noBreakHyphen/>
            </w:r>
            <w:r w:rsidR="004E62A5" w:rsidRPr="003D5352">
              <w:rPr>
                <w:rFonts w:ascii="Arial" w:hAnsi="Arial" w:cs="Arial"/>
                <w:sz w:val="16"/>
                <w:szCs w:val="16"/>
              </w:rPr>
              <w:t>2.4</w:t>
            </w:r>
          </w:p>
        </w:tc>
        <w:tc>
          <w:tcPr>
            <w:tcW w:w="474" w:type="pct"/>
            <w:tcBorders>
              <w:top w:val="nil"/>
              <w:left w:val="nil"/>
              <w:bottom w:val="nil"/>
              <w:right w:val="nil"/>
            </w:tcBorders>
            <w:shd w:val="clear" w:color="000000" w:fill="FFFFFF"/>
            <w:noWrap/>
            <w:vAlign w:val="center"/>
            <w:hideMark/>
          </w:tcPr>
          <w:p w14:paraId="4F284CAA" w14:textId="59292BDF" w:rsidR="004E62A5" w:rsidRPr="003D5352" w:rsidRDefault="00594653"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noBreakHyphen/>
            </w:r>
            <w:r w:rsidR="004E62A5" w:rsidRPr="003D5352">
              <w:rPr>
                <w:rFonts w:ascii="Arial" w:hAnsi="Arial" w:cs="Arial"/>
                <w:sz w:val="16"/>
                <w:szCs w:val="16"/>
              </w:rPr>
              <w:t>1.9</w:t>
            </w:r>
          </w:p>
        </w:tc>
        <w:tc>
          <w:tcPr>
            <w:tcW w:w="474" w:type="pct"/>
            <w:tcBorders>
              <w:top w:val="nil"/>
              <w:left w:val="nil"/>
              <w:bottom w:val="nil"/>
              <w:right w:val="nil"/>
            </w:tcBorders>
            <w:shd w:val="clear" w:color="000000" w:fill="FFFFFF"/>
            <w:noWrap/>
            <w:vAlign w:val="center"/>
            <w:hideMark/>
          </w:tcPr>
          <w:p w14:paraId="5811E269" w14:textId="54CCAC5E" w:rsidR="004E62A5" w:rsidRPr="003D5352" w:rsidRDefault="00594653"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noBreakHyphen/>
            </w:r>
            <w:r w:rsidR="004E62A5" w:rsidRPr="003D5352">
              <w:rPr>
                <w:rFonts w:ascii="Arial" w:hAnsi="Arial" w:cs="Arial"/>
                <w:sz w:val="16"/>
                <w:szCs w:val="16"/>
              </w:rPr>
              <w:t>1.6</w:t>
            </w:r>
          </w:p>
        </w:tc>
        <w:tc>
          <w:tcPr>
            <w:tcW w:w="474" w:type="pct"/>
            <w:tcBorders>
              <w:top w:val="nil"/>
              <w:left w:val="nil"/>
              <w:bottom w:val="nil"/>
              <w:right w:val="nil"/>
            </w:tcBorders>
            <w:shd w:val="clear" w:color="000000" w:fill="FFFFFF"/>
            <w:noWrap/>
            <w:vAlign w:val="center"/>
            <w:hideMark/>
          </w:tcPr>
          <w:p w14:paraId="4127A904" w14:textId="75C02A9E" w:rsidR="004E62A5" w:rsidRPr="003D5352" w:rsidRDefault="00594653"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noBreakHyphen/>
            </w:r>
            <w:r w:rsidR="004E62A5" w:rsidRPr="003D5352">
              <w:rPr>
                <w:rFonts w:ascii="Arial" w:hAnsi="Arial" w:cs="Arial"/>
                <w:sz w:val="16"/>
                <w:szCs w:val="16"/>
              </w:rPr>
              <w:t>1.4</w:t>
            </w:r>
          </w:p>
        </w:tc>
        <w:tc>
          <w:tcPr>
            <w:tcW w:w="45" w:type="pct"/>
            <w:tcBorders>
              <w:top w:val="nil"/>
              <w:left w:val="nil"/>
              <w:bottom w:val="nil"/>
              <w:right w:val="nil"/>
            </w:tcBorders>
            <w:shd w:val="clear" w:color="000000" w:fill="FFFFFF"/>
            <w:noWrap/>
            <w:vAlign w:val="center"/>
            <w:hideMark/>
          </w:tcPr>
          <w:p w14:paraId="298BD43F"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745A4DE6"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 </w:t>
            </w:r>
          </w:p>
        </w:tc>
      </w:tr>
      <w:tr w:rsidR="003D5352" w:rsidRPr="003D5352" w14:paraId="622C9609" w14:textId="77777777" w:rsidTr="004E62A5">
        <w:trPr>
          <w:trHeight w:hRule="exact" w:val="60"/>
        </w:trPr>
        <w:tc>
          <w:tcPr>
            <w:tcW w:w="2114" w:type="pct"/>
            <w:tcBorders>
              <w:top w:val="nil"/>
              <w:left w:val="nil"/>
              <w:bottom w:val="nil"/>
              <w:right w:val="nil"/>
            </w:tcBorders>
            <w:shd w:val="clear" w:color="000000" w:fill="FFFFFF"/>
            <w:noWrap/>
            <w:vAlign w:val="center"/>
            <w:hideMark/>
          </w:tcPr>
          <w:p w14:paraId="7E9B2230"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 </w:t>
            </w:r>
          </w:p>
        </w:tc>
        <w:tc>
          <w:tcPr>
            <w:tcW w:w="461" w:type="pct"/>
            <w:tcBorders>
              <w:top w:val="nil"/>
              <w:left w:val="nil"/>
              <w:bottom w:val="nil"/>
              <w:right w:val="nil"/>
            </w:tcBorders>
            <w:shd w:val="clear" w:color="000000" w:fill="FFFFFF"/>
            <w:noWrap/>
            <w:vAlign w:val="center"/>
            <w:hideMark/>
          </w:tcPr>
          <w:p w14:paraId="207B82E0"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3D589388"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0A209F2D"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208741DD"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7FF67DD1"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5" w:type="pct"/>
            <w:tcBorders>
              <w:top w:val="nil"/>
              <w:left w:val="nil"/>
              <w:bottom w:val="nil"/>
              <w:right w:val="nil"/>
            </w:tcBorders>
            <w:shd w:val="clear" w:color="000000" w:fill="FFFFFF"/>
            <w:noWrap/>
            <w:vAlign w:val="center"/>
            <w:hideMark/>
          </w:tcPr>
          <w:p w14:paraId="2E45C685"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45DD9F14"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 </w:t>
            </w:r>
          </w:p>
        </w:tc>
      </w:tr>
      <w:tr w:rsidR="003D5352" w:rsidRPr="003D5352" w14:paraId="5D7AFDA0"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6384B3F4" w14:textId="77777777" w:rsidR="004E62A5" w:rsidRPr="003D5352" w:rsidRDefault="004E62A5" w:rsidP="004E62A5">
            <w:pPr>
              <w:spacing w:before="0" w:after="0" w:line="240" w:lineRule="auto"/>
              <w:rPr>
                <w:rFonts w:ascii="Arial" w:hAnsi="Arial" w:cs="Arial"/>
                <w:b/>
                <w:bCs/>
                <w:sz w:val="16"/>
                <w:szCs w:val="16"/>
              </w:rPr>
            </w:pPr>
            <w:r w:rsidRPr="003D5352">
              <w:rPr>
                <w:rFonts w:ascii="Arial" w:hAnsi="Arial" w:cs="Arial"/>
                <w:b/>
                <w:bCs/>
                <w:sz w:val="16"/>
                <w:szCs w:val="16"/>
              </w:rPr>
              <w:t>Changes from 2022 PEFO to</w:t>
            </w:r>
          </w:p>
        </w:tc>
        <w:tc>
          <w:tcPr>
            <w:tcW w:w="461" w:type="pct"/>
            <w:tcBorders>
              <w:top w:val="nil"/>
              <w:left w:val="nil"/>
              <w:bottom w:val="nil"/>
              <w:right w:val="nil"/>
            </w:tcBorders>
            <w:shd w:val="clear" w:color="000000" w:fill="FFFFFF"/>
            <w:noWrap/>
            <w:vAlign w:val="center"/>
            <w:hideMark/>
          </w:tcPr>
          <w:p w14:paraId="74F88BED"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7E1CFFB3" w14:textId="77777777" w:rsidR="004E62A5" w:rsidRPr="003D5352" w:rsidRDefault="004E62A5"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398A78EE"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104E0287"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1BC3B423"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5" w:type="pct"/>
            <w:tcBorders>
              <w:top w:val="nil"/>
              <w:left w:val="nil"/>
              <w:bottom w:val="nil"/>
              <w:right w:val="nil"/>
            </w:tcBorders>
            <w:shd w:val="clear" w:color="000000" w:fill="FFFFFF"/>
            <w:noWrap/>
            <w:vAlign w:val="center"/>
            <w:hideMark/>
          </w:tcPr>
          <w:p w14:paraId="3DE253F1"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2EBB2B5B"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 </w:t>
            </w:r>
          </w:p>
        </w:tc>
      </w:tr>
      <w:tr w:rsidR="003D5352" w:rsidRPr="003D5352" w14:paraId="18953DCF"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5260CC79" w14:textId="77777777" w:rsidR="004E62A5" w:rsidRPr="003D5352" w:rsidRDefault="004E62A5" w:rsidP="004E62A5">
            <w:pPr>
              <w:spacing w:before="0" w:after="0" w:line="240" w:lineRule="auto"/>
              <w:ind w:left="170"/>
              <w:rPr>
                <w:rFonts w:ascii="Arial" w:hAnsi="Arial" w:cs="Arial"/>
                <w:b/>
                <w:bCs/>
                <w:sz w:val="16"/>
                <w:szCs w:val="16"/>
              </w:rPr>
            </w:pPr>
            <w:r w:rsidRPr="003D5352">
              <w:rPr>
                <w:rFonts w:ascii="Arial" w:hAnsi="Arial" w:cs="Arial"/>
                <w:b/>
                <w:bCs/>
                <w:sz w:val="16"/>
                <w:szCs w:val="16"/>
              </w:rPr>
              <w:t>2022–23 October Budget</w:t>
            </w:r>
          </w:p>
        </w:tc>
        <w:tc>
          <w:tcPr>
            <w:tcW w:w="461" w:type="pct"/>
            <w:tcBorders>
              <w:top w:val="nil"/>
              <w:left w:val="nil"/>
              <w:bottom w:val="nil"/>
              <w:right w:val="nil"/>
            </w:tcBorders>
            <w:shd w:val="clear" w:color="000000" w:fill="FFFFFF"/>
            <w:noWrap/>
            <w:vAlign w:val="center"/>
            <w:hideMark/>
          </w:tcPr>
          <w:p w14:paraId="669126A1"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6983E52C"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03FBBE67"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6BC41ABB"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5D42634E"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5" w:type="pct"/>
            <w:tcBorders>
              <w:top w:val="nil"/>
              <w:left w:val="nil"/>
              <w:bottom w:val="nil"/>
              <w:right w:val="nil"/>
            </w:tcBorders>
            <w:shd w:val="clear" w:color="000000" w:fill="FFFFFF"/>
            <w:noWrap/>
            <w:vAlign w:val="center"/>
            <w:hideMark/>
          </w:tcPr>
          <w:p w14:paraId="56E88C6A"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325F999F"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 </w:t>
            </w:r>
          </w:p>
        </w:tc>
      </w:tr>
      <w:tr w:rsidR="003D5352" w:rsidRPr="003D5352" w14:paraId="736DF7A8"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3070E7E5"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Effect of policy decisions(b)</w:t>
            </w:r>
          </w:p>
        </w:tc>
        <w:tc>
          <w:tcPr>
            <w:tcW w:w="461" w:type="pct"/>
            <w:tcBorders>
              <w:top w:val="nil"/>
              <w:left w:val="nil"/>
              <w:bottom w:val="nil"/>
              <w:right w:val="nil"/>
            </w:tcBorders>
            <w:shd w:val="clear" w:color="000000" w:fill="FFFFFF"/>
            <w:noWrap/>
            <w:vAlign w:val="center"/>
            <w:hideMark/>
          </w:tcPr>
          <w:p w14:paraId="767D10C8" w14:textId="0E0E267A" w:rsidR="004E62A5" w:rsidRPr="003D5352" w:rsidRDefault="00594653"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noBreakHyphen/>
            </w:r>
            <w:r w:rsidR="004E62A5" w:rsidRPr="003D5352">
              <w:rPr>
                <w:rFonts w:ascii="Arial" w:hAnsi="Arial" w:cs="Arial"/>
                <w:sz w:val="16"/>
                <w:szCs w:val="16"/>
              </w:rPr>
              <w:t>1,096</w:t>
            </w:r>
          </w:p>
        </w:tc>
        <w:tc>
          <w:tcPr>
            <w:tcW w:w="474" w:type="pct"/>
            <w:tcBorders>
              <w:top w:val="nil"/>
              <w:left w:val="nil"/>
              <w:bottom w:val="nil"/>
              <w:right w:val="nil"/>
            </w:tcBorders>
            <w:shd w:val="clear" w:color="000000" w:fill="E6F2FF"/>
            <w:noWrap/>
            <w:vAlign w:val="center"/>
            <w:hideMark/>
          </w:tcPr>
          <w:p w14:paraId="36F9CBA2"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747</w:t>
            </w:r>
          </w:p>
        </w:tc>
        <w:tc>
          <w:tcPr>
            <w:tcW w:w="474" w:type="pct"/>
            <w:tcBorders>
              <w:top w:val="nil"/>
              <w:left w:val="nil"/>
              <w:bottom w:val="nil"/>
              <w:right w:val="nil"/>
            </w:tcBorders>
            <w:shd w:val="clear" w:color="000000" w:fill="FFFFFF"/>
            <w:noWrap/>
            <w:vAlign w:val="center"/>
            <w:hideMark/>
          </w:tcPr>
          <w:p w14:paraId="2805CCCF" w14:textId="64FABBB8" w:rsidR="004E62A5" w:rsidRPr="003D5352" w:rsidRDefault="00594653"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noBreakHyphen/>
            </w:r>
            <w:r w:rsidR="004E62A5" w:rsidRPr="003D5352">
              <w:rPr>
                <w:rFonts w:ascii="Arial" w:hAnsi="Arial" w:cs="Arial"/>
                <w:sz w:val="16"/>
                <w:szCs w:val="16"/>
              </w:rPr>
              <w:t>2,014</w:t>
            </w:r>
          </w:p>
        </w:tc>
        <w:tc>
          <w:tcPr>
            <w:tcW w:w="474" w:type="pct"/>
            <w:tcBorders>
              <w:top w:val="nil"/>
              <w:left w:val="nil"/>
              <w:bottom w:val="nil"/>
              <w:right w:val="nil"/>
            </w:tcBorders>
            <w:shd w:val="clear" w:color="000000" w:fill="FFFFFF"/>
            <w:noWrap/>
            <w:vAlign w:val="center"/>
            <w:hideMark/>
          </w:tcPr>
          <w:p w14:paraId="018EFB91" w14:textId="63963110" w:rsidR="004E62A5" w:rsidRPr="003D5352" w:rsidRDefault="00594653"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noBreakHyphen/>
            </w:r>
            <w:r w:rsidR="004E62A5" w:rsidRPr="003D5352">
              <w:rPr>
                <w:rFonts w:ascii="Arial" w:hAnsi="Arial" w:cs="Arial"/>
                <w:sz w:val="16"/>
                <w:szCs w:val="16"/>
              </w:rPr>
              <w:t>7,420</w:t>
            </w:r>
          </w:p>
        </w:tc>
        <w:tc>
          <w:tcPr>
            <w:tcW w:w="474" w:type="pct"/>
            <w:tcBorders>
              <w:top w:val="nil"/>
              <w:left w:val="nil"/>
              <w:bottom w:val="nil"/>
              <w:right w:val="nil"/>
            </w:tcBorders>
            <w:shd w:val="clear" w:color="000000" w:fill="FFFFFF"/>
            <w:noWrap/>
            <w:vAlign w:val="center"/>
            <w:hideMark/>
          </w:tcPr>
          <w:p w14:paraId="65559F66"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w:t>
            </w:r>
          </w:p>
        </w:tc>
        <w:tc>
          <w:tcPr>
            <w:tcW w:w="45" w:type="pct"/>
            <w:tcBorders>
              <w:top w:val="nil"/>
              <w:left w:val="nil"/>
              <w:bottom w:val="nil"/>
              <w:right w:val="nil"/>
            </w:tcBorders>
            <w:shd w:val="clear" w:color="000000" w:fill="FFFFFF"/>
            <w:noWrap/>
            <w:vAlign w:val="center"/>
            <w:hideMark/>
          </w:tcPr>
          <w:p w14:paraId="20D0EEF7"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0A6C2FAF" w14:textId="77777777" w:rsidR="004E62A5" w:rsidRPr="003D5352" w:rsidRDefault="004E62A5" w:rsidP="004E62A5">
            <w:pPr>
              <w:spacing w:before="0" w:after="0" w:line="240" w:lineRule="auto"/>
              <w:jc w:val="right"/>
              <w:rPr>
                <w:rFonts w:ascii="Arial" w:hAnsi="Arial" w:cs="Arial"/>
                <w:sz w:val="16"/>
                <w:szCs w:val="16"/>
              </w:rPr>
            </w:pPr>
            <w:r w:rsidRPr="003D5352">
              <w:rPr>
                <w:rFonts w:ascii="Arial" w:hAnsi="Arial" w:cs="Arial"/>
                <w:sz w:val="16"/>
                <w:szCs w:val="16"/>
              </w:rPr>
              <w:t>*</w:t>
            </w:r>
          </w:p>
        </w:tc>
      </w:tr>
      <w:tr w:rsidR="003D5352" w:rsidRPr="003D5352" w14:paraId="3020F7A0"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5CC2D2E1"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Effect of parameter and other variations</w:t>
            </w:r>
          </w:p>
        </w:tc>
        <w:tc>
          <w:tcPr>
            <w:tcW w:w="461" w:type="pct"/>
            <w:tcBorders>
              <w:top w:val="nil"/>
              <w:left w:val="nil"/>
              <w:bottom w:val="nil"/>
              <w:right w:val="nil"/>
            </w:tcBorders>
            <w:shd w:val="clear" w:color="000000" w:fill="FFFFFF"/>
            <w:noWrap/>
            <w:vAlign w:val="center"/>
            <w:hideMark/>
          </w:tcPr>
          <w:p w14:paraId="3920DC7A"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42,181</w:t>
            </w:r>
          </w:p>
        </w:tc>
        <w:tc>
          <w:tcPr>
            <w:tcW w:w="474" w:type="pct"/>
            <w:tcBorders>
              <w:top w:val="nil"/>
              <w:left w:val="nil"/>
              <w:bottom w:val="nil"/>
              <w:right w:val="nil"/>
            </w:tcBorders>
            <w:shd w:val="clear" w:color="000000" w:fill="E6F2FF"/>
            <w:noWrap/>
            <w:vAlign w:val="center"/>
            <w:hideMark/>
          </w:tcPr>
          <w:p w14:paraId="3CB70CE3"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11,729</w:t>
            </w:r>
          </w:p>
        </w:tc>
        <w:tc>
          <w:tcPr>
            <w:tcW w:w="474" w:type="pct"/>
            <w:tcBorders>
              <w:top w:val="nil"/>
              <w:left w:val="nil"/>
              <w:bottom w:val="nil"/>
              <w:right w:val="nil"/>
            </w:tcBorders>
            <w:shd w:val="clear" w:color="000000" w:fill="FFFFFF"/>
            <w:noWrap/>
            <w:vAlign w:val="center"/>
            <w:hideMark/>
          </w:tcPr>
          <w:p w14:paraId="55762EC4" w14:textId="5737136B" w:rsidR="004E62A5" w:rsidRPr="003D5352" w:rsidRDefault="00594653"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noBreakHyphen/>
            </w:r>
            <w:r w:rsidR="004E62A5" w:rsidRPr="003D5352">
              <w:rPr>
                <w:rFonts w:ascii="Arial" w:hAnsi="Arial" w:cs="Arial"/>
                <w:sz w:val="16"/>
                <w:szCs w:val="16"/>
              </w:rPr>
              <w:t>2,240</w:t>
            </w:r>
          </w:p>
        </w:tc>
        <w:tc>
          <w:tcPr>
            <w:tcW w:w="474" w:type="pct"/>
            <w:tcBorders>
              <w:top w:val="nil"/>
              <w:left w:val="nil"/>
              <w:bottom w:val="nil"/>
              <w:right w:val="nil"/>
            </w:tcBorders>
            <w:shd w:val="clear" w:color="000000" w:fill="FFFFFF"/>
            <w:noWrap/>
            <w:vAlign w:val="center"/>
            <w:hideMark/>
          </w:tcPr>
          <w:p w14:paraId="31ECE7ED"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795</w:t>
            </w:r>
          </w:p>
        </w:tc>
        <w:tc>
          <w:tcPr>
            <w:tcW w:w="474" w:type="pct"/>
            <w:tcBorders>
              <w:top w:val="nil"/>
              <w:left w:val="nil"/>
              <w:bottom w:val="nil"/>
              <w:right w:val="nil"/>
            </w:tcBorders>
            <w:shd w:val="clear" w:color="000000" w:fill="FFFFFF"/>
            <w:noWrap/>
            <w:vAlign w:val="center"/>
            <w:hideMark/>
          </w:tcPr>
          <w:p w14:paraId="688A36F4"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w:t>
            </w:r>
          </w:p>
        </w:tc>
        <w:tc>
          <w:tcPr>
            <w:tcW w:w="45" w:type="pct"/>
            <w:tcBorders>
              <w:top w:val="nil"/>
              <w:left w:val="nil"/>
              <w:bottom w:val="nil"/>
              <w:right w:val="nil"/>
            </w:tcBorders>
            <w:shd w:val="clear" w:color="000000" w:fill="FFFFFF"/>
            <w:noWrap/>
            <w:vAlign w:val="center"/>
            <w:hideMark/>
          </w:tcPr>
          <w:p w14:paraId="196B0FE6"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84" w:type="pct"/>
            <w:tcBorders>
              <w:top w:val="nil"/>
              <w:left w:val="nil"/>
              <w:bottom w:val="single" w:sz="4" w:space="0" w:color="000000"/>
              <w:right w:val="nil"/>
            </w:tcBorders>
            <w:shd w:val="clear" w:color="000000" w:fill="FFFFFF"/>
            <w:noWrap/>
            <w:vAlign w:val="center"/>
            <w:hideMark/>
          </w:tcPr>
          <w:p w14:paraId="3B4DBB8E" w14:textId="77777777" w:rsidR="004E62A5" w:rsidRPr="003D5352" w:rsidRDefault="004E62A5" w:rsidP="004E62A5">
            <w:pPr>
              <w:spacing w:before="0" w:after="0" w:line="240" w:lineRule="auto"/>
              <w:jc w:val="right"/>
              <w:rPr>
                <w:rFonts w:ascii="Arial" w:hAnsi="Arial" w:cs="Arial"/>
                <w:sz w:val="16"/>
                <w:szCs w:val="16"/>
              </w:rPr>
            </w:pPr>
            <w:r w:rsidRPr="003D5352">
              <w:rPr>
                <w:rFonts w:ascii="Arial" w:hAnsi="Arial" w:cs="Arial"/>
                <w:sz w:val="16"/>
                <w:szCs w:val="16"/>
              </w:rPr>
              <w:t>*</w:t>
            </w:r>
          </w:p>
        </w:tc>
      </w:tr>
      <w:tr w:rsidR="003D5352" w:rsidRPr="003D5352" w14:paraId="41ACDF96"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7BC88213" w14:textId="77777777" w:rsidR="004E62A5" w:rsidRPr="003D5352" w:rsidRDefault="004E62A5" w:rsidP="004E62A5">
            <w:pPr>
              <w:spacing w:before="0" w:after="0" w:line="240" w:lineRule="auto"/>
              <w:rPr>
                <w:rFonts w:ascii="Arial" w:hAnsi="Arial" w:cs="Arial"/>
                <w:b/>
                <w:bCs/>
                <w:sz w:val="16"/>
                <w:szCs w:val="16"/>
              </w:rPr>
            </w:pPr>
            <w:r w:rsidRPr="003D5352">
              <w:rPr>
                <w:rFonts w:ascii="Arial" w:hAnsi="Arial" w:cs="Arial"/>
                <w:b/>
                <w:bCs/>
                <w:sz w:val="16"/>
                <w:szCs w:val="16"/>
              </w:rPr>
              <w:t>Total variations(c)</w:t>
            </w:r>
          </w:p>
        </w:tc>
        <w:tc>
          <w:tcPr>
            <w:tcW w:w="461" w:type="pct"/>
            <w:tcBorders>
              <w:top w:val="single" w:sz="4" w:space="0" w:color="293F5B"/>
              <w:left w:val="nil"/>
              <w:bottom w:val="single" w:sz="4" w:space="0" w:color="293F5B"/>
              <w:right w:val="nil"/>
            </w:tcBorders>
            <w:shd w:val="clear" w:color="000000" w:fill="FFFFFF"/>
            <w:noWrap/>
            <w:vAlign w:val="center"/>
            <w:hideMark/>
          </w:tcPr>
          <w:p w14:paraId="563301A5" w14:textId="77777777" w:rsidR="004E62A5" w:rsidRPr="003D5352" w:rsidRDefault="004E62A5"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t>41,085</w:t>
            </w:r>
          </w:p>
        </w:tc>
        <w:tc>
          <w:tcPr>
            <w:tcW w:w="474" w:type="pct"/>
            <w:tcBorders>
              <w:top w:val="single" w:sz="4" w:space="0" w:color="293F5B"/>
              <w:left w:val="nil"/>
              <w:bottom w:val="single" w:sz="4" w:space="0" w:color="293F5B"/>
              <w:right w:val="nil"/>
            </w:tcBorders>
            <w:shd w:val="clear" w:color="000000" w:fill="E6F2FF"/>
            <w:noWrap/>
            <w:vAlign w:val="center"/>
            <w:hideMark/>
          </w:tcPr>
          <w:p w14:paraId="7DD302C3" w14:textId="77777777" w:rsidR="004E62A5" w:rsidRPr="003D5352" w:rsidRDefault="004E62A5"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t>12,476</w:t>
            </w:r>
          </w:p>
        </w:tc>
        <w:tc>
          <w:tcPr>
            <w:tcW w:w="474" w:type="pct"/>
            <w:tcBorders>
              <w:top w:val="single" w:sz="4" w:space="0" w:color="293F5B"/>
              <w:left w:val="nil"/>
              <w:bottom w:val="single" w:sz="4" w:space="0" w:color="293F5B"/>
              <w:right w:val="nil"/>
            </w:tcBorders>
            <w:shd w:val="clear" w:color="000000" w:fill="FFFFFF"/>
            <w:noWrap/>
            <w:vAlign w:val="center"/>
            <w:hideMark/>
          </w:tcPr>
          <w:p w14:paraId="231DDB4B" w14:textId="0DC4E4D0" w:rsidR="004E62A5" w:rsidRPr="003D5352" w:rsidRDefault="00594653"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noBreakHyphen/>
            </w:r>
            <w:r w:rsidR="004E62A5" w:rsidRPr="003D5352">
              <w:rPr>
                <w:rFonts w:ascii="Arial" w:hAnsi="Arial" w:cs="Arial"/>
                <w:b/>
                <w:bCs/>
                <w:sz w:val="16"/>
                <w:szCs w:val="16"/>
              </w:rPr>
              <w:t>4,253</w:t>
            </w:r>
          </w:p>
        </w:tc>
        <w:tc>
          <w:tcPr>
            <w:tcW w:w="474" w:type="pct"/>
            <w:tcBorders>
              <w:top w:val="single" w:sz="4" w:space="0" w:color="293F5B"/>
              <w:left w:val="nil"/>
              <w:bottom w:val="single" w:sz="4" w:space="0" w:color="293F5B"/>
              <w:right w:val="nil"/>
            </w:tcBorders>
            <w:shd w:val="clear" w:color="000000" w:fill="FFFFFF"/>
            <w:noWrap/>
            <w:vAlign w:val="center"/>
            <w:hideMark/>
          </w:tcPr>
          <w:p w14:paraId="4B7287D0" w14:textId="42FDEF95" w:rsidR="004E62A5" w:rsidRPr="003D5352" w:rsidRDefault="00594653"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noBreakHyphen/>
            </w:r>
            <w:r w:rsidR="004E62A5" w:rsidRPr="003D5352">
              <w:rPr>
                <w:rFonts w:ascii="Arial" w:hAnsi="Arial" w:cs="Arial"/>
                <w:b/>
                <w:bCs/>
                <w:sz w:val="16"/>
                <w:szCs w:val="16"/>
              </w:rPr>
              <w:t>6,625</w:t>
            </w:r>
          </w:p>
        </w:tc>
        <w:tc>
          <w:tcPr>
            <w:tcW w:w="474" w:type="pct"/>
            <w:tcBorders>
              <w:top w:val="single" w:sz="4" w:space="0" w:color="293F5B"/>
              <w:left w:val="nil"/>
              <w:bottom w:val="single" w:sz="4" w:space="0" w:color="293F5B"/>
              <w:right w:val="nil"/>
            </w:tcBorders>
            <w:shd w:val="clear" w:color="000000" w:fill="FFFFFF"/>
            <w:noWrap/>
            <w:vAlign w:val="center"/>
            <w:hideMark/>
          </w:tcPr>
          <w:p w14:paraId="03D11FEA" w14:textId="1558264D" w:rsidR="004E62A5" w:rsidRPr="003D5352" w:rsidRDefault="00594653"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noBreakHyphen/>
            </w:r>
            <w:r w:rsidR="004E62A5" w:rsidRPr="003D5352">
              <w:rPr>
                <w:rFonts w:ascii="Arial" w:hAnsi="Arial" w:cs="Arial"/>
                <w:b/>
                <w:bCs/>
                <w:sz w:val="16"/>
                <w:szCs w:val="16"/>
              </w:rPr>
              <w:t>14,575</w:t>
            </w:r>
          </w:p>
        </w:tc>
        <w:tc>
          <w:tcPr>
            <w:tcW w:w="45" w:type="pct"/>
            <w:tcBorders>
              <w:top w:val="nil"/>
              <w:left w:val="nil"/>
              <w:bottom w:val="nil"/>
              <w:right w:val="nil"/>
            </w:tcBorders>
            <w:shd w:val="clear" w:color="000000" w:fill="FFFFFF"/>
            <w:noWrap/>
            <w:vAlign w:val="center"/>
            <w:hideMark/>
          </w:tcPr>
          <w:p w14:paraId="08C21653" w14:textId="77777777" w:rsidR="004E62A5" w:rsidRPr="003D5352" w:rsidRDefault="004E62A5"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t> </w:t>
            </w:r>
          </w:p>
        </w:tc>
        <w:tc>
          <w:tcPr>
            <w:tcW w:w="484" w:type="pct"/>
            <w:tcBorders>
              <w:top w:val="single" w:sz="4" w:space="0" w:color="293F5B"/>
              <w:left w:val="nil"/>
              <w:bottom w:val="nil"/>
              <w:right w:val="nil"/>
            </w:tcBorders>
            <w:shd w:val="clear" w:color="000000" w:fill="FFFFFF"/>
            <w:noWrap/>
            <w:vAlign w:val="center"/>
            <w:hideMark/>
          </w:tcPr>
          <w:p w14:paraId="18DF181D" w14:textId="77777777" w:rsidR="004E62A5" w:rsidRPr="003D5352" w:rsidRDefault="004E62A5" w:rsidP="004E62A5">
            <w:pPr>
              <w:spacing w:before="0" w:after="0" w:line="240" w:lineRule="auto"/>
              <w:jc w:val="right"/>
              <w:rPr>
                <w:rFonts w:ascii="Arial" w:hAnsi="Arial" w:cs="Arial"/>
                <w:b/>
                <w:bCs/>
                <w:sz w:val="16"/>
                <w:szCs w:val="16"/>
              </w:rPr>
            </w:pPr>
            <w:r w:rsidRPr="003D5352">
              <w:rPr>
                <w:rFonts w:ascii="Arial" w:hAnsi="Arial" w:cs="Arial"/>
                <w:b/>
                <w:bCs/>
                <w:sz w:val="16"/>
                <w:szCs w:val="16"/>
              </w:rPr>
              <w:t xml:space="preserve">28,108 </w:t>
            </w:r>
          </w:p>
        </w:tc>
      </w:tr>
      <w:tr w:rsidR="003D5352" w:rsidRPr="003D5352" w14:paraId="7932C12A" w14:textId="77777777" w:rsidTr="004E62A5">
        <w:trPr>
          <w:trHeight w:hRule="exact" w:val="60"/>
        </w:trPr>
        <w:tc>
          <w:tcPr>
            <w:tcW w:w="2114" w:type="pct"/>
            <w:tcBorders>
              <w:top w:val="nil"/>
              <w:left w:val="nil"/>
              <w:bottom w:val="nil"/>
              <w:right w:val="nil"/>
            </w:tcBorders>
            <w:shd w:val="clear" w:color="000000" w:fill="FFFFFF"/>
            <w:noWrap/>
            <w:vAlign w:val="center"/>
            <w:hideMark/>
          </w:tcPr>
          <w:p w14:paraId="200A492C" w14:textId="77777777" w:rsidR="004E62A5" w:rsidRPr="003D5352" w:rsidRDefault="004E62A5" w:rsidP="004E62A5">
            <w:pPr>
              <w:spacing w:before="0" w:after="0" w:line="240" w:lineRule="auto"/>
              <w:rPr>
                <w:rFonts w:ascii="Arial" w:hAnsi="Arial" w:cs="Arial"/>
                <w:b/>
                <w:bCs/>
                <w:sz w:val="16"/>
                <w:szCs w:val="16"/>
              </w:rPr>
            </w:pPr>
            <w:r w:rsidRPr="003D5352">
              <w:rPr>
                <w:rFonts w:ascii="Arial" w:hAnsi="Arial" w:cs="Arial"/>
                <w:b/>
                <w:bCs/>
                <w:sz w:val="16"/>
                <w:szCs w:val="16"/>
              </w:rPr>
              <w:t> </w:t>
            </w:r>
          </w:p>
        </w:tc>
        <w:tc>
          <w:tcPr>
            <w:tcW w:w="461" w:type="pct"/>
            <w:tcBorders>
              <w:top w:val="nil"/>
              <w:left w:val="nil"/>
              <w:bottom w:val="nil"/>
              <w:right w:val="nil"/>
            </w:tcBorders>
            <w:shd w:val="clear" w:color="000000" w:fill="FFFFFF"/>
            <w:noWrap/>
            <w:vAlign w:val="center"/>
            <w:hideMark/>
          </w:tcPr>
          <w:p w14:paraId="45A5E1FE"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07DBB248" w14:textId="77777777" w:rsidR="004E62A5" w:rsidRPr="003D5352" w:rsidRDefault="004E62A5"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125321F1"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1A49CD5B"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1C57D562"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5" w:type="pct"/>
            <w:tcBorders>
              <w:top w:val="nil"/>
              <w:left w:val="nil"/>
              <w:bottom w:val="nil"/>
              <w:right w:val="nil"/>
            </w:tcBorders>
            <w:shd w:val="clear" w:color="000000" w:fill="FFFFFF"/>
            <w:noWrap/>
            <w:vAlign w:val="center"/>
            <w:hideMark/>
          </w:tcPr>
          <w:p w14:paraId="70A1C25A"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84" w:type="pct"/>
            <w:tcBorders>
              <w:top w:val="single" w:sz="4" w:space="0" w:color="293F5B"/>
              <w:left w:val="nil"/>
              <w:bottom w:val="nil"/>
              <w:right w:val="nil"/>
            </w:tcBorders>
            <w:shd w:val="clear" w:color="000000" w:fill="FFFFFF"/>
            <w:noWrap/>
            <w:vAlign w:val="center"/>
            <w:hideMark/>
          </w:tcPr>
          <w:p w14:paraId="08A9E7EA" w14:textId="77777777" w:rsidR="004E62A5" w:rsidRPr="003D5352" w:rsidRDefault="004E62A5" w:rsidP="004E62A5">
            <w:pPr>
              <w:spacing w:before="0" w:after="0" w:line="240" w:lineRule="auto"/>
              <w:jc w:val="right"/>
              <w:rPr>
                <w:rFonts w:ascii="Arial" w:hAnsi="Arial" w:cs="Arial"/>
                <w:sz w:val="16"/>
                <w:szCs w:val="16"/>
              </w:rPr>
            </w:pPr>
            <w:r w:rsidRPr="003D5352">
              <w:rPr>
                <w:rFonts w:ascii="Arial" w:hAnsi="Arial" w:cs="Arial"/>
                <w:sz w:val="16"/>
                <w:szCs w:val="16"/>
              </w:rPr>
              <w:t> </w:t>
            </w:r>
          </w:p>
        </w:tc>
      </w:tr>
      <w:tr w:rsidR="003D5352" w:rsidRPr="003D5352" w14:paraId="6CF00414"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2B295B33" w14:textId="77777777" w:rsidR="004E62A5" w:rsidRPr="003D5352" w:rsidRDefault="004E62A5" w:rsidP="004E62A5">
            <w:pPr>
              <w:spacing w:before="0" w:after="0" w:line="240" w:lineRule="auto"/>
              <w:rPr>
                <w:rFonts w:ascii="Arial" w:hAnsi="Arial" w:cs="Arial"/>
                <w:b/>
                <w:bCs/>
                <w:sz w:val="16"/>
                <w:szCs w:val="16"/>
              </w:rPr>
            </w:pPr>
            <w:r w:rsidRPr="003D5352">
              <w:rPr>
                <w:rFonts w:ascii="Arial" w:hAnsi="Arial" w:cs="Arial"/>
                <w:b/>
                <w:bCs/>
                <w:sz w:val="16"/>
                <w:szCs w:val="16"/>
              </w:rPr>
              <w:t>2022–23 October Budget underlying cash</w:t>
            </w:r>
          </w:p>
        </w:tc>
        <w:tc>
          <w:tcPr>
            <w:tcW w:w="461" w:type="pct"/>
            <w:tcBorders>
              <w:top w:val="nil"/>
              <w:left w:val="nil"/>
              <w:bottom w:val="nil"/>
              <w:right w:val="nil"/>
            </w:tcBorders>
            <w:shd w:val="clear" w:color="000000" w:fill="FFFFFF"/>
            <w:noWrap/>
            <w:vAlign w:val="center"/>
            <w:hideMark/>
          </w:tcPr>
          <w:p w14:paraId="6C9C7F94"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4AD7389E" w14:textId="77777777" w:rsidR="004E62A5" w:rsidRPr="003D5352" w:rsidRDefault="004E62A5"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3DA3D5F2"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515388DE"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0CB69254"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5" w:type="pct"/>
            <w:tcBorders>
              <w:top w:val="nil"/>
              <w:left w:val="nil"/>
              <w:bottom w:val="nil"/>
              <w:right w:val="nil"/>
            </w:tcBorders>
            <w:shd w:val="clear" w:color="000000" w:fill="FFFFFF"/>
            <w:noWrap/>
            <w:vAlign w:val="center"/>
            <w:hideMark/>
          </w:tcPr>
          <w:p w14:paraId="531866A6"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6A26C8BE" w14:textId="77777777" w:rsidR="004E62A5" w:rsidRPr="003D5352" w:rsidRDefault="004E62A5" w:rsidP="004E62A5">
            <w:pPr>
              <w:spacing w:before="0" w:after="0" w:line="240" w:lineRule="auto"/>
              <w:jc w:val="right"/>
              <w:rPr>
                <w:rFonts w:ascii="Arial" w:hAnsi="Arial" w:cs="Arial"/>
                <w:sz w:val="16"/>
                <w:szCs w:val="16"/>
              </w:rPr>
            </w:pPr>
            <w:r w:rsidRPr="003D5352">
              <w:rPr>
                <w:rFonts w:ascii="Arial" w:hAnsi="Arial" w:cs="Arial"/>
                <w:sz w:val="16"/>
                <w:szCs w:val="16"/>
              </w:rPr>
              <w:t> </w:t>
            </w:r>
          </w:p>
        </w:tc>
      </w:tr>
      <w:tr w:rsidR="003D5352" w:rsidRPr="003D5352" w14:paraId="770B3C43"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4ED9520D" w14:textId="77777777" w:rsidR="004E62A5" w:rsidRPr="003D5352" w:rsidRDefault="004E62A5" w:rsidP="004E62A5">
            <w:pPr>
              <w:spacing w:before="0" w:after="0" w:line="240" w:lineRule="auto"/>
              <w:ind w:left="170"/>
              <w:rPr>
                <w:rFonts w:ascii="Arial" w:hAnsi="Arial" w:cs="Arial"/>
                <w:b/>
                <w:bCs/>
                <w:sz w:val="16"/>
                <w:szCs w:val="16"/>
              </w:rPr>
            </w:pPr>
            <w:r w:rsidRPr="003D5352">
              <w:rPr>
                <w:rFonts w:ascii="Arial" w:hAnsi="Arial" w:cs="Arial"/>
                <w:b/>
                <w:bCs/>
                <w:sz w:val="16"/>
                <w:szCs w:val="16"/>
              </w:rPr>
              <w:t>balance(c)</w:t>
            </w:r>
          </w:p>
        </w:tc>
        <w:tc>
          <w:tcPr>
            <w:tcW w:w="461" w:type="pct"/>
            <w:tcBorders>
              <w:top w:val="nil"/>
              <w:left w:val="nil"/>
              <w:bottom w:val="nil"/>
              <w:right w:val="nil"/>
            </w:tcBorders>
            <w:shd w:val="clear" w:color="000000" w:fill="FFFFFF"/>
            <w:noWrap/>
            <w:vAlign w:val="bottom"/>
            <w:hideMark/>
          </w:tcPr>
          <w:p w14:paraId="022D8E06" w14:textId="3D24021B" w:rsidR="004E62A5" w:rsidRPr="003D5352" w:rsidRDefault="00594653"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noBreakHyphen/>
            </w:r>
            <w:r w:rsidR="004E62A5" w:rsidRPr="003D5352">
              <w:rPr>
                <w:rFonts w:ascii="Arial" w:hAnsi="Arial" w:cs="Arial"/>
                <w:b/>
                <w:bCs/>
                <w:sz w:val="16"/>
                <w:szCs w:val="16"/>
              </w:rPr>
              <w:t>36,851</w:t>
            </w:r>
          </w:p>
        </w:tc>
        <w:tc>
          <w:tcPr>
            <w:tcW w:w="474" w:type="pct"/>
            <w:tcBorders>
              <w:top w:val="nil"/>
              <w:left w:val="nil"/>
              <w:bottom w:val="nil"/>
              <w:right w:val="nil"/>
            </w:tcBorders>
            <w:shd w:val="clear" w:color="000000" w:fill="E6F2FF"/>
            <w:noWrap/>
            <w:vAlign w:val="bottom"/>
            <w:hideMark/>
          </w:tcPr>
          <w:p w14:paraId="28AE32BB" w14:textId="03911CD0" w:rsidR="004E62A5" w:rsidRPr="003D5352" w:rsidRDefault="00594653"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noBreakHyphen/>
            </w:r>
            <w:r w:rsidR="004E62A5" w:rsidRPr="003D5352">
              <w:rPr>
                <w:rFonts w:ascii="Arial" w:hAnsi="Arial" w:cs="Arial"/>
                <w:b/>
                <w:bCs/>
                <w:sz w:val="16"/>
                <w:szCs w:val="16"/>
              </w:rPr>
              <w:t>44,048</w:t>
            </w:r>
          </w:p>
        </w:tc>
        <w:tc>
          <w:tcPr>
            <w:tcW w:w="474" w:type="pct"/>
            <w:tcBorders>
              <w:top w:val="nil"/>
              <w:left w:val="nil"/>
              <w:bottom w:val="nil"/>
              <w:right w:val="nil"/>
            </w:tcBorders>
            <w:shd w:val="clear" w:color="000000" w:fill="FFFFFF"/>
            <w:noWrap/>
            <w:vAlign w:val="bottom"/>
            <w:hideMark/>
          </w:tcPr>
          <w:p w14:paraId="3DDCEC67" w14:textId="50208B64" w:rsidR="004E62A5" w:rsidRPr="003D5352" w:rsidRDefault="00594653"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noBreakHyphen/>
            </w:r>
            <w:r w:rsidR="004E62A5" w:rsidRPr="003D5352">
              <w:rPr>
                <w:rFonts w:ascii="Arial" w:hAnsi="Arial" w:cs="Arial"/>
                <w:b/>
                <w:bCs/>
                <w:sz w:val="16"/>
                <w:szCs w:val="16"/>
              </w:rPr>
              <w:t>51,347</w:t>
            </w:r>
          </w:p>
        </w:tc>
        <w:tc>
          <w:tcPr>
            <w:tcW w:w="474" w:type="pct"/>
            <w:tcBorders>
              <w:top w:val="nil"/>
              <w:left w:val="nil"/>
              <w:bottom w:val="nil"/>
              <w:right w:val="nil"/>
            </w:tcBorders>
            <w:shd w:val="clear" w:color="000000" w:fill="FFFFFF"/>
            <w:noWrap/>
            <w:vAlign w:val="bottom"/>
            <w:hideMark/>
          </w:tcPr>
          <w:p w14:paraId="5F660C4C" w14:textId="3A962A80" w:rsidR="004E62A5" w:rsidRPr="003D5352" w:rsidRDefault="00594653"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noBreakHyphen/>
            </w:r>
            <w:r w:rsidR="004E62A5" w:rsidRPr="003D5352">
              <w:rPr>
                <w:rFonts w:ascii="Arial" w:hAnsi="Arial" w:cs="Arial"/>
                <w:b/>
                <w:bCs/>
                <w:sz w:val="16"/>
                <w:szCs w:val="16"/>
              </w:rPr>
              <w:t>49,561</w:t>
            </w:r>
          </w:p>
        </w:tc>
        <w:tc>
          <w:tcPr>
            <w:tcW w:w="474" w:type="pct"/>
            <w:tcBorders>
              <w:top w:val="nil"/>
              <w:left w:val="nil"/>
              <w:bottom w:val="nil"/>
              <w:right w:val="nil"/>
            </w:tcBorders>
            <w:shd w:val="clear" w:color="000000" w:fill="FFFFFF"/>
            <w:noWrap/>
            <w:vAlign w:val="center"/>
            <w:hideMark/>
          </w:tcPr>
          <w:p w14:paraId="68F2BA7D" w14:textId="6AAA73B4" w:rsidR="004E62A5" w:rsidRPr="003D5352" w:rsidRDefault="00594653"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noBreakHyphen/>
            </w:r>
            <w:r w:rsidR="004E62A5" w:rsidRPr="003D5352">
              <w:rPr>
                <w:rFonts w:ascii="Arial" w:hAnsi="Arial" w:cs="Arial"/>
                <w:b/>
                <w:bCs/>
                <w:sz w:val="16"/>
                <w:szCs w:val="16"/>
              </w:rPr>
              <w:t>53,949</w:t>
            </w:r>
          </w:p>
        </w:tc>
        <w:tc>
          <w:tcPr>
            <w:tcW w:w="45" w:type="pct"/>
            <w:tcBorders>
              <w:top w:val="nil"/>
              <w:left w:val="nil"/>
              <w:bottom w:val="nil"/>
              <w:right w:val="nil"/>
            </w:tcBorders>
            <w:shd w:val="clear" w:color="000000" w:fill="FFFFFF"/>
            <w:noWrap/>
            <w:vAlign w:val="center"/>
            <w:hideMark/>
          </w:tcPr>
          <w:p w14:paraId="42E9496B"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0AB258F4" w14:textId="4B93D64E" w:rsidR="004E62A5" w:rsidRPr="003D5352" w:rsidRDefault="00594653" w:rsidP="004E62A5">
            <w:pPr>
              <w:spacing w:before="0" w:after="0" w:line="240" w:lineRule="auto"/>
              <w:jc w:val="right"/>
              <w:rPr>
                <w:rFonts w:ascii="Arial" w:hAnsi="Arial" w:cs="Arial"/>
                <w:b/>
                <w:bCs/>
                <w:sz w:val="16"/>
                <w:szCs w:val="16"/>
              </w:rPr>
            </w:pPr>
            <w:r w:rsidRPr="003D5352">
              <w:rPr>
                <w:rFonts w:ascii="Arial" w:hAnsi="Arial" w:cs="Arial"/>
                <w:b/>
                <w:bCs/>
                <w:sz w:val="16"/>
                <w:szCs w:val="16"/>
              </w:rPr>
              <w:noBreakHyphen/>
            </w:r>
            <w:r w:rsidR="004E62A5" w:rsidRPr="003D5352">
              <w:rPr>
                <w:rFonts w:ascii="Arial" w:hAnsi="Arial" w:cs="Arial"/>
                <w:b/>
                <w:bCs/>
                <w:sz w:val="16"/>
                <w:szCs w:val="16"/>
              </w:rPr>
              <w:t xml:space="preserve">235,756 </w:t>
            </w:r>
          </w:p>
        </w:tc>
      </w:tr>
      <w:tr w:rsidR="003D5352" w:rsidRPr="003D5352" w14:paraId="226EEFCC"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0513DC51"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Per cent of GDP</w:t>
            </w:r>
          </w:p>
        </w:tc>
        <w:tc>
          <w:tcPr>
            <w:tcW w:w="461" w:type="pct"/>
            <w:tcBorders>
              <w:top w:val="nil"/>
              <w:left w:val="nil"/>
              <w:bottom w:val="nil"/>
              <w:right w:val="nil"/>
            </w:tcBorders>
            <w:shd w:val="clear" w:color="000000" w:fill="FFFFFF"/>
            <w:noWrap/>
            <w:vAlign w:val="center"/>
            <w:hideMark/>
          </w:tcPr>
          <w:p w14:paraId="65F7BA35" w14:textId="3C9F02A0" w:rsidR="004E62A5" w:rsidRPr="003D5352" w:rsidRDefault="00594653"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noBreakHyphen/>
            </w:r>
            <w:r w:rsidR="004E62A5" w:rsidRPr="003D5352">
              <w:rPr>
                <w:rFonts w:ascii="Arial" w:hAnsi="Arial" w:cs="Arial"/>
                <w:sz w:val="16"/>
                <w:szCs w:val="16"/>
              </w:rPr>
              <w:t>1.5</w:t>
            </w:r>
          </w:p>
        </w:tc>
        <w:tc>
          <w:tcPr>
            <w:tcW w:w="474" w:type="pct"/>
            <w:tcBorders>
              <w:top w:val="nil"/>
              <w:left w:val="nil"/>
              <w:bottom w:val="nil"/>
              <w:right w:val="nil"/>
            </w:tcBorders>
            <w:shd w:val="clear" w:color="000000" w:fill="E6F2FF"/>
            <w:noWrap/>
            <w:vAlign w:val="center"/>
            <w:hideMark/>
          </w:tcPr>
          <w:p w14:paraId="6BAF7897" w14:textId="690C2750" w:rsidR="004E62A5" w:rsidRPr="003D5352" w:rsidRDefault="00594653"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noBreakHyphen/>
            </w:r>
            <w:r w:rsidR="004E62A5" w:rsidRPr="003D5352">
              <w:rPr>
                <w:rFonts w:ascii="Arial" w:hAnsi="Arial" w:cs="Arial"/>
                <w:sz w:val="16"/>
                <w:szCs w:val="16"/>
              </w:rPr>
              <w:t>1.8</w:t>
            </w:r>
          </w:p>
        </w:tc>
        <w:tc>
          <w:tcPr>
            <w:tcW w:w="474" w:type="pct"/>
            <w:tcBorders>
              <w:top w:val="nil"/>
              <w:left w:val="nil"/>
              <w:bottom w:val="nil"/>
              <w:right w:val="nil"/>
            </w:tcBorders>
            <w:shd w:val="clear" w:color="000000" w:fill="FFFFFF"/>
            <w:noWrap/>
            <w:vAlign w:val="center"/>
            <w:hideMark/>
          </w:tcPr>
          <w:p w14:paraId="45B223EE" w14:textId="34C6AD9C" w:rsidR="004E62A5" w:rsidRPr="003D5352" w:rsidRDefault="00594653"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noBreakHyphen/>
            </w:r>
            <w:r w:rsidR="004E62A5" w:rsidRPr="003D5352">
              <w:rPr>
                <w:rFonts w:ascii="Arial" w:hAnsi="Arial" w:cs="Arial"/>
                <w:sz w:val="16"/>
                <w:szCs w:val="16"/>
              </w:rPr>
              <w:t>2.0</w:t>
            </w:r>
          </w:p>
        </w:tc>
        <w:tc>
          <w:tcPr>
            <w:tcW w:w="474" w:type="pct"/>
            <w:tcBorders>
              <w:top w:val="nil"/>
              <w:left w:val="nil"/>
              <w:bottom w:val="nil"/>
              <w:right w:val="nil"/>
            </w:tcBorders>
            <w:shd w:val="clear" w:color="000000" w:fill="FFFFFF"/>
            <w:noWrap/>
            <w:vAlign w:val="center"/>
            <w:hideMark/>
          </w:tcPr>
          <w:p w14:paraId="5E192AAA" w14:textId="06BC4FDD" w:rsidR="004E62A5" w:rsidRPr="003D5352" w:rsidRDefault="00594653"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noBreakHyphen/>
            </w:r>
            <w:r w:rsidR="004E62A5" w:rsidRPr="003D5352">
              <w:rPr>
                <w:rFonts w:ascii="Arial" w:hAnsi="Arial" w:cs="Arial"/>
                <w:sz w:val="16"/>
                <w:szCs w:val="16"/>
              </w:rPr>
              <w:t>1.8</w:t>
            </w:r>
          </w:p>
        </w:tc>
        <w:tc>
          <w:tcPr>
            <w:tcW w:w="474" w:type="pct"/>
            <w:tcBorders>
              <w:top w:val="nil"/>
              <w:left w:val="nil"/>
              <w:bottom w:val="nil"/>
              <w:right w:val="nil"/>
            </w:tcBorders>
            <w:shd w:val="clear" w:color="000000" w:fill="FFFFFF"/>
            <w:noWrap/>
            <w:vAlign w:val="center"/>
            <w:hideMark/>
          </w:tcPr>
          <w:p w14:paraId="0686A75C" w14:textId="0897A34D" w:rsidR="004E62A5" w:rsidRPr="003D5352" w:rsidRDefault="00594653"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noBreakHyphen/>
            </w:r>
            <w:r w:rsidR="004E62A5" w:rsidRPr="003D5352">
              <w:rPr>
                <w:rFonts w:ascii="Arial" w:hAnsi="Arial" w:cs="Arial"/>
                <w:sz w:val="16"/>
                <w:szCs w:val="16"/>
              </w:rPr>
              <w:t>1.9</w:t>
            </w:r>
          </w:p>
        </w:tc>
        <w:tc>
          <w:tcPr>
            <w:tcW w:w="45" w:type="pct"/>
            <w:tcBorders>
              <w:top w:val="nil"/>
              <w:left w:val="nil"/>
              <w:bottom w:val="nil"/>
              <w:right w:val="nil"/>
            </w:tcBorders>
            <w:shd w:val="clear" w:color="000000" w:fill="FFFFFF"/>
            <w:noWrap/>
            <w:vAlign w:val="center"/>
            <w:hideMark/>
          </w:tcPr>
          <w:p w14:paraId="76CF219A"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0348FF18"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 </w:t>
            </w:r>
          </w:p>
        </w:tc>
      </w:tr>
      <w:tr w:rsidR="003D5352" w:rsidRPr="003D5352" w14:paraId="0C108FB9" w14:textId="77777777" w:rsidTr="004E62A5">
        <w:trPr>
          <w:trHeight w:hRule="exact" w:val="60"/>
        </w:trPr>
        <w:tc>
          <w:tcPr>
            <w:tcW w:w="2114" w:type="pct"/>
            <w:tcBorders>
              <w:top w:val="nil"/>
              <w:left w:val="nil"/>
              <w:bottom w:val="nil"/>
              <w:right w:val="nil"/>
            </w:tcBorders>
            <w:shd w:val="clear" w:color="000000" w:fill="FFFFFF"/>
            <w:noWrap/>
            <w:vAlign w:val="center"/>
            <w:hideMark/>
          </w:tcPr>
          <w:p w14:paraId="14F221CE"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 </w:t>
            </w:r>
          </w:p>
        </w:tc>
        <w:tc>
          <w:tcPr>
            <w:tcW w:w="461" w:type="pct"/>
            <w:tcBorders>
              <w:top w:val="nil"/>
              <w:left w:val="nil"/>
              <w:bottom w:val="nil"/>
              <w:right w:val="nil"/>
            </w:tcBorders>
            <w:shd w:val="clear" w:color="000000" w:fill="FFFFFF"/>
            <w:noWrap/>
            <w:vAlign w:val="center"/>
            <w:hideMark/>
          </w:tcPr>
          <w:p w14:paraId="2807AB43"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4941F17F"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01DA6BE8"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336A63CC"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13834BA7"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5" w:type="pct"/>
            <w:tcBorders>
              <w:top w:val="nil"/>
              <w:left w:val="nil"/>
              <w:bottom w:val="nil"/>
              <w:right w:val="nil"/>
            </w:tcBorders>
            <w:shd w:val="clear" w:color="000000" w:fill="FFFFFF"/>
            <w:noWrap/>
            <w:vAlign w:val="center"/>
            <w:hideMark/>
          </w:tcPr>
          <w:p w14:paraId="2EF9F52D"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463F78F8"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 </w:t>
            </w:r>
          </w:p>
        </w:tc>
      </w:tr>
      <w:tr w:rsidR="003D5352" w:rsidRPr="003D5352" w14:paraId="6D8E8F23"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72666693" w14:textId="77777777" w:rsidR="004E62A5" w:rsidRPr="003D5352" w:rsidRDefault="004E62A5" w:rsidP="004E62A5">
            <w:pPr>
              <w:spacing w:before="0" w:after="0" w:line="240" w:lineRule="auto"/>
              <w:rPr>
                <w:rFonts w:ascii="Arial" w:hAnsi="Arial" w:cs="Arial"/>
                <w:b/>
                <w:bCs/>
                <w:sz w:val="16"/>
                <w:szCs w:val="16"/>
              </w:rPr>
            </w:pPr>
            <w:r w:rsidRPr="003D5352">
              <w:rPr>
                <w:rFonts w:ascii="Arial" w:hAnsi="Arial" w:cs="Arial"/>
                <w:b/>
                <w:bCs/>
                <w:sz w:val="16"/>
                <w:szCs w:val="16"/>
              </w:rPr>
              <w:t>Changes from 2022–23 October Budget</w:t>
            </w:r>
          </w:p>
        </w:tc>
        <w:tc>
          <w:tcPr>
            <w:tcW w:w="461" w:type="pct"/>
            <w:tcBorders>
              <w:top w:val="nil"/>
              <w:left w:val="nil"/>
              <w:bottom w:val="nil"/>
              <w:right w:val="nil"/>
            </w:tcBorders>
            <w:shd w:val="clear" w:color="000000" w:fill="FFFFFF"/>
            <w:noWrap/>
            <w:vAlign w:val="center"/>
            <w:hideMark/>
          </w:tcPr>
          <w:p w14:paraId="5D7A0259"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2CB8EE5E"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4D9D646A"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2A220F4D"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77B1B9D0"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5" w:type="pct"/>
            <w:tcBorders>
              <w:top w:val="nil"/>
              <w:left w:val="nil"/>
              <w:bottom w:val="nil"/>
              <w:right w:val="nil"/>
            </w:tcBorders>
            <w:shd w:val="clear" w:color="000000" w:fill="FFFFFF"/>
            <w:noWrap/>
            <w:vAlign w:val="center"/>
            <w:hideMark/>
          </w:tcPr>
          <w:p w14:paraId="78324D48"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3CCBB293"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 </w:t>
            </w:r>
          </w:p>
        </w:tc>
      </w:tr>
      <w:tr w:rsidR="003D5352" w:rsidRPr="003D5352" w14:paraId="6659C442"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11161479" w14:textId="77777777" w:rsidR="004E62A5" w:rsidRPr="003D5352" w:rsidRDefault="004E62A5" w:rsidP="004E62A5">
            <w:pPr>
              <w:spacing w:before="0" w:after="0" w:line="240" w:lineRule="auto"/>
              <w:ind w:left="170"/>
              <w:rPr>
                <w:rFonts w:ascii="Arial" w:hAnsi="Arial" w:cs="Arial"/>
                <w:b/>
                <w:bCs/>
                <w:sz w:val="16"/>
                <w:szCs w:val="16"/>
              </w:rPr>
            </w:pPr>
            <w:r w:rsidRPr="003D5352">
              <w:rPr>
                <w:rFonts w:ascii="Arial" w:hAnsi="Arial" w:cs="Arial"/>
                <w:b/>
                <w:bCs/>
                <w:sz w:val="16"/>
                <w:szCs w:val="16"/>
              </w:rPr>
              <w:t>to 2023–24 Budget</w:t>
            </w:r>
          </w:p>
        </w:tc>
        <w:tc>
          <w:tcPr>
            <w:tcW w:w="461" w:type="pct"/>
            <w:tcBorders>
              <w:top w:val="nil"/>
              <w:left w:val="nil"/>
              <w:bottom w:val="nil"/>
              <w:right w:val="nil"/>
            </w:tcBorders>
            <w:shd w:val="clear" w:color="000000" w:fill="FFFFFF"/>
            <w:noWrap/>
            <w:vAlign w:val="center"/>
            <w:hideMark/>
          </w:tcPr>
          <w:p w14:paraId="171C2905" w14:textId="77777777" w:rsidR="004E62A5" w:rsidRPr="003D5352" w:rsidRDefault="004E62A5" w:rsidP="004E62A5">
            <w:pPr>
              <w:spacing w:before="0" w:after="0" w:line="240" w:lineRule="auto"/>
              <w:rPr>
                <w:rFonts w:ascii="Arial" w:hAnsi="Arial" w:cs="Arial"/>
                <w:b/>
                <w:bCs/>
                <w:sz w:val="16"/>
                <w:szCs w:val="16"/>
                <w:highlight w:val="darkCyan"/>
              </w:rPr>
            </w:pPr>
            <w:r w:rsidRPr="003D5352">
              <w:rPr>
                <w:rFonts w:ascii="Arial" w:hAnsi="Arial" w:cs="Arial"/>
                <w:b/>
                <w:bCs/>
                <w:sz w:val="16"/>
                <w:szCs w:val="16"/>
              </w:rPr>
              <w:t> </w:t>
            </w:r>
          </w:p>
        </w:tc>
        <w:tc>
          <w:tcPr>
            <w:tcW w:w="474" w:type="pct"/>
            <w:tcBorders>
              <w:top w:val="nil"/>
              <w:left w:val="nil"/>
              <w:bottom w:val="nil"/>
              <w:right w:val="nil"/>
            </w:tcBorders>
            <w:shd w:val="clear" w:color="000000" w:fill="E6F2FF"/>
            <w:noWrap/>
            <w:vAlign w:val="center"/>
            <w:hideMark/>
          </w:tcPr>
          <w:p w14:paraId="2E5E6E19" w14:textId="77777777" w:rsidR="004E62A5" w:rsidRPr="003D5352" w:rsidRDefault="004E62A5"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77B28148" w14:textId="77777777" w:rsidR="004E62A5" w:rsidRPr="003D5352" w:rsidRDefault="004E62A5" w:rsidP="004E62A5">
            <w:pPr>
              <w:spacing w:before="0" w:after="0" w:line="240" w:lineRule="auto"/>
              <w:rPr>
                <w:rFonts w:ascii="Arial" w:hAnsi="Arial" w:cs="Arial"/>
                <w:b/>
                <w:bCs/>
                <w:sz w:val="16"/>
                <w:szCs w:val="16"/>
                <w:highlight w:val="darkCyan"/>
              </w:rPr>
            </w:pPr>
            <w:r w:rsidRPr="003D5352">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16169CF2" w14:textId="77777777" w:rsidR="004E62A5" w:rsidRPr="003D5352" w:rsidRDefault="004E62A5" w:rsidP="004E62A5">
            <w:pPr>
              <w:spacing w:before="0" w:after="0" w:line="240" w:lineRule="auto"/>
              <w:rPr>
                <w:rFonts w:ascii="Arial" w:hAnsi="Arial" w:cs="Arial"/>
                <w:b/>
                <w:bCs/>
                <w:sz w:val="16"/>
                <w:szCs w:val="16"/>
                <w:highlight w:val="darkCyan"/>
              </w:rPr>
            </w:pPr>
            <w:r w:rsidRPr="003D5352">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7C8FB811" w14:textId="77777777" w:rsidR="004E62A5" w:rsidRPr="003D5352" w:rsidRDefault="004E62A5" w:rsidP="004E62A5">
            <w:pPr>
              <w:spacing w:before="0" w:after="0" w:line="240" w:lineRule="auto"/>
              <w:rPr>
                <w:rFonts w:ascii="Arial" w:hAnsi="Arial" w:cs="Arial"/>
                <w:b/>
                <w:bCs/>
                <w:sz w:val="16"/>
                <w:szCs w:val="16"/>
                <w:highlight w:val="darkCyan"/>
              </w:rPr>
            </w:pPr>
            <w:r w:rsidRPr="003D5352">
              <w:rPr>
                <w:rFonts w:ascii="Arial" w:hAnsi="Arial" w:cs="Arial"/>
                <w:b/>
                <w:bCs/>
                <w:sz w:val="16"/>
                <w:szCs w:val="16"/>
              </w:rPr>
              <w:t> </w:t>
            </w:r>
          </w:p>
        </w:tc>
        <w:tc>
          <w:tcPr>
            <w:tcW w:w="45" w:type="pct"/>
            <w:tcBorders>
              <w:top w:val="nil"/>
              <w:left w:val="nil"/>
              <w:bottom w:val="nil"/>
              <w:right w:val="nil"/>
            </w:tcBorders>
            <w:shd w:val="clear" w:color="000000" w:fill="FFFFFF"/>
            <w:noWrap/>
            <w:vAlign w:val="center"/>
            <w:hideMark/>
          </w:tcPr>
          <w:p w14:paraId="3095614F" w14:textId="77777777" w:rsidR="004E62A5" w:rsidRPr="003D5352" w:rsidRDefault="004E62A5" w:rsidP="004E62A5">
            <w:pPr>
              <w:spacing w:before="0" w:after="0" w:line="240" w:lineRule="auto"/>
              <w:rPr>
                <w:rFonts w:ascii="Arial" w:hAnsi="Arial" w:cs="Arial"/>
                <w:b/>
                <w:bCs/>
                <w:sz w:val="16"/>
                <w:szCs w:val="16"/>
                <w:highlight w:val="darkCyan"/>
              </w:rPr>
            </w:pPr>
            <w:r w:rsidRPr="003D5352">
              <w:rPr>
                <w:rFonts w:ascii="Arial" w:hAnsi="Arial" w:cs="Arial"/>
                <w:b/>
                <w:bCs/>
                <w:sz w:val="16"/>
                <w:szCs w:val="16"/>
              </w:rPr>
              <w:t> </w:t>
            </w:r>
          </w:p>
        </w:tc>
        <w:tc>
          <w:tcPr>
            <w:tcW w:w="484" w:type="pct"/>
            <w:tcBorders>
              <w:top w:val="nil"/>
              <w:left w:val="nil"/>
              <w:bottom w:val="nil"/>
              <w:right w:val="nil"/>
            </w:tcBorders>
            <w:shd w:val="clear" w:color="000000" w:fill="FFFFFF"/>
            <w:noWrap/>
            <w:vAlign w:val="center"/>
            <w:hideMark/>
          </w:tcPr>
          <w:p w14:paraId="6DC2D45C"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 </w:t>
            </w:r>
          </w:p>
        </w:tc>
      </w:tr>
      <w:tr w:rsidR="003D5352" w:rsidRPr="003D5352" w14:paraId="56588FD7"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1CCAF51D"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Effect of policy decisions(b)(d)</w:t>
            </w:r>
          </w:p>
        </w:tc>
        <w:tc>
          <w:tcPr>
            <w:tcW w:w="461" w:type="pct"/>
            <w:tcBorders>
              <w:top w:val="nil"/>
              <w:left w:val="nil"/>
              <w:bottom w:val="nil"/>
              <w:right w:val="nil"/>
            </w:tcBorders>
            <w:shd w:val="clear" w:color="000000" w:fill="FFFFFF"/>
            <w:noWrap/>
            <w:vAlign w:val="center"/>
            <w:hideMark/>
          </w:tcPr>
          <w:p w14:paraId="312A2AE9"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39BCEA29"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1F70059B"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2793D590"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6D74CF60"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5" w:type="pct"/>
            <w:tcBorders>
              <w:top w:val="nil"/>
              <w:left w:val="nil"/>
              <w:bottom w:val="nil"/>
              <w:right w:val="nil"/>
            </w:tcBorders>
            <w:shd w:val="clear" w:color="000000" w:fill="FFFFFF"/>
            <w:noWrap/>
            <w:vAlign w:val="center"/>
            <w:hideMark/>
          </w:tcPr>
          <w:p w14:paraId="35447C74"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1F673B3F"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 </w:t>
            </w:r>
          </w:p>
        </w:tc>
      </w:tr>
      <w:tr w:rsidR="003D5352" w:rsidRPr="003D5352" w14:paraId="6941F6BD"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1E930E8A" w14:textId="77777777" w:rsidR="004E62A5" w:rsidRPr="003D5352" w:rsidRDefault="004E62A5" w:rsidP="004E62A5">
            <w:pPr>
              <w:spacing w:before="0" w:after="0" w:line="240" w:lineRule="auto"/>
              <w:ind w:left="170"/>
              <w:rPr>
                <w:rFonts w:ascii="Arial" w:hAnsi="Arial" w:cs="Arial"/>
                <w:i/>
                <w:iCs/>
                <w:sz w:val="16"/>
                <w:szCs w:val="16"/>
              </w:rPr>
            </w:pPr>
            <w:r w:rsidRPr="003D5352">
              <w:rPr>
                <w:rFonts w:ascii="Arial" w:hAnsi="Arial" w:cs="Arial"/>
                <w:i/>
                <w:iCs/>
                <w:sz w:val="16"/>
                <w:szCs w:val="16"/>
              </w:rPr>
              <w:t>Receipts</w:t>
            </w:r>
          </w:p>
        </w:tc>
        <w:tc>
          <w:tcPr>
            <w:tcW w:w="461" w:type="pct"/>
            <w:tcBorders>
              <w:top w:val="nil"/>
              <w:left w:val="nil"/>
              <w:bottom w:val="nil"/>
              <w:right w:val="nil"/>
            </w:tcBorders>
            <w:shd w:val="clear" w:color="000000" w:fill="FFFFFF"/>
            <w:noWrap/>
            <w:vAlign w:val="center"/>
            <w:hideMark/>
          </w:tcPr>
          <w:p w14:paraId="0AA17909"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125</w:t>
            </w:r>
          </w:p>
        </w:tc>
        <w:tc>
          <w:tcPr>
            <w:tcW w:w="474" w:type="pct"/>
            <w:tcBorders>
              <w:top w:val="nil"/>
              <w:left w:val="nil"/>
              <w:bottom w:val="nil"/>
              <w:right w:val="nil"/>
            </w:tcBorders>
            <w:shd w:val="clear" w:color="000000" w:fill="E6F2FF"/>
            <w:noWrap/>
            <w:vAlign w:val="center"/>
            <w:hideMark/>
          </w:tcPr>
          <w:p w14:paraId="6FAD0AE2"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1,757</w:t>
            </w:r>
          </w:p>
        </w:tc>
        <w:tc>
          <w:tcPr>
            <w:tcW w:w="474" w:type="pct"/>
            <w:tcBorders>
              <w:top w:val="nil"/>
              <w:left w:val="nil"/>
              <w:bottom w:val="nil"/>
              <w:right w:val="nil"/>
            </w:tcBorders>
            <w:shd w:val="clear" w:color="000000" w:fill="FFFFFF"/>
            <w:noWrap/>
            <w:vAlign w:val="center"/>
            <w:hideMark/>
          </w:tcPr>
          <w:p w14:paraId="5C877E48"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5,378</w:t>
            </w:r>
          </w:p>
        </w:tc>
        <w:tc>
          <w:tcPr>
            <w:tcW w:w="474" w:type="pct"/>
            <w:tcBorders>
              <w:top w:val="nil"/>
              <w:left w:val="nil"/>
              <w:bottom w:val="nil"/>
              <w:right w:val="nil"/>
            </w:tcBorders>
            <w:shd w:val="clear" w:color="000000" w:fill="FFFFFF"/>
            <w:noWrap/>
            <w:vAlign w:val="center"/>
            <w:hideMark/>
          </w:tcPr>
          <w:p w14:paraId="55046580"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6,413</w:t>
            </w:r>
          </w:p>
        </w:tc>
        <w:tc>
          <w:tcPr>
            <w:tcW w:w="474" w:type="pct"/>
            <w:tcBorders>
              <w:top w:val="nil"/>
              <w:left w:val="nil"/>
              <w:bottom w:val="nil"/>
              <w:right w:val="nil"/>
            </w:tcBorders>
            <w:shd w:val="clear" w:color="000000" w:fill="FFFFFF"/>
            <w:noWrap/>
            <w:vAlign w:val="center"/>
            <w:hideMark/>
          </w:tcPr>
          <w:p w14:paraId="24B6B512"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8,382</w:t>
            </w:r>
          </w:p>
        </w:tc>
        <w:tc>
          <w:tcPr>
            <w:tcW w:w="45" w:type="pct"/>
            <w:tcBorders>
              <w:top w:val="nil"/>
              <w:left w:val="nil"/>
              <w:bottom w:val="nil"/>
              <w:right w:val="nil"/>
            </w:tcBorders>
            <w:shd w:val="clear" w:color="000000" w:fill="FFFFFF"/>
            <w:noWrap/>
            <w:vAlign w:val="center"/>
            <w:hideMark/>
          </w:tcPr>
          <w:p w14:paraId="104D37A7"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 </w:t>
            </w:r>
          </w:p>
        </w:tc>
        <w:tc>
          <w:tcPr>
            <w:tcW w:w="484" w:type="pct"/>
            <w:tcBorders>
              <w:top w:val="nil"/>
              <w:left w:val="nil"/>
              <w:bottom w:val="nil"/>
              <w:right w:val="nil"/>
            </w:tcBorders>
            <w:shd w:val="clear" w:color="000000" w:fill="FFFFFF"/>
            <w:noWrap/>
            <w:vAlign w:val="center"/>
            <w:hideMark/>
          </w:tcPr>
          <w:p w14:paraId="7D5CB969" w14:textId="77777777" w:rsidR="004E62A5" w:rsidRPr="003D5352" w:rsidRDefault="004E62A5" w:rsidP="004E62A5">
            <w:pPr>
              <w:spacing w:before="0" w:after="0" w:line="240" w:lineRule="auto"/>
              <w:jc w:val="right"/>
              <w:rPr>
                <w:rFonts w:ascii="Arial" w:hAnsi="Arial" w:cs="Arial"/>
                <w:i/>
                <w:iCs/>
                <w:sz w:val="16"/>
                <w:szCs w:val="16"/>
              </w:rPr>
            </w:pPr>
            <w:r w:rsidRPr="003D5352">
              <w:rPr>
                <w:rFonts w:ascii="Arial" w:hAnsi="Arial" w:cs="Arial"/>
                <w:i/>
                <w:iCs/>
                <w:sz w:val="16"/>
                <w:szCs w:val="16"/>
              </w:rPr>
              <w:t>22,055</w:t>
            </w:r>
          </w:p>
        </w:tc>
      </w:tr>
      <w:tr w:rsidR="003D5352" w:rsidRPr="003D5352" w14:paraId="63C5B011"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22A3ABC5" w14:textId="77777777" w:rsidR="004E62A5" w:rsidRPr="003D5352" w:rsidRDefault="004E62A5" w:rsidP="004E62A5">
            <w:pPr>
              <w:spacing w:before="0" w:after="0" w:line="240" w:lineRule="auto"/>
              <w:ind w:left="170"/>
              <w:rPr>
                <w:rFonts w:ascii="Arial" w:hAnsi="Arial" w:cs="Arial"/>
                <w:i/>
                <w:iCs/>
                <w:sz w:val="16"/>
                <w:szCs w:val="16"/>
              </w:rPr>
            </w:pPr>
            <w:r w:rsidRPr="003D5352">
              <w:rPr>
                <w:rFonts w:ascii="Arial" w:hAnsi="Arial" w:cs="Arial"/>
                <w:i/>
                <w:iCs/>
                <w:sz w:val="16"/>
                <w:szCs w:val="16"/>
              </w:rPr>
              <w:t>Payments</w:t>
            </w:r>
          </w:p>
        </w:tc>
        <w:tc>
          <w:tcPr>
            <w:tcW w:w="461" w:type="pct"/>
            <w:tcBorders>
              <w:top w:val="nil"/>
              <w:left w:val="nil"/>
              <w:bottom w:val="single" w:sz="4" w:space="0" w:color="293F5B"/>
              <w:right w:val="nil"/>
            </w:tcBorders>
            <w:shd w:val="clear" w:color="000000" w:fill="FFFFFF"/>
            <w:noWrap/>
            <w:vAlign w:val="center"/>
            <w:hideMark/>
          </w:tcPr>
          <w:p w14:paraId="7C0168BF"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1,212</w:t>
            </w:r>
          </w:p>
        </w:tc>
        <w:tc>
          <w:tcPr>
            <w:tcW w:w="474" w:type="pct"/>
            <w:tcBorders>
              <w:top w:val="nil"/>
              <w:left w:val="nil"/>
              <w:bottom w:val="single" w:sz="4" w:space="0" w:color="293F5B"/>
              <w:right w:val="nil"/>
            </w:tcBorders>
            <w:shd w:val="clear" w:color="000000" w:fill="E6F2FF"/>
            <w:noWrap/>
            <w:vAlign w:val="center"/>
            <w:hideMark/>
          </w:tcPr>
          <w:p w14:paraId="5D1C72D4"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13,779</w:t>
            </w:r>
          </w:p>
        </w:tc>
        <w:tc>
          <w:tcPr>
            <w:tcW w:w="474" w:type="pct"/>
            <w:tcBorders>
              <w:top w:val="nil"/>
              <w:left w:val="nil"/>
              <w:bottom w:val="single" w:sz="4" w:space="0" w:color="293F5B"/>
              <w:right w:val="nil"/>
            </w:tcBorders>
            <w:shd w:val="clear" w:color="000000" w:fill="FFFFFF"/>
            <w:noWrap/>
            <w:vAlign w:val="center"/>
            <w:hideMark/>
          </w:tcPr>
          <w:p w14:paraId="276E0A35"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10,825</w:t>
            </w:r>
          </w:p>
        </w:tc>
        <w:tc>
          <w:tcPr>
            <w:tcW w:w="474" w:type="pct"/>
            <w:tcBorders>
              <w:top w:val="nil"/>
              <w:left w:val="nil"/>
              <w:bottom w:val="single" w:sz="4" w:space="0" w:color="293F5B"/>
              <w:right w:val="nil"/>
            </w:tcBorders>
            <w:shd w:val="clear" w:color="000000" w:fill="FFFFFF"/>
            <w:noWrap/>
            <w:vAlign w:val="center"/>
            <w:hideMark/>
          </w:tcPr>
          <w:p w14:paraId="438A48E7"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8,960</w:t>
            </w:r>
          </w:p>
        </w:tc>
        <w:tc>
          <w:tcPr>
            <w:tcW w:w="474" w:type="pct"/>
            <w:tcBorders>
              <w:top w:val="nil"/>
              <w:left w:val="nil"/>
              <w:bottom w:val="single" w:sz="4" w:space="0" w:color="293F5B"/>
              <w:right w:val="nil"/>
            </w:tcBorders>
            <w:shd w:val="clear" w:color="000000" w:fill="FFFFFF"/>
            <w:noWrap/>
            <w:vAlign w:val="center"/>
            <w:hideMark/>
          </w:tcPr>
          <w:p w14:paraId="2B1BA1DB"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7,867</w:t>
            </w:r>
          </w:p>
        </w:tc>
        <w:tc>
          <w:tcPr>
            <w:tcW w:w="45" w:type="pct"/>
            <w:tcBorders>
              <w:top w:val="nil"/>
              <w:left w:val="nil"/>
              <w:bottom w:val="nil"/>
              <w:right w:val="nil"/>
            </w:tcBorders>
            <w:shd w:val="clear" w:color="000000" w:fill="FFFFFF"/>
            <w:noWrap/>
            <w:vAlign w:val="center"/>
            <w:hideMark/>
          </w:tcPr>
          <w:p w14:paraId="5E1D2387"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 </w:t>
            </w:r>
          </w:p>
        </w:tc>
        <w:tc>
          <w:tcPr>
            <w:tcW w:w="484" w:type="pct"/>
            <w:tcBorders>
              <w:top w:val="nil"/>
              <w:left w:val="nil"/>
              <w:bottom w:val="single" w:sz="4" w:space="0" w:color="293F5B"/>
              <w:right w:val="nil"/>
            </w:tcBorders>
            <w:shd w:val="clear" w:color="000000" w:fill="FFFFFF"/>
            <w:noWrap/>
            <w:vAlign w:val="center"/>
            <w:hideMark/>
          </w:tcPr>
          <w:p w14:paraId="1EE8CB23" w14:textId="77777777" w:rsidR="004E62A5" w:rsidRPr="003D5352" w:rsidRDefault="004E62A5" w:rsidP="004E62A5">
            <w:pPr>
              <w:spacing w:before="0" w:after="0" w:line="240" w:lineRule="auto"/>
              <w:jc w:val="right"/>
              <w:rPr>
                <w:rFonts w:ascii="Arial" w:hAnsi="Arial" w:cs="Arial"/>
                <w:i/>
                <w:iCs/>
                <w:sz w:val="16"/>
                <w:szCs w:val="16"/>
              </w:rPr>
            </w:pPr>
            <w:r w:rsidRPr="003D5352">
              <w:rPr>
                <w:rFonts w:ascii="Arial" w:hAnsi="Arial" w:cs="Arial"/>
                <w:i/>
                <w:iCs/>
                <w:sz w:val="16"/>
                <w:szCs w:val="16"/>
              </w:rPr>
              <w:t>42,643</w:t>
            </w:r>
          </w:p>
        </w:tc>
      </w:tr>
      <w:tr w:rsidR="003D5352" w:rsidRPr="003D5352" w14:paraId="17D7D658"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3200586A"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Total policy decisions impact on</w:t>
            </w:r>
          </w:p>
        </w:tc>
        <w:tc>
          <w:tcPr>
            <w:tcW w:w="461" w:type="pct"/>
            <w:tcBorders>
              <w:top w:val="nil"/>
              <w:left w:val="nil"/>
              <w:bottom w:val="nil"/>
              <w:right w:val="nil"/>
            </w:tcBorders>
            <w:shd w:val="clear" w:color="000000" w:fill="FFFFFF"/>
            <w:noWrap/>
            <w:vAlign w:val="center"/>
            <w:hideMark/>
          </w:tcPr>
          <w:p w14:paraId="524CA4FC"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 </w:t>
            </w:r>
          </w:p>
        </w:tc>
        <w:tc>
          <w:tcPr>
            <w:tcW w:w="474" w:type="pct"/>
            <w:tcBorders>
              <w:top w:val="nil"/>
              <w:left w:val="nil"/>
              <w:bottom w:val="nil"/>
              <w:right w:val="nil"/>
            </w:tcBorders>
            <w:shd w:val="clear" w:color="000000" w:fill="E6F2FF"/>
            <w:noWrap/>
            <w:vAlign w:val="center"/>
            <w:hideMark/>
          </w:tcPr>
          <w:p w14:paraId="61624684"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1238102B"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0BD10FC6"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6E56E3B6"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 </w:t>
            </w:r>
          </w:p>
        </w:tc>
        <w:tc>
          <w:tcPr>
            <w:tcW w:w="45" w:type="pct"/>
            <w:tcBorders>
              <w:top w:val="nil"/>
              <w:left w:val="nil"/>
              <w:bottom w:val="nil"/>
              <w:right w:val="nil"/>
            </w:tcBorders>
            <w:shd w:val="clear" w:color="000000" w:fill="FFFFFF"/>
            <w:noWrap/>
            <w:vAlign w:val="center"/>
            <w:hideMark/>
          </w:tcPr>
          <w:p w14:paraId="166AB395"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 </w:t>
            </w:r>
          </w:p>
        </w:tc>
        <w:tc>
          <w:tcPr>
            <w:tcW w:w="484" w:type="pct"/>
            <w:tcBorders>
              <w:top w:val="nil"/>
              <w:left w:val="nil"/>
              <w:bottom w:val="nil"/>
              <w:right w:val="nil"/>
            </w:tcBorders>
            <w:shd w:val="clear" w:color="000000" w:fill="FFFFFF"/>
            <w:noWrap/>
            <w:vAlign w:val="center"/>
            <w:hideMark/>
          </w:tcPr>
          <w:p w14:paraId="1678155A" w14:textId="77777777" w:rsidR="004E62A5" w:rsidRPr="003D5352" w:rsidRDefault="004E62A5" w:rsidP="004E62A5">
            <w:pPr>
              <w:spacing w:before="0" w:after="0" w:line="240" w:lineRule="auto"/>
              <w:jc w:val="right"/>
              <w:rPr>
                <w:rFonts w:ascii="Arial" w:hAnsi="Arial" w:cs="Arial"/>
                <w:i/>
                <w:iCs/>
                <w:sz w:val="16"/>
                <w:szCs w:val="16"/>
              </w:rPr>
            </w:pPr>
            <w:r w:rsidRPr="003D5352">
              <w:rPr>
                <w:rFonts w:ascii="Arial" w:hAnsi="Arial" w:cs="Arial"/>
                <w:i/>
                <w:iCs/>
                <w:sz w:val="16"/>
                <w:szCs w:val="16"/>
              </w:rPr>
              <w:t> </w:t>
            </w:r>
          </w:p>
        </w:tc>
      </w:tr>
      <w:tr w:rsidR="003D5352" w:rsidRPr="003D5352" w14:paraId="4AD3B3F7"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4E46ADBB" w14:textId="77777777" w:rsidR="004E62A5" w:rsidRPr="003D5352" w:rsidRDefault="004E62A5" w:rsidP="004E62A5">
            <w:pPr>
              <w:spacing w:before="0" w:after="0" w:line="240" w:lineRule="auto"/>
              <w:ind w:left="170"/>
              <w:rPr>
                <w:rFonts w:ascii="Arial" w:hAnsi="Arial" w:cs="Arial"/>
                <w:sz w:val="16"/>
                <w:szCs w:val="16"/>
              </w:rPr>
            </w:pPr>
            <w:r w:rsidRPr="003D5352">
              <w:rPr>
                <w:rFonts w:ascii="Arial" w:hAnsi="Arial" w:cs="Arial"/>
                <w:sz w:val="16"/>
                <w:szCs w:val="16"/>
              </w:rPr>
              <w:t>underlying cash balance</w:t>
            </w:r>
          </w:p>
        </w:tc>
        <w:tc>
          <w:tcPr>
            <w:tcW w:w="461" w:type="pct"/>
            <w:tcBorders>
              <w:top w:val="nil"/>
              <w:left w:val="nil"/>
              <w:bottom w:val="single" w:sz="4" w:space="0" w:color="293F5B"/>
              <w:right w:val="nil"/>
            </w:tcBorders>
            <w:shd w:val="clear" w:color="000000" w:fill="FFFFFF"/>
            <w:vAlign w:val="center"/>
            <w:hideMark/>
          </w:tcPr>
          <w:p w14:paraId="0883CEE1" w14:textId="5B299F68" w:rsidR="004E62A5" w:rsidRPr="003D5352" w:rsidRDefault="00594653"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noBreakHyphen/>
            </w:r>
            <w:r w:rsidR="004E62A5" w:rsidRPr="003D5352">
              <w:rPr>
                <w:rFonts w:ascii="Arial" w:hAnsi="Arial" w:cs="Arial"/>
                <w:sz w:val="16"/>
                <w:szCs w:val="16"/>
              </w:rPr>
              <w:t>1,087</w:t>
            </w:r>
          </w:p>
        </w:tc>
        <w:tc>
          <w:tcPr>
            <w:tcW w:w="474" w:type="pct"/>
            <w:tcBorders>
              <w:top w:val="nil"/>
              <w:left w:val="nil"/>
              <w:bottom w:val="single" w:sz="4" w:space="0" w:color="293F5B"/>
              <w:right w:val="nil"/>
            </w:tcBorders>
            <w:shd w:val="clear" w:color="000000" w:fill="E6F2FF"/>
            <w:vAlign w:val="center"/>
            <w:hideMark/>
          </w:tcPr>
          <w:p w14:paraId="43A44F73" w14:textId="1E625426" w:rsidR="004E62A5" w:rsidRPr="003D5352" w:rsidRDefault="00594653"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noBreakHyphen/>
            </w:r>
            <w:r w:rsidR="004E62A5" w:rsidRPr="003D5352">
              <w:rPr>
                <w:rFonts w:ascii="Arial" w:hAnsi="Arial" w:cs="Arial"/>
                <w:sz w:val="16"/>
                <w:szCs w:val="16"/>
              </w:rPr>
              <w:t>12,022</w:t>
            </w:r>
          </w:p>
        </w:tc>
        <w:tc>
          <w:tcPr>
            <w:tcW w:w="474" w:type="pct"/>
            <w:tcBorders>
              <w:top w:val="nil"/>
              <w:left w:val="nil"/>
              <w:bottom w:val="single" w:sz="4" w:space="0" w:color="293F5B"/>
              <w:right w:val="nil"/>
            </w:tcBorders>
            <w:shd w:val="clear" w:color="000000" w:fill="FFFFFF"/>
            <w:vAlign w:val="center"/>
            <w:hideMark/>
          </w:tcPr>
          <w:p w14:paraId="1188D415" w14:textId="4CD68B7D" w:rsidR="004E62A5" w:rsidRPr="003D5352" w:rsidRDefault="00594653"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noBreakHyphen/>
            </w:r>
            <w:r w:rsidR="004E62A5" w:rsidRPr="003D5352">
              <w:rPr>
                <w:rFonts w:ascii="Arial" w:hAnsi="Arial" w:cs="Arial"/>
                <w:sz w:val="16"/>
                <w:szCs w:val="16"/>
              </w:rPr>
              <w:t>5,447</w:t>
            </w:r>
          </w:p>
        </w:tc>
        <w:tc>
          <w:tcPr>
            <w:tcW w:w="474" w:type="pct"/>
            <w:tcBorders>
              <w:top w:val="nil"/>
              <w:left w:val="nil"/>
              <w:bottom w:val="single" w:sz="4" w:space="0" w:color="293F5B"/>
              <w:right w:val="nil"/>
            </w:tcBorders>
            <w:shd w:val="clear" w:color="000000" w:fill="FFFFFF"/>
            <w:vAlign w:val="center"/>
            <w:hideMark/>
          </w:tcPr>
          <w:p w14:paraId="493CF348" w14:textId="1543BB77" w:rsidR="004E62A5" w:rsidRPr="003D5352" w:rsidRDefault="00594653"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noBreakHyphen/>
            </w:r>
            <w:r w:rsidR="004E62A5" w:rsidRPr="003D5352">
              <w:rPr>
                <w:rFonts w:ascii="Arial" w:hAnsi="Arial" w:cs="Arial"/>
                <w:sz w:val="16"/>
                <w:szCs w:val="16"/>
              </w:rPr>
              <w:t>2,547</w:t>
            </w:r>
          </w:p>
        </w:tc>
        <w:tc>
          <w:tcPr>
            <w:tcW w:w="474" w:type="pct"/>
            <w:tcBorders>
              <w:top w:val="nil"/>
              <w:left w:val="nil"/>
              <w:bottom w:val="single" w:sz="4" w:space="0" w:color="293F5B"/>
              <w:right w:val="nil"/>
            </w:tcBorders>
            <w:shd w:val="clear" w:color="000000" w:fill="FFFFFF"/>
            <w:vAlign w:val="center"/>
            <w:hideMark/>
          </w:tcPr>
          <w:p w14:paraId="424E0033"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515</w:t>
            </w:r>
          </w:p>
        </w:tc>
        <w:tc>
          <w:tcPr>
            <w:tcW w:w="45" w:type="pct"/>
            <w:tcBorders>
              <w:top w:val="nil"/>
              <w:left w:val="nil"/>
              <w:bottom w:val="nil"/>
              <w:right w:val="nil"/>
            </w:tcBorders>
            <w:shd w:val="clear" w:color="000000" w:fill="FFFFFF"/>
            <w:vAlign w:val="center"/>
            <w:hideMark/>
          </w:tcPr>
          <w:p w14:paraId="456A85B6" w14:textId="77777777" w:rsidR="004E62A5" w:rsidRPr="003D5352" w:rsidRDefault="004E62A5" w:rsidP="004E62A5">
            <w:pPr>
              <w:spacing w:before="0" w:after="0" w:line="240" w:lineRule="auto"/>
              <w:rPr>
                <w:rFonts w:ascii="Arial" w:hAnsi="Arial" w:cs="Arial"/>
                <w:sz w:val="16"/>
                <w:szCs w:val="16"/>
                <w:highlight w:val="darkCyan"/>
              </w:rPr>
            </w:pPr>
            <w:r w:rsidRPr="003D5352">
              <w:rPr>
                <w:rFonts w:ascii="Arial" w:hAnsi="Arial" w:cs="Arial"/>
                <w:sz w:val="16"/>
                <w:szCs w:val="16"/>
              </w:rPr>
              <w:t> </w:t>
            </w:r>
          </w:p>
        </w:tc>
        <w:tc>
          <w:tcPr>
            <w:tcW w:w="484" w:type="pct"/>
            <w:tcBorders>
              <w:top w:val="nil"/>
              <w:left w:val="nil"/>
              <w:bottom w:val="single" w:sz="4" w:space="0" w:color="293F5B"/>
              <w:right w:val="nil"/>
            </w:tcBorders>
            <w:shd w:val="clear" w:color="000000" w:fill="FFFFFF"/>
            <w:vAlign w:val="center"/>
            <w:hideMark/>
          </w:tcPr>
          <w:p w14:paraId="22986126" w14:textId="3877EC39" w:rsidR="004E62A5" w:rsidRPr="003D5352" w:rsidRDefault="00594653" w:rsidP="004E62A5">
            <w:pPr>
              <w:spacing w:before="0" w:after="0" w:line="240" w:lineRule="auto"/>
              <w:jc w:val="right"/>
              <w:rPr>
                <w:rFonts w:ascii="Arial" w:hAnsi="Arial" w:cs="Arial"/>
                <w:sz w:val="16"/>
                <w:szCs w:val="16"/>
              </w:rPr>
            </w:pPr>
            <w:r w:rsidRPr="003D5352">
              <w:rPr>
                <w:rFonts w:ascii="Arial" w:hAnsi="Arial" w:cs="Arial"/>
                <w:sz w:val="16"/>
                <w:szCs w:val="16"/>
              </w:rPr>
              <w:noBreakHyphen/>
            </w:r>
            <w:r w:rsidR="004E62A5" w:rsidRPr="003D5352">
              <w:rPr>
                <w:rFonts w:ascii="Arial" w:hAnsi="Arial" w:cs="Arial"/>
                <w:sz w:val="16"/>
                <w:szCs w:val="16"/>
              </w:rPr>
              <w:t>20,588</w:t>
            </w:r>
          </w:p>
        </w:tc>
      </w:tr>
      <w:tr w:rsidR="003D5352" w:rsidRPr="003D5352" w14:paraId="2587D208" w14:textId="77777777" w:rsidTr="004E62A5">
        <w:trPr>
          <w:trHeight w:hRule="exact" w:val="60"/>
        </w:trPr>
        <w:tc>
          <w:tcPr>
            <w:tcW w:w="2114" w:type="pct"/>
            <w:tcBorders>
              <w:top w:val="nil"/>
              <w:left w:val="nil"/>
              <w:bottom w:val="nil"/>
              <w:right w:val="nil"/>
            </w:tcBorders>
            <w:shd w:val="clear" w:color="000000" w:fill="FFFFFF"/>
            <w:noWrap/>
            <w:vAlign w:val="center"/>
            <w:hideMark/>
          </w:tcPr>
          <w:p w14:paraId="36ABD74F" w14:textId="77777777" w:rsidR="004E62A5" w:rsidRPr="003D5352" w:rsidRDefault="004E62A5" w:rsidP="004E62A5">
            <w:pPr>
              <w:spacing w:before="0" w:after="0" w:line="240" w:lineRule="auto"/>
              <w:ind w:left="170"/>
              <w:rPr>
                <w:rFonts w:ascii="Arial" w:hAnsi="Arial" w:cs="Arial"/>
                <w:i/>
                <w:iCs/>
                <w:sz w:val="16"/>
                <w:szCs w:val="16"/>
              </w:rPr>
            </w:pPr>
            <w:r w:rsidRPr="003D5352">
              <w:rPr>
                <w:rFonts w:ascii="Arial" w:hAnsi="Arial" w:cs="Arial"/>
                <w:i/>
                <w:iCs/>
                <w:sz w:val="16"/>
                <w:szCs w:val="16"/>
              </w:rPr>
              <w:t> </w:t>
            </w:r>
          </w:p>
        </w:tc>
        <w:tc>
          <w:tcPr>
            <w:tcW w:w="461" w:type="pct"/>
            <w:tcBorders>
              <w:top w:val="nil"/>
              <w:left w:val="nil"/>
              <w:bottom w:val="nil"/>
              <w:right w:val="nil"/>
            </w:tcBorders>
            <w:shd w:val="clear" w:color="000000" w:fill="FFFFFF"/>
            <w:noWrap/>
            <w:vAlign w:val="center"/>
            <w:hideMark/>
          </w:tcPr>
          <w:p w14:paraId="796FBD99"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 </w:t>
            </w:r>
          </w:p>
        </w:tc>
        <w:tc>
          <w:tcPr>
            <w:tcW w:w="474" w:type="pct"/>
            <w:tcBorders>
              <w:top w:val="nil"/>
              <w:left w:val="nil"/>
              <w:bottom w:val="nil"/>
              <w:right w:val="nil"/>
            </w:tcBorders>
            <w:shd w:val="clear" w:color="000000" w:fill="E6F2FF"/>
            <w:noWrap/>
            <w:vAlign w:val="center"/>
            <w:hideMark/>
          </w:tcPr>
          <w:p w14:paraId="4EC996DC"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26AD4E90"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61ABBF94"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14E185BB"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 </w:t>
            </w:r>
          </w:p>
        </w:tc>
        <w:tc>
          <w:tcPr>
            <w:tcW w:w="45" w:type="pct"/>
            <w:tcBorders>
              <w:top w:val="nil"/>
              <w:left w:val="nil"/>
              <w:bottom w:val="nil"/>
              <w:right w:val="nil"/>
            </w:tcBorders>
            <w:shd w:val="clear" w:color="000000" w:fill="FFFFFF"/>
            <w:noWrap/>
            <w:vAlign w:val="center"/>
            <w:hideMark/>
          </w:tcPr>
          <w:p w14:paraId="2AD41F2B"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 </w:t>
            </w:r>
          </w:p>
        </w:tc>
        <w:tc>
          <w:tcPr>
            <w:tcW w:w="484" w:type="pct"/>
            <w:tcBorders>
              <w:top w:val="nil"/>
              <w:left w:val="nil"/>
              <w:bottom w:val="nil"/>
              <w:right w:val="nil"/>
            </w:tcBorders>
            <w:shd w:val="clear" w:color="000000" w:fill="FFFFFF"/>
            <w:noWrap/>
            <w:vAlign w:val="center"/>
            <w:hideMark/>
          </w:tcPr>
          <w:p w14:paraId="26BC6BFF"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 </w:t>
            </w:r>
          </w:p>
        </w:tc>
      </w:tr>
      <w:tr w:rsidR="003D5352" w:rsidRPr="003D5352" w14:paraId="03660F65" w14:textId="77777777" w:rsidTr="004E62A5">
        <w:trPr>
          <w:trHeight w:hRule="exact" w:val="225"/>
        </w:trPr>
        <w:tc>
          <w:tcPr>
            <w:tcW w:w="2114" w:type="pct"/>
            <w:tcBorders>
              <w:top w:val="nil"/>
              <w:left w:val="nil"/>
              <w:bottom w:val="nil"/>
              <w:right w:val="nil"/>
            </w:tcBorders>
            <w:shd w:val="clear" w:color="000000" w:fill="FFFFFF"/>
            <w:noWrap/>
            <w:vAlign w:val="bottom"/>
            <w:hideMark/>
          </w:tcPr>
          <w:p w14:paraId="66913FD1"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Effect of parameter and other variations(d)</w:t>
            </w:r>
          </w:p>
        </w:tc>
        <w:tc>
          <w:tcPr>
            <w:tcW w:w="461" w:type="pct"/>
            <w:tcBorders>
              <w:top w:val="nil"/>
              <w:left w:val="nil"/>
              <w:bottom w:val="nil"/>
              <w:right w:val="nil"/>
            </w:tcBorders>
            <w:shd w:val="clear" w:color="000000" w:fill="FFFFFF"/>
            <w:noWrap/>
            <w:vAlign w:val="center"/>
            <w:hideMark/>
          </w:tcPr>
          <w:p w14:paraId="6D4A16A1"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4E53194C"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64FE475B"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0A046A98"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6679F859"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5" w:type="pct"/>
            <w:tcBorders>
              <w:top w:val="nil"/>
              <w:left w:val="nil"/>
              <w:bottom w:val="nil"/>
              <w:right w:val="nil"/>
            </w:tcBorders>
            <w:shd w:val="clear" w:color="000000" w:fill="FFFFFF"/>
            <w:noWrap/>
            <w:vAlign w:val="center"/>
            <w:hideMark/>
          </w:tcPr>
          <w:p w14:paraId="703951D6"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620560F9"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 </w:t>
            </w:r>
          </w:p>
        </w:tc>
      </w:tr>
      <w:tr w:rsidR="003D5352" w:rsidRPr="003D5352" w14:paraId="04C98C46"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7D694E7C" w14:textId="77777777" w:rsidR="004E62A5" w:rsidRPr="003D5352" w:rsidRDefault="004E62A5" w:rsidP="004E62A5">
            <w:pPr>
              <w:spacing w:before="0" w:after="0" w:line="240" w:lineRule="auto"/>
              <w:ind w:left="170"/>
              <w:rPr>
                <w:rFonts w:ascii="Arial" w:hAnsi="Arial" w:cs="Arial"/>
                <w:i/>
                <w:iCs/>
                <w:sz w:val="16"/>
                <w:szCs w:val="16"/>
              </w:rPr>
            </w:pPr>
            <w:r w:rsidRPr="003D5352">
              <w:rPr>
                <w:rFonts w:ascii="Arial" w:hAnsi="Arial" w:cs="Arial"/>
                <w:i/>
                <w:iCs/>
                <w:sz w:val="16"/>
                <w:szCs w:val="16"/>
              </w:rPr>
              <w:t>Receipts</w:t>
            </w:r>
          </w:p>
        </w:tc>
        <w:tc>
          <w:tcPr>
            <w:tcW w:w="461" w:type="pct"/>
            <w:tcBorders>
              <w:top w:val="nil"/>
              <w:left w:val="nil"/>
              <w:bottom w:val="nil"/>
              <w:right w:val="nil"/>
            </w:tcBorders>
            <w:shd w:val="clear" w:color="000000" w:fill="FFFFFF"/>
            <w:noWrap/>
            <w:vAlign w:val="center"/>
            <w:hideMark/>
          </w:tcPr>
          <w:p w14:paraId="4BF4DF1C"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28,239</w:t>
            </w:r>
          </w:p>
        </w:tc>
        <w:tc>
          <w:tcPr>
            <w:tcW w:w="474" w:type="pct"/>
            <w:tcBorders>
              <w:top w:val="nil"/>
              <w:left w:val="nil"/>
              <w:bottom w:val="nil"/>
              <w:right w:val="nil"/>
            </w:tcBorders>
            <w:shd w:val="clear" w:color="000000" w:fill="E6F2FF"/>
            <w:noWrap/>
            <w:vAlign w:val="center"/>
            <w:hideMark/>
          </w:tcPr>
          <w:p w14:paraId="0C201CF3"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44,944</w:t>
            </w:r>
          </w:p>
        </w:tc>
        <w:tc>
          <w:tcPr>
            <w:tcW w:w="474" w:type="pct"/>
            <w:tcBorders>
              <w:top w:val="nil"/>
              <w:left w:val="nil"/>
              <w:bottom w:val="nil"/>
              <w:right w:val="nil"/>
            </w:tcBorders>
            <w:shd w:val="clear" w:color="000000" w:fill="FFFFFF"/>
            <w:noWrap/>
            <w:vAlign w:val="center"/>
            <w:hideMark/>
          </w:tcPr>
          <w:p w14:paraId="47035FB5"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23,020</w:t>
            </w:r>
          </w:p>
        </w:tc>
        <w:tc>
          <w:tcPr>
            <w:tcW w:w="474" w:type="pct"/>
            <w:tcBorders>
              <w:top w:val="nil"/>
              <w:left w:val="nil"/>
              <w:bottom w:val="nil"/>
              <w:right w:val="nil"/>
            </w:tcBorders>
            <w:shd w:val="clear" w:color="000000" w:fill="FFFFFF"/>
            <w:noWrap/>
            <w:vAlign w:val="center"/>
            <w:hideMark/>
          </w:tcPr>
          <w:p w14:paraId="677B7CE4"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15,486</w:t>
            </w:r>
          </w:p>
        </w:tc>
        <w:tc>
          <w:tcPr>
            <w:tcW w:w="474" w:type="pct"/>
            <w:tcBorders>
              <w:top w:val="nil"/>
              <w:left w:val="nil"/>
              <w:bottom w:val="nil"/>
              <w:right w:val="nil"/>
            </w:tcBorders>
            <w:shd w:val="clear" w:color="000000" w:fill="FFFFFF"/>
            <w:noWrap/>
            <w:vAlign w:val="center"/>
            <w:hideMark/>
          </w:tcPr>
          <w:p w14:paraId="07732461"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18,862</w:t>
            </w:r>
          </w:p>
        </w:tc>
        <w:tc>
          <w:tcPr>
            <w:tcW w:w="45" w:type="pct"/>
            <w:tcBorders>
              <w:top w:val="nil"/>
              <w:left w:val="nil"/>
              <w:bottom w:val="nil"/>
              <w:right w:val="nil"/>
            </w:tcBorders>
            <w:shd w:val="clear" w:color="000000" w:fill="FFFFFF"/>
            <w:noWrap/>
            <w:vAlign w:val="center"/>
            <w:hideMark/>
          </w:tcPr>
          <w:p w14:paraId="67473FC7"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 </w:t>
            </w:r>
          </w:p>
        </w:tc>
        <w:tc>
          <w:tcPr>
            <w:tcW w:w="484" w:type="pct"/>
            <w:tcBorders>
              <w:top w:val="nil"/>
              <w:left w:val="nil"/>
              <w:bottom w:val="nil"/>
              <w:right w:val="nil"/>
            </w:tcBorders>
            <w:shd w:val="clear" w:color="000000" w:fill="FFFFFF"/>
            <w:noWrap/>
            <w:vAlign w:val="center"/>
            <w:hideMark/>
          </w:tcPr>
          <w:p w14:paraId="3366AB62" w14:textId="77777777" w:rsidR="004E62A5" w:rsidRPr="003D5352" w:rsidRDefault="004E62A5" w:rsidP="004E62A5">
            <w:pPr>
              <w:spacing w:before="0" w:after="0" w:line="240" w:lineRule="auto"/>
              <w:jc w:val="right"/>
              <w:rPr>
                <w:rFonts w:ascii="Arial" w:hAnsi="Arial" w:cs="Arial"/>
                <w:i/>
                <w:iCs/>
                <w:sz w:val="16"/>
                <w:szCs w:val="16"/>
              </w:rPr>
            </w:pPr>
            <w:r w:rsidRPr="003D5352">
              <w:rPr>
                <w:rFonts w:ascii="Arial" w:hAnsi="Arial" w:cs="Arial"/>
                <w:i/>
                <w:iCs/>
                <w:sz w:val="16"/>
                <w:szCs w:val="16"/>
              </w:rPr>
              <w:t>130,551</w:t>
            </w:r>
          </w:p>
        </w:tc>
      </w:tr>
      <w:tr w:rsidR="003D5352" w:rsidRPr="003D5352" w14:paraId="505F5919"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4316F959" w14:textId="77777777" w:rsidR="004E62A5" w:rsidRPr="003D5352" w:rsidRDefault="004E62A5" w:rsidP="004E62A5">
            <w:pPr>
              <w:spacing w:before="0" w:after="0" w:line="240" w:lineRule="auto"/>
              <w:ind w:left="170"/>
              <w:rPr>
                <w:rFonts w:ascii="Arial" w:hAnsi="Arial" w:cs="Arial"/>
                <w:i/>
                <w:iCs/>
                <w:sz w:val="16"/>
                <w:szCs w:val="16"/>
              </w:rPr>
            </w:pPr>
            <w:r w:rsidRPr="003D5352">
              <w:rPr>
                <w:rFonts w:ascii="Arial" w:hAnsi="Arial" w:cs="Arial"/>
                <w:i/>
                <w:iCs/>
                <w:sz w:val="16"/>
                <w:szCs w:val="16"/>
              </w:rPr>
              <w:t>Payments</w:t>
            </w:r>
          </w:p>
        </w:tc>
        <w:tc>
          <w:tcPr>
            <w:tcW w:w="461" w:type="pct"/>
            <w:tcBorders>
              <w:top w:val="nil"/>
              <w:left w:val="nil"/>
              <w:bottom w:val="single" w:sz="4" w:space="0" w:color="293F5B"/>
              <w:right w:val="nil"/>
            </w:tcBorders>
            <w:shd w:val="clear" w:color="000000" w:fill="FFFFFF"/>
            <w:noWrap/>
            <w:vAlign w:val="center"/>
            <w:hideMark/>
          </w:tcPr>
          <w:p w14:paraId="6368B3B5" w14:textId="1384FCA1" w:rsidR="004E62A5" w:rsidRPr="003D5352" w:rsidRDefault="00594653"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noBreakHyphen/>
            </w:r>
            <w:r w:rsidR="004E62A5" w:rsidRPr="003D5352">
              <w:rPr>
                <w:rFonts w:ascii="Arial" w:hAnsi="Arial" w:cs="Arial"/>
                <w:i/>
                <w:iCs/>
                <w:sz w:val="16"/>
                <w:szCs w:val="16"/>
              </w:rPr>
              <w:t>13,901</w:t>
            </w:r>
          </w:p>
        </w:tc>
        <w:tc>
          <w:tcPr>
            <w:tcW w:w="474" w:type="pct"/>
            <w:tcBorders>
              <w:top w:val="nil"/>
              <w:left w:val="nil"/>
              <w:bottom w:val="single" w:sz="4" w:space="0" w:color="293F5B"/>
              <w:right w:val="nil"/>
            </w:tcBorders>
            <w:shd w:val="clear" w:color="000000" w:fill="E6F2FF"/>
            <w:noWrap/>
            <w:vAlign w:val="center"/>
            <w:hideMark/>
          </w:tcPr>
          <w:p w14:paraId="42C30191"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2,792</w:t>
            </w:r>
          </w:p>
        </w:tc>
        <w:tc>
          <w:tcPr>
            <w:tcW w:w="474" w:type="pct"/>
            <w:tcBorders>
              <w:top w:val="nil"/>
              <w:left w:val="nil"/>
              <w:bottom w:val="single" w:sz="4" w:space="0" w:color="293F5B"/>
              <w:right w:val="nil"/>
            </w:tcBorders>
            <w:shd w:val="clear" w:color="000000" w:fill="FFFFFF"/>
            <w:noWrap/>
            <w:vAlign w:val="center"/>
            <w:hideMark/>
          </w:tcPr>
          <w:p w14:paraId="4E1FF735"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1,284</w:t>
            </w:r>
          </w:p>
        </w:tc>
        <w:tc>
          <w:tcPr>
            <w:tcW w:w="474" w:type="pct"/>
            <w:tcBorders>
              <w:top w:val="nil"/>
              <w:left w:val="nil"/>
              <w:bottom w:val="single" w:sz="4" w:space="0" w:color="293F5B"/>
              <w:right w:val="nil"/>
            </w:tcBorders>
            <w:shd w:val="clear" w:color="000000" w:fill="FFFFFF"/>
            <w:noWrap/>
            <w:vAlign w:val="center"/>
            <w:hideMark/>
          </w:tcPr>
          <w:p w14:paraId="3B5B9CCC"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5</w:t>
            </w:r>
          </w:p>
        </w:tc>
        <w:tc>
          <w:tcPr>
            <w:tcW w:w="474" w:type="pct"/>
            <w:tcBorders>
              <w:top w:val="nil"/>
              <w:left w:val="nil"/>
              <w:bottom w:val="single" w:sz="4" w:space="0" w:color="293F5B"/>
              <w:right w:val="nil"/>
            </w:tcBorders>
            <w:shd w:val="clear" w:color="000000" w:fill="FFFFFF"/>
            <w:noWrap/>
            <w:vAlign w:val="center"/>
            <w:hideMark/>
          </w:tcPr>
          <w:p w14:paraId="449B1134" w14:textId="7312A725" w:rsidR="004E62A5" w:rsidRPr="003D5352" w:rsidRDefault="00594653"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noBreakHyphen/>
            </w:r>
            <w:r w:rsidR="004E62A5" w:rsidRPr="003D5352">
              <w:rPr>
                <w:rFonts w:ascii="Arial" w:hAnsi="Arial" w:cs="Arial"/>
                <w:i/>
                <w:iCs/>
                <w:sz w:val="16"/>
                <w:szCs w:val="16"/>
              </w:rPr>
              <w:t>6,122</w:t>
            </w:r>
          </w:p>
        </w:tc>
        <w:tc>
          <w:tcPr>
            <w:tcW w:w="45" w:type="pct"/>
            <w:tcBorders>
              <w:top w:val="nil"/>
              <w:left w:val="nil"/>
              <w:bottom w:val="nil"/>
              <w:right w:val="nil"/>
            </w:tcBorders>
            <w:shd w:val="clear" w:color="000000" w:fill="FFFFFF"/>
            <w:noWrap/>
            <w:vAlign w:val="center"/>
            <w:hideMark/>
          </w:tcPr>
          <w:p w14:paraId="0BEFE298"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 </w:t>
            </w:r>
          </w:p>
        </w:tc>
        <w:tc>
          <w:tcPr>
            <w:tcW w:w="484" w:type="pct"/>
            <w:tcBorders>
              <w:top w:val="nil"/>
              <w:left w:val="nil"/>
              <w:bottom w:val="single" w:sz="4" w:space="0" w:color="293F5B"/>
              <w:right w:val="nil"/>
            </w:tcBorders>
            <w:shd w:val="clear" w:color="000000" w:fill="FFFFFF"/>
            <w:noWrap/>
            <w:vAlign w:val="center"/>
            <w:hideMark/>
          </w:tcPr>
          <w:p w14:paraId="0CD48783" w14:textId="650D5C62" w:rsidR="004E62A5" w:rsidRPr="003D5352" w:rsidRDefault="00594653" w:rsidP="004E62A5">
            <w:pPr>
              <w:spacing w:before="0" w:after="0" w:line="240" w:lineRule="auto"/>
              <w:jc w:val="right"/>
              <w:rPr>
                <w:rFonts w:ascii="Arial" w:hAnsi="Arial" w:cs="Arial"/>
                <w:i/>
                <w:iCs/>
                <w:sz w:val="16"/>
                <w:szCs w:val="16"/>
              </w:rPr>
            </w:pPr>
            <w:r w:rsidRPr="003D5352">
              <w:rPr>
                <w:rFonts w:ascii="Arial" w:hAnsi="Arial" w:cs="Arial"/>
                <w:i/>
                <w:iCs/>
                <w:sz w:val="16"/>
                <w:szCs w:val="16"/>
              </w:rPr>
              <w:noBreakHyphen/>
            </w:r>
            <w:r w:rsidR="004E62A5" w:rsidRPr="003D5352">
              <w:rPr>
                <w:rFonts w:ascii="Arial" w:hAnsi="Arial" w:cs="Arial"/>
                <w:i/>
                <w:iCs/>
                <w:sz w:val="16"/>
                <w:szCs w:val="16"/>
              </w:rPr>
              <w:t>15,941</w:t>
            </w:r>
          </w:p>
        </w:tc>
      </w:tr>
      <w:tr w:rsidR="003D5352" w:rsidRPr="003D5352" w14:paraId="7D5C0CC3"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74E9E9DF"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Total parameter and other variations</w:t>
            </w:r>
          </w:p>
        </w:tc>
        <w:tc>
          <w:tcPr>
            <w:tcW w:w="461" w:type="pct"/>
            <w:tcBorders>
              <w:top w:val="nil"/>
              <w:left w:val="nil"/>
              <w:bottom w:val="nil"/>
              <w:right w:val="nil"/>
            </w:tcBorders>
            <w:shd w:val="clear" w:color="000000" w:fill="FFFFFF"/>
            <w:noWrap/>
            <w:vAlign w:val="center"/>
            <w:hideMark/>
          </w:tcPr>
          <w:p w14:paraId="4CBE0F64"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32614113"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580A5642"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1F9C1272"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 </w:t>
            </w:r>
          </w:p>
        </w:tc>
        <w:tc>
          <w:tcPr>
            <w:tcW w:w="474" w:type="pct"/>
            <w:tcBorders>
              <w:top w:val="nil"/>
              <w:left w:val="nil"/>
              <w:bottom w:val="nil"/>
              <w:right w:val="nil"/>
            </w:tcBorders>
            <w:shd w:val="clear" w:color="000000" w:fill="FFFFFF"/>
            <w:noWrap/>
            <w:vAlign w:val="center"/>
            <w:hideMark/>
          </w:tcPr>
          <w:p w14:paraId="417C6B8B" w14:textId="77777777" w:rsidR="004E62A5" w:rsidRPr="003D5352" w:rsidRDefault="004E62A5" w:rsidP="004E62A5">
            <w:pPr>
              <w:spacing w:before="0" w:after="0" w:line="240" w:lineRule="auto"/>
              <w:jc w:val="right"/>
              <w:rPr>
                <w:rFonts w:ascii="Arial" w:hAnsi="Arial" w:cs="Arial"/>
                <w:i/>
                <w:iCs/>
                <w:sz w:val="16"/>
                <w:szCs w:val="16"/>
                <w:highlight w:val="darkCyan"/>
              </w:rPr>
            </w:pPr>
            <w:r w:rsidRPr="003D5352">
              <w:rPr>
                <w:rFonts w:ascii="Arial" w:hAnsi="Arial" w:cs="Arial"/>
                <w:i/>
                <w:iCs/>
                <w:sz w:val="16"/>
                <w:szCs w:val="16"/>
              </w:rPr>
              <w:t> </w:t>
            </w:r>
          </w:p>
        </w:tc>
        <w:tc>
          <w:tcPr>
            <w:tcW w:w="45" w:type="pct"/>
            <w:tcBorders>
              <w:top w:val="nil"/>
              <w:left w:val="nil"/>
              <w:bottom w:val="nil"/>
              <w:right w:val="nil"/>
            </w:tcBorders>
            <w:shd w:val="clear" w:color="000000" w:fill="FFFFFF"/>
            <w:noWrap/>
            <w:vAlign w:val="center"/>
            <w:hideMark/>
          </w:tcPr>
          <w:p w14:paraId="5D367BF3"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0E3E0BEC" w14:textId="77777777" w:rsidR="004E62A5" w:rsidRPr="003D5352" w:rsidRDefault="004E62A5" w:rsidP="004E62A5">
            <w:pPr>
              <w:spacing w:before="0" w:after="0" w:line="240" w:lineRule="auto"/>
              <w:jc w:val="right"/>
              <w:rPr>
                <w:rFonts w:ascii="Arial" w:hAnsi="Arial" w:cs="Arial"/>
                <w:i/>
                <w:iCs/>
                <w:sz w:val="16"/>
                <w:szCs w:val="16"/>
              </w:rPr>
            </w:pPr>
            <w:r w:rsidRPr="003D5352">
              <w:rPr>
                <w:rFonts w:ascii="Arial" w:hAnsi="Arial" w:cs="Arial"/>
                <w:i/>
                <w:iCs/>
                <w:sz w:val="16"/>
                <w:szCs w:val="16"/>
              </w:rPr>
              <w:t> </w:t>
            </w:r>
          </w:p>
        </w:tc>
      </w:tr>
      <w:tr w:rsidR="003D5352" w:rsidRPr="003D5352" w14:paraId="77C5CDB0"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4F627F3D" w14:textId="77777777" w:rsidR="004E62A5" w:rsidRPr="003D5352" w:rsidRDefault="004E62A5" w:rsidP="004E62A5">
            <w:pPr>
              <w:spacing w:before="0" w:after="0" w:line="240" w:lineRule="auto"/>
              <w:ind w:left="170"/>
              <w:rPr>
                <w:rFonts w:ascii="Arial" w:hAnsi="Arial" w:cs="Arial"/>
                <w:sz w:val="16"/>
                <w:szCs w:val="16"/>
              </w:rPr>
            </w:pPr>
            <w:r w:rsidRPr="003D5352">
              <w:rPr>
                <w:rFonts w:ascii="Arial" w:hAnsi="Arial" w:cs="Arial"/>
                <w:sz w:val="16"/>
                <w:szCs w:val="16"/>
              </w:rPr>
              <w:t>impact on underlying cash balance</w:t>
            </w:r>
          </w:p>
        </w:tc>
        <w:tc>
          <w:tcPr>
            <w:tcW w:w="461" w:type="pct"/>
            <w:tcBorders>
              <w:top w:val="nil"/>
              <w:left w:val="nil"/>
              <w:bottom w:val="single" w:sz="4" w:space="0" w:color="293F5B"/>
              <w:right w:val="nil"/>
            </w:tcBorders>
            <w:shd w:val="clear" w:color="000000" w:fill="FFFFFF"/>
            <w:noWrap/>
            <w:vAlign w:val="center"/>
            <w:hideMark/>
          </w:tcPr>
          <w:p w14:paraId="10B81E4E"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42,140</w:t>
            </w:r>
          </w:p>
        </w:tc>
        <w:tc>
          <w:tcPr>
            <w:tcW w:w="474" w:type="pct"/>
            <w:tcBorders>
              <w:top w:val="nil"/>
              <w:left w:val="nil"/>
              <w:bottom w:val="single" w:sz="4" w:space="0" w:color="293F5B"/>
              <w:right w:val="nil"/>
            </w:tcBorders>
            <w:shd w:val="clear" w:color="000000" w:fill="E6F2FF"/>
            <w:noWrap/>
            <w:vAlign w:val="center"/>
            <w:hideMark/>
          </w:tcPr>
          <w:p w14:paraId="026F5355"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42,153</w:t>
            </w:r>
          </w:p>
        </w:tc>
        <w:tc>
          <w:tcPr>
            <w:tcW w:w="474" w:type="pct"/>
            <w:tcBorders>
              <w:top w:val="nil"/>
              <w:left w:val="nil"/>
              <w:bottom w:val="single" w:sz="4" w:space="0" w:color="293F5B"/>
              <w:right w:val="nil"/>
            </w:tcBorders>
            <w:shd w:val="clear" w:color="000000" w:fill="FFFFFF"/>
            <w:noWrap/>
            <w:vAlign w:val="center"/>
            <w:hideMark/>
          </w:tcPr>
          <w:p w14:paraId="03DC91D0"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21,736</w:t>
            </w:r>
          </w:p>
        </w:tc>
        <w:tc>
          <w:tcPr>
            <w:tcW w:w="474" w:type="pct"/>
            <w:tcBorders>
              <w:top w:val="nil"/>
              <w:left w:val="nil"/>
              <w:bottom w:val="single" w:sz="4" w:space="0" w:color="293F5B"/>
              <w:right w:val="nil"/>
            </w:tcBorders>
            <w:shd w:val="clear" w:color="000000" w:fill="FFFFFF"/>
            <w:noWrap/>
            <w:vAlign w:val="center"/>
            <w:hideMark/>
          </w:tcPr>
          <w:p w14:paraId="3FD2994E"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15,481</w:t>
            </w:r>
          </w:p>
        </w:tc>
        <w:tc>
          <w:tcPr>
            <w:tcW w:w="474" w:type="pct"/>
            <w:tcBorders>
              <w:top w:val="nil"/>
              <w:left w:val="nil"/>
              <w:bottom w:val="single" w:sz="4" w:space="0" w:color="293F5B"/>
              <w:right w:val="nil"/>
            </w:tcBorders>
            <w:shd w:val="clear" w:color="000000" w:fill="FFFFFF"/>
            <w:noWrap/>
            <w:vAlign w:val="center"/>
            <w:hideMark/>
          </w:tcPr>
          <w:p w14:paraId="0D500D69"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24,984</w:t>
            </w:r>
          </w:p>
        </w:tc>
        <w:tc>
          <w:tcPr>
            <w:tcW w:w="45" w:type="pct"/>
            <w:tcBorders>
              <w:top w:val="nil"/>
              <w:left w:val="nil"/>
              <w:bottom w:val="nil"/>
              <w:right w:val="nil"/>
            </w:tcBorders>
            <w:shd w:val="clear" w:color="000000" w:fill="FFFFFF"/>
            <w:noWrap/>
            <w:vAlign w:val="center"/>
            <w:hideMark/>
          </w:tcPr>
          <w:p w14:paraId="531F35A8"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84" w:type="pct"/>
            <w:tcBorders>
              <w:top w:val="nil"/>
              <w:left w:val="nil"/>
              <w:bottom w:val="single" w:sz="4" w:space="0" w:color="293F5B"/>
              <w:right w:val="nil"/>
            </w:tcBorders>
            <w:shd w:val="clear" w:color="000000" w:fill="FFFFFF"/>
            <w:noWrap/>
            <w:vAlign w:val="center"/>
            <w:hideMark/>
          </w:tcPr>
          <w:p w14:paraId="6F5A56EE" w14:textId="77777777" w:rsidR="004E62A5" w:rsidRPr="003D5352" w:rsidRDefault="004E62A5" w:rsidP="004E62A5">
            <w:pPr>
              <w:spacing w:before="0" w:after="0" w:line="240" w:lineRule="auto"/>
              <w:jc w:val="right"/>
              <w:rPr>
                <w:rFonts w:ascii="Arial" w:hAnsi="Arial" w:cs="Arial"/>
                <w:sz w:val="16"/>
                <w:szCs w:val="16"/>
              </w:rPr>
            </w:pPr>
            <w:r w:rsidRPr="003D5352">
              <w:rPr>
                <w:rFonts w:ascii="Arial" w:hAnsi="Arial" w:cs="Arial"/>
                <w:sz w:val="16"/>
                <w:szCs w:val="16"/>
              </w:rPr>
              <w:t>146,492</w:t>
            </w:r>
          </w:p>
        </w:tc>
      </w:tr>
      <w:tr w:rsidR="003D5352" w:rsidRPr="003D5352" w14:paraId="26C4C2A9" w14:textId="77777777" w:rsidTr="004E62A5">
        <w:trPr>
          <w:trHeight w:hRule="exact" w:val="60"/>
        </w:trPr>
        <w:tc>
          <w:tcPr>
            <w:tcW w:w="2114" w:type="pct"/>
            <w:tcBorders>
              <w:top w:val="nil"/>
              <w:left w:val="nil"/>
              <w:bottom w:val="nil"/>
              <w:right w:val="nil"/>
            </w:tcBorders>
            <w:shd w:val="clear" w:color="000000" w:fill="FFFFFF"/>
            <w:noWrap/>
            <w:vAlign w:val="center"/>
            <w:hideMark/>
          </w:tcPr>
          <w:p w14:paraId="7A70C20F"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 </w:t>
            </w:r>
          </w:p>
        </w:tc>
        <w:tc>
          <w:tcPr>
            <w:tcW w:w="461" w:type="pct"/>
            <w:tcBorders>
              <w:top w:val="nil"/>
              <w:left w:val="nil"/>
              <w:bottom w:val="nil"/>
              <w:right w:val="nil"/>
            </w:tcBorders>
            <w:shd w:val="clear" w:color="000000" w:fill="FFFFFF"/>
            <w:noWrap/>
            <w:vAlign w:val="center"/>
            <w:hideMark/>
          </w:tcPr>
          <w:p w14:paraId="52D1B3A8"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E6F2FF"/>
            <w:noWrap/>
            <w:vAlign w:val="center"/>
            <w:hideMark/>
          </w:tcPr>
          <w:p w14:paraId="51E617C3"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032A649E"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0C62AD89"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74" w:type="pct"/>
            <w:tcBorders>
              <w:top w:val="nil"/>
              <w:left w:val="nil"/>
              <w:bottom w:val="nil"/>
              <w:right w:val="nil"/>
            </w:tcBorders>
            <w:shd w:val="clear" w:color="000000" w:fill="FFFFFF"/>
            <w:noWrap/>
            <w:vAlign w:val="center"/>
            <w:hideMark/>
          </w:tcPr>
          <w:p w14:paraId="40A813B9"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5" w:type="pct"/>
            <w:tcBorders>
              <w:top w:val="nil"/>
              <w:left w:val="nil"/>
              <w:bottom w:val="nil"/>
              <w:right w:val="nil"/>
            </w:tcBorders>
            <w:shd w:val="clear" w:color="000000" w:fill="FFFFFF"/>
            <w:noWrap/>
            <w:vAlign w:val="center"/>
            <w:hideMark/>
          </w:tcPr>
          <w:p w14:paraId="0B097E76"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84" w:type="pct"/>
            <w:tcBorders>
              <w:top w:val="nil"/>
              <w:left w:val="nil"/>
              <w:bottom w:val="nil"/>
              <w:right w:val="nil"/>
            </w:tcBorders>
            <w:shd w:val="clear" w:color="000000" w:fill="FFFFFF"/>
            <w:noWrap/>
            <w:vAlign w:val="center"/>
            <w:hideMark/>
          </w:tcPr>
          <w:p w14:paraId="06452C65" w14:textId="77777777" w:rsidR="004E62A5" w:rsidRPr="003D5352" w:rsidRDefault="004E62A5" w:rsidP="004E62A5">
            <w:pPr>
              <w:spacing w:before="0" w:after="0" w:line="240" w:lineRule="auto"/>
              <w:jc w:val="right"/>
              <w:rPr>
                <w:rFonts w:ascii="Arial" w:hAnsi="Arial" w:cs="Arial"/>
                <w:sz w:val="16"/>
                <w:szCs w:val="16"/>
              </w:rPr>
            </w:pPr>
            <w:r w:rsidRPr="003D5352">
              <w:rPr>
                <w:rFonts w:ascii="Arial" w:hAnsi="Arial" w:cs="Arial"/>
                <w:sz w:val="16"/>
                <w:szCs w:val="16"/>
              </w:rPr>
              <w:t> </w:t>
            </w:r>
          </w:p>
        </w:tc>
      </w:tr>
      <w:tr w:rsidR="003D5352" w:rsidRPr="003D5352" w14:paraId="38AD7577"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656C8810" w14:textId="77777777" w:rsidR="004E62A5" w:rsidRPr="003D5352" w:rsidRDefault="004E62A5" w:rsidP="004E62A5">
            <w:pPr>
              <w:spacing w:before="0" w:after="0" w:line="240" w:lineRule="auto"/>
              <w:rPr>
                <w:rFonts w:ascii="Arial" w:hAnsi="Arial" w:cs="Arial"/>
                <w:b/>
                <w:bCs/>
                <w:sz w:val="16"/>
                <w:szCs w:val="16"/>
              </w:rPr>
            </w:pPr>
            <w:r w:rsidRPr="003D5352">
              <w:rPr>
                <w:rFonts w:ascii="Arial" w:hAnsi="Arial" w:cs="Arial"/>
                <w:b/>
                <w:bCs/>
                <w:sz w:val="16"/>
                <w:szCs w:val="16"/>
              </w:rPr>
              <w:t>2023–24 Budget underlying cash</w:t>
            </w:r>
          </w:p>
        </w:tc>
        <w:tc>
          <w:tcPr>
            <w:tcW w:w="461" w:type="pct"/>
            <w:tcBorders>
              <w:top w:val="nil"/>
              <w:left w:val="nil"/>
              <w:bottom w:val="nil"/>
              <w:right w:val="nil"/>
            </w:tcBorders>
            <w:shd w:val="clear" w:color="000000" w:fill="FFFFFF"/>
            <w:noWrap/>
            <w:vAlign w:val="center"/>
            <w:hideMark/>
          </w:tcPr>
          <w:p w14:paraId="0FACB046" w14:textId="77777777" w:rsidR="004E62A5" w:rsidRPr="003D5352" w:rsidRDefault="004E62A5"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t> </w:t>
            </w:r>
          </w:p>
        </w:tc>
        <w:tc>
          <w:tcPr>
            <w:tcW w:w="474" w:type="pct"/>
            <w:tcBorders>
              <w:top w:val="nil"/>
              <w:left w:val="nil"/>
              <w:bottom w:val="nil"/>
              <w:right w:val="nil"/>
            </w:tcBorders>
            <w:shd w:val="clear" w:color="000000" w:fill="E6F2FF"/>
            <w:noWrap/>
            <w:vAlign w:val="center"/>
            <w:hideMark/>
          </w:tcPr>
          <w:p w14:paraId="6EF31477" w14:textId="77777777" w:rsidR="004E62A5" w:rsidRPr="003D5352" w:rsidRDefault="004E62A5"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7E650B6B" w14:textId="77777777" w:rsidR="004E62A5" w:rsidRPr="003D5352" w:rsidRDefault="004E62A5"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0574012F" w14:textId="77777777" w:rsidR="004E62A5" w:rsidRPr="003D5352" w:rsidRDefault="004E62A5"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t> </w:t>
            </w:r>
          </w:p>
        </w:tc>
        <w:tc>
          <w:tcPr>
            <w:tcW w:w="474" w:type="pct"/>
            <w:tcBorders>
              <w:top w:val="nil"/>
              <w:left w:val="nil"/>
              <w:bottom w:val="nil"/>
              <w:right w:val="nil"/>
            </w:tcBorders>
            <w:shd w:val="clear" w:color="000000" w:fill="FFFFFF"/>
            <w:noWrap/>
            <w:vAlign w:val="center"/>
            <w:hideMark/>
          </w:tcPr>
          <w:p w14:paraId="4E5E1E8C" w14:textId="77777777" w:rsidR="004E62A5" w:rsidRPr="003D5352" w:rsidRDefault="004E62A5"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t> </w:t>
            </w:r>
          </w:p>
        </w:tc>
        <w:tc>
          <w:tcPr>
            <w:tcW w:w="45" w:type="pct"/>
            <w:tcBorders>
              <w:top w:val="nil"/>
              <w:left w:val="nil"/>
              <w:bottom w:val="nil"/>
              <w:right w:val="nil"/>
            </w:tcBorders>
            <w:shd w:val="clear" w:color="000000" w:fill="FFFFFF"/>
            <w:noWrap/>
            <w:vAlign w:val="center"/>
            <w:hideMark/>
          </w:tcPr>
          <w:p w14:paraId="0BC6BCBA" w14:textId="77777777" w:rsidR="004E62A5" w:rsidRPr="003D5352" w:rsidRDefault="004E62A5"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t> </w:t>
            </w:r>
          </w:p>
        </w:tc>
        <w:tc>
          <w:tcPr>
            <w:tcW w:w="484" w:type="pct"/>
            <w:tcBorders>
              <w:top w:val="nil"/>
              <w:left w:val="nil"/>
              <w:bottom w:val="nil"/>
              <w:right w:val="nil"/>
            </w:tcBorders>
            <w:shd w:val="clear" w:color="000000" w:fill="FFFFFF"/>
            <w:noWrap/>
            <w:vAlign w:val="center"/>
            <w:hideMark/>
          </w:tcPr>
          <w:p w14:paraId="6242D335" w14:textId="77777777" w:rsidR="004E62A5" w:rsidRPr="003D5352" w:rsidRDefault="004E62A5" w:rsidP="004E62A5">
            <w:pPr>
              <w:spacing w:before="0" w:after="0" w:line="240" w:lineRule="auto"/>
              <w:jc w:val="right"/>
              <w:rPr>
                <w:rFonts w:ascii="Arial" w:hAnsi="Arial" w:cs="Arial"/>
                <w:b/>
                <w:bCs/>
                <w:sz w:val="16"/>
                <w:szCs w:val="16"/>
              </w:rPr>
            </w:pPr>
            <w:r w:rsidRPr="003D5352">
              <w:rPr>
                <w:rFonts w:ascii="Arial" w:hAnsi="Arial" w:cs="Arial"/>
                <w:b/>
                <w:bCs/>
                <w:sz w:val="16"/>
                <w:szCs w:val="16"/>
              </w:rPr>
              <w:t> </w:t>
            </w:r>
          </w:p>
        </w:tc>
      </w:tr>
      <w:tr w:rsidR="003D5352" w:rsidRPr="003D5352" w14:paraId="6B61BC18" w14:textId="77777777" w:rsidTr="004E62A5">
        <w:trPr>
          <w:trHeight w:hRule="exact" w:val="225"/>
        </w:trPr>
        <w:tc>
          <w:tcPr>
            <w:tcW w:w="2114" w:type="pct"/>
            <w:tcBorders>
              <w:top w:val="nil"/>
              <w:left w:val="nil"/>
              <w:bottom w:val="nil"/>
              <w:right w:val="nil"/>
            </w:tcBorders>
            <w:shd w:val="clear" w:color="000000" w:fill="FFFFFF"/>
            <w:noWrap/>
            <w:vAlign w:val="center"/>
            <w:hideMark/>
          </w:tcPr>
          <w:p w14:paraId="71802E91" w14:textId="77777777" w:rsidR="004E62A5" w:rsidRPr="003D5352" w:rsidRDefault="004E62A5" w:rsidP="004E62A5">
            <w:pPr>
              <w:spacing w:before="0" w:after="0" w:line="240" w:lineRule="auto"/>
              <w:ind w:left="170"/>
              <w:rPr>
                <w:rFonts w:ascii="Arial" w:hAnsi="Arial" w:cs="Arial"/>
                <w:b/>
                <w:bCs/>
                <w:sz w:val="16"/>
                <w:szCs w:val="16"/>
              </w:rPr>
            </w:pPr>
            <w:r w:rsidRPr="003D5352">
              <w:rPr>
                <w:rFonts w:ascii="Arial" w:hAnsi="Arial" w:cs="Arial"/>
                <w:b/>
                <w:bCs/>
                <w:sz w:val="16"/>
                <w:szCs w:val="16"/>
              </w:rPr>
              <w:t>balance</w:t>
            </w:r>
          </w:p>
        </w:tc>
        <w:tc>
          <w:tcPr>
            <w:tcW w:w="461" w:type="pct"/>
            <w:tcBorders>
              <w:top w:val="nil"/>
              <w:left w:val="nil"/>
              <w:bottom w:val="nil"/>
              <w:right w:val="nil"/>
            </w:tcBorders>
            <w:shd w:val="clear" w:color="000000" w:fill="FFFFFF"/>
            <w:noWrap/>
            <w:vAlign w:val="center"/>
            <w:hideMark/>
          </w:tcPr>
          <w:p w14:paraId="5D8776CC" w14:textId="77777777" w:rsidR="004E62A5" w:rsidRPr="003D5352" w:rsidRDefault="004E62A5"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t>4,202</w:t>
            </w:r>
          </w:p>
        </w:tc>
        <w:tc>
          <w:tcPr>
            <w:tcW w:w="474" w:type="pct"/>
            <w:tcBorders>
              <w:top w:val="nil"/>
              <w:left w:val="nil"/>
              <w:bottom w:val="nil"/>
              <w:right w:val="nil"/>
            </w:tcBorders>
            <w:shd w:val="clear" w:color="000000" w:fill="E6F2FF"/>
            <w:noWrap/>
            <w:vAlign w:val="center"/>
            <w:hideMark/>
          </w:tcPr>
          <w:p w14:paraId="30E54F58" w14:textId="6478CF3A" w:rsidR="004E62A5" w:rsidRPr="003D5352" w:rsidRDefault="00594653"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noBreakHyphen/>
            </w:r>
            <w:r w:rsidR="004E62A5" w:rsidRPr="003D5352">
              <w:rPr>
                <w:rFonts w:ascii="Arial" w:hAnsi="Arial" w:cs="Arial"/>
                <w:b/>
                <w:bCs/>
                <w:sz w:val="16"/>
                <w:szCs w:val="16"/>
              </w:rPr>
              <w:t>13,918</w:t>
            </w:r>
          </w:p>
        </w:tc>
        <w:tc>
          <w:tcPr>
            <w:tcW w:w="474" w:type="pct"/>
            <w:tcBorders>
              <w:top w:val="nil"/>
              <w:left w:val="nil"/>
              <w:bottom w:val="nil"/>
              <w:right w:val="nil"/>
            </w:tcBorders>
            <w:shd w:val="clear" w:color="000000" w:fill="FFFFFF"/>
            <w:noWrap/>
            <w:vAlign w:val="center"/>
            <w:hideMark/>
          </w:tcPr>
          <w:p w14:paraId="6821B7A3" w14:textId="2CC71BCE" w:rsidR="004E62A5" w:rsidRPr="003D5352" w:rsidRDefault="00594653"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noBreakHyphen/>
            </w:r>
            <w:r w:rsidR="004E62A5" w:rsidRPr="003D5352">
              <w:rPr>
                <w:rFonts w:ascii="Arial" w:hAnsi="Arial" w:cs="Arial"/>
                <w:b/>
                <w:bCs/>
                <w:sz w:val="16"/>
                <w:szCs w:val="16"/>
              </w:rPr>
              <w:t>35,058</w:t>
            </w:r>
          </w:p>
        </w:tc>
        <w:tc>
          <w:tcPr>
            <w:tcW w:w="474" w:type="pct"/>
            <w:tcBorders>
              <w:top w:val="nil"/>
              <w:left w:val="nil"/>
              <w:bottom w:val="nil"/>
              <w:right w:val="nil"/>
            </w:tcBorders>
            <w:shd w:val="clear" w:color="000000" w:fill="FFFFFF"/>
            <w:noWrap/>
            <w:vAlign w:val="center"/>
            <w:hideMark/>
          </w:tcPr>
          <w:p w14:paraId="708ECBCB" w14:textId="40C48A3D" w:rsidR="004E62A5" w:rsidRPr="003D5352" w:rsidRDefault="00594653"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noBreakHyphen/>
            </w:r>
            <w:r w:rsidR="004E62A5" w:rsidRPr="003D5352">
              <w:rPr>
                <w:rFonts w:ascii="Arial" w:hAnsi="Arial" w:cs="Arial"/>
                <w:b/>
                <w:bCs/>
                <w:sz w:val="16"/>
                <w:szCs w:val="16"/>
              </w:rPr>
              <w:t>36,627</w:t>
            </w:r>
          </w:p>
        </w:tc>
        <w:tc>
          <w:tcPr>
            <w:tcW w:w="474" w:type="pct"/>
            <w:tcBorders>
              <w:top w:val="nil"/>
              <w:left w:val="nil"/>
              <w:bottom w:val="nil"/>
              <w:right w:val="nil"/>
            </w:tcBorders>
            <w:shd w:val="clear" w:color="000000" w:fill="FFFFFF"/>
            <w:noWrap/>
            <w:vAlign w:val="center"/>
            <w:hideMark/>
          </w:tcPr>
          <w:p w14:paraId="312D13F2" w14:textId="20E7A68D" w:rsidR="004E62A5" w:rsidRPr="003D5352" w:rsidRDefault="00594653"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noBreakHyphen/>
            </w:r>
            <w:r w:rsidR="004E62A5" w:rsidRPr="003D5352">
              <w:rPr>
                <w:rFonts w:ascii="Arial" w:hAnsi="Arial" w:cs="Arial"/>
                <w:b/>
                <w:bCs/>
                <w:sz w:val="16"/>
                <w:szCs w:val="16"/>
              </w:rPr>
              <w:t>28,450</w:t>
            </w:r>
          </w:p>
        </w:tc>
        <w:tc>
          <w:tcPr>
            <w:tcW w:w="45" w:type="pct"/>
            <w:tcBorders>
              <w:top w:val="nil"/>
              <w:left w:val="nil"/>
              <w:bottom w:val="nil"/>
              <w:right w:val="nil"/>
            </w:tcBorders>
            <w:shd w:val="clear" w:color="000000" w:fill="FFFFFF"/>
            <w:noWrap/>
            <w:vAlign w:val="center"/>
            <w:hideMark/>
          </w:tcPr>
          <w:p w14:paraId="296305A7" w14:textId="77777777" w:rsidR="004E62A5" w:rsidRPr="003D5352" w:rsidRDefault="004E62A5" w:rsidP="004E62A5">
            <w:pPr>
              <w:spacing w:before="0" w:after="0" w:line="240" w:lineRule="auto"/>
              <w:jc w:val="right"/>
              <w:rPr>
                <w:rFonts w:ascii="Arial" w:hAnsi="Arial" w:cs="Arial"/>
                <w:b/>
                <w:bCs/>
                <w:sz w:val="16"/>
                <w:szCs w:val="16"/>
                <w:highlight w:val="darkCyan"/>
              </w:rPr>
            </w:pPr>
            <w:r w:rsidRPr="003D5352">
              <w:rPr>
                <w:rFonts w:ascii="Arial" w:hAnsi="Arial" w:cs="Arial"/>
                <w:b/>
                <w:bCs/>
                <w:sz w:val="16"/>
                <w:szCs w:val="16"/>
              </w:rPr>
              <w:t> </w:t>
            </w:r>
          </w:p>
        </w:tc>
        <w:tc>
          <w:tcPr>
            <w:tcW w:w="484" w:type="pct"/>
            <w:tcBorders>
              <w:top w:val="nil"/>
              <w:left w:val="nil"/>
              <w:bottom w:val="nil"/>
              <w:right w:val="nil"/>
            </w:tcBorders>
            <w:shd w:val="clear" w:color="000000" w:fill="FFFFFF"/>
            <w:noWrap/>
            <w:vAlign w:val="center"/>
            <w:hideMark/>
          </w:tcPr>
          <w:p w14:paraId="56DCB03B" w14:textId="35A8CD0A" w:rsidR="004E62A5" w:rsidRPr="003D5352" w:rsidRDefault="00594653" w:rsidP="004E62A5">
            <w:pPr>
              <w:spacing w:before="0" w:after="0" w:line="240" w:lineRule="auto"/>
              <w:jc w:val="right"/>
              <w:rPr>
                <w:rFonts w:ascii="Arial" w:hAnsi="Arial" w:cs="Arial"/>
                <w:b/>
                <w:bCs/>
                <w:sz w:val="16"/>
                <w:szCs w:val="16"/>
              </w:rPr>
            </w:pPr>
            <w:r w:rsidRPr="003D5352">
              <w:rPr>
                <w:rFonts w:ascii="Arial" w:hAnsi="Arial" w:cs="Arial"/>
                <w:b/>
                <w:bCs/>
                <w:sz w:val="16"/>
                <w:szCs w:val="16"/>
              </w:rPr>
              <w:noBreakHyphen/>
            </w:r>
            <w:r w:rsidR="004E62A5" w:rsidRPr="003D5352">
              <w:rPr>
                <w:rFonts w:ascii="Arial" w:hAnsi="Arial" w:cs="Arial"/>
                <w:b/>
                <w:bCs/>
                <w:sz w:val="16"/>
                <w:szCs w:val="16"/>
              </w:rPr>
              <w:t>109,852</w:t>
            </w:r>
          </w:p>
        </w:tc>
      </w:tr>
      <w:tr w:rsidR="003D5352" w:rsidRPr="003D5352" w14:paraId="326D960E" w14:textId="77777777" w:rsidTr="00283865">
        <w:trPr>
          <w:trHeight w:hRule="exact" w:val="225"/>
        </w:trPr>
        <w:tc>
          <w:tcPr>
            <w:tcW w:w="2114" w:type="pct"/>
            <w:tcBorders>
              <w:top w:val="nil"/>
              <w:left w:val="nil"/>
              <w:bottom w:val="single" w:sz="4" w:space="0" w:color="293F5B"/>
              <w:right w:val="nil"/>
            </w:tcBorders>
            <w:shd w:val="clear" w:color="auto" w:fill="auto"/>
            <w:noWrap/>
            <w:vAlign w:val="center"/>
            <w:hideMark/>
          </w:tcPr>
          <w:p w14:paraId="1F79DDCE" w14:textId="77777777" w:rsidR="004E62A5" w:rsidRPr="003D5352" w:rsidRDefault="004E62A5" w:rsidP="004E62A5">
            <w:pPr>
              <w:spacing w:before="0" w:after="0" w:line="240" w:lineRule="auto"/>
              <w:rPr>
                <w:rFonts w:ascii="Arial" w:hAnsi="Arial" w:cs="Arial"/>
                <w:sz w:val="16"/>
                <w:szCs w:val="16"/>
              </w:rPr>
            </w:pPr>
            <w:r w:rsidRPr="003D5352">
              <w:rPr>
                <w:rFonts w:ascii="Arial" w:hAnsi="Arial" w:cs="Arial"/>
                <w:sz w:val="16"/>
                <w:szCs w:val="16"/>
              </w:rPr>
              <w:t>Per cent of GDP</w:t>
            </w:r>
          </w:p>
        </w:tc>
        <w:tc>
          <w:tcPr>
            <w:tcW w:w="461" w:type="pct"/>
            <w:tcBorders>
              <w:top w:val="nil"/>
              <w:left w:val="nil"/>
              <w:bottom w:val="single" w:sz="4" w:space="0" w:color="293F5B"/>
              <w:right w:val="nil"/>
            </w:tcBorders>
            <w:shd w:val="clear" w:color="000000" w:fill="FFFFFF"/>
            <w:noWrap/>
            <w:vAlign w:val="center"/>
            <w:hideMark/>
          </w:tcPr>
          <w:p w14:paraId="213EEFB2"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0.2</w:t>
            </w:r>
          </w:p>
        </w:tc>
        <w:tc>
          <w:tcPr>
            <w:tcW w:w="474" w:type="pct"/>
            <w:tcBorders>
              <w:top w:val="nil"/>
              <w:left w:val="nil"/>
              <w:bottom w:val="single" w:sz="4" w:space="0" w:color="293F5B"/>
              <w:right w:val="nil"/>
            </w:tcBorders>
            <w:shd w:val="clear" w:color="000000" w:fill="E6F2FF"/>
            <w:noWrap/>
            <w:vAlign w:val="center"/>
            <w:hideMark/>
          </w:tcPr>
          <w:p w14:paraId="067E3A90" w14:textId="42F1CEB3" w:rsidR="004E62A5" w:rsidRPr="003D5352" w:rsidRDefault="00594653"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noBreakHyphen/>
            </w:r>
            <w:r w:rsidR="004E62A5" w:rsidRPr="003D5352">
              <w:rPr>
                <w:rFonts w:ascii="Arial" w:hAnsi="Arial" w:cs="Arial"/>
                <w:sz w:val="16"/>
                <w:szCs w:val="16"/>
              </w:rPr>
              <w:t>0.5</w:t>
            </w:r>
          </w:p>
        </w:tc>
        <w:tc>
          <w:tcPr>
            <w:tcW w:w="474" w:type="pct"/>
            <w:tcBorders>
              <w:top w:val="nil"/>
              <w:left w:val="nil"/>
              <w:bottom w:val="single" w:sz="4" w:space="0" w:color="293F5B"/>
              <w:right w:val="nil"/>
            </w:tcBorders>
            <w:shd w:val="clear" w:color="000000" w:fill="FFFFFF"/>
            <w:noWrap/>
            <w:vAlign w:val="center"/>
            <w:hideMark/>
          </w:tcPr>
          <w:p w14:paraId="339950F3" w14:textId="24078533" w:rsidR="004E62A5" w:rsidRPr="003D5352" w:rsidRDefault="00594653"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noBreakHyphen/>
            </w:r>
            <w:r w:rsidR="004E62A5" w:rsidRPr="003D5352">
              <w:rPr>
                <w:rFonts w:ascii="Arial" w:hAnsi="Arial" w:cs="Arial"/>
                <w:sz w:val="16"/>
                <w:szCs w:val="16"/>
              </w:rPr>
              <w:t>1.3</w:t>
            </w:r>
          </w:p>
        </w:tc>
        <w:tc>
          <w:tcPr>
            <w:tcW w:w="474" w:type="pct"/>
            <w:tcBorders>
              <w:top w:val="nil"/>
              <w:left w:val="nil"/>
              <w:bottom w:val="single" w:sz="4" w:space="0" w:color="293F5B"/>
              <w:right w:val="nil"/>
            </w:tcBorders>
            <w:shd w:val="clear" w:color="000000" w:fill="FFFFFF"/>
            <w:noWrap/>
            <w:vAlign w:val="center"/>
            <w:hideMark/>
          </w:tcPr>
          <w:p w14:paraId="1BC33B51" w14:textId="0CE92B61" w:rsidR="004E62A5" w:rsidRPr="003D5352" w:rsidRDefault="00594653"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noBreakHyphen/>
            </w:r>
            <w:r w:rsidR="004E62A5" w:rsidRPr="003D5352">
              <w:rPr>
                <w:rFonts w:ascii="Arial" w:hAnsi="Arial" w:cs="Arial"/>
                <w:sz w:val="16"/>
                <w:szCs w:val="16"/>
              </w:rPr>
              <w:t>1.3</w:t>
            </w:r>
          </w:p>
        </w:tc>
        <w:tc>
          <w:tcPr>
            <w:tcW w:w="474" w:type="pct"/>
            <w:tcBorders>
              <w:top w:val="nil"/>
              <w:left w:val="nil"/>
              <w:bottom w:val="single" w:sz="4" w:space="0" w:color="293F5B"/>
              <w:right w:val="nil"/>
            </w:tcBorders>
            <w:shd w:val="clear" w:color="000000" w:fill="FFFFFF"/>
            <w:noWrap/>
            <w:vAlign w:val="center"/>
            <w:hideMark/>
          </w:tcPr>
          <w:p w14:paraId="2BC75F61" w14:textId="5A459E7B" w:rsidR="004E62A5" w:rsidRPr="003D5352" w:rsidRDefault="00594653"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noBreakHyphen/>
            </w:r>
            <w:r w:rsidR="004E62A5" w:rsidRPr="003D5352">
              <w:rPr>
                <w:rFonts w:ascii="Arial" w:hAnsi="Arial" w:cs="Arial"/>
                <w:sz w:val="16"/>
                <w:szCs w:val="16"/>
              </w:rPr>
              <w:t>1.0</w:t>
            </w:r>
          </w:p>
        </w:tc>
        <w:tc>
          <w:tcPr>
            <w:tcW w:w="45" w:type="pct"/>
            <w:tcBorders>
              <w:top w:val="nil"/>
              <w:left w:val="nil"/>
              <w:bottom w:val="single" w:sz="4" w:space="0" w:color="293F5B"/>
              <w:right w:val="nil"/>
            </w:tcBorders>
            <w:shd w:val="clear" w:color="000000" w:fill="FFFFFF"/>
            <w:noWrap/>
            <w:vAlign w:val="center"/>
            <w:hideMark/>
          </w:tcPr>
          <w:p w14:paraId="1AA2D49F" w14:textId="77777777" w:rsidR="004E62A5" w:rsidRPr="003D5352" w:rsidRDefault="004E62A5" w:rsidP="004E62A5">
            <w:pPr>
              <w:spacing w:before="0" w:after="0" w:line="240" w:lineRule="auto"/>
              <w:jc w:val="right"/>
              <w:rPr>
                <w:rFonts w:ascii="Arial" w:hAnsi="Arial" w:cs="Arial"/>
                <w:sz w:val="16"/>
                <w:szCs w:val="16"/>
                <w:highlight w:val="darkCyan"/>
              </w:rPr>
            </w:pPr>
            <w:r w:rsidRPr="003D5352">
              <w:rPr>
                <w:rFonts w:ascii="Arial" w:hAnsi="Arial" w:cs="Arial"/>
                <w:sz w:val="16"/>
                <w:szCs w:val="16"/>
              </w:rPr>
              <w:t> </w:t>
            </w:r>
          </w:p>
        </w:tc>
        <w:tc>
          <w:tcPr>
            <w:tcW w:w="484" w:type="pct"/>
            <w:tcBorders>
              <w:top w:val="nil"/>
              <w:left w:val="nil"/>
              <w:bottom w:val="single" w:sz="4" w:space="0" w:color="293F5B"/>
              <w:right w:val="nil"/>
            </w:tcBorders>
            <w:shd w:val="clear" w:color="000000" w:fill="FFFFFF"/>
            <w:noWrap/>
            <w:vAlign w:val="center"/>
            <w:hideMark/>
          </w:tcPr>
          <w:p w14:paraId="73C39D11" w14:textId="77777777" w:rsidR="004E62A5" w:rsidRPr="003D5352" w:rsidRDefault="004E62A5" w:rsidP="004E62A5">
            <w:pPr>
              <w:spacing w:before="0" w:after="0" w:line="240" w:lineRule="auto"/>
              <w:jc w:val="right"/>
              <w:rPr>
                <w:rFonts w:ascii="Arial" w:hAnsi="Arial" w:cs="Arial"/>
                <w:sz w:val="16"/>
                <w:szCs w:val="16"/>
              </w:rPr>
            </w:pPr>
            <w:r w:rsidRPr="003D5352">
              <w:rPr>
                <w:rFonts w:ascii="Arial" w:hAnsi="Arial" w:cs="Arial"/>
                <w:sz w:val="16"/>
                <w:szCs w:val="16"/>
              </w:rPr>
              <w:t> </w:t>
            </w:r>
          </w:p>
        </w:tc>
      </w:tr>
    </w:tbl>
    <w:p w14:paraId="51723008" w14:textId="31225ABF" w:rsidR="007E0532" w:rsidRPr="004E1159" w:rsidRDefault="007E0532" w:rsidP="00442967">
      <w:pPr>
        <w:pStyle w:val="ChartandTableFootnote"/>
        <w:rPr>
          <w:color w:val="auto"/>
        </w:rPr>
      </w:pPr>
      <w:r w:rsidRPr="004E1159">
        <w:rPr>
          <w:color w:val="auto"/>
        </w:rPr>
        <w:t xml:space="preserve">*Data is not available. </w:t>
      </w:r>
    </w:p>
    <w:p w14:paraId="16542F5A" w14:textId="44B08301" w:rsidR="007E0532" w:rsidRPr="004E1159" w:rsidRDefault="007E0532" w:rsidP="00D57DA8">
      <w:pPr>
        <w:pStyle w:val="ChartandTableFootnoteAlpha"/>
        <w:numPr>
          <w:ilvl w:val="0"/>
          <w:numId w:val="10"/>
        </w:numPr>
        <w:rPr>
          <w:color w:val="auto"/>
        </w:rPr>
      </w:pPr>
      <w:r w:rsidRPr="004E1159">
        <w:rPr>
          <w:color w:val="auto"/>
        </w:rPr>
        <w:t>2026–27 as published in the medium</w:t>
      </w:r>
      <w:r w:rsidR="00594653" w:rsidRPr="004E1159">
        <w:rPr>
          <w:color w:val="auto"/>
        </w:rPr>
        <w:noBreakHyphen/>
      </w:r>
      <w:r w:rsidRPr="004E1159">
        <w:rPr>
          <w:color w:val="auto"/>
        </w:rPr>
        <w:t xml:space="preserve">term projections, pages 10 and 11 of the </w:t>
      </w:r>
      <w:r w:rsidR="007B690A" w:rsidRPr="004E1159">
        <w:rPr>
          <w:color w:val="auto"/>
        </w:rPr>
        <w:t>2022 PEFO</w:t>
      </w:r>
      <w:r w:rsidRPr="004E1159">
        <w:rPr>
          <w:color w:val="auto"/>
        </w:rPr>
        <w:t xml:space="preserve">. </w:t>
      </w:r>
    </w:p>
    <w:p w14:paraId="35C289A5" w14:textId="6E485605" w:rsidR="00D01E96" w:rsidRPr="004E1159" w:rsidRDefault="00D01E96" w:rsidP="00D57DA8">
      <w:pPr>
        <w:pStyle w:val="ChartandTableFootnoteAlpha"/>
        <w:numPr>
          <w:ilvl w:val="0"/>
          <w:numId w:val="10"/>
        </w:numPr>
        <w:rPr>
          <w:color w:val="auto"/>
        </w:rPr>
      </w:pPr>
      <w:r w:rsidRPr="004E1159">
        <w:rPr>
          <w:color w:val="auto"/>
        </w:rPr>
        <w:t>Excludes secondary impacts on public debt interest of policy decisions and offsets from the Contingency Reserve for decisions taken.</w:t>
      </w:r>
    </w:p>
    <w:p w14:paraId="090A69EA" w14:textId="58B9BBF5" w:rsidR="007E0532" w:rsidRPr="004E1159" w:rsidRDefault="007E0532" w:rsidP="00D57DA8">
      <w:pPr>
        <w:pStyle w:val="ChartandTableFootnoteAlpha"/>
        <w:numPr>
          <w:ilvl w:val="0"/>
          <w:numId w:val="10"/>
        </w:numPr>
        <w:rPr>
          <w:color w:val="auto"/>
        </w:rPr>
      </w:pPr>
      <w:r w:rsidRPr="004E1159">
        <w:rPr>
          <w:color w:val="auto"/>
        </w:rPr>
        <w:t>2026–27 as published in the medium</w:t>
      </w:r>
      <w:r w:rsidR="00594653" w:rsidRPr="004E1159">
        <w:rPr>
          <w:color w:val="auto"/>
        </w:rPr>
        <w:noBreakHyphen/>
      </w:r>
      <w:r w:rsidRPr="004E1159">
        <w:rPr>
          <w:color w:val="auto"/>
        </w:rPr>
        <w:t>term projections, page 81 of Budget Paper No. 1</w:t>
      </w:r>
      <w:r w:rsidR="00776696" w:rsidRPr="004E1159">
        <w:rPr>
          <w:color w:val="auto"/>
        </w:rPr>
        <w:t xml:space="preserve">, </w:t>
      </w:r>
      <w:r w:rsidRPr="004E1159">
        <w:rPr>
          <w:i/>
          <w:iCs/>
          <w:color w:val="auto"/>
        </w:rPr>
        <w:t>Budget Strategy and Outlook October 2022–23</w:t>
      </w:r>
      <w:r w:rsidRPr="004E1159">
        <w:rPr>
          <w:color w:val="auto"/>
        </w:rPr>
        <w:t>.</w:t>
      </w:r>
    </w:p>
    <w:p w14:paraId="55A7A733" w14:textId="45F15BE6" w:rsidR="00615A3D" w:rsidRDefault="00D01E96" w:rsidP="00D57DA8">
      <w:pPr>
        <w:pStyle w:val="ChartandTableFootnoteAlpha"/>
      </w:pPr>
      <w:r w:rsidRPr="004E1159">
        <w:rPr>
          <w:color w:val="auto"/>
        </w:rPr>
        <w:t>A positive number for receipts improves the underlying cash balance, while a positive number for payments worsens the underlying cash balance.</w:t>
      </w:r>
      <w:r w:rsidR="00546529" w:rsidRPr="004E1159">
        <w:rPr>
          <w:rFonts w:ascii="Calibri" w:hAnsi="Calibri" w:cs="Calibri"/>
          <w:color w:val="auto"/>
          <w:sz w:val="22"/>
          <w:szCs w:val="22"/>
        </w:rPr>
        <w:t xml:space="preserve"> </w:t>
      </w:r>
    </w:p>
    <w:p w14:paraId="74129FC2" w14:textId="77777777" w:rsidR="00776696" w:rsidRPr="00776696" w:rsidRDefault="00776696" w:rsidP="00776696">
      <w:pPr>
        <w:pStyle w:val="TableLine"/>
      </w:pPr>
    </w:p>
    <w:p w14:paraId="454B78A9" w14:textId="77777777" w:rsidR="00F427A8" w:rsidRPr="00432D23" w:rsidRDefault="00F427A8" w:rsidP="00432D23">
      <w:r>
        <w:br w:type="page"/>
      </w:r>
    </w:p>
    <w:p w14:paraId="6F36AE61" w14:textId="16FB6481" w:rsidR="00203A07" w:rsidRPr="00EA288B" w:rsidRDefault="00203A07" w:rsidP="00203A07">
      <w:pPr>
        <w:pStyle w:val="Heading3"/>
        <w:rPr>
          <w:rFonts w:eastAsiaTheme="minorHAnsi"/>
        </w:rPr>
      </w:pPr>
      <w:bookmarkStart w:id="13" w:name="_Toc134321290"/>
      <w:r>
        <w:lastRenderedPageBreak/>
        <w:t>Primary</w:t>
      </w:r>
      <w:r w:rsidRPr="00EA288B">
        <w:t xml:space="preserve"> balance estimates</w:t>
      </w:r>
      <w:bookmarkEnd w:id="13"/>
      <w:r w:rsidRPr="00EA288B">
        <w:t xml:space="preserve"> </w:t>
      </w:r>
    </w:p>
    <w:p w14:paraId="1FCCC284" w14:textId="5B28C3EE" w:rsidR="00203A07" w:rsidRPr="004E1159" w:rsidRDefault="00203A07" w:rsidP="00203A07">
      <w:r w:rsidRPr="004E1159">
        <w:t>The primary cash balance adjusts the underlying cash balance to exclude interest payments and interest receipts (as these are largely</w:t>
      </w:r>
      <w:r w:rsidRPr="004E1159" w:rsidDel="004D0EB0">
        <w:t xml:space="preserve"> </w:t>
      </w:r>
      <w:r w:rsidRPr="004E1159">
        <w:t xml:space="preserve">outside government control in the short term). This is a more representative measure of the </w:t>
      </w:r>
      <w:r w:rsidR="0077081E" w:rsidRPr="004E1159">
        <w:t>G</w:t>
      </w:r>
      <w:r w:rsidRPr="004E1159">
        <w:t>overnment</w:t>
      </w:r>
      <w:r w:rsidR="00594653" w:rsidRPr="004E1159">
        <w:t>’</w:t>
      </w:r>
      <w:r w:rsidRPr="004E1159">
        <w:t>s current fiscal decisions.</w:t>
      </w:r>
    </w:p>
    <w:p w14:paraId="7D612A08" w14:textId="292028B9" w:rsidR="00432D23" w:rsidRPr="004E1159" w:rsidRDefault="00203A07" w:rsidP="004728EE">
      <w:r w:rsidRPr="004E1159">
        <w:t>The primary balance is expected to be in surplus by $16.</w:t>
      </w:r>
      <w:r w:rsidR="00331489" w:rsidRPr="004E1159">
        <w:t>9</w:t>
      </w:r>
      <w:r w:rsidR="00F634C3" w:rsidRPr="004E1159">
        <w:t> billion</w:t>
      </w:r>
      <w:r w:rsidRPr="004E1159">
        <w:t xml:space="preserve"> </w:t>
      </w:r>
      <w:r w:rsidR="009D3FB3" w:rsidRPr="004E1159">
        <w:t>(</w:t>
      </w:r>
      <w:r w:rsidR="002E6A54" w:rsidRPr="004E1159">
        <w:t>0.7</w:t>
      </w:r>
      <w:r w:rsidR="009D3FB3" w:rsidRPr="004E1159">
        <w:t xml:space="preserve"> per cent of GDP) </w:t>
      </w:r>
      <w:r w:rsidRPr="004E1159">
        <w:t>in</w:t>
      </w:r>
      <w:r w:rsidR="003A2B54" w:rsidRPr="004E1159">
        <w:t> </w:t>
      </w:r>
      <w:r w:rsidRPr="004E1159">
        <w:t>2022</w:t>
      </w:r>
      <w:r w:rsidR="00F634C3" w:rsidRPr="004E1159">
        <w:t>–</w:t>
      </w:r>
      <w:r w:rsidRPr="004E1159">
        <w:t>23 and broadly balanced in 2023</w:t>
      </w:r>
      <w:r w:rsidR="00F634C3" w:rsidRPr="004E1159">
        <w:t>–</w:t>
      </w:r>
      <w:r w:rsidRPr="004E1159">
        <w:t>24</w:t>
      </w:r>
      <w:r w:rsidR="00DD516C" w:rsidRPr="004E1159">
        <w:t xml:space="preserve">, reflecting </w:t>
      </w:r>
      <w:r w:rsidRPr="004E1159">
        <w:t>the improved near</w:t>
      </w:r>
      <w:r w:rsidR="00594653" w:rsidRPr="004E1159">
        <w:noBreakHyphen/>
      </w:r>
      <w:r w:rsidRPr="004E1159">
        <w:t>term outlook</w:t>
      </w:r>
      <w:r w:rsidR="00DD516C" w:rsidRPr="004E1159">
        <w:t>.</w:t>
      </w:r>
      <w:r w:rsidRPr="004E1159">
        <w:t xml:space="preserve"> </w:t>
      </w:r>
      <w:r w:rsidR="00AD2E6E" w:rsidRPr="004E1159">
        <w:t>Since the October Budget, the primary balance has improved</w:t>
      </w:r>
      <w:r w:rsidR="008942E5" w:rsidRPr="004E1159">
        <w:t xml:space="preserve"> $</w:t>
      </w:r>
      <w:r w:rsidR="00B3513A" w:rsidRPr="004E1159">
        <w:t>40.1</w:t>
      </w:r>
      <w:r w:rsidR="007B1BED" w:rsidRPr="004E1159">
        <w:t xml:space="preserve"> billion</w:t>
      </w:r>
      <w:r w:rsidR="00AD2E6E" w:rsidRPr="004E1159">
        <w:t xml:space="preserve"> in 2022</w:t>
      </w:r>
      <w:r w:rsidR="00235899" w:rsidRPr="004E1159">
        <w:t>–</w:t>
      </w:r>
      <w:r w:rsidR="00AD2E6E" w:rsidRPr="004E1159">
        <w:t>23 and $</w:t>
      </w:r>
      <w:r w:rsidR="00B3513A" w:rsidRPr="004E1159">
        <w:t>26.</w:t>
      </w:r>
      <w:r w:rsidR="001A0904" w:rsidRPr="004E1159">
        <w:t>9</w:t>
      </w:r>
      <w:r w:rsidR="005F2FDE" w:rsidRPr="004E1159">
        <w:t> </w:t>
      </w:r>
      <w:r w:rsidR="00AD2E6E" w:rsidRPr="004E1159">
        <w:t>billion in 2023</w:t>
      </w:r>
      <w:r w:rsidR="00235899" w:rsidRPr="004E1159">
        <w:t>–</w:t>
      </w:r>
      <w:r w:rsidR="00AD2E6E" w:rsidRPr="004E1159">
        <w:t>24.</w:t>
      </w:r>
      <w:r w:rsidR="007B1BED" w:rsidRPr="004E1159">
        <w:t xml:space="preserve"> </w:t>
      </w:r>
      <w:r w:rsidRPr="004E1159">
        <w:t xml:space="preserve">The underlying cash balance </w:t>
      </w:r>
      <w:r w:rsidR="0078491B" w:rsidRPr="004E1159">
        <w:t xml:space="preserve">improves more than the primary balance because </w:t>
      </w:r>
      <w:r w:rsidR="008C60C8" w:rsidRPr="004E1159">
        <w:t xml:space="preserve">debt and </w:t>
      </w:r>
      <w:r w:rsidR="0078491B" w:rsidRPr="004E1159">
        <w:t xml:space="preserve">interest payments </w:t>
      </w:r>
      <w:r w:rsidR="008C60C8" w:rsidRPr="004E1159">
        <w:t>(which are excluded from the primary balance calculation)</w:t>
      </w:r>
      <w:r w:rsidR="000759EF" w:rsidRPr="004E1159">
        <w:t xml:space="preserve"> are lower</w:t>
      </w:r>
      <w:r w:rsidR="00A576F3" w:rsidRPr="004E1159">
        <w:t xml:space="preserve"> than forecast in the October Budget</w:t>
      </w:r>
      <w:r w:rsidRPr="004E1159">
        <w:t xml:space="preserve">. </w:t>
      </w:r>
    </w:p>
    <w:p w14:paraId="267EDDEB" w14:textId="392F003C" w:rsidR="007807C3" w:rsidRPr="00F427A8" w:rsidRDefault="007807C3" w:rsidP="004728EE">
      <w:r>
        <w:br w:type="page"/>
      </w:r>
    </w:p>
    <w:p w14:paraId="3646FC1D" w14:textId="5CFB3D53" w:rsidR="00D01E96" w:rsidRPr="00EA288B" w:rsidRDefault="00D01E96" w:rsidP="00D01E96">
      <w:pPr>
        <w:pStyle w:val="Heading3"/>
      </w:pPr>
      <w:bookmarkStart w:id="14" w:name="_Toc117356559"/>
      <w:bookmarkStart w:id="15" w:name="_Toc134321291"/>
      <w:r w:rsidRPr="00EA288B">
        <w:lastRenderedPageBreak/>
        <w:t>Medium</w:t>
      </w:r>
      <w:r w:rsidR="00594653">
        <w:noBreakHyphen/>
      </w:r>
      <w:r w:rsidRPr="00EA288B">
        <w:t>term projections</w:t>
      </w:r>
      <w:bookmarkEnd w:id="14"/>
      <w:bookmarkEnd w:id="15"/>
    </w:p>
    <w:p w14:paraId="3FFEDD24" w14:textId="285DFFE7" w:rsidR="00047BA1" w:rsidRPr="004E1159" w:rsidRDefault="005A50AF" w:rsidP="00047BA1">
      <w:r w:rsidRPr="004E1159">
        <w:t>The medium</w:t>
      </w:r>
      <w:r w:rsidR="00594653" w:rsidRPr="004E1159">
        <w:noBreakHyphen/>
      </w:r>
      <w:r w:rsidRPr="004E1159">
        <w:t xml:space="preserve">term fiscal outlook has improved </w:t>
      </w:r>
      <w:r w:rsidR="009532DC" w:rsidRPr="004E1159">
        <w:t xml:space="preserve">considerably </w:t>
      </w:r>
      <w:r w:rsidRPr="004E1159">
        <w:t xml:space="preserve">since the </w:t>
      </w:r>
      <w:r w:rsidR="00F634C3" w:rsidRPr="004E1159">
        <w:t>October Budget</w:t>
      </w:r>
      <w:r w:rsidR="002C1578" w:rsidRPr="004E1159">
        <w:t>.</w:t>
      </w:r>
      <w:r w:rsidR="002D1ED0" w:rsidRPr="004E1159">
        <w:t xml:space="preserve"> </w:t>
      </w:r>
      <w:r w:rsidR="0003600E" w:rsidRPr="004E1159">
        <w:t xml:space="preserve">The underlying cash </w:t>
      </w:r>
      <w:r w:rsidR="00B87B99" w:rsidRPr="004E1159">
        <w:t>deficit</w:t>
      </w:r>
      <w:r w:rsidR="0003600E" w:rsidRPr="004E1159">
        <w:t xml:space="preserve"> is projected to </w:t>
      </w:r>
      <w:r w:rsidR="00F51298" w:rsidRPr="004E1159">
        <w:t xml:space="preserve">reach </w:t>
      </w:r>
      <w:r w:rsidR="00E77DB7" w:rsidRPr="004E1159">
        <w:t>0.</w:t>
      </w:r>
      <w:r w:rsidR="00B87B99" w:rsidRPr="004E1159">
        <w:t xml:space="preserve">2 per cent of GDP by </w:t>
      </w:r>
      <w:r w:rsidR="00007014" w:rsidRPr="004E1159">
        <w:t>2033</w:t>
      </w:r>
      <w:r w:rsidR="00FC4E9C" w:rsidRPr="004E1159">
        <w:t>–</w:t>
      </w:r>
      <w:r w:rsidR="00007014" w:rsidRPr="004E1159">
        <w:t>34</w:t>
      </w:r>
      <w:r w:rsidR="00B87B99" w:rsidRPr="004E1159">
        <w:t>.</w:t>
      </w:r>
      <w:r w:rsidR="002D1ED0" w:rsidRPr="004E1159">
        <w:t xml:space="preserve"> </w:t>
      </w:r>
      <w:r w:rsidR="00047BA1" w:rsidRPr="004E1159">
        <w:t>This reflects the Government</w:t>
      </w:r>
      <w:r w:rsidR="00594653" w:rsidRPr="004E1159">
        <w:t>’</w:t>
      </w:r>
      <w:r w:rsidR="00047BA1" w:rsidRPr="004E1159">
        <w:t>s decision to return higher</w:t>
      </w:r>
      <w:r w:rsidR="00594653" w:rsidRPr="004E1159">
        <w:noBreakHyphen/>
      </w:r>
      <w:r w:rsidR="00047BA1" w:rsidRPr="004E1159">
        <w:t>than</w:t>
      </w:r>
      <w:r w:rsidR="00594653" w:rsidRPr="004E1159">
        <w:noBreakHyphen/>
      </w:r>
      <w:r w:rsidR="00047BA1" w:rsidRPr="004E1159">
        <w:t xml:space="preserve">expected tax receipts to </w:t>
      </w:r>
      <w:r w:rsidR="00E97B0B" w:rsidRPr="004E1159">
        <w:t xml:space="preserve">the </w:t>
      </w:r>
      <w:r w:rsidR="00047BA1" w:rsidRPr="004E1159">
        <w:t>budget</w:t>
      </w:r>
      <w:r w:rsidR="00332C02" w:rsidRPr="004E1159">
        <w:t>,</w:t>
      </w:r>
      <w:r w:rsidR="00047BA1" w:rsidRPr="004E1159">
        <w:t xml:space="preserve"> and </w:t>
      </w:r>
      <w:r w:rsidR="00332C02" w:rsidRPr="004E1159">
        <w:t>the flow</w:t>
      </w:r>
      <w:r w:rsidR="00594653" w:rsidRPr="004E1159">
        <w:noBreakHyphen/>
      </w:r>
      <w:r w:rsidR="00332C02" w:rsidRPr="004E1159">
        <w:t>on benefit of lower interest payments</w:t>
      </w:r>
      <w:r w:rsidR="00047BA1" w:rsidRPr="004E1159">
        <w:t xml:space="preserve">. </w:t>
      </w:r>
    </w:p>
    <w:p w14:paraId="0FBE533A" w14:textId="57D5217E" w:rsidR="002C1578" w:rsidRPr="004E1159" w:rsidRDefault="00A7790C" w:rsidP="00432D23">
      <w:pPr>
        <w:pStyle w:val="Bullet"/>
      </w:pPr>
      <w:r w:rsidRPr="004E1159">
        <w:t>T</w:t>
      </w:r>
      <w:r w:rsidR="001B04F7" w:rsidRPr="004E1159">
        <w:t xml:space="preserve">he underlying cash deficit </w:t>
      </w:r>
      <w:r w:rsidR="005369F6" w:rsidRPr="004E1159">
        <w:t>in 203</w:t>
      </w:r>
      <w:r w:rsidR="00722F75" w:rsidRPr="004E1159">
        <w:t>2</w:t>
      </w:r>
      <w:r w:rsidR="00F634C3" w:rsidRPr="004E1159">
        <w:t>–</w:t>
      </w:r>
      <w:r w:rsidR="00ED283C" w:rsidRPr="004E1159">
        <w:t>3</w:t>
      </w:r>
      <w:r w:rsidR="00722F75" w:rsidRPr="004E1159">
        <w:t>3</w:t>
      </w:r>
      <w:r w:rsidR="005369F6" w:rsidRPr="004E1159">
        <w:t xml:space="preserve"> </w:t>
      </w:r>
      <w:r w:rsidR="001B04F7" w:rsidRPr="004E1159">
        <w:t xml:space="preserve">is expected to be </w:t>
      </w:r>
      <w:r w:rsidR="00D7214D" w:rsidRPr="004E1159">
        <w:t>0.</w:t>
      </w:r>
      <w:r w:rsidR="000A1986" w:rsidRPr="004E1159">
        <w:t>5</w:t>
      </w:r>
      <w:r w:rsidR="00F634C3" w:rsidRPr="004E1159">
        <w:t> per </w:t>
      </w:r>
      <w:r w:rsidR="001B04F7" w:rsidRPr="004E1159">
        <w:t xml:space="preserve">cent of GDP, </w:t>
      </w:r>
      <w:r w:rsidR="003460C7" w:rsidRPr="004E1159">
        <w:t>1.</w:t>
      </w:r>
      <w:r w:rsidR="00957BF1" w:rsidRPr="004E1159">
        <w:t>5</w:t>
      </w:r>
      <w:r w:rsidR="00F634C3" w:rsidRPr="004E1159">
        <w:t> percentage</w:t>
      </w:r>
      <w:r w:rsidR="001B04F7" w:rsidRPr="004E1159">
        <w:t xml:space="preserve"> points smaller than </w:t>
      </w:r>
      <w:r w:rsidR="004E7809" w:rsidRPr="004E1159">
        <w:t xml:space="preserve">projected </w:t>
      </w:r>
      <w:r w:rsidR="001B04F7" w:rsidRPr="004E1159">
        <w:t xml:space="preserve">at </w:t>
      </w:r>
      <w:r w:rsidR="00905F07" w:rsidRPr="004E1159">
        <w:t xml:space="preserve">the </w:t>
      </w:r>
      <w:r w:rsidR="00F634C3" w:rsidRPr="004E1159">
        <w:t>October Budget</w:t>
      </w:r>
      <w:r w:rsidR="001B04F7" w:rsidRPr="004E1159">
        <w:t xml:space="preserve"> (</w:t>
      </w:r>
      <w:r w:rsidR="00E21765" w:rsidRPr="004E1159">
        <w:t>Chart </w:t>
      </w:r>
      <w:r w:rsidR="001B04F7" w:rsidRPr="004E1159">
        <w:t>3.</w:t>
      </w:r>
      <w:r w:rsidR="00CA69D6" w:rsidRPr="004E1159">
        <w:t>4</w:t>
      </w:r>
      <w:r w:rsidR="001B04F7" w:rsidRPr="004E1159">
        <w:t xml:space="preserve">). </w:t>
      </w:r>
    </w:p>
    <w:p w14:paraId="23ABCD11" w14:textId="5DFE52AF" w:rsidR="0092212F" w:rsidRPr="004E1159" w:rsidRDefault="007326EB" w:rsidP="001B51AA">
      <w:pPr>
        <w:pStyle w:val="Bullet"/>
      </w:pPr>
      <w:r w:rsidRPr="004E1159">
        <w:t xml:space="preserve">The primary balance is expected to </w:t>
      </w:r>
      <w:r w:rsidR="00A7790C" w:rsidRPr="004E1159">
        <w:t xml:space="preserve">be in </w:t>
      </w:r>
      <w:r w:rsidRPr="004E1159">
        <w:t xml:space="preserve">surplus </w:t>
      </w:r>
      <w:r w:rsidR="005369F6" w:rsidRPr="004E1159">
        <w:t xml:space="preserve">from </w:t>
      </w:r>
      <w:r w:rsidR="00D61D44" w:rsidRPr="004E1159">
        <w:t>2029</w:t>
      </w:r>
      <w:r w:rsidR="00F634C3" w:rsidRPr="004E1159">
        <w:t>–</w:t>
      </w:r>
      <w:r w:rsidR="00D61D44" w:rsidRPr="004E1159">
        <w:t>30</w:t>
      </w:r>
      <w:r w:rsidR="005369F6" w:rsidRPr="004E1159">
        <w:t>. The primary balance in</w:t>
      </w:r>
      <w:r w:rsidR="003A2B54" w:rsidRPr="004E1159">
        <w:t> </w:t>
      </w:r>
      <w:r w:rsidR="005369F6" w:rsidRPr="004E1159">
        <w:t>203</w:t>
      </w:r>
      <w:r w:rsidR="00722F75" w:rsidRPr="004E1159">
        <w:t>2</w:t>
      </w:r>
      <w:r w:rsidR="00F634C3" w:rsidRPr="004E1159">
        <w:t>–</w:t>
      </w:r>
      <w:r w:rsidR="00AA5CD0" w:rsidRPr="004E1159">
        <w:t>3</w:t>
      </w:r>
      <w:r w:rsidR="00722F75" w:rsidRPr="004E1159">
        <w:t>3</w:t>
      </w:r>
      <w:r w:rsidR="005369F6" w:rsidRPr="004E1159">
        <w:t xml:space="preserve"> is expected to be </w:t>
      </w:r>
      <w:r w:rsidR="007F6108" w:rsidRPr="004E1159">
        <w:t xml:space="preserve">improved </w:t>
      </w:r>
      <w:r w:rsidR="005369F6" w:rsidRPr="004E1159">
        <w:t>b</w:t>
      </w:r>
      <w:r w:rsidR="007F6108" w:rsidRPr="004E1159">
        <w:t>y</w:t>
      </w:r>
      <w:r w:rsidRPr="004E1159">
        <w:t xml:space="preserve"> </w:t>
      </w:r>
      <w:r w:rsidR="00B02A5F" w:rsidRPr="004E1159">
        <w:t>0.9</w:t>
      </w:r>
      <w:r w:rsidR="00F634C3" w:rsidRPr="004E1159">
        <w:t> percentage</w:t>
      </w:r>
      <w:r w:rsidR="00DE3183" w:rsidRPr="004E1159">
        <w:t xml:space="preserve"> point</w:t>
      </w:r>
      <w:r w:rsidRPr="004E1159">
        <w:t xml:space="preserve"> of GDP</w:t>
      </w:r>
      <w:r w:rsidR="003546B3" w:rsidRPr="004E1159">
        <w:t xml:space="preserve"> </w:t>
      </w:r>
      <w:r w:rsidR="00273D9D" w:rsidRPr="004E1159">
        <w:t>relative to</w:t>
      </w:r>
      <w:r w:rsidR="003546B3" w:rsidRPr="004E1159">
        <w:t xml:space="preserve"> </w:t>
      </w:r>
      <w:r w:rsidR="00905F07" w:rsidRPr="004E1159">
        <w:t xml:space="preserve">the </w:t>
      </w:r>
      <w:r w:rsidR="00F634C3" w:rsidRPr="004E1159">
        <w:t>October Budget</w:t>
      </w:r>
      <w:r w:rsidR="002E7B8F" w:rsidRPr="004E1159">
        <w:t xml:space="preserve"> (</w:t>
      </w:r>
      <w:r w:rsidR="00E21765" w:rsidRPr="004E1159">
        <w:t>Chart </w:t>
      </w:r>
      <w:r w:rsidR="002E7B8F" w:rsidRPr="004E1159">
        <w:t>3.</w:t>
      </w:r>
      <w:r w:rsidR="00CA69D6" w:rsidRPr="004E1159">
        <w:t>5</w:t>
      </w:r>
      <w:r w:rsidR="002E7B8F" w:rsidRPr="004E1159">
        <w:t>)</w:t>
      </w:r>
      <w:r w:rsidRPr="004E1159">
        <w:t>.</w:t>
      </w:r>
    </w:p>
    <w:p w14:paraId="27B10583" w14:textId="4971A89A" w:rsidR="00980D0C" w:rsidRDefault="00980D0C" w:rsidP="00980D0C">
      <w:pPr>
        <w:pStyle w:val="Bullet"/>
      </w:pPr>
      <w:r w:rsidRPr="004E1159">
        <w:t xml:space="preserve">As a result, the Government accumulates less debt and pays less interest, with this impact compounding over time. In </w:t>
      </w:r>
      <w:r w:rsidR="00A27544" w:rsidRPr="004E1159">
        <w:t>2032</w:t>
      </w:r>
      <w:r w:rsidRPr="004E1159">
        <w:t>–</w:t>
      </w:r>
      <w:r w:rsidR="00A27544" w:rsidRPr="004E1159">
        <w:t>33</w:t>
      </w:r>
      <w:r w:rsidRPr="004E1159">
        <w:t xml:space="preserve">, </w:t>
      </w:r>
      <w:r w:rsidR="00F56F40" w:rsidRPr="004E1159">
        <w:t xml:space="preserve">total </w:t>
      </w:r>
      <w:r w:rsidRPr="004E1159">
        <w:t xml:space="preserve">interest payments are </w:t>
      </w:r>
      <w:r w:rsidR="008D5270" w:rsidRPr="004E1159">
        <w:t>0.6</w:t>
      </w:r>
      <w:r w:rsidRPr="004E1159">
        <w:t xml:space="preserve"> percentage points of GDP lower than projected in the October Budget.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855"/>
        <w:gridCol w:w="3855"/>
      </w:tblGrid>
      <w:tr w:rsidR="00837C47" w:rsidRPr="0058391B" w14:paraId="6D077FE1" w14:textId="77777777" w:rsidTr="00011359">
        <w:tc>
          <w:tcPr>
            <w:tcW w:w="3855" w:type="dxa"/>
          </w:tcPr>
          <w:p w14:paraId="45CA3615" w14:textId="6354DB65" w:rsidR="0092212F" w:rsidRPr="0058391B" w:rsidRDefault="00E21765" w:rsidP="00AB4D24">
            <w:pPr>
              <w:pStyle w:val="ChartMainHeading"/>
            </w:pPr>
            <w:r w:rsidRPr="004E1159">
              <w:t>Chart </w:t>
            </w:r>
            <w:r w:rsidR="0092212F" w:rsidRPr="004E1159">
              <w:t>3.</w:t>
            </w:r>
            <w:r w:rsidR="006459DD" w:rsidRPr="004E1159">
              <w:t>4</w:t>
            </w:r>
            <w:r w:rsidR="0058391B" w:rsidRPr="004E1159">
              <w:t>:</w:t>
            </w:r>
            <w:r w:rsidR="0092212F" w:rsidRPr="004E1159">
              <w:t xml:space="preserve"> </w:t>
            </w:r>
            <w:r w:rsidR="00316E2D" w:rsidRPr="004E1159">
              <w:t xml:space="preserve">Underlying </w:t>
            </w:r>
            <w:r w:rsidR="0092212F" w:rsidRPr="004E1159">
              <w:t>cash balance</w:t>
            </w:r>
            <w:r w:rsidR="00316E2D" w:rsidRPr="004E1159">
              <w:t xml:space="preserve"> </w:t>
            </w:r>
          </w:p>
        </w:tc>
        <w:tc>
          <w:tcPr>
            <w:tcW w:w="3855" w:type="dxa"/>
          </w:tcPr>
          <w:p w14:paraId="7989929A" w14:textId="025021DE" w:rsidR="0092212F" w:rsidRPr="0058391B" w:rsidRDefault="00E21765" w:rsidP="00AB4D24">
            <w:pPr>
              <w:pStyle w:val="ChartMainHeading"/>
            </w:pPr>
            <w:r w:rsidRPr="004E1159">
              <w:t>Chart </w:t>
            </w:r>
            <w:r w:rsidR="0092212F" w:rsidRPr="004E1159">
              <w:t>3.</w:t>
            </w:r>
            <w:r w:rsidR="006459DD" w:rsidRPr="004E1159">
              <w:t>5</w:t>
            </w:r>
            <w:r w:rsidR="0092212F" w:rsidRPr="004E1159">
              <w:t xml:space="preserve">: </w:t>
            </w:r>
            <w:r w:rsidR="00316E2D" w:rsidRPr="004E1159">
              <w:t>Primary cash balance</w:t>
            </w:r>
            <w:r w:rsidR="00316E2D" w:rsidRPr="004E1159" w:rsidDel="00316E2D">
              <w:t xml:space="preserve"> </w:t>
            </w:r>
          </w:p>
        </w:tc>
      </w:tr>
      <w:tr w:rsidR="0058391B" w14:paraId="406754E1" w14:textId="77777777" w:rsidTr="00011359">
        <w:tblPrEx>
          <w:tblCellMar>
            <w:left w:w="108" w:type="dxa"/>
          </w:tblCellMar>
        </w:tblPrEx>
        <w:tc>
          <w:tcPr>
            <w:tcW w:w="3855" w:type="dxa"/>
          </w:tcPr>
          <w:p w14:paraId="7714C468" w14:textId="3A289A3C" w:rsidR="0058391B" w:rsidRPr="0033720D" w:rsidRDefault="0094269C" w:rsidP="0002324C">
            <w:pPr>
              <w:pStyle w:val="ChartGraphic"/>
            </w:pPr>
            <w:r>
              <w:rPr>
                <w:noProof/>
              </w:rPr>
              <w:pict w14:anchorId="5F4D576F">
                <v:shape id="_x0000_i1028" type="#_x0000_t75" alt="This chart shows the primary cash balance as at the 2023-24 Budget and the 2022-23 October Budget. The primary cash balance is expected to be a surplus of 0.7 per cent of GDP in 2022-23. It is expected to then fall to a deficit before improving to balance in 2029-30 and reaching a surplus of 0.5 per cent of GDP in 2032-33. The 2022-23 October Budget projected a worse primary balance over the entire medium term - a deficit of 0.9 per cent of GDP in 2022-23 and a deficit of 0.4 per cent of GDP in 2032-33." style="width:179.55pt;height:181.4pt">
                  <v:imagedata r:id="rId21" o:title=""/>
                </v:shape>
              </w:pict>
            </w:r>
          </w:p>
        </w:tc>
        <w:tc>
          <w:tcPr>
            <w:tcW w:w="3855" w:type="dxa"/>
          </w:tcPr>
          <w:p w14:paraId="72BFBA9F" w14:textId="2F850C40" w:rsidR="0058391B" w:rsidRDefault="00086DB8" w:rsidP="005A71DE">
            <w:pPr>
              <w:pStyle w:val="ChartGraphic"/>
            </w:pPr>
            <w:r>
              <w:rPr>
                <w:noProof/>
              </w:rPr>
              <w:drawing>
                <wp:inline distT="0" distB="0" distL="0" distR="0" wp14:anchorId="38F21777" wp14:editId="11D207AF">
                  <wp:extent cx="2303145" cy="2303145"/>
                  <wp:effectExtent l="0" t="0" r="0" b="0"/>
                  <wp:docPr id="6" name="Picture 6" descr="This chart shows the primary cash balance as at the 2023-24 Budget and the 2022-23 October Budget. The primary cash balance is expected to be a surplus of 0.7 per cent of GDP in 2022-23. It is expected to then fall to a deficit before improving to balance in 2029-30 and reaching a surplus of 0.5 per cent of GDP in 2032-33. The 2022-23 October Budget projected a worse primary balance over the entire medium term - a deficit of 0.9 per cent of GDP in 2022-23 and a deficit of 0.4 per cent of GDP in 203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chart shows the primary cash balance as at the 2023-24 Budget and the 2022-23 October Budget. The primary cash balance is expected to be a surplus of 0.7 per cent of GDP in 2022-23. It is expected to then fall to a deficit before improving to balance in 2029-30 and reaching a surplus of 0.5 per cent of GDP in 2032-33. The 2022-23 October Budget projected a worse primary balance over the entire medium term - a deficit of 0.9 per cent of GDP in 2022-23 and a deficit of 0.4 per cent of GDP in 2032-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03145" cy="2303145"/>
                          </a:xfrm>
                          <a:prstGeom prst="rect">
                            <a:avLst/>
                          </a:prstGeom>
                          <a:noFill/>
                          <a:ln>
                            <a:noFill/>
                          </a:ln>
                        </pic:spPr>
                      </pic:pic>
                    </a:graphicData>
                  </a:graphic>
                </wp:inline>
              </w:drawing>
            </w:r>
          </w:p>
        </w:tc>
      </w:tr>
      <w:tr w:rsidR="0058391B" w:rsidRPr="0058391B" w14:paraId="61E5DABA" w14:textId="77777777" w:rsidTr="00011359">
        <w:tc>
          <w:tcPr>
            <w:tcW w:w="3855" w:type="dxa"/>
          </w:tcPr>
          <w:p w14:paraId="3E16568C" w14:textId="4DE280B4" w:rsidR="0058391B" w:rsidRPr="00957885" w:rsidRDefault="0058391B" w:rsidP="0058391B">
            <w:pPr>
              <w:pStyle w:val="ChartandTableFootnote"/>
              <w:rPr>
                <w:color w:val="auto"/>
              </w:rPr>
            </w:pPr>
            <w:r w:rsidRPr="00957885">
              <w:rPr>
                <w:color w:val="auto"/>
              </w:rPr>
              <w:t xml:space="preserve">Source: </w:t>
            </w:r>
            <w:r w:rsidRPr="00957885">
              <w:rPr>
                <w:color w:val="auto"/>
              </w:rPr>
              <w:tab/>
              <w:t>Treasury.</w:t>
            </w:r>
          </w:p>
        </w:tc>
        <w:tc>
          <w:tcPr>
            <w:tcW w:w="3855" w:type="dxa"/>
          </w:tcPr>
          <w:p w14:paraId="7A030BBA" w14:textId="5F8E602D" w:rsidR="0058391B" w:rsidRPr="00957885" w:rsidRDefault="0058391B" w:rsidP="0058391B">
            <w:pPr>
              <w:pStyle w:val="ChartandTableFootnote"/>
              <w:rPr>
                <w:color w:val="auto"/>
              </w:rPr>
            </w:pPr>
            <w:r w:rsidRPr="00957885">
              <w:rPr>
                <w:color w:val="auto"/>
              </w:rPr>
              <w:t xml:space="preserve">Source: </w:t>
            </w:r>
            <w:r w:rsidRPr="00957885">
              <w:rPr>
                <w:color w:val="auto"/>
              </w:rPr>
              <w:tab/>
              <w:t>Treasury.</w:t>
            </w:r>
          </w:p>
        </w:tc>
      </w:tr>
    </w:tbl>
    <w:p w14:paraId="0D3B9642" w14:textId="77777777" w:rsidR="0058391B" w:rsidRDefault="0058391B" w:rsidP="00FF3EF8">
      <w:pPr>
        <w:pStyle w:val="ChartLine"/>
      </w:pPr>
    </w:p>
    <w:p w14:paraId="54A5BC79" w14:textId="153BF941" w:rsidR="003459E9" w:rsidRPr="00EA288B" w:rsidRDefault="00B71067" w:rsidP="004A0ACE">
      <w:r w:rsidRPr="004E1159">
        <w:t xml:space="preserve">While improved, the </w:t>
      </w:r>
      <w:r w:rsidR="0077081E" w:rsidRPr="004E1159">
        <w:t>b</w:t>
      </w:r>
      <w:r w:rsidRPr="004E1159">
        <w:t>udget remains in underlying cash deficit over the medium term</w:t>
      </w:r>
      <w:r w:rsidR="0006628C" w:rsidRPr="004E1159">
        <w:t>. P</w:t>
      </w:r>
      <w:r w:rsidR="003459E9" w:rsidRPr="004E1159">
        <w:t>ayments</w:t>
      </w:r>
      <w:r w:rsidR="00851FB0" w:rsidRPr="004E1159">
        <w:t xml:space="preserve"> as a share of </w:t>
      </w:r>
      <w:r w:rsidR="003459E9" w:rsidRPr="004E1159">
        <w:t>GDP are expected to remain elevated above pre</w:t>
      </w:r>
      <w:r w:rsidR="00594653" w:rsidRPr="004E1159">
        <w:noBreakHyphen/>
      </w:r>
      <w:r w:rsidR="003459E9" w:rsidRPr="004E1159">
        <w:t>pandemic levels (</w:t>
      </w:r>
      <w:r w:rsidR="00E21765" w:rsidRPr="004E1159">
        <w:t>Chart </w:t>
      </w:r>
      <w:r w:rsidR="003459E9" w:rsidRPr="004E1159">
        <w:t>3.</w:t>
      </w:r>
      <w:r w:rsidR="007F36D4" w:rsidRPr="004E1159">
        <w:t>6</w:t>
      </w:r>
      <w:r w:rsidR="003459E9" w:rsidRPr="004E1159">
        <w:t>).</w:t>
      </w:r>
      <w:r w:rsidR="00EE535F" w:rsidRPr="004E1159">
        <w:t xml:space="preserve"> </w:t>
      </w:r>
    </w:p>
    <w:p w14:paraId="303A61D8" w14:textId="1E6D72B3" w:rsidR="00C41A0A" w:rsidRPr="004E1159" w:rsidRDefault="00E21765" w:rsidP="00AB4D24">
      <w:pPr>
        <w:pStyle w:val="ChartMainHeading"/>
      </w:pPr>
      <w:r w:rsidRPr="004E1159">
        <w:lastRenderedPageBreak/>
        <w:t>Chart </w:t>
      </w:r>
      <w:r w:rsidR="003459E9" w:rsidRPr="004E1159">
        <w:t>3.</w:t>
      </w:r>
      <w:r w:rsidR="006459DD" w:rsidRPr="004E1159">
        <w:t>6</w:t>
      </w:r>
      <w:r w:rsidR="003459E9" w:rsidRPr="004E1159">
        <w:t>: Payments and receipts</w:t>
      </w:r>
    </w:p>
    <w:p w14:paraId="753C5A86" w14:textId="5F0A0682" w:rsidR="003459E9" w:rsidRPr="008F5F0A" w:rsidRDefault="0094269C" w:rsidP="004E1E3F">
      <w:pPr>
        <w:pStyle w:val="ChartGraphic"/>
      </w:pPr>
      <w:r>
        <w:pict w14:anchorId="48938960">
          <v:shape id="_x0000_i1029" type="#_x0000_t75" alt="This chart shows 2023-24 Budget projections for total payments and receipts as a share of GDP. Historically receipts and payments have typically varied between 22 and 26 per cent of GDP, with spikes in payments-to-GDP and falls in receipts to GDP following economic downturns. Total payments are projected to remain elevated above historic levels in the projection period - decreasing from 26.5 per cent of GDP in 2023-24 to 26.4 per cent of GDP in 2033-34. Total receipts are projected to increase from 25.9 per cent of GDP in 2023-24 to 26.3 per cent of GDP in 2033-34." style="width:367.5pt;height:197.3pt">
            <v:imagedata r:id="rId23" o:title=""/>
          </v:shape>
        </w:pict>
      </w:r>
    </w:p>
    <w:p w14:paraId="2ACDF50E" w14:textId="77777777" w:rsidR="004A3280" w:rsidRDefault="004A3280" w:rsidP="004A3280">
      <w:pPr>
        <w:pStyle w:val="ChartandTableFootnote"/>
        <w:rPr>
          <w:color w:val="auto"/>
        </w:rPr>
      </w:pPr>
      <w:r w:rsidRPr="00EA288B">
        <w:rPr>
          <w:color w:val="auto"/>
        </w:rPr>
        <w:t xml:space="preserve">Source: </w:t>
      </w:r>
      <w:r w:rsidRPr="00EA288B">
        <w:rPr>
          <w:color w:val="auto"/>
        </w:rPr>
        <w:tab/>
        <w:t>Treasury.</w:t>
      </w:r>
    </w:p>
    <w:p w14:paraId="2769CE74" w14:textId="19980328" w:rsidR="003459E9" w:rsidRPr="00EA288B" w:rsidRDefault="003459E9" w:rsidP="00FF3EF8">
      <w:pPr>
        <w:pStyle w:val="ChartLine"/>
      </w:pPr>
    </w:p>
    <w:p w14:paraId="627583C1" w14:textId="76338CD6" w:rsidR="008F0EE4" w:rsidRDefault="008F0EE4" w:rsidP="008F0EE4">
      <w:pPr>
        <w:pStyle w:val="Heading4"/>
      </w:pPr>
      <w:r>
        <w:t>Improvements in the medium</w:t>
      </w:r>
      <w:r w:rsidR="00594653">
        <w:noBreakHyphen/>
      </w:r>
      <w:r>
        <w:t xml:space="preserve">term outlook since the </w:t>
      </w:r>
      <w:r w:rsidR="00F634C3">
        <w:t>October Budget</w:t>
      </w:r>
    </w:p>
    <w:p w14:paraId="7ED27A55" w14:textId="1D924426" w:rsidR="008F0EE4" w:rsidRPr="0013535E" w:rsidRDefault="008F0EE4" w:rsidP="001A031D">
      <w:r w:rsidRPr="004E1159">
        <w:t>The substantial improvement in the medium</w:t>
      </w:r>
      <w:r w:rsidR="00594653" w:rsidRPr="004E1159">
        <w:noBreakHyphen/>
      </w:r>
      <w:r w:rsidRPr="004E1159">
        <w:t xml:space="preserve">term fiscal outlook since the </w:t>
      </w:r>
      <w:r w:rsidR="00F634C3" w:rsidRPr="004E1159">
        <w:t>October Budget</w:t>
      </w:r>
      <w:r w:rsidRPr="004E1159">
        <w:t xml:space="preserve"> </w:t>
      </w:r>
      <w:r w:rsidR="00490223" w:rsidRPr="004E1159">
        <w:t xml:space="preserve">largely </w:t>
      </w:r>
      <w:r w:rsidRPr="004E1159">
        <w:t xml:space="preserve">reflects the upwards revision to </w:t>
      </w:r>
      <w:r w:rsidR="003C3762" w:rsidRPr="004E1159">
        <w:t xml:space="preserve">projected </w:t>
      </w:r>
      <w:r w:rsidRPr="004E1159">
        <w:t>tax receipts</w:t>
      </w:r>
      <w:r w:rsidR="003C3762" w:rsidRPr="004E1159">
        <w:t>,</w:t>
      </w:r>
      <w:r w:rsidRPr="004E1159">
        <w:t xml:space="preserve"> lower interest payments </w:t>
      </w:r>
      <w:r w:rsidR="006B4908" w:rsidRPr="004E1159">
        <w:t>due to lower debt levels and interest rates</w:t>
      </w:r>
      <w:r w:rsidR="004F77F1" w:rsidRPr="004E1159">
        <w:t xml:space="preserve">, </w:t>
      </w:r>
      <w:r w:rsidR="007A507E" w:rsidRPr="004E1159">
        <w:t>and moderation in growth of NDIS</w:t>
      </w:r>
      <w:r w:rsidR="0014674D" w:rsidRPr="004E1159">
        <w:t xml:space="preserve"> costs</w:t>
      </w:r>
      <w:r w:rsidR="007A507E" w:rsidRPr="004E1159">
        <w:t xml:space="preserve">. </w:t>
      </w:r>
    </w:p>
    <w:p w14:paraId="301CC33E" w14:textId="0483A2D1" w:rsidR="00E340F0" w:rsidRPr="00CC003E" w:rsidRDefault="00506114" w:rsidP="00DE021B">
      <w:r w:rsidRPr="004E1159">
        <w:t>The increase in projected</w:t>
      </w:r>
      <w:r w:rsidR="00E340F0" w:rsidRPr="004E1159">
        <w:t xml:space="preserve"> tax receipts </w:t>
      </w:r>
      <w:r w:rsidRPr="004E1159">
        <w:t>reflects</w:t>
      </w:r>
      <w:r w:rsidR="00E340F0" w:rsidRPr="004E1159">
        <w:t xml:space="preserve"> </w:t>
      </w:r>
      <w:r w:rsidRPr="004E1159">
        <w:t xml:space="preserve">stronger employment earnings, </w:t>
      </w:r>
      <w:r w:rsidR="00200C11" w:rsidRPr="004E1159">
        <w:t xml:space="preserve">that is a result of </w:t>
      </w:r>
      <w:r w:rsidRPr="004E1159">
        <w:t xml:space="preserve">a larger labour force and higher </w:t>
      </w:r>
      <w:r w:rsidR="00E340F0" w:rsidRPr="004E1159">
        <w:t xml:space="preserve">participation </w:t>
      </w:r>
      <w:r w:rsidRPr="004E1159">
        <w:t>rates</w:t>
      </w:r>
      <w:r w:rsidR="008B4C1B" w:rsidRPr="004E1159">
        <w:t>.</w:t>
      </w:r>
      <w:r w:rsidR="009A0217" w:rsidRPr="004E1159">
        <w:t xml:space="preserve"> </w:t>
      </w:r>
      <w:r w:rsidR="00924E32" w:rsidRPr="004E1159">
        <w:t>Policy m</w:t>
      </w:r>
      <w:r w:rsidR="00E340F0" w:rsidRPr="004E1159">
        <w:t>easures that improve the fairness and efficiency of the tax system</w:t>
      </w:r>
      <w:r w:rsidR="00C70CD9" w:rsidRPr="004E1159">
        <w:t xml:space="preserve">, such as </w:t>
      </w:r>
      <w:r w:rsidR="00BA4230" w:rsidRPr="004E1159">
        <w:t xml:space="preserve">better targeting superannuation </w:t>
      </w:r>
      <w:r w:rsidR="00924E32" w:rsidRPr="004E1159">
        <w:t xml:space="preserve">tax </w:t>
      </w:r>
      <w:r w:rsidR="00BA4230" w:rsidRPr="004E1159">
        <w:t xml:space="preserve">concessions and </w:t>
      </w:r>
      <w:r w:rsidR="00924E32" w:rsidRPr="004E1159">
        <w:t xml:space="preserve">reforms to </w:t>
      </w:r>
      <w:r w:rsidR="00976AB9" w:rsidRPr="004E1159">
        <w:t>the Petroleum Resource Rent Tax</w:t>
      </w:r>
      <w:r w:rsidR="004B3193" w:rsidRPr="004E1159">
        <w:t>,</w:t>
      </w:r>
      <w:r w:rsidR="00E340F0" w:rsidRPr="004E1159">
        <w:t xml:space="preserve"> are also supporting receipts. </w:t>
      </w:r>
      <w:r w:rsidR="00B07729" w:rsidRPr="004E1159">
        <w:t>T</w:t>
      </w:r>
      <w:r w:rsidR="002B6916" w:rsidRPr="004E1159">
        <w:t>ax</w:t>
      </w:r>
      <w:r w:rsidR="00B07729" w:rsidRPr="004E1159">
        <w:t xml:space="preserve"> receipts</w:t>
      </w:r>
      <w:r w:rsidR="00405054" w:rsidRPr="004E1159">
        <w:t xml:space="preserve"> as a share of </w:t>
      </w:r>
      <w:r w:rsidR="00E340F0" w:rsidRPr="004E1159">
        <w:t xml:space="preserve">GDP </w:t>
      </w:r>
      <w:r w:rsidR="00B07729" w:rsidRPr="004E1159">
        <w:t xml:space="preserve">are </w:t>
      </w:r>
      <w:r w:rsidR="005925C9" w:rsidRPr="004E1159">
        <w:t>expected to</w:t>
      </w:r>
      <w:r w:rsidR="00B07729" w:rsidRPr="004E1159">
        <w:t xml:space="preserve"> be</w:t>
      </w:r>
      <w:r w:rsidR="00E340F0" w:rsidRPr="004E1159">
        <w:t xml:space="preserve"> </w:t>
      </w:r>
      <w:r w:rsidR="003F1DF6" w:rsidRPr="004E1159">
        <w:t>24.</w:t>
      </w:r>
      <w:r w:rsidR="008C6806" w:rsidRPr="004E1159">
        <w:t>2</w:t>
      </w:r>
      <w:r w:rsidR="00F634C3" w:rsidRPr="004E1159">
        <w:t> per </w:t>
      </w:r>
      <w:r w:rsidR="00E340F0" w:rsidRPr="004E1159">
        <w:t>cent in 2032</w:t>
      </w:r>
      <w:r w:rsidR="00F634C3" w:rsidRPr="004E1159">
        <w:t>–</w:t>
      </w:r>
      <w:r w:rsidR="00E340F0" w:rsidRPr="004E1159">
        <w:t xml:space="preserve">33, </w:t>
      </w:r>
      <w:r w:rsidR="008C6806" w:rsidRPr="004E1159">
        <w:t>0.1 per</w:t>
      </w:r>
      <w:r w:rsidR="007B6CEB" w:rsidRPr="004E1159">
        <w:t>centage points</w:t>
      </w:r>
      <w:r w:rsidR="008C6806" w:rsidRPr="004E1159">
        <w:t xml:space="preserve"> </w:t>
      </w:r>
      <w:r w:rsidR="00E340F0" w:rsidRPr="004E1159">
        <w:t xml:space="preserve">higher than projected in October. </w:t>
      </w:r>
    </w:p>
    <w:p w14:paraId="3D4222C9" w14:textId="40338046" w:rsidR="00482F72" w:rsidRPr="00CC003E" w:rsidRDefault="00A0381A" w:rsidP="00482F72">
      <w:r w:rsidRPr="004E1159">
        <w:t>P</w:t>
      </w:r>
      <w:r w:rsidR="00E340F0" w:rsidRPr="004E1159">
        <w:t>ayments</w:t>
      </w:r>
      <w:r w:rsidR="001429A7" w:rsidRPr="004E1159">
        <w:t xml:space="preserve"> as a share of </w:t>
      </w:r>
      <w:r w:rsidR="00E340F0" w:rsidRPr="004E1159">
        <w:t xml:space="preserve">GDP </w:t>
      </w:r>
      <w:r w:rsidR="00B05F62" w:rsidRPr="004E1159">
        <w:t xml:space="preserve">are lower in every year of the forward estimates and </w:t>
      </w:r>
      <w:r w:rsidR="00AB6061" w:rsidRPr="004E1159">
        <w:t>across the</w:t>
      </w:r>
      <w:r w:rsidR="003A2B54" w:rsidRPr="004E1159">
        <w:t> </w:t>
      </w:r>
      <w:r w:rsidR="00AB6061" w:rsidRPr="004E1159">
        <w:t xml:space="preserve">medium term </w:t>
      </w:r>
      <w:r w:rsidR="00B05F62" w:rsidRPr="004E1159">
        <w:t xml:space="preserve">compared to the </w:t>
      </w:r>
      <w:r w:rsidR="003B4671" w:rsidRPr="004E1159">
        <w:t>October Budget. Payments</w:t>
      </w:r>
      <w:r w:rsidR="00AF4F9F" w:rsidRPr="004E1159">
        <w:t xml:space="preserve"> are expected to be </w:t>
      </w:r>
      <w:r w:rsidR="00AB6061" w:rsidRPr="004E1159">
        <w:t>1.</w:t>
      </w:r>
      <w:r w:rsidR="0083166B" w:rsidRPr="004E1159">
        <w:t>4</w:t>
      </w:r>
      <w:r w:rsidR="00D80998" w:rsidRPr="004E1159">
        <w:t> </w:t>
      </w:r>
      <w:r w:rsidR="00AF4F9F" w:rsidRPr="004E1159">
        <w:t>percentage points of GDP lower in 2032</w:t>
      </w:r>
      <w:r w:rsidR="003465C9" w:rsidRPr="004E1159">
        <w:t>–</w:t>
      </w:r>
      <w:r w:rsidR="00AF4F9F" w:rsidRPr="004E1159">
        <w:t xml:space="preserve">33 than in the October Budget. </w:t>
      </w:r>
      <w:r w:rsidR="00D14D8A" w:rsidRPr="004E1159">
        <w:t xml:space="preserve">Returning </w:t>
      </w:r>
      <w:r w:rsidR="006B4908" w:rsidRPr="004E1159">
        <w:t>most</w:t>
      </w:r>
      <w:r w:rsidR="00D14D8A" w:rsidRPr="004E1159">
        <w:t xml:space="preserve"> tax upgrades to the </w:t>
      </w:r>
      <w:r w:rsidR="006B4908" w:rsidRPr="004E1159">
        <w:t>B</w:t>
      </w:r>
      <w:r w:rsidR="00D14D8A" w:rsidRPr="004E1159">
        <w:t>udget</w:t>
      </w:r>
      <w:r w:rsidR="00482F72" w:rsidRPr="004E1159">
        <w:t xml:space="preserve"> </w:t>
      </w:r>
      <w:r w:rsidR="00B93111" w:rsidRPr="004E1159">
        <w:t>reduces deficits and debt accumulation reducing interest</w:t>
      </w:r>
      <w:r w:rsidR="00482F72" w:rsidRPr="004E1159">
        <w:t xml:space="preserve"> payments. </w:t>
      </w:r>
      <w:r w:rsidR="00AF4F9F" w:rsidRPr="004E1159">
        <w:t>T</w:t>
      </w:r>
      <w:r w:rsidR="00482F72" w:rsidRPr="004E1159">
        <w:t>otal</w:t>
      </w:r>
      <w:r w:rsidR="003A2B54" w:rsidRPr="004E1159">
        <w:t> </w:t>
      </w:r>
      <w:r w:rsidR="00482F72" w:rsidRPr="004E1159">
        <w:t>interest payments are lower by 0.6 per</w:t>
      </w:r>
      <w:r w:rsidR="0053590C" w:rsidRPr="004E1159">
        <w:t>centage points</w:t>
      </w:r>
      <w:r w:rsidR="0053590C" w:rsidRPr="004E1159" w:rsidDel="0053590C">
        <w:t xml:space="preserve"> </w:t>
      </w:r>
      <w:r w:rsidR="00482F72" w:rsidRPr="004E1159">
        <w:t xml:space="preserve">of GDP in 2032–33. </w:t>
      </w:r>
      <w:r w:rsidR="00BA11B8" w:rsidRPr="004E1159">
        <w:t>NDIS</w:t>
      </w:r>
      <w:r w:rsidR="005145D4" w:rsidRPr="004E1159">
        <w:t xml:space="preserve"> </w:t>
      </w:r>
      <w:r w:rsidR="004E5B88" w:rsidRPr="004E1159">
        <w:t>Commonwealth</w:t>
      </w:r>
      <w:r w:rsidR="00594653" w:rsidRPr="004E1159">
        <w:noBreakHyphen/>
      </w:r>
      <w:r w:rsidR="00BA11B8" w:rsidRPr="004E1159">
        <w:t>funded</w:t>
      </w:r>
      <w:r w:rsidR="004E5B88" w:rsidRPr="004E1159">
        <w:t xml:space="preserve"> participant payments are lower by </w:t>
      </w:r>
      <w:r w:rsidR="003515B3" w:rsidRPr="004E1159">
        <w:t>0.3 </w:t>
      </w:r>
      <w:r w:rsidR="004E5B88" w:rsidRPr="004E1159">
        <w:t>per</w:t>
      </w:r>
      <w:r w:rsidR="0053590C" w:rsidRPr="004E1159">
        <w:t>centage points </w:t>
      </w:r>
      <w:r w:rsidR="004E5B88" w:rsidRPr="004E1159">
        <w:t>of GDP in 2032–33</w:t>
      </w:r>
      <w:r w:rsidR="00D74687" w:rsidRPr="004E1159">
        <w:t>.</w:t>
      </w:r>
      <w:r w:rsidR="00103017" w:rsidRPr="004E1159">
        <w:t xml:space="preserve"> </w:t>
      </w:r>
      <w:r w:rsidR="00B062FE" w:rsidRPr="004E1159">
        <w:t>(Chart 3.</w:t>
      </w:r>
      <w:r w:rsidR="00950F4F" w:rsidRPr="004E1159">
        <w:t>7</w:t>
      </w:r>
      <w:r w:rsidR="00B062FE" w:rsidRPr="004E1159">
        <w:t>)</w:t>
      </w:r>
      <w:r w:rsidR="001069DD" w:rsidRPr="004E1159">
        <w:t xml:space="preserve">. </w:t>
      </w:r>
      <w:r w:rsidR="00103017" w:rsidRPr="004E1159">
        <w:t>N</w:t>
      </w:r>
      <w:r w:rsidR="00F43F94" w:rsidRPr="004E1159">
        <w:t>ominal GDP is higher</w:t>
      </w:r>
      <w:r w:rsidR="00103017" w:rsidRPr="004E1159">
        <w:t xml:space="preserve"> than at October Budget</w:t>
      </w:r>
      <w:r w:rsidR="00F43F94" w:rsidRPr="004E1159">
        <w:t xml:space="preserve"> </w:t>
      </w:r>
      <w:r w:rsidR="00C3514A" w:rsidRPr="004E1159">
        <w:t xml:space="preserve">further </w:t>
      </w:r>
      <w:r w:rsidR="00F43F94" w:rsidRPr="004E1159">
        <w:t>reduc</w:t>
      </w:r>
      <w:r w:rsidR="00103017" w:rsidRPr="004E1159">
        <w:t xml:space="preserve">ing </w:t>
      </w:r>
      <w:r w:rsidR="00F43F94" w:rsidRPr="004E1159">
        <w:t>payment</w:t>
      </w:r>
      <w:r w:rsidR="00D12A9E" w:rsidRPr="004E1159">
        <w:t>s</w:t>
      </w:r>
      <w:r w:rsidR="00103017" w:rsidRPr="004E1159">
        <w:t xml:space="preserve"> as a share</w:t>
      </w:r>
      <w:r w:rsidR="00C3514A" w:rsidRPr="004E1159">
        <w:t xml:space="preserve"> of </w:t>
      </w:r>
      <w:r w:rsidR="00103017" w:rsidRPr="004E1159">
        <w:t>the economy</w:t>
      </w:r>
      <w:r w:rsidR="001069DD" w:rsidRPr="004E1159">
        <w:t>.</w:t>
      </w:r>
    </w:p>
    <w:p w14:paraId="3266A88A" w14:textId="60100260" w:rsidR="0047281C" w:rsidRPr="004E6AE2" w:rsidRDefault="00E21765" w:rsidP="00AB4D24">
      <w:pPr>
        <w:pStyle w:val="ChartMainHeading"/>
      </w:pPr>
      <w:r w:rsidRPr="004E1159">
        <w:lastRenderedPageBreak/>
        <w:t>Chart </w:t>
      </w:r>
      <w:r w:rsidR="0047281C" w:rsidRPr="004E1159">
        <w:t>3.</w:t>
      </w:r>
      <w:r w:rsidR="006459DD" w:rsidRPr="004E1159">
        <w:t>7</w:t>
      </w:r>
      <w:r w:rsidR="0047281C" w:rsidRPr="004E1159">
        <w:t xml:space="preserve">: Revisions to major payments since the </w:t>
      </w:r>
      <w:r w:rsidR="002F0460" w:rsidRPr="004E1159">
        <w:t xml:space="preserve">2022–23 </w:t>
      </w:r>
      <w:r w:rsidR="0047281C" w:rsidRPr="004E1159">
        <w:t>October Budget</w:t>
      </w:r>
    </w:p>
    <w:p w14:paraId="6F229C66" w14:textId="2CBD37A2" w:rsidR="005D2940" w:rsidRDefault="0094269C" w:rsidP="005D2940">
      <w:pPr>
        <w:pStyle w:val="ChartGraphic"/>
      </w:pPr>
      <w:r>
        <w:pict w14:anchorId="59EE79A3">
          <v:shape id="_x0000_i1030" type="#_x0000_t75" alt="The chart shows revisions to major payments compared to the October 2022-23 Budget for the period 2022-23 to 2032-33. Payments that have been revised up for 2032-33 since the October Budget include Defence $8.7 billion, Aged Care $4.9 billion and Payments to Individuals $3.7 billion. These payments have been more than offset by declines in Interest Payments $20.6 billion, the National Disability Insurance Scheme $11.3 billion, the Age Pension $4.1 billion and Health $800 million. Overall, major payments are projected to be $23.2 billion lower relative to October Budget projections. " style="width:349.7pt;height:238.45pt">
            <v:imagedata r:id="rId24" o:title=""/>
          </v:shape>
        </w:pict>
      </w:r>
    </w:p>
    <w:p w14:paraId="22BBEFC6" w14:textId="2D494681" w:rsidR="0047281C" w:rsidRPr="00EA288B" w:rsidRDefault="0047281C" w:rsidP="00F56C50">
      <w:pPr>
        <w:pStyle w:val="ChartandTableFootnote"/>
        <w:rPr>
          <w:color w:val="auto"/>
        </w:rPr>
      </w:pPr>
      <w:r w:rsidRPr="00957885">
        <w:rPr>
          <w:color w:val="auto"/>
        </w:rPr>
        <w:t xml:space="preserve">Source: </w:t>
      </w:r>
      <w:r w:rsidRPr="00957885">
        <w:rPr>
          <w:color w:val="auto"/>
        </w:rPr>
        <w:tab/>
        <w:t xml:space="preserve">Treasury. </w:t>
      </w:r>
    </w:p>
    <w:p w14:paraId="1EEA36E7" w14:textId="73B45E05" w:rsidR="0047281C" w:rsidRPr="00EA288B" w:rsidRDefault="0047281C" w:rsidP="0047281C">
      <w:pPr>
        <w:pStyle w:val="ChartandTableFootnote"/>
        <w:rPr>
          <w:color w:val="auto"/>
        </w:rPr>
      </w:pPr>
      <w:r w:rsidRPr="00EA288B">
        <w:rPr>
          <w:color w:val="auto"/>
        </w:rPr>
        <w:t xml:space="preserve">Note: </w:t>
      </w:r>
      <w:r w:rsidRPr="00EA288B">
        <w:rPr>
          <w:color w:val="auto"/>
        </w:rPr>
        <w:tab/>
        <w:t xml:space="preserve">Numbers may differ from estimates presented in </w:t>
      </w:r>
      <w:r w:rsidRPr="00957885">
        <w:rPr>
          <w:rStyle w:val="Emphasis"/>
          <w:color w:val="auto"/>
        </w:rPr>
        <w:t>Statement 6: Expenses and Net Capital Investment</w:t>
      </w:r>
      <w:r w:rsidRPr="00EA288B">
        <w:rPr>
          <w:color w:val="auto"/>
        </w:rPr>
        <w:t xml:space="preserve"> due to accounting and classification differences. </w:t>
      </w:r>
      <w:r w:rsidR="00145C2A">
        <w:rPr>
          <w:color w:val="auto"/>
        </w:rPr>
        <w:t xml:space="preserve">Interest refers to </w:t>
      </w:r>
      <w:r w:rsidR="000C1D36">
        <w:rPr>
          <w:color w:val="auto"/>
        </w:rPr>
        <w:t xml:space="preserve">interest payments </w:t>
      </w:r>
      <w:r w:rsidR="00B52689">
        <w:rPr>
          <w:color w:val="auto"/>
        </w:rPr>
        <w:t xml:space="preserve">on </w:t>
      </w:r>
      <w:r w:rsidR="000A2864">
        <w:rPr>
          <w:color w:val="auto"/>
        </w:rPr>
        <w:t>Australian Government Securities</w:t>
      </w:r>
      <w:r w:rsidR="00014812">
        <w:rPr>
          <w:color w:val="auto"/>
        </w:rPr>
        <w:t xml:space="preserve">. </w:t>
      </w:r>
      <w:r w:rsidRPr="00EA288B">
        <w:rPr>
          <w:color w:val="auto"/>
        </w:rPr>
        <w:t>NDIS refers to the Commonwealth</w:t>
      </w:r>
      <w:r w:rsidR="00594653">
        <w:rPr>
          <w:color w:val="auto"/>
        </w:rPr>
        <w:t>’</w:t>
      </w:r>
      <w:r w:rsidRPr="00EA288B">
        <w:rPr>
          <w:color w:val="auto"/>
        </w:rPr>
        <w:t>s contribution to payments for NDIS participant supports.</w:t>
      </w:r>
    </w:p>
    <w:p w14:paraId="1A4909B2" w14:textId="77777777" w:rsidR="0047281C" w:rsidRPr="00EA288B" w:rsidRDefault="0047281C" w:rsidP="00FF3EF8">
      <w:pPr>
        <w:pStyle w:val="ChartLine"/>
      </w:pPr>
    </w:p>
    <w:p w14:paraId="3BCD6ED3" w14:textId="75C008ED" w:rsidR="00D47AA8" w:rsidRPr="004E1159" w:rsidRDefault="00877648" w:rsidP="007970FE">
      <w:bookmarkStart w:id="16" w:name="_Hlk134115082"/>
      <w:r w:rsidRPr="004E1159">
        <w:t>G</w:t>
      </w:r>
      <w:r w:rsidR="00BD670F" w:rsidRPr="004E1159">
        <w:t>rowth</w:t>
      </w:r>
      <w:r w:rsidR="00BD670F" w:rsidRPr="004E1159" w:rsidDel="00877648">
        <w:t xml:space="preserve"> </w:t>
      </w:r>
      <w:r w:rsidRPr="004E1159">
        <w:t>of</w:t>
      </w:r>
      <w:r w:rsidR="002E75A9" w:rsidRPr="004E1159">
        <w:t xml:space="preserve"> the </w:t>
      </w:r>
      <w:r w:rsidR="00EE266D" w:rsidRPr="004E1159">
        <w:t>fastest</w:t>
      </w:r>
      <w:r w:rsidR="002E75A9" w:rsidRPr="004E1159">
        <w:t xml:space="preserve"> growing m</w:t>
      </w:r>
      <w:r w:rsidR="00BD670F" w:rsidRPr="004E1159">
        <w:t>ajor payment</w:t>
      </w:r>
      <w:r w:rsidR="002E75A9" w:rsidRPr="004E1159">
        <w:t xml:space="preserve"> categories </w:t>
      </w:r>
      <w:r w:rsidR="00E372F0" w:rsidRPr="004E1159">
        <w:t xml:space="preserve">over the projections period </w:t>
      </w:r>
      <w:r w:rsidR="002B7489" w:rsidRPr="004E1159">
        <w:br/>
      </w:r>
      <w:r w:rsidR="00E372F0" w:rsidRPr="004E1159">
        <w:t>(2023</w:t>
      </w:r>
      <w:r w:rsidR="00235899" w:rsidRPr="004E1159">
        <w:t>–</w:t>
      </w:r>
      <w:r w:rsidR="00E372F0" w:rsidRPr="004E1159">
        <w:t xml:space="preserve">24 to 2033–34) </w:t>
      </w:r>
      <w:r w:rsidR="00EE266D" w:rsidRPr="004E1159">
        <w:t xml:space="preserve">is lower </w:t>
      </w:r>
      <w:r w:rsidR="00D013B2" w:rsidRPr="004E1159">
        <w:t xml:space="preserve">overall </w:t>
      </w:r>
      <w:r w:rsidR="00EE266D" w:rsidRPr="004E1159">
        <w:t>than at</w:t>
      </w:r>
      <w:r w:rsidR="00BD670F" w:rsidRPr="004E1159">
        <w:t xml:space="preserve"> October </w:t>
      </w:r>
      <w:r w:rsidR="00601D33" w:rsidRPr="004E1159">
        <w:t>B</w:t>
      </w:r>
      <w:r w:rsidR="00EE266D" w:rsidRPr="004E1159">
        <w:t xml:space="preserve">udget </w:t>
      </w:r>
      <w:r w:rsidR="003745A9" w:rsidRPr="004E1159">
        <w:t>(</w:t>
      </w:r>
      <w:r w:rsidR="00314E2E" w:rsidRPr="004E1159">
        <w:t>C</w:t>
      </w:r>
      <w:r w:rsidR="003745A9" w:rsidRPr="004E1159">
        <w:t>hart 3.</w:t>
      </w:r>
      <w:r w:rsidR="00775DCA" w:rsidRPr="004E1159">
        <w:t>8</w:t>
      </w:r>
      <w:r w:rsidR="003745A9" w:rsidRPr="004E1159">
        <w:t>)</w:t>
      </w:r>
      <w:r w:rsidR="00F532BA" w:rsidRPr="004E1159">
        <w:t xml:space="preserve">. </w:t>
      </w:r>
    </w:p>
    <w:p w14:paraId="2F970F9A" w14:textId="679C6448" w:rsidR="00D47AA8" w:rsidRPr="009E11D5" w:rsidRDefault="00D47AA8" w:rsidP="00D47AA8">
      <w:pPr>
        <w:pStyle w:val="Bullet"/>
      </w:pPr>
      <w:r w:rsidRPr="004E1159">
        <w:t xml:space="preserve">NDIS </w:t>
      </w:r>
      <w:r w:rsidR="0024268C" w:rsidRPr="004E1159">
        <w:t>Commonwealth</w:t>
      </w:r>
      <w:r w:rsidR="00594653" w:rsidRPr="004E1159">
        <w:noBreakHyphen/>
      </w:r>
      <w:r w:rsidR="0024268C" w:rsidRPr="004E1159">
        <w:t>funded participant</w:t>
      </w:r>
      <w:r w:rsidRPr="004E1159">
        <w:t xml:space="preserve"> </w:t>
      </w:r>
      <w:r w:rsidR="004C1DFA" w:rsidRPr="004E1159">
        <w:t xml:space="preserve">payments </w:t>
      </w:r>
      <w:r w:rsidR="00F510A8" w:rsidRPr="004E1159">
        <w:t xml:space="preserve">growth </w:t>
      </w:r>
      <w:r w:rsidR="000350FC" w:rsidRPr="004E1159">
        <w:t xml:space="preserve">is expected to </w:t>
      </w:r>
      <w:r w:rsidR="00C64739" w:rsidRPr="004E1159">
        <w:t>average</w:t>
      </w:r>
      <w:r w:rsidR="0054068F" w:rsidRPr="004E1159">
        <w:t xml:space="preserve"> </w:t>
      </w:r>
      <w:r w:rsidR="002648F3" w:rsidRPr="004E1159">
        <w:t>10</w:t>
      </w:r>
      <w:r w:rsidRPr="004E1159">
        <w:t>.</w:t>
      </w:r>
      <w:r w:rsidR="0007400A" w:rsidRPr="004E1159">
        <w:t>4</w:t>
      </w:r>
      <w:r w:rsidR="00F9286F" w:rsidRPr="004E1159">
        <w:t> </w:t>
      </w:r>
      <w:r w:rsidRPr="004E1159">
        <w:t xml:space="preserve">per cent </w:t>
      </w:r>
      <w:r w:rsidR="001B7E18" w:rsidRPr="004E1159">
        <w:t xml:space="preserve">over the </w:t>
      </w:r>
      <w:r w:rsidR="00AE7961" w:rsidRPr="004E1159">
        <w:t>projections period</w:t>
      </w:r>
      <w:r w:rsidR="001B7E18" w:rsidRPr="004E1159">
        <w:t xml:space="preserve"> </w:t>
      </w:r>
      <w:r w:rsidR="00BD04D2" w:rsidRPr="004E1159">
        <w:t>compared to 13.</w:t>
      </w:r>
      <w:r w:rsidR="00AF591F" w:rsidRPr="004E1159">
        <w:t>8</w:t>
      </w:r>
      <w:r w:rsidR="00BD04D2" w:rsidRPr="004E1159">
        <w:t xml:space="preserve"> </w:t>
      </w:r>
      <w:r w:rsidR="00594007" w:rsidRPr="004E1159">
        <w:t>per</w:t>
      </w:r>
      <w:r w:rsidR="009A07F5" w:rsidRPr="004E1159">
        <w:t xml:space="preserve"> </w:t>
      </w:r>
      <w:r w:rsidR="00594007" w:rsidRPr="004E1159">
        <w:t xml:space="preserve">cent </w:t>
      </w:r>
      <w:r w:rsidR="00A77036" w:rsidRPr="004E1159">
        <w:t>in the October Budget (2022</w:t>
      </w:r>
      <w:r w:rsidR="00880A18" w:rsidRPr="004E1159">
        <w:t>–</w:t>
      </w:r>
      <w:r w:rsidR="00A77036" w:rsidRPr="004E1159">
        <w:t>23 to 20</w:t>
      </w:r>
      <w:r w:rsidR="002715F8" w:rsidRPr="004E1159">
        <w:t>32</w:t>
      </w:r>
      <w:r w:rsidR="00880A18" w:rsidRPr="004E1159">
        <w:t>–</w:t>
      </w:r>
      <w:r w:rsidR="002715F8" w:rsidRPr="004E1159">
        <w:t>33). This reflects</w:t>
      </w:r>
      <w:r w:rsidR="00BD04D2" w:rsidRPr="004E1159">
        <w:t xml:space="preserve"> </w:t>
      </w:r>
      <w:r w:rsidRPr="004E1159">
        <w:t xml:space="preserve">the commitment of National Cabinet to </w:t>
      </w:r>
      <w:r w:rsidR="00FA11D0" w:rsidRPr="004E1159">
        <w:t>a</w:t>
      </w:r>
      <w:r w:rsidR="00765BFB" w:rsidRPr="004E1159">
        <w:t>n</w:t>
      </w:r>
      <w:r w:rsidRPr="004E1159">
        <w:t xml:space="preserve"> NDIS Financial Sustainability Framework </w:t>
      </w:r>
      <w:r w:rsidR="007E4C21" w:rsidRPr="004E1159">
        <w:t xml:space="preserve">to moderate growth </w:t>
      </w:r>
      <w:r w:rsidR="00D102D4" w:rsidRPr="004E1159">
        <w:t>in the Scheme costs</w:t>
      </w:r>
      <w:r w:rsidR="00481F8E" w:rsidRPr="004E1159">
        <w:t xml:space="preserve"> over</w:t>
      </w:r>
      <w:r w:rsidR="003A2B54" w:rsidRPr="004E1159">
        <w:t> </w:t>
      </w:r>
      <w:r w:rsidR="00D102D4" w:rsidRPr="004E1159">
        <w:t>time</w:t>
      </w:r>
      <w:r w:rsidR="00BE315B" w:rsidRPr="004E1159">
        <w:t>.</w:t>
      </w:r>
      <w:r w:rsidR="00481F8E" w:rsidRPr="009E11D5">
        <w:t xml:space="preserve"> </w:t>
      </w:r>
    </w:p>
    <w:p w14:paraId="2156334D" w14:textId="71460888" w:rsidR="00C11529" w:rsidRPr="0013535E" w:rsidRDefault="00F510A8" w:rsidP="00EA318E">
      <w:pPr>
        <w:pStyle w:val="Bullet"/>
      </w:pPr>
      <w:r w:rsidRPr="004E1159">
        <w:t>I</w:t>
      </w:r>
      <w:r w:rsidR="0017517C" w:rsidRPr="004E1159">
        <w:t>nterest payments</w:t>
      </w:r>
      <w:r w:rsidR="004930D6" w:rsidRPr="004E1159">
        <w:t xml:space="preserve"> growth</w:t>
      </w:r>
      <w:r w:rsidR="008B7F18" w:rsidRPr="004E1159">
        <w:t xml:space="preserve"> is expected to </w:t>
      </w:r>
      <w:r w:rsidR="00913645" w:rsidRPr="004E1159">
        <w:t>average</w:t>
      </w:r>
      <w:r w:rsidR="008B7F18" w:rsidRPr="004E1159">
        <w:t xml:space="preserve"> </w:t>
      </w:r>
      <w:r w:rsidR="0074433B" w:rsidRPr="004E1159">
        <w:t>8</w:t>
      </w:r>
      <w:r w:rsidR="008B7F18" w:rsidRPr="004E1159">
        <w:t>.</w:t>
      </w:r>
      <w:r w:rsidR="0074433B" w:rsidRPr="004E1159">
        <w:t>8</w:t>
      </w:r>
      <w:r w:rsidR="008B7F18" w:rsidRPr="004E1159">
        <w:t xml:space="preserve"> per</w:t>
      </w:r>
      <w:r w:rsidR="00FB5FDB" w:rsidRPr="004E1159">
        <w:t xml:space="preserve"> </w:t>
      </w:r>
      <w:r w:rsidR="008B7F18" w:rsidRPr="004E1159">
        <w:t xml:space="preserve">cent over the </w:t>
      </w:r>
      <w:r w:rsidR="00665341" w:rsidRPr="004E1159">
        <w:t>projections period</w:t>
      </w:r>
      <w:r w:rsidRPr="004E1159">
        <w:t xml:space="preserve"> </w:t>
      </w:r>
      <w:r w:rsidR="00665341" w:rsidRPr="004E1159">
        <w:t xml:space="preserve">compared to </w:t>
      </w:r>
      <w:r w:rsidR="00E9091D" w:rsidRPr="004E1159">
        <w:t>14</w:t>
      </w:r>
      <w:r w:rsidR="00D47AA8" w:rsidRPr="004E1159">
        <w:t>.</w:t>
      </w:r>
      <w:r w:rsidR="00E9091D" w:rsidRPr="004E1159">
        <w:t>4</w:t>
      </w:r>
      <w:r w:rsidR="00665341" w:rsidRPr="004E1159">
        <w:t xml:space="preserve"> </w:t>
      </w:r>
      <w:r w:rsidR="00594007" w:rsidRPr="004E1159">
        <w:t>per</w:t>
      </w:r>
      <w:r w:rsidR="009A07F5" w:rsidRPr="004E1159">
        <w:t xml:space="preserve"> </w:t>
      </w:r>
      <w:r w:rsidR="00594007" w:rsidRPr="004E1159">
        <w:t>cent</w:t>
      </w:r>
      <w:r w:rsidR="00665341" w:rsidRPr="004E1159">
        <w:t xml:space="preserve"> in the October Budget</w:t>
      </w:r>
      <w:r w:rsidR="00792F42" w:rsidRPr="004E1159">
        <w:t>. This</w:t>
      </w:r>
      <w:r w:rsidR="0017517C" w:rsidRPr="004E1159">
        <w:t xml:space="preserve"> </w:t>
      </w:r>
      <w:r w:rsidR="00D74278" w:rsidRPr="004E1159">
        <w:t>primarily</w:t>
      </w:r>
      <w:r w:rsidR="0017517C" w:rsidRPr="004E1159">
        <w:t xml:space="preserve"> </w:t>
      </w:r>
      <w:r w:rsidR="00792F42" w:rsidRPr="004E1159">
        <w:t xml:space="preserve">reflects </w:t>
      </w:r>
      <w:r w:rsidR="0017517C" w:rsidRPr="004E1159">
        <w:t>the Government</w:t>
      </w:r>
      <w:r w:rsidR="00594653" w:rsidRPr="004E1159">
        <w:t>’</w:t>
      </w:r>
      <w:r w:rsidR="0017517C" w:rsidRPr="004E1159">
        <w:t xml:space="preserve">s decision to bank </w:t>
      </w:r>
      <w:r w:rsidR="00C11529" w:rsidRPr="004E1159">
        <w:t xml:space="preserve">tax receipts </w:t>
      </w:r>
      <w:r w:rsidR="0017517C" w:rsidRPr="004E1159">
        <w:t>upgrades</w:t>
      </w:r>
      <w:r w:rsidR="0053590C" w:rsidRPr="004E1159">
        <w:t>,</w:t>
      </w:r>
      <w:r w:rsidR="00061044" w:rsidRPr="004E1159">
        <w:t xml:space="preserve"> which has resulted in lower deficits and</w:t>
      </w:r>
      <w:r w:rsidR="0017517C" w:rsidRPr="004E1159">
        <w:t xml:space="preserve"> lower </w:t>
      </w:r>
      <w:r w:rsidR="00A56412" w:rsidRPr="004E1159">
        <w:t>debt</w:t>
      </w:r>
      <w:r w:rsidR="00E566C2" w:rsidRPr="004E1159">
        <w:t>,</w:t>
      </w:r>
      <w:r w:rsidR="00A56412" w:rsidRPr="004E1159">
        <w:t xml:space="preserve"> </w:t>
      </w:r>
      <w:r w:rsidR="00061044" w:rsidRPr="004E1159">
        <w:t>as well as</w:t>
      </w:r>
      <w:r w:rsidR="00A56412" w:rsidRPr="004E1159">
        <w:t xml:space="preserve"> lower </w:t>
      </w:r>
      <w:r w:rsidR="0017517C" w:rsidRPr="004E1159">
        <w:t>assumed yields</w:t>
      </w:r>
      <w:r w:rsidR="00C21166" w:rsidRPr="004E1159">
        <w:t>.</w:t>
      </w:r>
      <w:r w:rsidR="00F759D4" w:rsidRPr="004E1159">
        <w:t xml:space="preserve"> </w:t>
      </w:r>
    </w:p>
    <w:p w14:paraId="76AFDA14" w14:textId="538653DB" w:rsidR="006C28FB" w:rsidRPr="006C28FB" w:rsidRDefault="006C28FB" w:rsidP="006C28FB">
      <w:pPr>
        <w:pStyle w:val="Bullet"/>
      </w:pPr>
      <w:r w:rsidRPr="004E1159">
        <w:t>The Government</w:t>
      </w:r>
      <w:r w:rsidR="00594653" w:rsidRPr="004E1159">
        <w:t>’</w:t>
      </w:r>
      <w:r w:rsidRPr="004E1159">
        <w:t>s commitment to implement the Defence Strategic Review will include increased spending over the medium term, with spending estimated to</w:t>
      </w:r>
      <w:r w:rsidR="00061044" w:rsidRPr="004E1159">
        <w:t xml:space="preserve"> rise</w:t>
      </w:r>
      <w:r w:rsidRPr="004E1159">
        <w:t xml:space="preserve"> above 2.3</w:t>
      </w:r>
      <w:r w:rsidR="00555991" w:rsidRPr="004E1159">
        <w:t> </w:t>
      </w:r>
      <w:r w:rsidRPr="004E1159">
        <w:t>per cent of GDP in 2032</w:t>
      </w:r>
      <w:r w:rsidR="00733852" w:rsidRPr="004E1159">
        <w:t>–</w:t>
      </w:r>
      <w:r w:rsidRPr="004E1159">
        <w:t>33, based on current GDP projections. Over the next 12</w:t>
      </w:r>
      <w:r w:rsidR="00437D6F" w:rsidRPr="004E1159">
        <w:t> </w:t>
      </w:r>
      <w:r w:rsidRPr="004E1159">
        <w:t>months, Defence is undertaking work to reshape the Defence Integrated Investment Program, in line with the findings and recommendations of the review.</w:t>
      </w:r>
    </w:p>
    <w:p w14:paraId="5E42CC3C" w14:textId="28018DE9" w:rsidR="00FF5995" w:rsidRPr="004E1159" w:rsidRDefault="005A14B2" w:rsidP="00FF5995">
      <w:pPr>
        <w:pStyle w:val="Bullet"/>
      </w:pPr>
      <w:r w:rsidRPr="004E1159">
        <w:lastRenderedPageBreak/>
        <w:t xml:space="preserve">Hospitals and Medical </w:t>
      </w:r>
      <w:r w:rsidR="00770C00" w:rsidRPr="004E1159">
        <w:t>b</w:t>
      </w:r>
      <w:r w:rsidRPr="004E1159">
        <w:t xml:space="preserve">enefits payments growth are expected to be 6.5 and </w:t>
      </w:r>
      <w:r w:rsidR="00951E59" w:rsidRPr="004E1159">
        <w:t>6</w:t>
      </w:r>
      <w:r w:rsidRPr="004E1159">
        <w:t>.</w:t>
      </w:r>
      <w:r w:rsidR="00951E59" w:rsidRPr="004E1159">
        <w:t>0</w:t>
      </w:r>
      <w:r w:rsidRPr="004E1159">
        <w:t xml:space="preserve"> per cent </w:t>
      </w:r>
      <w:r w:rsidR="00050BBF" w:rsidRPr="004E1159">
        <w:t>on</w:t>
      </w:r>
      <w:r w:rsidR="006D5156" w:rsidRPr="004E1159">
        <w:t xml:space="preserve"> average</w:t>
      </w:r>
      <w:r w:rsidR="00050BBF" w:rsidRPr="004E1159">
        <w:t>,</w:t>
      </w:r>
      <w:r w:rsidRPr="004E1159">
        <w:t xml:space="preserve"> respectively</w:t>
      </w:r>
      <w:r w:rsidR="00050BBF" w:rsidRPr="004E1159">
        <w:t>,</w:t>
      </w:r>
      <w:r w:rsidR="00935BF5" w:rsidRPr="004E1159">
        <w:t xml:space="preserve"> over the projections period, </w:t>
      </w:r>
      <w:r w:rsidR="006A08E5" w:rsidRPr="004E1159">
        <w:t>compared to</w:t>
      </w:r>
      <w:r w:rsidR="00935BF5" w:rsidRPr="004E1159">
        <w:t xml:space="preserve"> </w:t>
      </w:r>
      <w:r w:rsidR="006A08E5" w:rsidRPr="004E1159">
        <w:t>6.5</w:t>
      </w:r>
      <w:r w:rsidR="00935BF5" w:rsidRPr="004E1159">
        <w:t xml:space="preserve"> and </w:t>
      </w:r>
      <w:r w:rsidR="006A08E5" w:rsidRPr="004E1159">
        <w:t>5.4</w:t>
      </w:r>
      <w:r w:rsidR="002126F3" w:rsidRPr="004E1159">
        <w:t xml:space="preserve"> per cent</w:t>
      </w:r>
      <w:r w:rsidR="00935BF5" w:rsidRPr="004E1159">
        <w:t xml:space="preserve"> in the October Budget. </w:t>
      </w:r>
      <w:r w:rsidR="00964013" w:rsidRPr="004E1159">
        <w:t>For Medical benefits, t</w:t>
      </w:r>
      <w:r w:rsidR="00FF5995" w:rsidRPr="004E1159">
        <w:t>his reflects</w:t>
      </w:r>
      <w:r w:rsidR="00CE46B9" w:rsidRPr="004E1159">
        <w:t xml:space="preserve"> </w:t>
      </w:r>
      <w:r w:rsidR="00BD4778" w:rsidRPr="004E1159">
        <w:t xml:space="preserve">revised </w:t>
      </w:r>
      <w:r w:rsidR="007B7FF5" w:rsidRPr="004E1159">
        <w:t>projections for growin</w:t>
      </w:r>
      <w:r w:rsidR="00C433E0" w:rsidRPr="004E1159">
        <w:t>g</w:t>
      </w:r>
      <w:r w:rsidR="007B7FF5" w:rsidRPr="004E1159">
        <w:t xml:space="preserve"> demand </w:t>
      </w:r>
      <w:r w:rsidR="005C7E98" w:rsidRPr="004E1159">
        <w:t xml:space="preserve">for health services </w:t>
      </w:r>
      <w:r w:rsidR="008B5246" w:rsidRPr="004E1159">
        <w:t>in the medium</w:t>
      </w:r>
      <w:r w:rsidR="009870B9" w:rsidRPr="004E1159">
        <w:t xml:space="preserve"> </w:t>
      </w:r>
      <w:r w:rsidR="008B5246" w:rsidRPr="004E1159">
        <w:t>t</w:t>
      </w:r>
      <w:r w:rsidR="009870B9" w:rsidRPr="004E1159">
        <w:t>e</w:t>
      </w:r>
      <w:r w:rsidR="008B5246" w:rsidRPr="004E1159">
        <w:t>rm</w:t>
      </w:r>
      <w:r w:rsidR="005C7E98" w:rsidRPr="004E1159">
        <w:t xml:space="preserve"> </w:t>
      </w:r>
      <w:r w:rsidR="00CE46B9" w:rsidRPr="004E1159">
        <w:t xml:space="preserve">and </w:t>
      </w:r>
      <w:r w:rsidR="008A4F59" w:rsidRPr="004E1159">
        <w:t xml:space="preserve">increased </w:t>
      </w:r>
      <w:r w:rsidR="00CE46B9" w:rsidRPr="004E1159">
        <w:t>cost</w:t>
      </w:r>
      <w:r w:rsidR="008A4F59" w:rsidRPr="004E1159">
        <w:t>s</w:t>
      </w:r>
      <w:r w:rsidR="00CE46B9" w:rsidRPr="004E1159">
        <w:t xml:space="preserve"> of </w:t>
      </w:r>
      <w:r w:rsidR="00723170" w:rsidRPr="004E1159">
        <w:t>improved</w:t>
      </w:r>
      <w:r w:rsidR="00CE46B9" w:rsidRPr="004E1159">
        <w:t xml:space="preserve"> medical </w:t>
      </w:r>
      <w:r w:rsidR="008837C0" w:rsidRPr="004E1159">
        <w:t>technology</w:t>
      </w:r>
      <w:r w:rsidR="00E94D29" w:rsidRPr="004E1159">
        <w:t>.</w:t>
      </w:r>
      <w:r w:rsidR="00FF5995" w:rsidRPr="004E1159">
        <w:t xml:space="preserve"> </w:t>
      </w:r>
    </w:p>
    <w:p w14:paraId="40ACF215" w14:textId="5313571B" w:rsidR="00F5390E" w:rsidRPr="0013535E" w:rsidRDefault="00F84FF7" w:rsidP="00991D2B">
      <w:pPr>
        <w:pStyle w:val="Bullet"/>
      </w:pPr>
      <w:r w:rsidRPr="004E1159">
        <w:t xml:space="preserve">Aged care payments growth </w:t>
      </w:r>
      <w:r w:rsidR="00A9596B" w:rsidRPr="004E1159">
        <w:t>is</w:t>
      </w:r>
      <w:r w:rsidRPr="004E1159">
        <w:t xml:space="preserve"> expected to average 6.1 per cent </w:t>
      </w:r>
      <w:r w:rsidR="00874AF4" w:rsidRPr="004E1159">
        <w:t xml:space="preserve">over the projection period compared to 6.2 per cent in the October Budget. </w:t>
      </w:r>
      <w:r w:rsidR="0099734F" w:rsidRPr="004E1159">
        <w:t>This Budget provides similar growth in payments for aged care off a higher base</w:t>
      </w:r>
      <w:r w:rsidR="007671C9" w:rsidRPr="004E1159">
        <w:t>.</w:t>
      </w:r>
      <w:r w:rsidR="0099734F" w:rsidRPr="004E1159">
        <w:t xml:space="preserve"> </w:t>
      </w:r>
      <w:r w:rsidR="007671C9" w:rsidRPr="004E1159">
        <w:t xml:space="preserve">This </w:t>
      </w:r>
      <w:r w:rsidR="0099734F" w:rsidRPr="004E1159">
        <w:t>reflect</w:t>
      </w:r>
      <w:r w:rsidR="007671C9" w:rsidRPr="004E1159">
        <w:t>s</w:t>
      </w:r>
      <w:r w:rsidR="0099734F" w:rsidRPr="004E1159">
        <w:t xml:space="preserve"> </w:t>
      </w:r>
      <w:r w:rsidR="00C94552" w:rsidRPr="004E1159">
        <w:t>the Government</w:t>
      </w:r>
      <w:r w:rsidR="00594653" w:rsidRPr="004E1159">
        <w:t>’</w:t>
      </w:r>
      <w:r w:rsidR="00C94552" w:rsidRPr="004E1159">
        <w:t>s commitment to improv</w:t>
      </w:r>
      <w:r w:rsidR="00637F8A" w:rsidRPr="004E1159">
        <w:t>e</w:t>
      </w:r>
      <w:r w:rsidR="00C94552" w:rsidRPr="004E1159">
        <w:t xml:space="preserve"> the quality of aged care services and </w:t>
      </w:r>
      <w:r w:rsidR="00920B09" w:rsidRPr="004E1159">
        <w:t>provide funding to support</w:t>
      </w:r>
      <w:r w:rsidR="00C94552" w:rsidRPr="004E1159">
        <w:t xml:space="preserve"> the Fair Work Commission</w:t>
      </w:r>
      <w:r w:rsidR="00594653" w:rsidRPr="004E1159">
        <w:t>’</w:t>
      </w:r>
      <w:r w:rsidR="00C94552" w:rsidRPr="004E1159">
        <w:t xml:space="preserve">s </w:t>
      </w:r>
      <w:r w:rsidR="00353A4F" w:rsidRPr="004E1159">
        <w:t>interim</w:t>
      </w:r>
      <w:r w:rsidR="00C94552" w:rsidRPr="004E1159">
        <w:t xml:space="preserve"> </w:t>
      </w:r>
      <w:r w:rsidR="00FC7834" w:rsidRPr="004E1159">
        <w:t xml:space="preserve">decision in the Aged Care Work Value Case </w:t>
      </w:r>
      <w:r w:rsidR="002E0C8F" w:rsidRPr="004E1159">
        <w:t>(</w:t>
      </w:r>
      <w:r w:rsidR="004F2AE1" w:rsidRPr="004E1159">
        <w:t>B</w:t>
      </w:r>
      <w:r w:rsidR="002E0C8F" w:rsidRPr="004E1159">
        <w:t>ox 3.</w:t>
      </w:r>
      <w:r w:rsidR="00F719B9" w:rsidRPr="004E1159">
        <w:t>3</w:t>
      </w:r>
      <w:r w:rsidR="002E0C8F" w:rsidRPr="004E1159">
        <w:t>)</w:t>
      </w:r>
      <w:r w:rsidR="00182311" w:rsidRPr="004E1159">
        <w:t>.</w:t>
      </w:r>
      <w:r w:rsidR="002E7D91" w:rsidRPr="004E1159">
        <w:t xml:space="preserve"> </w:t>
      </w:r>
    </w:p>
    <w:bookmarkEnd w:id="16"/>
    <w:p w14:paraId="6681C7BE" w14:textId="25F8C110" w:rsidR="0047281C" w:rsidRPr="004E6AE2" w:rsidRDefault="00E21765" w:rsidP="00AB4D24">
      <w:pPr>
        <w:pStyle w:val="ChartMainHeading"/>
      </w:pPr>
      <w:r w:rsidRPr="004E1159">
        <w:t>Chart </w:t>
      </w:r>
      <w:r w:rsidR="0047281C" w:rsidRPr="004E1159">
        <w:t>3.</w:t>
      </w:r>
      <w:r w:rsidR="00420E79" w:rsidRPr="004E1159">
        <w:t>8</w:t>
      </w:r>
      <w:r w:rsidR="0047281C" w:rsidRPr="004E1159">
        <w:t>: Average annual growth in major payments 2023–24 to 2033–34</w:t>
      </w:r>
    </w:p>
    <w:p w14:paraId="1BD8ADAD" w14:textId="1FB35B43" w:rsidR="0047281C" w:rsidRPr="00EA288B" w:rsidRDefault="0094269C" w:rsidP="005B2848">
      <w:pPr>
        <w:pStyle w:val="ChartGraphic"/>
      </w:pPr>
      <w:r>
        <w:pict w14:anchorId="3E21547F">
          <v:shape id="_x0000_i1031" type="#_x0000_t75" alt="The chart shows the growth of the fastest growing major payment categories over the projections period (2023–24 to 2033–34) compared to the October 2022-23 Budget (where the projection period was 2022-23 to 2032-33). Growth rates are calculated as annual average growth. The National Disability Insurance Scheme is the fastest growing payment at 10.4% compared to 13.8% in the October Budget. Interest is the second fastest growing payment at 8.8% compared to 14.4% in the October Budget, Hospitals is the third fastest at 6.5% unchanged from the October Budget, Defence is projected to grow at 6.3% compared to 5.6% in the October Budget, Aged Care is projected to grow at 6.1% compared to 6.2% in the October Budget, Medical Benefits is projected to grow at 6.0% compared to 5.4% in the October Budget and finally the Aged Pension is projected to grow at 4.7% compared to 5.3% in the October Budget." style="width:354.4pt;height:238.45pt">
            <v:imagedata r:id="rId25" o:title=""/>
          </v:shape>
        </w:pict>
      </w:r>
    </w:p>
    <w:p w14:paraId="628B7DAB" w14:textId="77777777" w:rsidR="0047281C" w:rsidRPr="00EA288B" w:rsidRDefault="0047281C" w:rsidP="0047281C">
      <w:pPr>
        <w:pStyle w:val="ChartandTableFootnote"/>
        <w:rPr>
          <w:color w:val="auto"/>
        </w:rPr>
      </w:pPr>
      <w:r w:rsidRPr="00EA288B">
        <w:rPr>
          <w:color w:val="auto"/>
        </w:rPr>
        <w:t xml:space="preserve">Source: </w:t>
      </w:r>
      <w:r w:rsidRPr="00EA288B">
        <w:rPr>
          <w:color w:val="auto"/>
        </w:rPr>
        <w:tab/>
        <w:t>Treasury.</w:t>
      </w:r>
    </w:p>
    <w:p w14:paraId="1C60EF53" w14:textId="3E74E777" w:rsidR="0047281C" w:rsidRPr="00EA288B" w:rsidRDefault="0047281C" w:rsidP="0047281C">
      <w:pPr>
        <w:pStyle w:val="ChartandTableFootnote"/>
        <w:rPr>
          <w:color w:val="auto"/>
        </w:rPr>
      </w:pPr>
      <w:r w:rsidRPr="00EA288B">
        <w:rPr>
          <w:color w:val="auto"/>
        </w:rPr>
        <w:t xml:space="preserve">Note: </w:t>
      </w:r>
      <w:r w:rsidRPr="00EA288B">
        <w:rPr>
          <w:color w:val="auto"/>
        </w:rPr>
        <w:tab/>
      </w:r>
      <w:r w:rsidR="00AF57C3">
        <w:rPr>
          <w:color w:val="auto"/>
        </w:rPr>
        <w:t xml:space="preserve">Interest refers to interest payments on </w:t>
      </w:r>
      <w:r w:rsidR="00F85BA3">
        <w:rPr>
          <w:color w:val="auto"/>
        </w:rPr>
        <w:t>Australian Government Securities</w:t>
      </w:r>
      <w:r w:rsidR="00AF57C3">
        <w:rPr>
          <w:color w:val="auto"/>
        </w:rPr>
        <w:t>.</w:t>
      </w:r>
      <w:r w:rsidR="00FE495A">
        <w:rPr>
          <w:color w:val="auto"/>
        </w:rPr>
        <w:t xml:space="preserve"> </w:t>
      </w:r>
      <w:r w:rsidRPr="00EA288B">
        <w:rPr>
          <w:color w:val="auto"/>
        </w:rPr>
        <w:t>NDIS refers to the Commonwealth</w:t>
      </w:r>
      <w:r w:rsidR="00594653">
        <w:rPr>
          <w:color w:val="auto"/>
        </w:rPr>
        <w:t>’</w:t>
      </w:r>
      <w:r w:rsidRPr="00EA288B">
        <w:rPr>
          <w:color w:val="auto"/>
        </w:rPr>
        <w:t>s contribution to payments for NDIS participant supports.</w:t>
      </w:r>
      <w:r w:rsidR="00F32484">
        <w:rPr>
          <w:color w:val="auto"/>
        </w:rPr>
        <w:t xml:space="preserve"> </w:t>
      </w:r>
      <w:r w:rsidR="00A06FE9">
        <w:rPr>
          <w:color w:val="auto"/>
        </w:rPr>
        <w:t>G</w:t>
      </w:r>
      <w:r w:rsidR="00575182" w:rsidRPr="00575182">
        <w:rPr>
          <w:color w:val="auto"/>
        </w:rPr>
        <w:t xml:space="preserve">rowth rate </w:t>
      </w:r>
      <w:r w:rsidR="00984C7B" w:rsidRPr="00575182">
        <w:rPr>
          <w:color w:val="auto"/>
        </w:rPr>
        <w:t>at</w:t>
      </w:r>
      <w:r w:rsidR="00984C7B">
        <w:rPr>
          <w:color w:val="auto"/>
        </w:rPr>
        <w:t xml:space="preserve"> </w:t>
      </w:r>
      <w:r w:rsidR="00984C7B" w:rsidRPr="00575182">
        <w:rPr>
          <w:color w:val="auto"/>
        </w:rPr>
        <w:t xml:space="preserve">the October Budget </w:t>
      </w:r>
      <w:r w:rsidR="00575182" w:rsidRPr="00575182">
        <w:rPr>
          <w:color w:val="auto"/>
        </w:rPr>
        <w:t>from</w:t>
      </w:r>
      <w:r w:rsidR="00575182">
        <w:rPr>
          <w:color w:val="auto"/>
        </w:rPr>
        <w:t xml:space="preserve"> </w:t>
      </w:r>
      <w:r w:rsidR="00575182" w:rsidRPr="00575182">
        <w:rPr>
          <w:color w:val="auto"/>
        </w:rPr>
        <w:t>2022</w:t>
      </w:r>
      <w:r w:rsidR="00D55B06">
        <w:rPr>
          <w:color w:val="auto"/>
        </w:rPr>
        <w:t>–</w:t>
      </w:r>
      <w:r w:rsidR="00575182" w:rsidRPr="00575182">
        <w:rPr>
          <w:color w:val="auto"/>
        </w:rPr>
        <w:t>23 to 2032</w:t>
      </w:r>
      <w:r w:rsidR="00D55B06">
        <w:rPr>
          <w:color w:val="auto"/>
        </w:rPr>
        <w:t>–</w:t>
      </w:r>
      <w:r w:rsidR="00575182" w:rsidRPr="00575182">
        <w:rPr>
          <w:color w:val="auto"/>
        </w:rPr>
        <w:t>33</w:t>
      </w:r>
      <w:r w:rsidR="00A06FE9">
        <w:rPr>
          <w:color w:val="auto"/>
        </w:rPr>
        <w:t>.</w:t>
      </w:r>
      <w:r w:rsidR="00575182" w:rsidRPr="00575182">
        <w:rPr>
          <w:color w:val="auto"/>
        </w:rPr>
        <w:t xml:space="preserve"> </w:t>
      </w:r>
    </w:p>
    <w:p w14:paraId="4DCA13B3" w14:textId="77777777" w:rsidR="0047281C" w:rsidRPr="00EA288B" w:rsidRDefault="0047281C" w:rsidP="00FF3EF8">
      <w:pPr>
        <w:pStyle w:val="ChartLine"/>
      </w:pPr>
    </w:p>
    <w:p w14:paraId="1C3A02DC" w14:textId="77777777" w:rsidR="00401859" w:rsidRPr="000B382B" w:rsidRDefault="00401859" w:rsidP="000B382B">
      <w:bookmarkStart w:id="17" w:name="_Toc117356560"/>
      <w:r>
        <w:br w:type="page"/>
      </w:r>
    </w:p>
    <w:p w14:paraId="4CFBD375" w14:textId="21F15B2F" w:rsidR="00D01E96" w:rsidRPr="00EA288B" w:rsidRDefault="00D01E96" w:rsidP="00D01E96">
      <w:pPr>
        <w:pStyle w:val="Heading3"/>
      </w:pPr>
      <w:bookmarkStart w:id="18" w:name="_Toc134321292"/>
      <w:r w:rsidRPr="00EA288B">
        <w:lastRenderedPageBreak/>
        <w:t>Receipts estimates and projections</w:t>
      </w:r>
      <w:bookmarkEnd w:id="17"/>
      <w:bookmarkEnd w:id="18"/>
    </w:p>
    <w:p w14:paraId="73EC0F8F" w14:textId="1598AD1A" w:rsidR="00D01E96" w:rsidRPr="001269C1" w:rsidRDefault="00D01E96" w:rsidP="00D01E96">
      <w:r w:rsidRPr="004E1159">
        <w:t xml:space="preserve">Total receipts are expected to </w:t>
      </w:r>
      <w:r w:rsidR="007C104A" w:rsidRPr="004E1159">
        <w:t>decrease</w:t>
      </w:r>
      <w:r w:rsidR="00D153C0" w:rsidRPr="004E1159">
        <w:t xml:space="preserve"> </w:t>
      </w:r>
      <w:r w:rsidRPr="004E1159">
        <w:t xml:space="preserve">from </w:t>
      </w:r>
      <w:r w:rsidR="002F0B53" w:rsidRPr="004E1159">
        <w:t>25.9</w:t>
      </w:r>
      <w:r w:rsidR="00F634C3" w:rsidRPr="004E1159">
        <w:t> per </w:t>
      </w:r>
      <w:r w:rsidRPr="004E1159">
        <w:t>cent of GDP in 202</w:t>
      </w:r>
      <w:r w:rsidR="003065A3" w:rsidRPr="004E1159">
        <w:t>3</w:t>
      </w:r>
      <w:r w:rsidRPr="004E1159">
        <w:t>–2</w:t>
      </w:r>
      <w:r w:rsidR="003065A3" w:rsidRPr="004E1159">
        <w:t>4</w:t>
      </w:r>
      <w:r w:rsidRPr="004E1159">
        <w:t xml:space="preserve"> to </w:t>
      </w:r>
      <w:r w:rsidR="002F0B53" w:rsidRPr="004E1159">
        <w:t>25.</w:t>
      </w:r>
      <w:r w:rsidR="00BB2FB7" w:rsidRPr="004E1159">
        <w:t>2</w:t>
      </w:r>
      <w:r w:rsidR="00F634C3" w:rsidRPr="004E1159">
        <w:t> per </w:t>
      </w:r>
      <w:r w:rsidRPr="004E1159">
        <w:t>cent of GDP in 202</w:t>
      </w:r>
      <w:r w:rsidR="003065A3" w:rsidRPr="004E1159">
        <w:t>6</w:t>
      </w:r>
      <w:r w:rsidRPr="004E1159">
        <w:t>–2</w:t>
      </w:r>
      <w:r w:rsidR="003065A3" w:rsidRPr="004E1159">
        <w:t>7</w:t>
      </w:r>
      <w:r w:rsidRPr="004E1159">
        <w:t>.</w:t>
      </w:r>
      <w:r w:rsidR="00187A49" w:rsidRPr="005E1BAE">
        <w:t xml:space="preserve"> </w:t>
      </w:r>
      <w:r w:rsidRPr="004E1159">
        <w:t xml:space="preserve">This largely reflects tax receipts, which are expected to </w:t>
      </w:r>
      <w:r w:rsidR="003D21DB" w:rsidRPr="004E1159">
        <w:t>decrease</w:t>
      </w:r>
      <w:r w:rsidRPr="004E1159">
        <w:t xml:space="preserve"> from </w:t>
      </w:r>
      <w:r w:rsidR="00805BAB" w:rsidRPr="004E1159">
        <w:t>23.9</w:t>
      </w:r>
      <w:r w:rsidR="00F634C3" w:rsidRPr="004E1159">
        <w:t> per </w:t>
      </w:r>
      <w:r w:rsidRPr="004E1159">
        <w:t xml:space="preserve">cent of GDP to </w:t>
      </w:r>
      <w:r w:rsidR="00805BAB" w:rsidRPr="004E1159">
        <w:t>23.3</w:t>
      </w:r>
      <w:r w:rsidR="00F634C3" w:rsidRPr="004E1159">
        <w:t> per </w:t>
      </w:r>
      <w:r w:rsidRPr="004E1159">
        <w:t>cent of GDP over this period</w:t>
      </w:r>
      <w:r w:rsidR="00697719" w:rsidRPr="004E1159">
        <w:t xml:space="preserve"> (Chart </w:t>
      </w:r>
      <w:r w:rsidR="008D3166" w:rsidRPr="004E1159">
        <w:t>3.9)</w:t>
      </w:r>
      <w:r w:rsidRPr="004E1159">
        <w:t xml:space="preserve">. </w:t>
      </w:r>
    </w:p>
    <w:p w14:paraId="10CD9516" w14:textId="7BE303D4" w:rsidR="00814E91" w:rsidRPr="00814E91" w:rsidRDefault="00E21765" w:rsidP="00AB4D24">
      <w:pPr>
        <w:pStyle w:val="ChartMainHeading"/>
      </w:pPr>
      <w:r>
        <w:t>Chart </w:t>
      </w:r>
      <w:r w:rsidR="00D01E96" w:rsidRPr="00EA288B">
        <w:t>3.</w:t>
      </w:r>
      <w:r w:rsidR="008C15EC">
        <w:t>9</w:t>
      </w:r>
      <w:r w:rsidR="00D01E96" w:rsidRPr="00EA288B">
        <w:t>: Total receipts</w:t>
      </w:r>
    </w:p>
    <w:p w14:paraId="34013CE9" w14:textId="23434B05" w:rsidR="00D01E96" w:rsidRPr="00B6734D" w:rsidRDefault="0094269C" w:rsidP="004B232A">
      <w:pPr>
        <w:pStyle w:val="ChartGraphic"/>
      </w:pPr>
      <w:r>
        <w:pict w14:anchorId="0B8909A2">
          <v:shape id="_x0000_i1032" type="#_x0000_t75" alt="This chart shows projections for total receipts and tax receipts as a share of GDP as at the 2023-24 Budget and 2022-23 October Budget. At the 2023-24 Budget, total receipts are expected to increase from 25.9 per cent of GDP in 2023-24 to 26.3 per cent of GDP at the end of the medium term. Tax receipts are expected to increase from 23.9 per cent of GDP in 2023-24 to 24.4 per cent of GDP at the end of the medium term. Both receipts and tax receipts are around 0.1 percentage points of GDP higher across the forward estimates and medium term than compared to at October Budget." style="width:375.9pt;height:204.8pt">
            <v:imagedata r:id="rId26" o:title=""/>
          </v:shape>
        </w:pict>
      </w:r>
    </w:p>
    <w:p w14:paraId="2E8A9608" w14:textId="713CB6CC" w:rsidR="00D01E96" w:rsidRPr="00EA288B" w:rsidRDefault="00D01E96" w:rsidP="00D01E96">
      <w:pPr>
        <w:pStyle w:val="ChartandTableFootnote"/>
        <w:keepNext/>
        <w:rPr>
          <w:color w:val="auto"/>
        </w:rPr>
      </w:pPr>
      <w:r w:rsidRPr="00EA288B">
        <w:rPr>
          <w:color w:val="auto"/>
        </w:rPr>
        <w:t xml:space="preserve">Source: </w:t>
      </w:r>
      <w:r w:rsidRPr="00EA288B">
        <w:rPr>
          <w:color w:val="auto"/>
        </w:rPr>
        <w:tab/>
        <w:t>Treasury.</w:t>
      </w:r>
    </w:p>
    <w:p w14:paraId="15AA6D27" w14:textId="77777777" w:rsidR="00D01E96" w:rsidRPr="00EA288B" w:rsidRDefault="00D01E96" w:rsidP="00FF3EF8">
      <w:pPr>
        <w:pStyle w:val="ChartLine"/>
      </w:pPr>
    </w:p>
    <w:p w14:paraId="462A2624" w14:textId="1F7B4BA2" w:rsidR="00D01E96" w:rsidRPr="00EA288B" w:rsidRDefault="00D01E96" w:rsidP="00D01E96">
      <w:pPr>
        <w:pStyle w:val="Heading4"/>
        <w:spacing w:after="240"/>
      </w:pPr>
      <w:r w:rsidRPr="00EA288B">
        <w:t>Receipts policy decisions over the forward estimates</w:t>
      </w:r>
    </w:p>
    <w:p w14:paraId="5A061D07" w14:textId="3BF1CEA7" w:rsidR="00D01E96" w:rsidRPr="004E1159" w:rsidRDefault="00D01E96" w:rsidP="00D01E96">
      <w:r w:rsidRPr="004E1159">
        <w:t>Policy decisions in this Budget have increased total receipts by $</w:t>
      </w:r>
      <w:r w:rsidR="006B0390" w:rsidRPr="004E1159">
        <w:t>1.8</w:t>
      </w:r>
      <w:r w:rsidR="00F634C3" w:rsidRPr="004E1159">
        <w:rPr>
          <w:rFonts w:hint="eastAsia"/>
        </w:rPr>
        <w:t> </w:t>
      </w:r>
      <w:r w:rsidR="00F634C3" w:rsidRPr="004E1159">
        <w:t>billion</w:t>
      </w:r>
      <w:r w:rsidRPr="004E1159">
        <w:t xml:space="preserve"> in 202</w:t>
      </w:r>
      <w:r w:rsidR="00B80E2B" w:rsidRPr="004E1159">
        <w:t>3</w:t>
      </w:r>
      <w:r w:rsidRPr="004E1159">
        <w:rPr>
          <w:rFonts w:hint="eastAsia"/>
        </w:rPr>
        <w:t>–</w:t>
      </w:r>
      <w:r w:rsidRPr="004E1159">
        <w:t>2</w:t>
      </w:r>
      <w:r w:rsidR="00B80E2B" w:rsidRPr="004E1159">
        <w:t>4</w:t>
      </w:r>
      <w:r w:rsidRPr="004E1159">
        <w:t xml:space="preserve"> and by $</w:t>
      </w:r>
      <w:r w:rsidR="006B0390" w:rsidRPr="004E1159">
        <w:t>22.1</w:t>
      </w:r>
      <w:r w:rsidR="00F634C3" w:rsidRPr="004E1159">
        <w:rPr>
          <w:rFonts w:hint="eastAsia"/>
        </w:rPr>
        <w:t> </w:t>
      </w:r>
      <w:r w:rsidR="00F634C3" w:rsidRPr="004E1159">
        <w:t>billion</w:t>
      </w:r>
      <w:r w:rsidRPr="004E1159">
        <w:t xml:space="preserve"> over </w:t>
      </w:r>
      <w:r w:rsidR="00B548EE" w:rsidRPr="004E1159">
        <w:t>5</w:t>
      </w:r>
      <w:r w:rsidR="00DC01B2" w:rsidRPr="004E1159">
        <w:rPr>
          <w:rFonts w:hint="eastAsia"/>
        </w:rPr>
        <w:t> </w:t>
      </w:r>
      <w:r w:rsidR="00DC01B2" w:rsidRPr="004E1159">
        <w:t>year</w:t>
      </w:r>
      <w:r w:rsidRPr="004E1159">
        <w:t xml:space="preserve">s </w:t>
      </w:r>
      <w:r w:rsidR="00B63DA7" w:rsidRPr="004E1159">
        <w:t>from 2022</w:t>
      </w:r>
      <w:r w:rsidR="00F634C3" w:rsidRPr="004E1159">
        <w:rPr>
          <w:rFonts w:hint="eastAsia"/>
        </w:rPr>
        <w:t>–</w:t>
      </w:r>
      <w:r w:rsidR="00B63DA7" w:rsidRPr="004E1159">
        <w:t>23</w:t>
      </w:r>
      <w:r w:rsidRPr="004E1159">
        <w:t xml:space="preserve"> to 202</w:t>
      </w:r>
      <w:r w:rsidR="00B80E2B" w:rsidRPr="004E1159">
        <w:t>6</w:t>
      </w:r>
      <w:r w:rsidRPr="004E1159">
        <w:rPr>
          <w:rFonts w:hint="eastAsia"/>
        </w:rPr>
        <w:t>–</w:t>
      </w:r>
      <w:r w:rsidRPr="004E1159">
        <w:t>2</w:t>
      </w:r>
      <w:r w:rsidR="00B80E2B" w:rsidRPr="004E1159">
        <w:t>7</w:t>
      </w:r>
      <w:r w:rsidRPr="004E1159">
        <w:t>.</w:t>
      </w:r>
      <w:r w:rsidR="001F0767">
        <w:t xml:space="preserve"> </w:t>
      </w:r>
      <w:r w:rsidRPr="004E1159">
        <w:t xml:space="preserve">Policy decisions </w:t>
      </w:r>
      <w:r w:rsidR="001F0767" w:rsidRPr="004E1159">
        <w:t>have</w:t>
      </w:r>
      <w:r w:rsidR="004762AD" w:rsidRPr="004E1159">
        <w:t xml:space="preserve"> </w:t>
      </w:r>
      <w:r w:rsidRPr="004E1159">
        <w:t>increased tax receipts by $</w:t>
      </w:r>
      <w:r w:rsidR="002D709D" w:rsidRPr="004E1159">
        <w:t>19.</w:t>
      </w:r>
      <w:r w:rsidR="002D4603" w:rsidRPr="004E1159">
        <w:t>1</w:t>
      </w:r>
      <w:r w:rsidR="00F634C3" w:rsidRPr="004E1159">
        <w:t> billion</w:t>
      </w:r>
      <w:r w:rsidRPr="004E1159">
        <w:t xml:space="preserve"> over </w:t>
      </w:r>
      <w:r w:rsidR="004B5A89" w:rsidRPr="004E1159">
        <w:t>5</w:t>
      </w:r>
      <w:r w:rsidR="00DC01B2" w:rsidRPr="004E1159">
        <w:t> year</w:t>
      </w:r>
      <w:r w:rsidRPr="004E1159">
        <w:t xml:space="preserve">s </w:t>
      </w:r>
      <w:r w:rsidR="00B63DA7" w:rsidRPr="004E1159">
        <w:t>from 2022</w:t>
      </w:r>
      <w:r w:rsidR="00F634C3" w:rsidRPr="004E1159">
        <w:t>–</w:t>
      </w:r>
      <w:r w:rsidR="00B63DA7" w:rsidRPr="004E1159">
        <w:t xml:space="preserve">23 </w:t>
      </w:r>
      <w:r w:rsidRPr="004E1159">
        <w:t>to 202</w:t>
      </w:r>
      <w:r w:rsidR="007E6BB0" w:rsidRPr="004E1159">
        <w:t>6</w:t>
      </w:r>
      <w:r w:rsidR="00F634C3" w:rsidRPr="004E1159">
        <w:t>–</w:t>
      </w:r>
      <w:r w:rsidR="00653DDF" w:rsidRPr="004E1159">
        <w:t>27</w:t>
      </w:r>
      <w:r w:rsidRPr="004E1159">
        <w:t xml:space="preserve">. </w:t>
      </w:r>
    </w:p>
    <w:p w14:paraId="3794693D" w14:textId="7D93BBFA" w:rsidR="00D01E96" w:rsidRPr="004E1159" w:rsidRDefault="00D01E96" w:rsidP="00D01E96">
      <w:r w:rsidRPr="004E1159">
        <w:t xml:space="preserve">Key </w:t>
      </w:r>
      <w:r w:rsidR="00C1705B" w:rsidRPr="004E1159">
        <w:t xml:space="preserve">tax </w:t>
      </w:r>
      <w:r w:rsidRPr="004E1159">
        <w:t xml:space="preserve">receipt measures include: </w:t>
      </w:r>
    </w:p>
    <w:p w14:paraId="0C4D8A9B" w14:textId="461424BE" w:rsidR="00C45AA8" w:rsidRPr="004E1159" w:rsidRDefault="00D22E17" w:rsidP="005246FC">
      <w:pPr>
        <w:pStyle w:val="Bullet"/>
      </w:pPr>
      <w:r w:rsidRPr="004E1159">
        <w:t>E</w:t>
      </w:r>
      <w:r w:rsidR="00C45AA8" w:rsidRPr="004E1159">
        <w:t>xtending the Personal Income Tax Compliance Program, extending the GST compliance program</w:t>
      </w:r>
      <w:r w:rsidRPr="004E1159">
        <w:t>,</w:t>
      </w:r>
      <w:r w:rsidR="00C45AA8" w:rsidRPr="004E1159">
        <w:t xml:space="preserve"> extending and merging the Serious Financial Crime Taskforce and Serious Organised Crime program</w:t>
      </w:r>
      <w:r w:rsidR="00836CCD" w:rsidRPr="004E1159">
        <w:t xml:space="preserve"> and improving engagement with taxpayers to ensure timely payment of tax</w:t>
      </w:r>
      <w:r w:rsidR="00C45AA8" w:rsidRPr="004E1159">
        <w:t>. These measures are estimated to increase receipts by $9.1 billion over the 5</w:t>
      </w:r>
      <w:r w:rsidR="00437D6F" w:rsidRPr="004E1159">
        <w:t> </w:t>
      </w:r>
      <w:r w:rsidR="00C45AA8" w:rsidRPr="004E1159">
        <w:t>years from 2022</w:t>
      </w:r>
      <w:r w:rsidR="00235899" w:rsidRPr="004E1159">
        <w:t>–</w:t>
      </w:r>
      <w:r w:rsidR="00C45AA8" w:rsidRPr="004E1159">
        <w:t>23, partially offset by an associated increase in payments of $4.4 billion, including GST payments to the states and territories of $3.4 billion.</w:t>
      </w:r>
    </w:p>
    <w:p w14:paraId="1A248A1B" w14:textId="502BF3B5" w:rsidR="00495788" w:rsidRPr="004E1159" w:rsidRDefault="00495788" w:rsidP="00495788">
      <w:pPr>
        <w:pStyle w:val="Bullet"/>
      </w:pPr>
      <w:r w:rsidRPr="004E1159">
        <w:t>Tobacco Excise – measures to improve health outcomes</w:t>
      </w:r>
      <w:r w:rsidR="003C7FE2" w:rsidRPr="004E1159">
        <w:t xml:space="preserve">, increasing </w:t>
      </w:r>
      <w:r w:rsidR="00F4606A" w:rsidRPr="004E1159">
        <w:t>tobacco excise each year for 3</w:t>
      </w:r>
      <w:r w:rsidR="00437D6F" w:rsidRPr="004E1159">
        <w:t> </w:t>
      </w:r>
      <w:r w:rsidR="00F4606A" w:rsidRPr="004E1159">
        <w:t>years from 1 September 2023</w:t>
      </w:r>
      <w:r w:rsidRPr="004E1159">
        <w:t xml:space="preserve"> and aligning the treatment of stick and non</w:t>
      </w:r>
      <w:r w:rsidR="00594653" w:rsidRPr="004E1159">
        <w:noBreakHyphen/>
      </w:r>
      <w:r w:rsidRPr="004E1159">
        <w:t>stick tobacco tax. This measure is estimated to increase receipts by $3.3 billion over the 5</w:t>
      </w:r>
      <w:r w:rsidR="00B32E8B" w:rsidRPr="004E1159">
        <w:t> </w:t>
      </w:r>
      <w:r w:rsidRPr="004E1159">
        <w:t xml:space="preserve">years from 2022–23, partially offset by an associated increase in GST payments </w:t>
      </w:r>
      <w:r w:rsidR="00FD1912" w:rsidRPr="004E1159">
        <w:t>to the states and territories</w:t>
      </w:r>
      <w:r w:rsidRPr="004E1159">
        <w:t xml:space="preserve"> of $290 million.</w:t>
      </w:r>
    </w:p>
    <w:p w14:paraId="6A9988B1" w14:textId="279F6C3E" w:rsidR="002017E0" w:rsidRPr="004E1159" w:rsidRDefault="002017E0" w:rsidP="00437D6F">
      <w:pPr>
        <w:pStyle w:val="Bullet"/>
      </w:pPr>
      <w:r w:rsidRPr="004E1159">
        <w:lastRenderedPageBreak/>
        <w:t>Amending the Petroleum Resource Rent Tax (PRRT) in response to Treasury</w:t>
      </w:r>
      <w:r w:rsidR="00594653" w:rsidRPr="004E1159">
        <w:t>’</w:t>
      </w:r>
      <w:r w:rsidRPr="004E1159">
        <w:t>s Review of the PRRT Gas Transfer Pricing arrangements. This measure is estimated to increase receipts by $2.4 billion over the 5 years from 2022–23, partially offset by an associated increase in payments of $4.</w:t>
      </w:r>
      <w:r w:rsidR="007970FE" w:rsidRPr="004E1159">
        <w:t>4</w:t>
      </w:r>
      <w:r w:rsidRPr="004E1159">
        <w:t xml:space="preserve"> million.</w:t>
      </w:r>
    </w:p>
    <w:p w14:paraId="135CC26A" w14:textId="5C5F0E7F" w:rsidR="002017E0" w:rsidRPr="001269C1" w:rsidRDefault="00AE40FC" w:rsidP="00437D6F">
      <w:pPr>
        <w:pStyle w:val="Bullet"/>
      </w:pPr>
      <w:r w:rsidRPr="004E1159">
        <w:t xml:space="preserve">Reduce the </w:t>
      </w:r>
      <w:r w:rsidR="00F4606A" w:rsidRPr="004E1159">
        <w:t>superannuation</w:t>
      </w:r>
      <w:r w:rsidRPr="004E1159">
        <w:t xml:space="preserve"> tax concessions available to individuals with a total superannuation balance exceeding $3 million. This measure is estimated to increase receipts by $950 million over the 5 years from 2022–23, partially offset by an associated increase in payments of $47.6</w:t>
      </w:r>
      <w:r w:rsidR="0029788B" w:rsidRPr="004E1159">
        <w:t> </w:t>
      </w:r>
      <w:r w:rsidRPr="004E1159">
        <w:t>million.</w:t>
      </w:r>
      <w:r w:rsidR="009A0217" w:rsidRPr="00566CF5">
        <w:t xml:space="preserve"> </w:t>
      </w:r>
    </w:p>
    <w:p w14:paraId="670EAF72" w14:textId="26E5E3C0" w:rsidR="00D01E96" w:rsidRPr="00D076BC" w:rsidRDefault="00D01E96" w:rsidP="00437D6F">
      <w:pPr>
        <w:rPr>
          <w:sz w:val="20"/>
        </w:rPr>
      </w:pPr>
      <w:r w:rsidRPr="004E1159">
        <w:t xml:space="preserve">Since </w:t>
      </w:r>
      <w:r w:rsidR="004762AD" w:rsidRPr="004E1159">
        <w:t xml:space="preserve">the </w:t>
      </w:r>
      <w:r w:rsidR="00F634C3" w:rsidRPr="004E1159">
        <w:t>October</w:t>
      </w:r>
      <w:r w:rsidR="00AE5CF0" w:rsidRPr="004E1159">
        <w:t xml:space="preserve"> </w:t>
      </w:r>
      <w:r w:rsidR="00F634C3" w:rsidRPr="004E1159">
        <w:t>Budget</w:t>
      </w:r>
      <w:r w:rsidRPr="004E1159">
        <w:t>, policy decisions are expected to increase non</w:t>
      </w:r>
      <w:r w:rsidR="00594653" w:rsidRPr="004E1159">
        <w:noBreakHyphen/>
      </w:r>
      <w:r w:rsidRPr="004E1159">
        <w:t>tax receipts by $</w:t>
      </w:r>
      <w:r w:rsidR="00AE5CF0" w:rsidRPr="004E1159">
        <w:t>0.5</w:t>
      </w:r>
      <w:r w:rsidR="008404F8" w:rsidRPr="004E1159">
        <w:t> </w:t>
      </w:r>
      <w:r w:rsidR="00F634C3" w:rsidRPr="004E1159">
        <w:t>billion</w:t>
      </w:r>
      <w:r w:rsidRPr="004E1159">
        <w:t xml:space="preserve"> in 202</w:t>
      </w:r>
      <w:r w:rsidR="00054365" w:rsidRPr="004E1159">
        <w:t>3</w:t>
      </w:r>
      <w:r w:rsidR="008404F8" w:rsidRPr="004E1159">
        <w:t>–</w:t>
      </w:r>
      <w:r w:rsidRPr="004E1159">
        <w:t>2</w:t>
      </w:r>
      <w:r w:rsidR="00054365" w:rsidRPr="004E1159">
        <w:t>4</w:t>
      </w:r>
      <w:r w:rsidRPr="004E1159">
        <w:t>, and by $</w:t>
      </w:r>
      <w:r w:rsidR="00AE5CF0" w:rsidRPr="004E1159">
        <w:t>2.9</w:t>
      </w:r>
      <w:r w:rsidR="00F634C3" w:rsidRPr="004E1159">
        <w:t> billion</w:t>
      </w:r>
      <w:r w:rsidRPr="004E1159">
        <w:t xml:space="preserve"> over </w:t>
      </w:r>
      <w:r w:rsidR="00054365" w:rsidRPr="004E1159">
        <w:t>5</w:t>
      </w:r>
      <w:r w:rsidR="00DC01B2" w:rsidRPr="004E1159">
        <w:t> year</w:t>
      </w:r>
      <w:r w:rsidRPr="004E1159">
        <w:t xml:space="preserve">s </w:t>
      </w:r>
      <w:r w:rsidR="00B63DA7" w:rsidRPr="004E1159">
        <w:t>from 2022</w:t>
      </w:r>
      <w:r w:rsidR="00F634C3" w:rsidRPr="004E1159">
        <w:t>–</w:t>
      </w:r>
      <w:r w:rsidR="00B63DA7" w:rsidRPr="004E1159">
        <w:t xml:space="preserve">23 </w:t>
      </w:r>
      <w:r w:rsidRPr="004E1159">
        <w:t xml:space="preserve">to </w:t>
      </w:r>
      <w:r w:rsidR="00AE5CF0" w:rsidRPr="004E1159">
        <w:t>2026</w:t>
      </w:r>
      <w:r w:rsidR="001E70F6" w:rsidRPr="004E1159">
        <w:t>–</w:t>
      </w:r>
      <w:r w:rsidR="00AE5CF0" w:rsidRPr="004E1159">
        <w:t>27. This</w:t>
      </w:r>
      <w:r w:rsidR="00437D6F" w:rsidRPr="004E1159">
        <w:t> </w:t>
      </w:r>
      <w:r w:rsidR="00AE5CF0" w:rsidRPr="004E1159">
        <w:t>movement includes the expected earnings of the National Reconstruction Fund Corporation, as announced in the 2023</w:t>
      </w:r>
      <w:r w:rsidR="001E70F6" w:rsidRPr="004E1159">
        <w:t>–</w:t>
      </w:r>
      <w:r w:rsidR="00AE5CF0" w:rsidRPr="004E1159">
        <w:t xml:space="preserve">24 Budget measure </w:t>
      </w:r>
      <w:r w:rsidR="00AE5CF0" w:rsidRPr="004E1159">
        <w:rPr>
          <w:i/>
        </w:rPr>
        <w:t>National Reconstruction Fund Corporation – establishment</w:t>
      </w:r>
      <w:r w:rsidR="00AE5CF0" w:rsidRPr="004E1159">
        <w:t>, receipts associated with the 2023</w:t>
      </w:r>
      <w:r w:rsidR="001E70F6" w:rsidRPr="004E1159">
        <w:t>–</w:t>
      </w:r>
      <w:r w:rsidR="00AE5CF0" w:rsidRPr="004E1159">
        <w:t xml:space="preserve">24 Budget measure </w:t>
      </w:r>
      <w:r w:rsidR="00AE5CF0" w:rsidRPr="004E1159">
        <w:rPr>
          <w:i/>
        </w:rPr>
        <w:t>Enduring Funding Mechanism for AusCheck,</w:t>
      </w:r>
      <w:r w:rsidR="00AE5CF0" w:rsidRPr="004E1159">
        <w:rPr>
          <w:sz w:val="20"/>
        </w:rPr>
        <w:t xml:space="preserve"> and receipts associated with the 2023</w:t>
      </w:r>
      <w:r w:rsidR="001E70F6" w:rsidRPr="004E1159">
        <w:rPr>
          <w:sz w:val="20"/>
        </w:rPr>
        <w:t>–</w:t>
      </w:r>
      <w:r w:rsidR="00AE5CF0" w:rsidRPr="004E1159">
        <w:rPr>
          <w:sz w:val="20"/>
        </w:rPr>
        <w:t xml:space="preserve">24 Budget measure </w:t>
      </w:r>
      <w:r w:rsidR="00AE5CF0" w:rsidRPr="004E1159">
        <w:rPr>
          <w:i/>
        </w:rPr>
        <w:t>Strengthened and Sustainably Funded Biosecurity System</w:t>
      </w:r>
      <w:r w:rsidR="00AE5CF0" w:rsidRPr="004E1159">
        <w:t>.</w:t>
      </w:r>
    </w:p>
    <w:p w14:paraId="396D9C67" w14:textId="3A4F8895" w:rsidR="00D01E96" w:rsidRPr="00EA288B" w:rsidRDefault="00D01E96" w:rsidP="00437D6F">
      <w:r w:rsidRPr="004E1159">
        <w:t>Further details of Government policy decisions are provided in Budget Paper No. 2,</w:t>
      </w:r>
      <w:r w:rsidRPr="004E1159">
        <w:rPr>
          <w:rStyle w:val="Emphasis"/>
        </w:rPr>
        <w:t xml:space="preserve"> Budget</w:t>
      </w:r>
      <w:r w:rsidR="00437D6F" w:rsidRPr="004E1159">
        <w:rPr>
          <w:rStyle w:val="Emphasis"/>
        </w:rPr>
        <w:t> </w:t>
      </w:r>
      <w:r w:rsidRPr="004E1159">
        <w:rPr>
          <w:rStyle w:val="Emphasis"/>
        </w:rPr>
        <w:t>Measures 202</w:t>
      </w:r>
      <w:r w:rsidR="00B9042E" w:rsidRPr="004E1159">
        <w:rPr>
          <w:rStyle w:val="Emphasis"/>
        </w:rPr>
        <w:t>3</w:t>
      </w:r>
      <w:r w:rsidRPr="004E1159">
        <w:rPr>
          <w:rStyle w:val="Emphasis"/>
        </w:rPr>
        <w:t>–2</w:t>
      </w:r>
      <w:r w:rsidR="00B9042E" w:rsidRPr="004E1159">
        <w:rPr>
          <w:rStyle w:val="Emphasis"/>
        </w:rPr>
        <w:t>4</w:t>
      </w:r>
      <w:r w:rsidRPr="004E1159">
        <w:t>.</w:t>
      </w:r>
      <w:r w:rsidR="001F44BE" w:rsidRPr="004E1159">
        <w:t xml:space="preserve"> </w:t>
      </w:r>
    </w:p>
    <w:p w14:paraId="3D15FC27" w14:textId="77777777" w:rsidR="00D01E96" w:rsidRPr="00EA288B" w:rsidRDefault="00D01E96" w:rsidP="00D01E96">
      <w:pPr>
        <w:pStyle w:val="Heading4"/>
        <w:spacing w:after="240"/>
      </w:pPr>
      <w:bookmarkStart w:id="19" w:name="_Hlk134019357"/>
      <w:r w:rsidRPr="00EA288B">
        <w:t>Receipts parameter and other variations over the forward estimates</w:t>
      </w:r>
    </w:p>
    <w:bookmarkEnd w:id="19"/>
    <w:p w14:paraId="0F772AC1" w14:textId="40D4A433" w:rsidR="00D01E96" w:rsidRPr="005E1BAE" w:rsidRDefault="00D01E96" w:rsidP="00D01E96">
      <w:r w:rsidRPr="004E1159">
        <w:t xml:space="preserve">Parameter and other variations have increased total receipts since </w:t>
      </w:r>
      <w:r w:rsidR="00E17881" w:rsidRPr="004E1159">
        <w:t xml:space="preserve">the </w:t>
      </w:r>
      <w:r w:rsidR="00F634C3" w:rsidRPr="004E1159">
        <w:t>October Budget</w:t>
      </w:r>
      <w:r w:rsidR="00E17881" w:rsidRPr="004E1159">
        <w:t xml:space="preserve"> </w:t>
      </w:r>
      <w:r w:rsidRPr="004E1159">
        <w:t>by $</w:t>
      </w:r>
      <w:r w:rsidR="00191A91" w:rsidRPr="004E1159">
        <w:t>28.</w:t>
      </w:r>
      <w:r w:rsidR="00C71809" w:rsidRPr="004E1159">
        <w:t>2</w:t>
      </w:r>
      <w:r w:rsidR="00F634C3" w:rsidRPr="004E1159">
        <w:t> billion</w:t>
      </w:r>
      <w:r w:rsidRPr="004E1159">
        <w:t xml:space="preserve"> in 2022–23</w:t>
      </w:r>
      <w:r w:rsidR="00A455EE" w:rsidRPr="004E1159">
        <w:t>, $</w:t>
      </w:r>
      <w:r w:rsidR="00191A91" w:rsidRPr="004E1159">
        <w:t>44.9</w:t>
      </w:r>
      <w:r w:rsidR="00F634C3" w:rsidRPr="004E1159">
        <w:t> billion</w:t>
      </w:r>
      <w:r w:rsidR="00A455EE" w:rsidRPr="004E1159">
        <w:t xml:space="preserve"> in 2023</w:t>
      </w:r>
      <w:r w:rsidR="00F634C3" w:rsidRPr="004E1159">
        <w:t>–</w:t>
      </w:r>
      <w:r w:rsidR="00A455EE" w:rsidRPr="004E1159">
        <w:t>24</w:t>
      </w:r>
      <w:r w:rsidRPr="004E1159">
        <w:t xml:space="preserve"> and by $</w:t>
      </w:r>
      <w:r w:rsidR="00191A91" w:rsidRPr="004E1159">
        <w:t>130.6</w:t>
      </w:r>
      <w:r w:rsidR="00F634C3" w:rsidRPr="004E1159">
        <w:t> billion</w:t>
      </w:r>
      <w:r w:rsidRPr="004E1159">
        <w:t xml:space="preserve"> over </w:t>
      </w:r>
      <w:r w:rsidR="001C65E3" w:rsidRPr="004E1159">
        <w:t>5</w:t>
      </w:r>
      <w:r w:rsidR="00DC01B2" w:rsidRPr="004E1159">
        <w:t> year</w:t>
      </w:r>
      <w:r w:rsidRPr="004E1159">
        <w:t xml:space="preserve">s </w:t>
      </w:r>
      <w:r w:rsidR="00B63DA7" w:rsidRPr="004E1159">
        <w:t>from 2022</w:t>
      </w:r>
      <w:r w:rsidR="00F634C3" w:rsidRPr="004E1159">
        <w:t>–</w:t>
      </w:r>
      <w:r w:rsidR="00B63DA7" w:rsidRPr="004E1159">
        <w:t xml:space="preserve">23 </w:t>
      </w:r>
      <w:r w:rsidRPr="004E1159">
        <w:t>to 202</w:t>
      </w:r>
      <w:r w:rsidR="00DF4834" w:rsidRPr="004E1159">
        <w:t>6</w:t>
      </w:r>
      <w:r w:rsidR="00F634C3" w:rsidRPr="004E1159">
        <w:t>–</w:t>
      </w:r>
      <w:r w:rsidRPr="004E1159">
        <w:t>2</w:t>
      </w:r>
      <w:r w:rsidR="00DF4834" w:rsidRPr="004E1159">
        <w:t>7</w:t>
      </w:r>
      <w:r w:rsidRPr="004E1159">
        <w:t xml:space="preserve">. </w:t>
      </w:r>
    </w:p>
    <w:p w14:paraId="589BDC8D" w14:textId="736B6211" w:rsidR="00FF48FA" w:rsidRPr="006349C4" w:rsidRDefault="00D01E96" w:rsidP="00D01E96">
      <w:r w:rsidRPr="004E1159">
        <w:t>The increase in total receipts due to parameter and other variations primarily reflects tax receipts, which have been revised up by $</w:t>
      </w:r>
      <w:r w:rsidR="00755989" w:rsidRPr="004E1159">
        <w:t>40.7</w:t>
      </w:r>
      <w:r w:rsidR="00F634C3" w:rsidRPr="004E1159">
        <w:t> billion</w:t>
      </w:r>
      <w:r w:rsidRPr="004E1159">
        <w:t xml:space="preserve"> in 202</w:t>
      </w:r>
      <w:r w:rsidR="00DF4834" w:rsidRPr="004E1159">
        <w:t>3</w:t>
      </w:r>
      <w:r w:rsidRPr="004E1159">
        <w:t>–2</w:t>
      </w:r>
      <w:r w:rsidR="00DF4834" w:rsidRPr="004E1159">
        <w:t>4</w:t>
      </w:r>
      <w:r w:rsidRPr="004E1159">
        <w:t xml:space="preserve"> and by $</w:t>
      </w:r>
      <w:r w:rsidR="00755989" w:rsidRPr="004E1159">
        <w:t>115</w:t>
      </w:r>
      <w:r w:rsidR="008676FA" w:rsidRPr="004E1159">
        <w:t>.7</w:t>
      </w:r>
      <w:r w:rsidR="00F634C3" w:rsidRPr="004E1159">
        <w:t> billion</w:t>
      </w:r>
      <w:r w:rsidRPr="004E1159">
        <w:t xml:space="preserve"> over </w:t>
      </w:r>
      <w:r w:rsidR="00895391" w:rsidRPr="004E1159">
        <w:t>5</w:t>
      </w:r>
      <w:r w:rsidR="00DC01B2" w:rsidRPr="004E1159">
        <w:t> year</w:t>
      </w:r>
      <w:r w:rsidRPr="004E1159">
        <w:t xml:space="preserve">s </w:t>
      </w:r>
      <w:r w:rsidR="00B63DA7" w:rsidRPr="004E1159">
        <w:t>from 2022</w:t>
      </w:r>
      <w:r w:rsidR="00F634C3" w:rsidRPr="004E1159">
        <w:t>–</w:t>
      </w:r>
      <w:r w:rsidR="00B63DA7" w:rsidRPr="004E1159">
        <w:t xml:space="preserve">23 </w:t>
      </w:r>
      <w:r w:rsidRPr="004E1159">
        <w:t>to 202</w:t>
      </w:r>
      <w:r w:rsidR="00DF4834" w:rsidRPr="004E1159">
        <w:t>6</w:t>
      </w:r>
      <w:r w:rsidRPr="004E1159">
        <w:t>–2</w:t>
      </w:r>
      <w:r w:rsidR="00DF4834" w:rsidRPr="004E1159">
        <w:t>7</w:t>
      </w:r>
      <w:r w:rsidRPr="004E1159">
        <w:t xml:space="preserve">. </w:t>
      </w:r>
      <w:r w:rsidR="00FF48FA" w:rsidRPr="004E1159">
        <w:t xml:space="preserve">In the </w:t>
      </w:r>
      <w:r w:rsidR="7A94DDBA" w:rsidRPr="004E1159">
        <w:t>near</w:t>
      </w:r>
      <w:r w:rsidR="00904A38" w:rsidRPr="004E1159">
        <w:t xml:space="preserve"> </w:t>
      </w:r>
      <w:r w:rsidR="7A94DDBA" w:rsidRPr="004E1159">
        <w:t>term</w:t>
      </w:r>
      <w:r w:rsidR="00FF48FA" w:rsidRPr="004E1159">
        <w:t>, tax receipts are supported by</w:t>
      </w:r>
      <w:r w:rsidR="003347E8" w:rsidRPr="004E1159">
        <w:t xml:space="preserve"> </w:t>
      </w:r>
      <w:r w:rsidR="006D1184" w:rsidRPr="004E1159">
        <w:t xml:space="preserve">a strong labour market and </w:t>
      </w:r>
      <w:r w:rsidR="00FF48FA" w:rsidRPr="004E1159" w:rsidDel="003347E8">
        <w:t>higher commodity prices</w:t>
      </w:r>
      <w:r w:rsidR="00092742" w:rsidRPr="004E1159">
        <w:t>. Personal income tax is being supported by strong employment growth and an improved outlook for wage growth.</w:t>
      </w:r>
      <w:r w:rsidR="000D7884" w:rsidRPr="004E1159">
        <w:t xml:space="preserve"> </w:t>
      </w:r>
      <w:r w:rsidR="00092742" w:rsidRPr="009E11D5" w:rsidDel="00604DE6">
        <w:t xml:space="preserve"> </w:t>
      </w:r>
      <w:r w:rsidR="00092742" w:rsidRPr="004E1159">
        <w:t>Company tax is being supported by commodity prices which have remained higher for longer than projected in the October budget and</w:t>
      </w:r>
      <w:r w:rsidR="00891B61" w:rsidRPr="004E1159">
        <w:t xml:space="preserve"> </w:t>
      </w:r>
      <w:r w:rsidR="005856E7" w:rsidRPr="004E1159">
        <w:t xml:space="preserve">a longer assumed time for commodity prices to return to </w:t>
      </w:r>
      <w:r w:rsidR="00891B61" w:rsidRPr="004E1159">
        <w:t>long</w:t>
      </w:r>
      <w:r w:rsidR="00594653" w:rsidRPr="004E1159">
        <w:noBreakHyphen/>
      </w:r>
      <w:r w:rsidR="00E30169" w:rsidRPr="004E1159">
        <w:t>term</w:t>
      </w:r>
      <w:r w:rsidR="00891B61" w:rsidRPr="004E1159">
        <w:t xml:space="preserve"> levels</w:t>
      </w:r>
      <w:r w:rsidR="00FF48FA" w:rsidRPr="004E1159" w:rsidDel="003347E8">
        <w:t xml:space="preserve"> </w:t>
      </w:r>
      <w:r w:rsidR="00290B33" w:rsidRPr="004E1159">
        <w:t>(</w:t>
      </w:r>
      <w:r w:rsidR="00FF48FA" w:rsidRPr="004E1159" w:rsidDel="003347E8">
        <w:t xml:space="preserve">see </w:t>
      </w:r>
      <w:r w:rsidR="00290B33" w:rsidRPr="004E1159">
        <w:t>Bo</w:t>
      </w:r>
      <w:r w:rsidR="00FF48FA" w:rsidRPr="004E1159" w:rsidDel="003347E8">
        <w:t xml:space="preserve">x </w:t>
      </w:r>
      <w:r w:rsidR="00290B33" w:rsidRPr="004E1159">
        <w:t>2.</w:t>
      </w:r>
      <w:r w:rsidR="00E1219E" w:rsidRPr="004E1159">
        <w:t>4</w:t>
      </w:r>
      <w:r w:rsidR="008A7BAB" w:rsidRPr="004E1159">
        <w:t xml:space="preserve"> in </w:t>
      </w:r>
      <w:r w:rsidR="008A7BAB" w:rsidRPr="004E1159">
        <w:rPr>
          <w:i/>
        </w:rPr>
        <w:t>Statement 2: Economic Outlook</w:t>
      </w:r>
      <w:r w:rsidR="00092742" w:rsidRPr="004E1159">
        <w:t>).</w:t>
      </w:r>
      <w:r w:rsidR="000D7884" w:rsidRPr="004E1159">
        <w:t xml:space="preserve"> </w:t>
      </w:r>
      <w:r w:rsidR="00092742" w:rsidRPr="009E11D5">
        <w:t xml:space="preserve"> </w:t>
      </w:r>
      <w:r w:rsidR="00E9590B" w:rsidRPr="004E1159">
        <w:t>Around one</w:t>
      </w:r>
      <w:r w:rsidR="00594653" w:rsidRPr="004E1159">
        <w:noBreakHyphen/>
      </w:r>
      <w:r w:rsidR="00E9590B" w:rsidRPr="004E1159">
        <w:t>fifth of the</w:t>
      </w:r>
      <w:r w:rsidR="00E9590B" w:rsidRPr="004E1159" w:rsidDel="00EE7758">
        <w:t xml:space="preserve"> </w:t>
      </w:r>
      <w:r w:rsidR="00E9590B" w:rsidRPr="004E1159">
        <w:t xml:space="preserve">increase in tax receipts reflects </w:t>
      </w:r>
      <w:r w:rsidR="008B3E9A" w:rsidRPr="004E1159">
        <w:t>the update</w:t>
      </w:r>
      <w:r w:rsidR="0085090B" w:rsidRPr="004E1159">
        <w:t xml:space="preserve"> </w:t>
      </w:r>
      <w:r w:rsidR="000C6B33" w:rsidRPr="004E1159">
        <w:t xml:space="preserve">to assumptions </w:t>
      </w:r>
      <w:r w:rsidR="00DE2B33" w:rsidRPr="004E1159">
        <w:t xml:space="preserve">about </w:t>
      </w:r>
      <w:r w:rsidR="000C6B33" w:rsidRPr="004E1159">
        <w:t>the path of</w:t>
      </w:r>
      <w:r w:rsidR="000C6B33" w:rsidRPr="004E1159" w:rsidDel="00EE7758">
        <w:t xml:space="preserve"> commodity prices </w:t>
      </w:r>
      <w:r w:rsidR="000C6B33" w:rsidRPr="004E1159">
        <w:t>in response to sustained high prices, largely in 2023</w:t>
      </w:r>
      <w:r w:rsidR="00961FEE" w:rsidRPr="004E1159">
        <w:t>–</w:t>
      </w:r>
      <w:r w:rsidR="000C6B33" w:rsidRPr="004E1159">
        <w:t>24</w:t>
      </w:r>
      <w:r w:rsidR="00D90448" w:rsidRPr="004E1159">
        <w:t>.</w:t>
      </w:r>
      <w:r w:rsidR="006F33CD" w:rsidRPr="004E1159">
        <w:t xml:space="preserve"> </w:t>
      </w:r>
      <w:r w:rsidR="00031998" w:rsidRPr="004E1159">
        <w:t xml:space="preserve">The </w:t>
      </w:r>
      <w:r w:rsidR="0086559E" w:rsidRPr="004E1159">
        <w:t xml:space="preserve">upgrades to </w:t>
      </w:r>
      <w:r w:rsidR="000D0FA7" w:rsidRPr="004E1159">
        <w:t>company</w:t>
      </w:r>
      <w:r w:rsidR="0086559E" w:rsidRPr="004E1159">
        <w:t xml:space="preserve"> tax receipts</w:t>
      </w:r>
      <w:r w:rsidR="00FF48FA" w:rsidRPr="004E1159">
        <w:t xml:space="preserve"> are expected to moderate by the end of the forward estimates period</w:t>
      </w:r>
      <w:r w:rsidR="00577042" w:rsidRPr="004E1159">
        <w:t>,</w:t>
      </w:r>
      <w:r w:rsidR="00FF48FA" w:rsidRPr="004E1159">
        <w:t xml:space="preserve"> as commodity prices are assumed to return to </w:t>
      </w:r>
      <w:r w:rsidR="7A94DDBA" w:rsidRPr="004E1159">
        <w:t>long</w:t>
      </w:r>
      <w:r w:rsidR="00594653" w:rsidRPr="004E1159">
        <w:noBreakHyphen/>
      </w:r>
      <w:r w:rsidR="00E30169" w:rsidRPr="004E1159">
        <w:t>term</w:t>
      </w:r>
      <w:r w:rsidR="005A6AD3" w:rsidRPr="004E1159">
        <w:t xml:space="preserve"> </w:t>
      </w:r>
      <w:r w:rsidR="00FF48FA" w:rsidRPr="004E1159">
        <w:t>levels</w:t>
      </w:r>
      <w:r w:rsidR="000D0FA7" w:rsidRPr="004E1159">
        <w:t>.</w:t>
      </w:r>
    </w:p>
    <w:p w14:paraId="2810EDC7" w14:textId="1CFAF6FA" w:rsidR="008F6DCB" w:rsidRPr="00B23B37" w:rsidRDefault="008F6DCB" w:rsidP="008F6DCB">
      <w:r w:rsidRPr="004E1159">
        <w:t>Since the October Budget, p</w:t>
      </w:r>
      <w:r w:rsidRPr="004E1159">
        <w:rPr>
          <w:szCs w:val="19"/>
        </w:rPr>
        <w:t xml:space="preserve">arameter and other variations are expected to increase </w:t>
      </w:r>
      <w:r w:rsidR="63AA4C9C" w:rsidRPr="004E1159">
        <w:t>non</w:t>
      </w:r>
      <w:r w:rsidR="00594653" w:rsidRPr="004E1159">
        <w:noBreakHyphen/>
      </w:r>
      <w:r w:rsidR="63AA4C9C" w:rsidRPr="004E1159">
        <w:t>tax</w:t>
      </w:r>
      <w:r w:rsidRPr="004E1159">
        <w:rPr>
          <w:szCs w:val="19"/>
        </w:rPr>
        <w:t xml:space="preserve"> receipts by $4.2 billion in 2023–24, and by $17.8 billion over the 5 years from 2022–23 to 2026–27. This movement is driven by higher earnings from interest on cash deposits due to the rise in short</w:t>
      </w:r>
      <w:r w:rsidR="00594653" w:rsidRPr="004E1159">
        <w:rPr>
          <w:szCs w:val="19"/>
        </w:rPr>
        <w:noBreakHyphen/>
      </w:r>
      <w:r w:rsidRPr="004E1159">
        <w:rPr>
          <w:szCs w:val="19"/>
        </w:rPr>
        <w:t>term interest rates, higher earnings from the Future Fund and the Australian Government Investment Funds, as well as higher demand for Australian passports.</w:t>
      </w:r>
      <w:r w:rsidR="0045010D" w:rsidRPr="004E1159">
        <w:t xml:space="preserve"> </w:t>
      </w:r>
    </w:p>
    <w:p w14:paraId="259B1217" w14:textId="248E7827" w:rsidR="008C1D01" w:rsidRDefault="00D01E96" w:rsidP="008C1D01">
      <w:r w:rsidRPr="004E1159">
        <w:lastRenderedPageBreak/>
        <w:t xml:space="preserve">Further information on expected receipts is provided in </w:t>
      </w:r>
      <w:r w:rsidRPr="004E1159">
        <w:rPr>
          <w:rStyle w:val="Emphasis"/>
        </w:rPr>
        <w:t>Statement 5:</w:t>
      </w:r>
      <w:r w:rsidRPr="004E1159">
        <w:t xml:space="preserve"> </w:t>
      </w:r>
      <w:r w:rsidRPr="004E1159">
        <w:rPr>
          <w:rStyle w:val="Emphasis"/>
        </w:rPr>
        <w:t xml:space="preserve">Revenue. </w:t>
      </w:r>
      <w:r w:rsidRPr="004E1159">
        <w:t xml:space="preserve">Analysis of the sensitivity of the receipts estimates to changes in the economic outlook is provided in </w:t>
      </w:r>
      <w:r w:rsidRPr="004E1159">
        <w:rPr>
          <w:rStyle w:val="Emphasis"/>
        </w:rPr>
        <w:t>Statement 8: Forecasting Performance and Sensitivity Analysis</w:t>
      </w:r>
      <w:r w:rsidRPr="004E1159">
        <w:t>.</w:t>
      </w:r>
      <w:r w:rsidRPr="00EA288B">
        <w:t xml:space="preserve"> </w:t>
      </w:r>
      <w:bookmarkStart w:id="20" w:name="_Toc117356561"/>
    </w:p>
    <w:p w14:paraId="38FCA9E7" w14:textId="5A526289" w:rsidR="00D01E96" w:rsidRPr="00EA288B" w:rsidRDefault="00D01E96" w:rsidP="00D01E96">
      <w:pPr>
        <w:pStyle w:val="Heading3"/>
        <w:spacing w:before="0" w:after="240"/>
      </w:pPr>
      <w:bookmarkStart w:id="21" w:name="_Toc134321293"/>
      <w:r w:rsidRPr="00EA288B">
        <w:t>Payments estimates and projections</w:t>
      </w:r>
      <w:bookmarkEnd w:id="20"/>
      <w:bookmarkEnd w:id="21"/>
    </w:p>
    <w:p w14:paraId="0B131E69" w14:textId="01C47974" w:rsidR="00BE7826" w:rsidRPr="004E1159" w:rsidRDefault="00D01E96" w:rsidP="00D01E96">
      <w:r w:rsidRPr="004E1159">
        <w:t xml:space="preserve">Since </w:t>
      </w:r>
      <w:r w:rsidR="00C718C0" w:rsidRPr="004E1159">
        <w:t xml:space="preserve">the </w:t>
      </w:r>
      <w:r w:rsidR="00F634C3" w:rsidRPr="004E1159">
        <w:t>October Budget</w:t>
      </w:r>
      <w:r w:rsidRPr="004E1159">
        <w:t>, total payments have increased by $</w:t>
      </w:r>
      <w:r w:rsidR="00A95FD5" w:rsidRPr="004E1159">
        <w:t>16.6</w:t>
      </w:r>
      <w:r w:rsidR="00F634C3" w:rsidRPr="004E1159">
        <w:t> billion</w:t>
      </w:r>
      <w:r w:rsidRPr="004E1159">
        <w:t xml:space="preserve"> in 202</w:t>
      </w:r>
      <w:r w:rsidR="000E347A" w:rsidRPr="004E1159">
        <w:t>3</w:t>
      </w:r>
      <w:r w:rsidRPr="004E1159">
        <w:t>–2</w:t>
      </w:r>
      <w:r w:rsidR="000E347A" w:rsidRPr="004E1159">
        <w:t>4</w:t>
      </w:r>
      <w:r w:rsidRPr="004E1159">
        <w:t xml:space="preserve"> and by $</w:t>
      </w:r>
      <w:r w:rsidR="00A95FD5" w:rsidRPr="004E1159">
        <w:t>26.7</w:t>
      </w:r>
      <w:r w:rsidR="00F634C3" w:rsidRPr="004E1159">
        <w:t> billion</w:t>
      </w:r>
      <w:r w:rsidRPr="004E1159">
        <w:t xml:space="preserve"> over </w:t>
      </w:r>
      <w:r w:rsidR="000E347A" w:rsidRPr="004E1159">
        <w:t>5</w:t>
      </w:r>
      <w:r w:rsidR="00DC01B2" w:rsidRPr="004E1159">
        <w:t> year</w:t>
      </w:r>
      <w:r w:rsidRPr="004E1159">
        <w:t xml:space="preserve">s </w:t>
      </w:r>
      <w:r w:rsidR="00B63DA7" w:rsidRPr="004E1159">
        <w:t>from 2022</w:t>
      </w:r>
      <w:r w:rsidR="00F634C3" w:rsidRPr="004E1159">
        <w:t>–</w:t>
      </w:r>
      <w:r w:rsidR="00B63DA7" w:rsidRPr="004E1159">
        <w:t xml:space="preserve">23 </w:t>
      </w:r>
      <w:r w:rsidRPr="004E1159">
        <w:t>to 202</w:t>
      </w:r>
      <w:r w:rsidR="000E347A" w:rsidRPr="004E1159">
        <w:t>6</w:t>
      </w:r>
      <w:r w:rsidRPr="004E1159">
        <w:t>–2</w:t>
      </w:r>
      <w:r w:rsidR="000E347A" w:rsidRPr="004E1159">
        <w:t>7</w:t>
      </w:r>
      <w:r w:rsidRPr="004E1159">
        <w:t xml:space="preserve">. </w:t>
      </w:r>
      <w:r w:rsidR="00813709" w:rsidRPr="004E1159">
        <w:t xml:space="preserve">Real payments growth is limited to </w:t>
      </w:r>
      <w:r w:rsidR="00BE7826" w:rsidRPr="004E1159">
        <w:t xml:space="preserve">an average </w:t>
      </w:r>
      <w:r w:rsidR="004A44E1" w:rsidRPr="004E1159">
        <w:t>0.</w:t>
      </w:r>
      <w:r w:rsidR="00B01554" w:rsidRPr="004E1159">
        <w:t>6</w:t>
      </w:r>
      <w:r w:rsidR="00F634C3" w:rsidRPr="004E1159">
        <w:t> per </w:t>
      </w:r>
      <w:r w:rsidR="00813709" w:rsidRPr="004E1159">
        <w:t>cent</w:t>
      </w:r>
      <w:r w:rsidR="00F634C3" w:rsidRPr="004E1159">
        <w:t> per</w:t>
      </w:r>
      <w:r w:rsidR="00DC01B2" w:rsidRPr="004E1159">
        <w:t> year</w:t>
      </w:r>
      <w:r w:rsidR="008967BB" w:rsidRPr="004E1159">
        <w:t>.</w:t>
      </w:r>
      <w:r w:rsidR="00813709" w:rsidRPr="004E1159">
        <w:t xml:space="preserve"> </w:t>
      </w:r>
    </w:p>
    <w:p w14:paraId="1F34D4C0" w14:textId="4F078986" w:rsidR="00D36EA8" w:rsidRPr="004E1159" w:rsidRDefault="00D36EA8" w:rsidP="00D36EA8">
      <w:r w:rsidRPr="004E1159">
        <w:t xml:space="preserve">Payments, excluding policy decisions, have been revised down by $13.9 billion in 2022–23, due to </w:t>
      </w:r>
      <w:r w:rsidR="001F1CBE" w:rsidRPr="004E1159">
        <w:t>lower</w:t>
      </w:r>
      <w:r w:rsidR="00594653" w:rsidRPr="004E1159">
        <w:noBreakHyphen/>
      </w:r>
      <w:r w:rsidR="001F1CBE" w:rsidRPr="004E1159">
        <w:t>than</w:t>
      </w:r>
      <w:r w:rsidR="00594653" w:rsidRPr="004E1159">
        <w:noBreakHyphen/>
      </w:r>
      <w:r w:rsidR="001F1CBE" w:rsidRPr="004E1159">
        <w:t>expected demand for some programs, including COVID</w:t>
      </w:r>
      <w:r w:rsidR="00594653" w:rsidRPr="004E1159">
        <w:noBreakHyphen/>
      </w:r>
      <w:r w:rsidR="001F1CBE" w:rsidRPr="004E1159">
        <w:t xml:space="preserve">related expenses, </w:t>
      </w:r>
      <w:r w:rsidRPr="004E1159">
        <w:t xml:space="preserve">and delays in payments arising from capacity constraints. </w:t>
      </w:r>
    </w:p>
    <w:p w14:paraId="500ECEBF" w14:textId="533C05F0" w:rsidR="00D01E96" w:rsidRPr="004E1159" w:rsidRDefault="00495319" w:rsidP="00D01E96">
      <w:r w:rsidRPr="004E1159">
        <w:t>P</w:t>
      </w:r>
      <w:r w:rsidR="00D66DDD" w:rsidRPr="004E1159">
        <w:t>ayments as a share of GDP is lower in every</w:t>
      </w:r>
      <w:r w:rsidR="00DC01B2" w:rsidRPr="004E1159">
        <w:t> year</w:t>
      </w:r>
      <w:r w:rsidR="00D66DDD" w:rsidRPr="004E1159">
        <w:t xml:space="preserve"> of the </w:t>
      </w:r>
      <w:r w:rsidR="00045FCF" w:rsidRPr="004E1159">
        <w:t>forward estimates and medium term</w:t>
      </w:r>
      <w:r w:rsidR="00BE7826" w:rsidRPr="004E1159">
        <w:t>,</w:t>
      </w:r>
      <w:r w:rsidR="00045FCF" w:rsidRPr="004E1159">
        <w:t xml:space="preserve"> compared </w:t>
      </w:r>
      <w:r w:rsidR="00A32CF9" w:rsidRPr="004E1159">
        <w:t xml:space="preserve">to the </w:t>
      </w:r>
      <w:r w:rsidR="00F634C3" w:rsidRPr="004E1159">
        <w:t>October Budget</w:t>
      </w:r>
      <w:r w:rsidR="00A32CF9" w:rsidRPr="004E1159">
        <w:t xml:space="preserve">. </w:t>
      </w:r>
    </w:p>
    <w:p w14:paraId="631E4855" w14:textId="21CAF277" w:rsidR="00D01E96" w:rsidRPr="004D7D35" w:rsidDel="0090567D" w:rsidRDefault="00D01E96" w:rsidP="00D01E96">
      <w:r w:rsidRPr="004E1159">
        <w:t>By 203</w:t>
      </w:r>
      <w:r w:rsidR="00A0537B" w:rsidRPr="004E1159">
        <w:t>3</w:t>
      </w:r>
      <w:r w:rsidRPr="004E1159">
        <w:t>–</w:t>
      </w:r>
      <w:r w:rsidRPr="004E1159" w:rsidDel="00A0537B">
        <w:t>3</w:t>
      </w:r>
      <w:r w:rsidR="00A0537B" w:rsidRPr="004E1159">
        <w:t>4</w:t>
      </w:r>
      <w:r w:rsidRPr="004E1159">
        <w:t xml:space="preserve">, payments are projected to be </w:t>
      </w:r>
      <w:r w:rsidR="00C447B5" w:rsidRPr="004E1159">
        <w:t>26.</w:t>
      </w:r>
      <w:r w:rsidR="00A0537B" w:rsidRPr="004E1159">
        <w:t>4</w:t>
      </w:r>
      <w:r w:rsidR="00F634C3" w:rsidRPr="004E1159">
        <w:t> per </w:t>
      </w:r>
      <w:r w:rsidRPr="004E1159">
        <w:t>cent of GDP (</w:t>
      </w:r>
      <w:r w:rsidR="00E21765" w:rsidRPr="004E1159">
        <w:t>Chart </w:t>
      </w:r>
      <w:r w:rsidRPr="004E1159">
        <w:t>3.1</w:t>
      </w:r>
      <w:r w:rsidR="008D3166" w:rsidRPr="004E1159">
        <w:t>0</w:t>
      </w:r>
      <w:r w:rsidRPr="004E1159">
        <w:t>).</w:t>
      </w:r>
      <w:r w:rsidR="00724BF4" w:rsidRPr="004E1159">
        <w:t xml:space="preserve"> </w:t>
      </w:r>
    </w:p>
    <w:p w14:paraId="1BC9C1A5" w14:textId="725E2C00" w:rsidR="00D01E96" w:rsidRDefault="00E21765" w:rsidP="005D2940">
      <w:pPr>
        <w:pStyle w:val="ChartMainHeading"/>
      </w:pPr>
      <w:r w:rsidRPr="004E1159">
        <w:t>Chart </w:t>
      </w:r>
      <w:r w:rsidR="00D01E96" w:rsidRPr="004E1159">
        <w:t>3.</w:t>
      </w:r>
      <w:r w:rsidR="00F2440B" w:rsidRPr="004E1159">
        <w:t>1</w:t>
      </w:r>
      <w:r w:rsidR="00AF3F51" w:rsidRPr="004E1159">
        <w:t>0</w:t>
      </w:r>
      <w:r w:rsidR="00D01E96" w:rsidRPr="004E1159">
        <w:t>: Total payments</w:t>
      </w:r>
    </w:p>
    <w:p w14:paraId="0AA7B239" w14:textId="50E6773B" w:rsidR="00C40DFB" w:rsidRPr="00EA288B" w:rsidRDefault="0094269C" w:rsidP="004B232A">
      <w:pPr>
        <w:pStyle w:val="ChartGraphic"/>
      </w:pPr>
      <w:r>
        <w:pict w14:anchorId="62256D7E">
          <v:shape id="_x0000_i1033" type="#_x0000_t75" alt="This chart compares projections of payments as a share of GDP at the 2023-24 Budget and the 2022-23 October Budget. In the 2023-24 Budget, payments are largely stable over the projection period,  decreasing from 26.5 per cent of GDP in 2023-24 to 26.4 per cent of GDP by the end of the medium term. In the 2022-23 October Budget, total payments were expected to increase over the medium term, from 27.0 per cent of GDP in 2022-23 to 27.9 per cent of GDP by the end of the medium term." style="width:375.9pt;height:201.95pt">
            <v:imagedata r:id="rId27" o:title=""/>
          </v:shape>
        </w:pict>
      </w:r>
    </w:p>
    <w:p w14:paraId="490B4514" w14:textId="77777777" w:rsidR="00D01E96" w:rsidRPr="00EA288B" w:rsidRDefault="00D01E96" w:rsidP="00D01E96">
      <w:pPr>
        <w:pStyle w:val="ChartandTableFootnote"/>
        <w:rPr>
          <w:color w:val="auto"/>
        </w:rPr>
      </w:pPr>
      <w:r w:rsidRPr="00EA288B">
        <w:rPr>
          <w:color w:val="auto"/>
        </w:rPr>
        <w:t xml:space="preserve">Source: </w:t>
      </w:r>
      <w:r w:rsidRPr="00EA288B">
        <w:rPr>
          <w:color w:val="auto"/>
        </w:rPr>
        <w:tab/>
        <w:t>Treasury.</w:t>
      </w:r>
    </w:p>
    <w:p w14:paraId="5065ED1A" w14:textId="77777777" w:rsidR="00D01E96" w:rsidRPr="00EA288B" w:rsidRDefault="00D01E96" w:rsidP="00FF3EF8">
      <w:pPr>
        <w:pStyle w:val="ChartLine"/>
      </w:pPr>
    </w:p>
    <w:p w14:paraId="7145DA4E" w14:textId="138218E9" w:rsidR="00D01E96" w:rsidRPr="00EA288B" w:rsidRDefault="00D01E96" w:rsidP="00D01E96">
      <w:pPr>
        <w:pStyle w:val="Heading4"/>
      </w:pPr>
      <w:r w:rsidRPr="00EA288B">
        <w:t>Payment policy decisions over the forward estimates</w:t>
      </w:r>
    </w:p>
    <w:p w14:paraId="1AC17D26" w14:textId="0DD17326" w:rsidR="00365DF2" w:rsidRPr="004E1159" w:rsidRDefault="00365DF2" w:rsidP="00365DF2">
      <w:r w:rsidRPr="004E1159">
        <w:t>New policy decisions since the October Budget have increased total payments by $</w:t>
      </w:r>
      <w:r w:rsidR="00E37810" w:rsidRPr="004E1159">
        <w:t>13.8 </w:t>
      </w:r>
      <w:r w:rsidRPr="004E1159">
        <w:t>billion in 2023–24 and by $</w:t>
      </w:r>
      <w:r w:rsidR="00E37810" w:rsidRPr="004E1159">
        <w:t>42</w:t>
      </w:r>
      <w:r w:rsidRPr="004E1159">
        <w:t>.</w:t>
      </w:r>
      <w:r w:rsidR="00E37810" w:rsidRPr="004E1159">
        <w:t>6</w:t>
      </w:r>
      <w:r w:rsidRPr="004E1159">
        <w:t xml:space="preserve"> billion over </w:t>
      </w:r>
      <w:r w:rsidR="00D02478" w:rsidRPr="004E1159">
        <w:t>5</w:t>
      </w:r>
      <w:r w:rsidRPr="004E1159" w:rsidDel="00D02478">
        <w:t xml:space="preserve"> </w:t>
      </w:r>
      <w:r w:rsidRPr="004E1159">
        <w:t xml:space="preserve">years </w:t>
      </w:r>
      <w:r w:rsidR="00D02478" w:rsidRPr="004E1159">
        <w:t xml:space="preserve">from 2022–23 </w:t>
      </w:r>
      <w:r w:rsidRPr="004E1159">
        <w:t>to 2026–27.</w:t>
      </w:r>
    </w:p>
    <w:p w14:paraId="245BC750" w14:textId="77777777" w:rsidR="00A051AD" w:rsidRPr="004E1159" w:rsidRDefault="00A051AD" w:rsidP="00815F80">
      <w:pPr>
        <w:keepNext/>
      </w:pPr>
      <w:r w:rsidRPr="004E1159">
        <w:lastRenderedPageBreak/>
        <w:t xml:space="preserve">Major policy decisions since the October Budget that have increased payments include: </w:t>
      </w:r>
    </w:p>
    <w:p w14:paraId="6FFA0893" w14:textId="27360EDA" w:rsidR="0040227A" w:rsidRPr="004E1159" w:rsidRDefault="0040227A" w:rsidP="0040227A">
      <w:pPr>
        <w:pStyle w:val="Bullet"/>
        <w:ind w:left="284" w:hanging="284"/>
      </w:pPr>
      <w:r w:rsidRPr="004E1159">
        <w:t xml:space="preserve">funding to strengthen Medicare to provide better access and more affordable care for patients, in response to the </w:t>
      </w:r>
      <w:r w:rsidRPr="004E1159">
        <w:rPr>
          <w:i/>
        </w:rPr>
        <w:t>Strengthening Medicare Taskforce Report</w:t>
      </w:r>
      <w:r w:rsidRPr="004E1159">
        <w:t>, which is expected to increase payments by $5.7 billion over 5 years from 2022</w:t>
      </w:r>
      <w:r w:rsidR="00341283" w:rsidRPr="004E1159">
        <w:t>–</w:t>
      </w:r>
      <w:r w:rsidRPr="004E1159">
        <w:t>23</w:t>
      </w:r>
    </w:p>
    <w:p w14:paraId="6627D84D" w14:textId="7A0B7DBD" w:rsidR="0040227A" w:rsidRPr="004E1159" w:rsidRDefault="0040227A" w:rsidP="0040227A">
      <w:pPr>
        <w:pStyle w:val="Bullet"/>
        <w:ind w:left="284" w:hanging="284"/>
      </w:pPr>
      <w:r w:rsidRPr="004E1159">
        <w:t>funding to increase support for people receiving working age payments including the JobSeeker Payment by $4.9 billion over 5 years from 2022</w:t>
      </w:r>
      <w:r w:rsidR="00341283" w:rsidRPr="004E1159">
        <w:t>–</w:t>
      </w:r>
      <w:r w:rsidRPr="004E1159">
        <w:t>23</w:t>
      </w:r>
    </w:p>
    <w:p w14:paraId="21A1E734" w14:textId="5FE48142" w:rsidR="0040227A" w:rsidRPr="004E1159" w:rsidRDefault="0040227A" w:rsidP="0040227A">
      <w:pPr>
        <w:pStyle w:val="Bullet"/>
        <w:ind w:left="284" w:hanging="284"/>
      </w:pPr>
      <w:r w:rsidRPr="004E1159">
        <w:t xml:space="preserve">funding to increase the maximum rates of the </w:t>
      </w:r>
      <w:r w:rsidRPr="004E1159">
        <w:rPr>
          <w:i/>
        </w:rPr>
        <w:t>Commonwealth Rent Assistance</w:t>
      </w:r>
      <w:r w:rsidRPr="004E1159">
        <w:t xml:space="preserve"> payment </w:t>
      </w:r>
      <w:r w:rsidR="00F262CC" w:rsidRPr="004E1159">
        <w:br/>
      </w:r>
      <w:r w:rsidRPr="004E1159">
        <w:t>by 15 per cent to address rental affordability challenges for recipients, which is expected to increase payments by $2.7 billion over 5 years from 2022</w:t>
      </w:r>
      <w:r w:rsidR="00341283" w:rsidRPr="004E1159">
        <w:t>–</w:t>
      </w:r>
      <w:r w:rsidRPr="004E1159">
        <w:t>23</w:t>
      </w:r>
    </w:p>
    <w:p w14:paraId="5B2F7893" w14:textId="0EFBF53B" w:rsidR="0040227A" w:rsidRPr="004E1159" w:rsidRDefault="0040227A" w:rsidP="0040227A">
      <w:pPr>
        <w:pStyle w:val="Bullet"/>
        <w:ind w:left="284" w:hanging="284"/>
        <w:rPr>
          <w:spacing w:val="-2"/>
        </w:rPr>
      </w:pPr>
      <w:r w:rsidRPr="004E1159">
        <w:rPr>
          <w:spacing w:val="-2"/>
        </w:rPr>
        <w:t xml:space="preserve">improving support for single parents through the extension of the eligibility for </w:t>
      </w:r>
      <w:r w:rsidRPr="004E1159">
        <w:rPr>
          <w:i/>
          <w:spacing w:val="-2"/>
        </w:rPr>
        <w:t>Parenting Payment (Single)</w:t>
      </w:r>
      <w:r w:rsidRPr="004E1159">
        <w:rPr>
          <w:spacing w:val="-2"/>
        </w:rPr>
        <w:t xml:space="preserve"> to support principal carers with a youngest child under 14</w:t>
      </w:r>
      <w:r w:rsidR="003A2B54" w:rsidRPr="004E1159">
        <w:rPr>
          <w:spacing w:val="-2"/>
        </w:rPr>
        <w:t> </w:t>
      </w:r>
      <w:r w:rsidRPr="004E1159">
        <w:rPr>
          <w:spacing w:val="-2"/>
        </w:rPr>
        <w:t>years of age, which is expected to increase payments by $1.9 billion over 5 years from 2022</w:t>
      </w:r>
      <w:r w:rsidR="00341283" w:rsidRPr="004E1159">
        <w:rPr>
          <w:spacing w:val="-2"/>
        </w:rPr>
        <w:t>–</w:t>
      </w:r>
      <w:r w:rsidRPr="004E1159">
        <w:rPr>
          <w:spacing w:val="-2"/>
        </w:rPr>
        <w:t xml:space="preserve">23 </w:t>
      </w:r>
    </w:p>
    <w:p w14:paraId="47319291" w14:textId="59B18724" w:rsidR="0040227A" w:rsidRPr="004E1159" w:rsidRDefault="0040227A" w:rsidP="0040227A">
      <w:pPr>
        <w:pStyle w:val="Bullet"/>
        <w:ind w:left="284" w:hanging="284"/>
      </w:pPr>
      <w:r w:rsidRPr="004E1159">
        <w:t>funding to deliver a targeted energy bill relief</w:t>
      </w:r>
      <w:r w:rsidRPr="004E1159">
        <w:rPr>
          <w:lang w:val="en-US"/>
        </w:rPr>
        <w:t xml:space="preserve"> and progressing gas market reforms</w:t>
      </w:r>
      <w:r w:rsidRPr="004E1159">
        <w:t xml:space="preserve"> to reduce the impact of rising energy prices on Australian households and businesses, which is expected to increase payments by $1.5 billion over 4 years from 2022</w:t>
      </w:r>
      <w:r w:rsidR="00815F80" w:rsidRPr="004E1159">
        <w:t>–</w:t>
      </w:r>
      <w:r w:rsidRPr="004E1159">
        <w:t xml:space="preserve">23 </w:t>
      </w:r>
    </w:p>
    <w:p w14:paraId="53D0A57B" w14:textId="4B19C503" w:rsidR="0040227A" w:rsidRPr="004E1159" w:rsidRDefault="0040227A" w:rsidP="0040227A">
      <w:pPr>
        <w:pStyle w:val="Bullet"/>
        <w:ind w:left="284" w:hanging="284"/>
      </w:pPr>
      <w:r w:rsidRPr="004E1159">
        <w:t>funding towards strengthening Australia</w:t>
      </w:r>
      <w:r w:rsidR="00594653" w:rsidRPr="004E1159">
        <w:t>’</w:t>
      </w:r>
      <w:r w:rsidRPr="004E1159">
        <w:t>s biosecurity system, which is expected to increase payments by $1.0 billion over 4 years from 2023</w:t>
      </w:r>
      <w:r w:rsidR="00341283" w:rsidRPr="004E1159">
        <w:t>–</w:t>
      </w:r>
      <w:r w:rsidRPr="004E1159">
        <w:t>24</w:t>
      </w:r>
      <w:r w:rsidR="002F394B" w:rsidRPr="004E1159">
        <w:t>.</w:t>
      </w:r>
    </w:p>
    <w:p w14:paraId="0669539A" w14:textId="4D9F42EA" w:rsidR="0040227A" w:rsidRPr="004E1159" w:rsidRDefault="0040227A" w:rsidP="0040227A">
      <w:pPr>
        <w:keepNext/>
      </w:pPr>
      <w:r w:rsidRPr="004E1159">
        <w:t xml:space="preserve">The Government is also continuing the task of budget repair. </w:t>
      </w:r>
      <w:r w:rsidR="00CD3030" w:rsidRPr="004E1159">
        <w:t xml:space="preserve">Policies </w:t>
      </w:r>
      <w:r w:rsidR="005B03D1" w:rsidRPr="004E1159">
        <w:t xml:space="preserve">to reprioritise funding to enhance the quality of spending </w:t>
      </w:r>
      <w:r w:rsidRPr="004E1159">
        <w:t>include:</w:t>
      </w:r>
    </w:p>
    <w:p w14:paraId="5089B193" w14:textId="6089AA2D" w:rsidR="00A454CD" w:rsidRPr="004E1159" w:rsidRDefault="00A454CD" w:rsidP="0040227A">
      <w:pPr>
        <w:pStyle w:val="Bullet"/>
        <w:ind w:left="284" w:hanging="284"/>
      </w:pPr>
      <w:r w:rsidRPr="004E1159">
        <w:t>temporarily reducing the residential aged care provision ratio from 78.0 places to 60.1</w:t>
      </w:r>
      <w:r w:rsidR="00812654" w:rsidRPr="004E1159">
        <w:t> </w:t>
      </w:r>
      <w:r w:rsidRPr="004E1159">
        <w:t>places per 1,000 people aged over 70 years reflecting the increasing preference of older Australians to remain in their homes, which is expected to decrease payments by $2.2</w:t>
      </w:r>
      <w:r w:rsidR="00DD7B8D" w:rsidRPr="004E1159">
        <w:t> </w:t>
      </w:r>
      <w:r w:rsidRPr="004E1159">
        <w:t>billion over 3 years from 2024</w:t>
      </w:r>
      <w:r w:rsidR="002F394B" w:rsidRPr="004E1159">
        <w:t>–</w:t>
      </w:r>
      <w:r w:rsidRPr="004E1159">
        <w:t>25 and redirecting funding to the Government</w:t>
      </w:r>
      <w:r w:rsidR="00594653" w:rsidRPr="004E1159">
        <w:t>’</w:t>
      </w:r>
      <w:r w:rsidRPr="004E1159">
        <w:t xml:space="preserve">s commitments on health and aged care </w:t>
      </w:r>
    </w:p>
    <w:p w14:paraId="7FF60365" w14:textId="2159D1C7" w:rsidR="00A051AD" w:rsidRPr="005E1BAE" w:rsidRDefault="00E34A17" w:rsidP="00A051AD">
      <w:pPr>
        <w:pStyle w:val="Bullet"/>
      </w:pPr>
      <w:r w:rsidRPr="004E1159">
        <w:t>reinvesting health and aged care funding to deliver in new or expanded health and aged care services, which is expected to decrease payments by $1.7 billion over 4 years from 2023</w:t>
      </w:r>
      <w:r w:rsidR="002F394B" w:rsidRPr="004E1159">
        <w:t>–</w:t>
      </w:r>
      <w:r w:rsidRPr="004E1159">
        <w:t>24</w:t>
      </w:r>
      <w:r w:rsidR="00F11BA5" w:rsidRPr="004E1159">
        <w:t>.</w:t>
      </w:r>
    </w:p>
    <w:p w14:paraId="181810F2" w14:textId="67976778" w:rsidR="00D01E96" w:rsidRPr="0033720D" w:rsidRDefault="00D01E96" w:rsidP="00D01E96">
      <w:pPr>
        <w:pStyle w:val="Heading4"/>
        <w:spacing w:after="240"/>
      </w:pPr>
      <w:r w:rsidRPr="0033720D">
        <w:t>Payment parameter and other variations over the forward estimates</w:t>
      </w:r>
    </w:p>
    <w:p w14:paraId="68B28F4E" w14:textId="77777777" w:rsidR="000C3ABA" w:rsidRDefault="00362842" w:rsidP="00D01E96">
      <w:r>
        <w:t>Parameter and other variations since the October Budget have increased payments by $2.8 billion in 2023</w:t>
      </w:r>
      <w:r w:rsidR="009F10E0" w:rsidRPr="004E1159">
        <w:t>–</w:t>
      </w:r>
      <w:r>
        <w:t>24 and decreased payments by $15.9 billion over 5 years from 2022</w:t>
      </w:r>
      <w:r w:rsidR="009F10E0" w:rsidRPr="004E1159">
        <w:t>–</w:t>
      </w:r>
      <w:r>
        <w:t>23 to 2026</w:t>
      </w:r>
      <w:r w:rsidR="009F10E0" w:rsidRPr="004E1159">
        <w:t>–</w:t>
      </w:r>
      <w:r>
        <w:t>27.</w:t>
      </w:r>
      <w:r w:rsidR="00A866F2">
        <w:t xml:space="preserve"> </w:t>
      </w:r>
    </w:p>
    <w:p w14:paraId="41F5020E" w14:textId="3470DBF1" w:rsidR="004A6987" w:rsidRPr="004E1159" w:rsidRDefault="004A6987" w:rsidP="00D01E96">
      <w:r w:rsidRPr="004E1159">
        <w:t xml:space="preserve">This is primarily driven by lower estimates for interest payments on government debt resulting from smaller deficits, and lower estimates for </w:t>
      </w:r>
      <w:r w:rsidR="005D2E32" w:rsidRPr="004E1159">
        <w:t>payments related to</w:t>
      </w:r>
      <w:r w:rsidRPr="004E1159">
        <w:t xml:space="preserve"> the </w:t>
      </w:r>
      <w:r w:rsidR="005D2E32" w:rsidRPr="004E1159">
        <w:t>Medical Benefits program</w:t>
      </w:r>
      <w:r w:rsidRPr="004E1159">
        <w:t xml:space="preserve"> </w:t>
      </w:r>
      <w:r w:rsidR="005D2E32" w:rsidRPr="004E1159">
        <w:t>and lower</w:t>
      </w:r>
      <w:r w:rsidRPr="004E1159">
        <w:t xml:space="preserve"> </w:t>
      </w:r>
      <w:r w:rsidR="008C782C" w:rsidRPr="004E1159">
        <w:t>expected</w:t>
      </w:r>
      <w:r w:rsidR="005D2E32" w:rsidRPr="004E1159">
        <w:t xml:space="preserve"> recipient numbers </w:t>
      </w:r>
      <w:r w:rsidR="0075696F" w:rsidRPr="004E1159">
        <w:t>for</w:t>
      </w:r>
      <w:r w:rsidRPr="004E1159">
        <w:t xml:space="preserve"> Family Assistance and Support for Seniors. Offsetting this improvement, in part, are </w:t>
      </w:r>
      <w:r w:rsidR="005B68DB" w:rsidRPr="004E1159">
        <w:t>an increase in</w:t>
      </w:r>
      <w:r w:rsidRPr="004E1159">
        <w:t xml:space="preserve"> </w:t>
      </w:r>
      <w:r w:rsidR="004E08C0" w:rsidRPr="004E1159">
        <w:t xml:space="preserve">a range of </w:t>
      </w:r>
      <w:r w:rsidR="00A8606D" w:rsidRPr="004E1159">
        <w:t>a</w:t>
      </w:r>
      <w:r w:rsidR="005B68DB" w:rsidRPr="004E1159">
        <w:t xml:space="preserve">ged </w:t>
      </w:r>
      <w:r w:rsidR="00A8606D" w:rsidRPr="004E1159">
        <w:t>c</w:t>
      </w:r>
      <w:r w:rsidR="005B68DB" w:rsidRPr="004E1159">
        <w:t>are</w:t>
      </w:r>
      <w:r w:rsidR="00814E7D" w:rsidRPr="004E1159">
        <w:t xml:space="preserve"> </w:t>
      </w:r>
      <w:r w:rsidR="00CE784E" w:rsidRPr="004E1159">
        <w:t xml:space="preserve">payments </w:t>
      </w:r>
      <w:r w:rsidR="00814E7D" w:rsidRPr="004E1159">
        <w:t>and GST payments to the states</w:t>
      </w:r>
      <w:r w:rsidRPr="004E1159">
        <w:t>.</w:t>
      </w:r>
      <w:r w:rsidRPr="004E1159" w:rsidDel="00BC68A0">
        <w:t xml:space="preserve"> </w:t>
      </w:r>
    </w:p>
    <w:p w14:paraId="73794E4D" w14:textId="08BBE1F1" w:rsidR="0068596F" w:rsidRPr="004E1159" w:rsidRDefault="0068596F" w:rsidP="0068596F">
      <w:pPr>
        <w:rPr>
          <w:b/>
        </w:rPr>
      </w:pPr>
      <w:r w:rsidRPr="004E1159">
        <w:lastRenderedPageBreak/>
        <w:t xml:space="preserve">Major increases in payments from parameter and other variations since the </w:t>
      </w:r>
      <w:r w:rsidR="00F634C3" w:rsidRPr="004E1159">
        <w:t>October Budget</w:t>
      </w:r>
      <w:r w:rsidRPr="004E1159">
        <w:t xml:space="preserve"> include:</w:t>
      </w:r>
      <w:r w:rsidR="00D20B00" w:rsidRPr="004E1159">
        <w:rPr>
          <w:b/>
        </w:rPr>
        <w:t xml:space="preserve"> </w:t>
      </w:r>
    </w:p>
    <w:p w14:paraId="40CD483C" w14:textId="77777777" w:rsidR="003520BA" w:rsidRPr="004E1159" w:rsidRDefault="003520BA" w:rsidP="003520BA">
      <w:pPr>
        <w:pStyle w:val="Bullet"/>
      </w:pPr>
      <w:r w:rsidRPr="004E1159">
        <w:t xml:space="preserve">payments related to Aged Care Services are expected to increase by $1.9 billion in </w:t>
      </w:r>
      <w:r w:rsidRPr="004E1159">
        <w:br/>
        <w:t>2023–24 and $13.4 billion over 4 years from 2023–24 to 2026–27, largely due to increased funding for wages as a result of the Fair Work Commission Aged Care Work Value Case, the setting of the Australian National Aged Care Classification price for residential aged care for 2023–24, and updated economic parameters, partially offset by a reduction in the utilisation of Home Care Package funds. The budget impact of this increase is partially offset by funding provisioned in the contingency reserve for the Aged Care Work Value Case outcome in the 2022–23 October Budget.</w:t>
      </w:r>
    </w:p>
    <w:p w14:paraId="1E5908C8" w14:textId="77777777" w:rsidR="003520BA" w:rsidRPr="004E1159" w:rsidRDefault="003520BA" w:rsidP="003520BA">
      <w:pPr>
        <w:pStyle w:val="Bullet"/>
      </w:pPr>
      <w:r w:rsidRPr="004E1159">
        <w:t xml:space="preserve">payments related to the provision of GST to the states and territories (including Horizontal Fiscal Equalisation (HFE) transition payments), which are expected to increase by $197 million in 2023–24 and $10.8 billion over 4 years from 2023–24 to </w:t>
      </w:r>
      <w:r w:rsidRPr="004E1159">
        <w:br/>
        <w:t>2026–27, largely reflecting the GST top</w:t>
      </w:r>
      <w:r w:rsidRPr="004E1159">
        <w:noBreakHyphen/>
        <w:t>up payments arrangement agreed with states and territories, partially offset by an overall increase in GST receipts.</w:t>
      </w:r>
    </w:p>
    <w:p w14:paraId="58B2921C" w14:textId="77777777" w:rsidR="003520BA" w:rsidRPr="004E1159" w:rsidRDefault="003520BA" w:rsidP="003520BA">
      <w:pPr>
        <w:pStyle w:val="Bullet"/>
      </w:pPr>
      <w:r w:rsidRPr="004E1159">
        <w:t xml:space="preserve">payments related to the Military Rehabilitation Compensation Acts, which are expected to increase by $1.1 billion in 2023–24 and $4.8 billion over 4 years from 2023–24 to </w:t>
      </w:r>
      <w:r w:rsidRPr="004E1159">
        <w:br/>
        <w:t>2026–27, largely due to increased staff levels resulting in more claims processed and higher payments to veterans</w:t>
      </w:r>
    </w:p>
    <w:p w14:paraId="559C1184" w14:textId="307A1C15" w:rsidR="003520BA" w:rsidRPr="004E1159" w:rsidRDefault="003520BA" w:rsidP="003520BA">
      <w:pPr>
        <w:pStyle w:val="Bullet"/>
      </w:pPr>
      <w:r w:rsidRPr="004E1159">
        <w:t>payments indexed to the Government’s Wage Cost Indexation (WCI) framework, which are expected to increase by $242 million in 2023–24 and around $4 billion over the 4</w:t>
      </w:r>
      <w:r w:rsidR="00881913">
        <w:t> </w:t>
      </w:r>
      <w:r w:rsidRPr="004E1159">
        <w:t xml:space="preserve">years from 2023–24 to 2026–27, reflecting a revision to the indexation methodology to ensure it better </w:t>
      </w:r>
      <w:r w:rsidRPr="004E1159">
        <w:rPr>
          <w:rFonts w:asciiTheme="minorHAnsi" w:hAnsiTheme="minorHAnsi" w:cstheme="minorHAnsi"/>
        </w:rPr>
        <w:t>aligns with economic conditions</w:t>
      </w:r>
      <w:r w:rsidRPr="004E1159">
        <w:t>. The movements in individual payments are reflected in the estimates for these programs.</w:t>
      </w:r>
    </w:p>
    <w:p w14:paraId="5F58CA85" w14:textId="77777777" w:rsidR="003520BA" w:rsidRPr="004E1159" w:rsidRDefault="003520BA" w:rsidP="003520BA">
      <w:pPr>
        <w:pStyle w:val="Bullet"/>
      </w:pPr>
      <w:r w:rsidRPr="004E1159">
        <w:t>payments related to National Partnership Payments – Natural Disaster Relief, which are expected to increase by $1.8 billion in 2023–24 and $3.0 billion over 4 years from 2023–24 to 2026–27, due to higher</w:t>
      </w:r>
      <w:r w:rsidRPr="004E1159">
        <w:noBreakHyphen/>
        <w:t>than</w:t>
      </w:r>
      <w:r w:rsidRPr="004E1159">
        <w:noBreakHyphen/>
        <w:t>expected spending related to historical disaster events.</w:t>
      </w:r>
    </w:p>
    <w:p w14:paraId="6C5E3ACA" w14:textId="77777777" w:rsidR="003520BA" w:rsidRPr="004E1159" w:rsidRDefault="003520BA" w:rsidP="003520BA">
      <w:pPr>
        <w:pStyle w:val="Bullet"/>
      </w:pPr>
      <w:r w:rsidRPr="004E1159">
        <w:t>payments related to the NDIS are expected to increase by $1.8 billion in 2023–24 and $1.7 billion over 4 years from 2023–24 to 2026–27. The increase over the forward estimates is lower than would have otherwise been expected due to the Government’s investment of $732.9 million to improve the NDIA’s capability, capacity and systems which will moderate growth in participant support costs from 2023–24.</w:t>
      </w:r>
    </w:p>
    <w:p w14:paraId="7602357D" w14:textId="77777777" w:rsidR="003520BA" w:rsidRPr="004E1159" w:rsidRDefault="003520BA" w:rsidP="003520BA">
      <w:pPr>
        <w:pStyle w:val="Bullet"/>
      </w:pPr>
      <w:r w:rsidRPr="004E1159">
        <w:t xml:space="preserve">payments related to Research and Development Tax Incentives, which are expected to increase by $176 million in 2023–24 and $942 million over 4 years from 2023–24 to </w:t>
      </w:r>
      <w:r w:rsidRPr="004E1159">
        <w:br/>
        <w:t>2026–27, due to increases in the number and value of expected claims following the reopening of international markets post COVID</w:t>
      </w:r>
      <w:r w:rsidRPr="004E1159">
        <w:noBreakHyphen/>
        <w:t>19.</w:t>
      </w:r>
    </w:p>
    <w:p w14:paraId="6EBFCF87" w14:textId="086EE528" w:rsidR="000F7539" w:rsidRPr="00166D0B" w:rsidRDefault="003520BA" w:rsidP="003520BA">
      <w:pPr>
        <w:pStyle w:val="Bullet"/>
      </w:pPr>
      <w:r w:rsidRPr="004E1159">
        <w:t>payments relating to Building Skills and Capability, which are expected to increase by $189 million in 2023–24 and $440 million over 4 years from 2023–24 to 2026–27, largely due to higher</w:t>
      </w:r>
      <w:r w:rsidRPr="004E1159">
        <w:noBreakHyphen/>
        <w:t>than</w:t>
      </w:r>
      <w:r w:rsidRPr="004E1159">
        <w:noBreakHyphen/>
        <w:t xml:space="preserve">expected demand for the Boosting Apprenticeship Commencements and Completing Apprenticeship Commencements wage subsidies. </w:t>
      </w:r>
      <w:r w:rsidR="00812654">
        <w:br w:type="page"/>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FD4154" w14:paraId="5393A816" w14:textId="77777777" w:rsidTr="00812654">
        <w:trPr>
          <w:cantSplit/>
          <w:trHeight w:val="285"/>
        </w:trPr>
        <w:tc>
          <w:tcPr>
            <w:tcW w:w="5000" w:type="pct"/>
            <w:shd w:val="clear" w:color="auto" w:fill="E6F2FF"/>
          </w:tcPr>
          <w:p w14:paraId="043D6FAC" w14:textId="65E71872" w:rsidR="00FD4154" w:rsidRDefault="00FD4154" w:rsidP="00812654">
            <w:pPr>
              <w:pStyle w:val="BoxHeading"/>
            </w:pPr>
            <w:r>
              <w:lastRenderedPageBreak/>
              <w:t>Box 3.</w:t>
            </w:r>
            <w:r w:rsidR="002D6484">
              <w:t>3</w:t>
            </w:r>
            <w:r>
              <w:t>: A pay rise for aged care workers</w:t>
            </w:r>
          </w:p>
          <w:p w14:paraId="43F1BF40" w14:textId="71EC11AC" w:rsidR="00FD4154" w:rsidRPr="004E1159" w:rsidRDefault="00FD4154" w:rsidP="00812654">
            <w:pPr>
              <w:pStyle w:val="BoxText"/>
            </w:pPr>
            <w:r w:rsidRPr="004E1159">
              <w:t>On 21 February 2023, the Fair Work Commission issued a decision on Stage 2 of the Aged Care Work Value Case to provide an interim increase of 15 per cent to modern award minimum wages for many aged care workers, including registered nurses, enrolled nurses, assistants in nursing, personal care workers, home care workers, recreational activity officers, and some head chefs and cooks.</w:t>
            </w:r>
          </w:p>
          <w:p w14:paraId="2C42C2B5" w14:textId="02B0FAA0" w:rsidR="00FD4154" w:rsidRPr="004E1159" w:rsidRDefault="00FD4154" w:rsidP="003A2B54">
            <w:pPr>
              <w:pStyle w:val="BoxText"/>
            </w:pPr>
            <w:r w:rsidRPr="004E1159">
              <w:t>This Budget allocates $11.3 billion over 4 years from 2023</w:t>
            </w:r>
            <w:r w:rsidR="00A5793A" w:rsidRPr="004E1159">
              <w:t>–</w:t>
            </w:r>
            <w:r w:rsidRPr="004E1159">
              <w:t xml:space="preserve">24 to fund this outcome of the case from 1 July 2023, including: </w:t>
            </w:r>
          </w:p>
          <w:p w14:paraId="18346609" w14:textId="77777777" w:rsidR="00FD4154" w:rsidRPr="004E1159" w:rsidRDefault="00FD4154" w:rsidP="00812654">
            <w:pPr>
              <w:pStyle w:val="BoxBullet"/>
            </w:pPr>
            <w:r w:rsidRPr="004E1159">
              <w:t>$8.5 billion for residential aged care</w:t>
            </w:r>
          </w:p>
          <w:p w14:paraId="2D3B174D" w14:textId="77777777" w:rsidR="00FD4154" w:rsidRPr="004E1159" w:rsidRDefault="00FD4154" w:rsidP="00812654">
            <w:pPr>
              <w:pStyle w:val="BoxBullet"/>
            </w:pPr>
            <w:r w:rsidRPr="004E1159">
              <w:t>$2.2 billion for the Home Care Packages Program</w:t>
            </w:r>
          </w:p>
          <w:p w14:paraId="4EF9A902" w14:textId="069E51B3" w:rsidR="00FD4154" w:rsidRPr="004E1159" w:rsidRDefault="00FD4154" w:rsidP="00812654">
            <w:pPr>
              <w:pStyle w:val="BoxBullet"/>
            </w:pPr>
            <w:r w:rsidRPr="004E1159">
              <w:t xml:space="preserve">$310.0 million for the Commonwealth Home Support Programme (see </w:t>
            </w:r>
            <w:r w:rsidRPr="004E1159">
              <w:rPr>
                <w:i/>
              </w:rPr>
              <w:t>Budget Paper No. 2, Funding Pay Increases for Aged Care Workers</w:t>
            </w:r>
            <w:r w:rsidRPr="004E1159">
              <w:t>)</w:t>
            </w:r>
          </w:p>
          <w:p w14:paraId="5AD588DE" w14:textId="4046DD57" w:rsidR="00FD4154" w:rsidRPr="004E1159" w:rsidRDefault="00FD4154" w:rsidP="00812654">
            <w:pPr>
              <w:pStyle w:val="BoxBullet"/>
            </w:pPr>
            <w:r w:rsidRPr="004E1159">
              <w:t>$177.9 million over 4 years from 2023</w:t>
            </w:r>
            <w:r w:rsidR="00235899" w:rsidRPr="004E1159">
              <w:t>–</w:t>
            </w:r>
            <w:r w:rsidRPr="004E1159">
              <w:t>24 for the Transition Care Program</w:t>
            </w:r>
            <w:r w:rsidR="00810168" w:rsidRPr="004E1159">
              <w:t>me</w:t>
            </w:r>
            <w:r w:rsidRPr="004E1159">
              <w:t xml:space="preserve"> and Short</w:t>
            </w:r>
            <w:r w:rsidR="00594653" w:rsidRPr="004E1159">
              <w:noBreakHyphen/>
            </w:r>
            <w:r w:rsidRPr="004E1159">
              <w:t xml:space="preserve">Term Restorative Care Programme </w:t>
            </w:r>
          </w:p>
          <w:p w14:paraId="4CF09001" w14:textId="69A5AF20" w:rsidR="00FD4154" w:rsidRPr="004E1159" w:rsidRDefault="00FD4154" w:rsidP="00812654">
            <w:pPr>
              <w:pStyle w:val="BoxBullet"/>
            </w:pPr>
            <w:r w:rsidRPr="004E1159">
              <w:t>$82.5 million for the Veterans</w:t>
            </w:r>
            <w:r w:rsidR="00594653" w:rsidRPr="004E1159">
              <w:t>’</w:t>
            </w:r>
            <w:r w:rsidRPr="004E1159">
              <w:t xml:space="preserve"> Home Care Program and Community Nursing services </w:t>
            </w:r>
          </w:p>
          <w:p w14:paraId="43D14AA8" w14:textId="16B60B2C" w:rsidR="00FD4154" w:rsidRPr="004E1159" w:rsidRDefault="00FD4154" w:rsidP="00812654">
            <w:pPr>
              <w:pStyle w:val="BoxBullet"/>
            </w:pPr>
            <w:r w:rsidRPr="004E1159">
              <w:t>$58.9 million over 4 years from 2023</w:t>
            </w:r>
            <w:r w:rsidR="00A5793A" w:rsidRPr="004E1159">
              <w:t>–</w:t>
            </w:r>
            <w:r w:rsidRPr="004E1159">
              <w:t xml:space="preserve">24 for a targeted indexation boost to funding for the following programs (see </w:t>
            </w:r>
            <w:r w:rsidRPr="004E1159">
              <w:rPr>
                <w:i/>
              </w:rPr>
              <w:t>Budget Paper No. 2, Funding Pay Increases for Aged Care Workers</w:t>
            </w:r>
            <w:r w:rsidRPr="004E1159">
              <w:t xml:space="preserve">): </w:t>
            </w:r>
          </w:p>
          <w:p w14:paraId="4F29F622" w14:textId="3FD48815" w:rsidR="00FD4154" w:rsidRPr="004E1159" w:rsidRDefault="00FD4154" w:rsidP="00D57DA8">
            <w:pPr>
              <w:pStyle w:val="BoxDash"/>
              <w:rPr>
                <w:sz w:val="19"/>
                <w:szCs w:val="19"/>
              </w:rPr>
            </w:pPr>
            <w:r w:rsidRPr="004E1159">
              <w:rPr>
                <w:sz w:val="19"/>
                <w:szCs w:val="19"/>
              </w:rPr>
              <w:t>$36.7 million over 4 years from 2023</w:t>
            </w:r>
            <w:r w:rsidR="00A5793A" w:rsidRPr="004E1159">
              <w:rPr>
                <w:sz w:val="19"/>
                <w:szCs w:val="19"/>
              </w:rPr>
              <w:t>–</w:t>
            </w:r>
            <w:r w:rsidRPr="004E1159">
              <w:rPr>
                <w:sz w:val="19"/>
                <w:szCs w:val="19"/>
              </w:rPr>
              <w:t>24 for the National Aboriginal and Torres Strait Islander Flexible Aged Care Program</w:t>
            </w:r>
          </w:p>
          <w:p w14:paraId="17D44DCC" w14:textId="525E1AE6" w:rsidR="00FD4154" w:rsidRPr="004E1159" w:rsidRDefault="00FD4154" w:rsidP="00D57DA8">
            <w:pPr>
              <w:pStyle w:val="BoxDash"/>
              <w:rPr>
                <w:sz w:val="19"/>
                <w:szCs w:val="19"/>
              </w:rPr>
            </w:pPr>
            <w:r w:rsidRPr="004E1159">
              <w:rPr>
                <w:sz w:val="19"/>
                <w:szCs w:val="19"/>
              </w:rPr>
              <w:t>$9.9 million over 4 years from 2023</w:t>
            </w:r>
            <w:r w:rsidR="00A5793A" w:rsidRPr="004E1159">
              <w:rPr>
                <w:sz w:val="19"/>
                <w:szCs w:val="19"/>
              </w:rPr>
              <w:t>–</w:t>
            </w:r>
            <w:r w:rsidRPr="004E1159">
              <w:rPr>
                <w:sz w:val="19"/>
                <w:szCs w:val="19"/>
              </w:rPr>
              <w:t xml:space="preserve">24 for the Indigenous Employment Initiative </w:t>
            </w:r>
          </w:p>
          <w:p w14:paraId="46B93D9C" w14:textId="0BBA5320" w:rsidR="00FD4154" w:rsidRPr="004E1159" w:rsidRDefault="00FD4154" w:rsidP="00D57DA8">
            <w:pPr>
              <w:pStyle w:val="BoxDash"/>
              <w:rPr>
                <w:sz w:val="19"/>
                <w:szCs w:val="19"/>
              </w:rPr>
            </w:pPr>
            <w:r w:rsidRPr="004E1159">
              <w:rPr>
                <w:sz w:val="19"/>
                <w:szCs w:val="19"/>
              </w:rPr>
              <w:t>$9.1 million over 4 years from 2023</w:t>
            </w:r>
            <w:r w:rsidR="00A5793A" w:rsidRPr="004E1159">
              <w:rPr>
                <w:sz w:val="19"/>
                <w:szCs w:val="19"/>
              </w:rPr>
              <w:t>–</w:t>
            </w:r>
            <w:r w:rsidRPr="004E1159">
              <w:rPr>
                <w:sz w:val="19"/>
                <w:szCs w:val="19"/>
              </w:rPr>
              <w:t>24 for the Trusted Indigenous Facilitators program</w:t>
            </w:r>
          </w:p>
          <w:p w14:paraId="4B7D73D8" w14:textId="5A76D40E" w:rsidR="00FD4154" w:rsidRPr="004E1159" w:rsidRDefault="00FD4154" w:rsidP="00D57DA8">
            <w:pPr>
              <w:pStyle w:val="BoxDash"/>
              <w:rPr>
                <w:sz w:val="19"/>
                <w:szCs w:val="19"/>
              </w:rPr>
            </w:pPr>
            <w:r w:rsidRPr="004E1159">
              <w:rPr>
                <w:sz w:val="19"/>
                <w:szCs w:val="19"/>
              </w:rPr>
              <w:t>$3.1 million over 4 years from 2023</w:t>
            </w:r>
            <w:r w:rsidR="00A5793A" w:rsidRPr="004E1159">
              <w:rPr>
                <w:sz w:val="19"/>
                <w:szCs w:val="19"/>
              </w:rPr>
              <w:t>–</w:t>
            </w:r>
            <w:r w:rsidRPr="004E1159">
              <w:rPr>
                <w:sz w:val="19"/>
                <w:szCs w:val="19"/>
              </w:rPr>
              <w:t xml:space="preserve">24 </w:t>
            </w:r>
            <w:r w:rsidR="000C13A6" w:rsidRPr="004E1159">
              <w:rPr>
                <w:sz w:val="19"/>
                <w:szCs w:val="19"/>
              </w:rPr>
              <w:t>for</w:t>
            </w:r>
            <w:r w:rsidRPr="004E1159">
              <w:rPr>
                <w:sz w:val="19"/>
                <w:szCs w:val="19"/>
              </w:rPr>
              <w:t xml:space="preserve"> the Multi</w:t>
            </w:r>
            <w:r w:rsidR="00594653" w:rsidRPr="004E1159">
              <w:rPr>
                <w:sz w:val="19"/>
                <w:szCs w:val="19"/>
              </w:rPr>
              <w:noBreakHyphen/>
            </w:r>
            <w:r w:rsidRPr="004E1159">
              <w:rPr>
                <w:sz w:val="19"/>
                <w:szCs w:val="19"/>
              </w:rPr>
              <w:t>Purpose Services Program</w:t>
            </w:r>
          </w:p>
          <w:p w14:paraId="26D20E12" w14:textId="6496C206" w:rsidR="00FD4154" w:rsidRPr="004E1159" w:rsidRDefault="00FD4154" w:rsidP="00812654">
            <w:pPr>
              <w:pStyle w:val="BoxBullet"/>
            </w:pPr>
            <w:r w:rsidRPr="004E1159">
              <w:t xml:space="preserve">$98.7 million to fund historical leave provisions (see </w:t>
            </w:r>
            <w:r w:rsidRPr="00C94D22">
              <w:t>Budget Paper No. 2</w:t>
            </w:r>
            <w:r w:rsidRPr="004E1159">
              <w:rPr>
                <w:i/>
              </w:rPr>
              <w:t>, Funding Pay Increases for Aged Care Workers</w:t>
            </w:r>
            <w:r w:rsidRPr="004E1159">
              <w:t xml:space="preserve">). </w:t>
            </w:r>
          </w:p>
          <w:p w14:paraId="637291E4" w14:textId="77777777" w:rsidR="00FD4154" w:rsidRPr="004E1159" w:rsidRDefault="00FD4154" w:rsidP="00812654">
            <w:pPr>
              <w:pStyle w:val="BoxText"/>
            </w:pPr>
            <w:r w:rsidRPr="004E1159">
              <w:t xml:space="preserve">More than 250,000 aged care workers </w:t>
            </w:r>
            <w:r w:rsidRPr="004E1159" w:rsidDel="00D25D79">
              <w:t xml:space="preserve">will </w:t>
            </w:r>
            <w:r w:rsidRPr="004E1159">
              <w:t xml:space="preserve">benefit from the increase. </w:t>
            </w:r>
          </w:p>
          <w:p w14:paraId="3D53D15D" w14:textId="1EFD2E75" w:rsidR="00FD4154" w:rsidRDefault="00FD4154" w:rsidP="00812654">
            <w:pPr>
              <w:pStyle w:val="BoxText"/>
            </w:pPr>
            <w:r w:rsidRPr="004E1159">
              <w:t>This Budget also includes $2.7 billion over 4 years from 2023</w:t>
            </w:r>
            <w:r w:rsidR="00394453" w:rsidRPr="004E1159">
              <w:t>–</w:t>
            </w:r>
            <w:r w:rsidRPr="004E1159">
              <w:t>24 in additional indexation for residential aged care based on advice from the Independent Health and Aged Care Pricing Authority.</w:t>
            </w:r>
          </w:p>
        </w:tc>
      </w:tr>
    </w:tbl>
    <w:p w14:paraId="5EFCDBA5" w14:textId="77777777" w:rsidR="00812654" w:rsidRDefault="00812654">
      <w:pPr>
        <w:spacing w:before="0" w:after="160" w:line="259" w:lineRule="auto"/>
      </w:pPr>
      <w:r>
        <w:br w:type="page"/>
      </w:r>
    </w:p>
    <w:p w14:paraId="3487EDC6" w14:textId="163233E2" w:rsidR="00FD4154" w:rsidRPr="004E1159" w:rsidRDefault="00FD4154" w:rsidP="004D6A19">
      <w:r w:rsidRPr="004E1159">
        <w:lastRenderedPageBreak/>
        <w:t>Major decreases in payments from parameter and other variations since the October Budget include:</w:t>
      </w:r>
    </w:p>
    <w:p w14:paraId="169F65E8" w14:textId="073B611F" w:rsidR="00C84C77" w:rsidRPr="004E1159" w:rsidRDefault="00E72B19" w:rsidP="00E72B19">
      <w:pPr>
        <w:pStyle w:val="Bullet"/>
      </w:pPr>
      <w:r w:rsidRPr="004E1159">
        <w:t>p</w:t>
      </w:r>
      <w:r w:rsidR="00C84C77" w:rsidRPr="004E1159">
        <w:t>ayments related to the Medical Benefits program are expected to be $3.5 billion lower in 2022</w:t>
      </w:r>
      <w:r w:rsidR="005A528A" w:rsidRPr="004E1159">
        <w:t>–</w:t>
      </w:r>
      <w:r w:rsidR="00C84C77" w:rsidRPr="004E1159">
        <w:t>23 compared to estimates outlined in the 2022</w:t>
      </w:r>
      <w:r w:rsidR="00235899" w:rsidRPr="004E1159">
        <w:t>–</w:t>
      </w:r>
      <w:r w:rsidR="00C84C77" w:rsidRPr="004E1159">
        <w:t>23 October Budget. A significant factor is lower spending on COVID pathology and vaccine administration over the past financial year along with a reduction in demand for services. This has led to an adjustment across the forward estimates. Before taking into account new measures in the 2023</w:t>
      </w:r>
      <w:r w:rsidR="005A528A" w:rsidRPr="004E1159">
        <w:t>–</w:t>
      </w:r>
      <w:r w:rsidR="00C84C77" w:rsidRPr="004E1159">
        <w:t>24 Budget, payments related to the Medical Benefits program are expected to be $2.8 billion lower in 2023</w:t>
      </w:r>
      <w:r w:rsidR="005A528A" w:rsidRPr="004E1159">
        <w:t>–</w:t>
      </w:r>
      <w:r w:rsidR="00C84C77" w:rsidRPr="004E1159">
        <w:t>24 and $10.4 billion lower over the 4 years to 2026</w:t>
      </w:r>
      <w:r w:rsidR="005A528A" w:rsidRPr="004E1159">
        <w:t>–</w:t>
      </w:r>
      <w:r w:rsidR="00C84C77" w:rsidRPr="004E1159">
        <w:t>27 compared to previous estimates. In the 2023</w:t>
      </w:r>
      <w:r w:rsidR="005A528A" w:rsidRPr="004E1159">
        <w:t>–</w:t>
      </w:r>
      <w:r w:rsidR="00C84C77" w:rsidRPr="004E1159">
        <w:t>24 Budget, the Government is investing $5.9 billion over 4 years from 2023</w:t>
      </w:r>
      <w:r w:rsidR="005A528A" w:rsidRPr="004E1159">
        <w:t>–</w:t>
      </w:r>
      <w:r w:rsidR="00C84C77" w:rsidRPr="004E1159">
        <w:t>24 in the Medical Benefits program through measures aimed at strengthening Medicare, including $1.5 billion over 4 years from 2023</w:t>
      </w:r>
      <w:r w:rsidR="005A528A" w:rsidRPr="004E1159">
        <w:t>–</w:t>
      </w:r>
      <w:r w:rsidR="00C84C77" w:rsidRPr="004E1159">
        <w:t>24 to increase indexation in the Medicare Benefits Schedule</w:t>
      </w:r>
      <w:r w:rsidR="00976000" w:rsidRPr="004E1159">
        <w:t>.</w:t>
      </w:r>
    </w:p>
    <w:p w14:paraId="56670281" w14:textId="5C05AB81" w:rsidR="00C84C77" w:rsidRPr="004E1159" w:rsidRDefault="00E72B19" w:rsidP="00E72B19">
      <w:pPr>
        <w:pStyle w:val="Bullet"/>
      </w:pPr>
      <w:r w:rsidRPr="004E1159">
        <w:t>p</w:t>
      </w:r>
      <w:r w:rsidR="00C84C77" w:rsidRPr="004E1159">
        <w:t>ayments related to Commonwealth Debt Management, which are expected to decrease by $1.7 billion in 2023</w:t>
      </w:r>
      <w:r w:rsidR="005A528A" w:rsidRPr="004E1159">
        <w:t>–</w:t>
      </w:r>
      <w:r w:rsidR="00C84C77" w:rsidRPr="004E1159">
        <w:t>24 and $9.9 billion over the 4 years from 2022</w:t>
      </w:r>
      <w:r w:rsidR="005A528A" w:rsidRPr="004E1159">
        <w:t>–</w:t>
      </w:r>
      <w:r w:rsidR="00C84C77" w:rsidRPr="004E1159">
        <w:t>23 to 2025</w:t>
      </w:r>
      <w:r w:rsidR="005A528A" w:rsidRPr="004E1159">
        <w:t>–</w:t>
      </w:r>
      <w:r w:rsidR="00C84C77" w:rsidRPr="004E1159">
        <w:t>26, largely reflecting lower levels of Australian Government Securities (AGS) on issue</w:t>
      </w:r>
      <w:r w:rsidR="00976000" w:rsidRPr="004E1159">
        <w:t>.</w:t>
      </w:r>
    </w:p>
    <w:p w14:paraId="205178AF" w14:textId="30DCD070" w:rsidR="00C84C77" w:rsidRPr="004E1159" w:rsidRDefault="00E72B19" w:rsidP="00E72B19">
      <w:pPr>
        <w:pStyle w:val="Bullet"/>
      </w:pPr>
      <w:r w:rsidRPr="004E1159">
        <w:t>p</w:t>
      </w:r>
      <w:r w:rsidR="00C84C77" w:rsidRPr="004E1159">
        <w:t>ayments related to Family Assistance, which are expected to decrease by $1.0 billion in 2023</w:t>
      </w:r>
      <w:r w:rsidR="005A528A" w:rsidRPr="004E1159">
        <w:t>–</w:t>
      </w:r>
      <w:r w:rsidR="00C84C77" w:rsidRPr="004E1159">
        <w:t>24 and $2.8 billion over 4 years from 2023</w:t>
      </w:r>
      <w:r w:rsidR="005A528A" w:rsidRPr="004E1159">
        <w:t>–</w:t>
      </w:r>
      <w:r w:rsidR="00C84C77" w:rsidRPr="004E1159">
        <w:t>24 to 2026</w:t>
      </w:r>
      <w:r w:rsidR="005A528A" w:rsidRPr="004E1159">
        <w:t>–</w:t>
      </w:r>
      <w:r w:rsidR="00C84C77" w:rsidRPr="004E1159">
        <w:t>27, largely due to a decrease in Family Tax Benefit recipients and a decrease in average payment rates, reflecting continued strong labour market performance</w:t>
      </w:r>
      <w:r w:rsidR="00976000" w:rsidRPr="004E1159">
        <w:t>.</w:t>
      </w:r>
    </w:p>
    <w:p w14:paraId="4D5D507B" w14:textId="191380F1" w:rsidR="00C84C77" w:rsidRPr="004E1159" w:rsidRDefault="00E72B19" w:rsidP="00E72B19">
      <w:pPr>
        <w:pStyle w:val="Bullet"/>
      </w:pPr>
      <w:r w:rsidRPr="004E1159">
        <w:t>p</w:t>
      </w:r>
      <w:r w:rsidR="00C84C77" w:rsidRPr="004E1159">
        <w:t>ayments relating to Support for Seniors, which are expected to decrease by $699</w:t>
      </w:r>
      <w:r w:rsidR="00CA3E04" w:rsidRPr="004E1159">
        <w:t> </w:t>
      </w:r>
      <w:r w:rsidR="00C84C77" w:rsidRPr="004E1159">
        <w:t>million in 2023</w:t>
      </w:r>
      <w:r w:rsidR="005A528A" w:rsidRPr="004E1159">
        <w:t>–</w:t>
      </w:r>
      <w:r w:rsidR="00C84C77" w:rsidRPr="004E1159">
        <w:t>24 and $1.6 billion over 4 years from 2023</w:t>
      </w:r>
      <w:r w:rsidR="005A528A" w:rsidRPr="004E1159">
        <w:t>–</w:t>
      </w:r>
      <w:r w:rsidR="00C84C77" w:rsidRPr="004E1159">
        <w:t>24 to 2026</w:t>
      </w:r>
      <w:r w:rsidR="005A528A" w:rsidRPr="004E1159">
        <w:t>–</w:t>
      </w:r>
      <w:r w:rsidR="00C84C77" w:rsidRPr="004E1159">
        <w:t>27, largely due to lower than expected Age Pension recipient numbers in 2022</w:t>
      </w:r>
      <w:r w:rsidR="005A528A" w:rsidRPr="004E1159">
        <w:t>–</w:t>
      </w:r>
      <w:r w:rsidR="00C84C77" w:rsidRPr="004E1159">
        <w:t xml:space="preserve">23 which impacts the forward estimates, due to </w:t>
      </w:r>
      <w:r w:rsidR="001B779D" w:rsidRPr="004E1159">
        <w:t xml:space="preserve">some Australians </w:t>
      </w:r>
      <w:r w:rsidR="00C84C77" w:rsidRPr="004E1159">
        <w:t>approaching retirement age choosing to delay their retirement</w:t>
      </w:r>
      <w:r w:rsidR="00976000" w:rsidRPr="004E1159">
        <w:t>.</w:t>
      </w:r>
    </w:p>
    <w:p w14:paraId="68B95CB3" w14:textId="55076DFE" w:rsidR="000F7539" w:rsidRPr="004E1159" w:rsidRDefault="00E72B19" w:rsidP="00E72B19">
      <w:pPr>
        <w:pStyle w:val="Bullet"/>
      </w:pPr>
      <w:r w:rsidRPr="004E1159">
        <w:t>p</w:t>
      </w:r>
      <w:r w:rsidR="00C84C77" w:rsidRPr="004E1159">
        <w:t>ayments relating to Government Schools, which are expected to decrease by $181</w:t>
      </w:r>
      <w:r w:rsidR="005A528A" w:rsidRPr="004E1159">
        <w:t> </w:t>
      </w:r>
      <w:r w:rsidR="00C84C77" w:rsidRPr="004E1159">
        <w:t>million in 2023</w:t>
      </w:r>
      <w:r w:rsidR="005A528A" w:rsidRPr="004E1159">
        <w:t>–</w:t>
      </w:r>
      <w:r w:rsidR="00C84C77" w:rsidRPr="004E1159">
        <w:t>24 and $1.2 billion over 4 years from 2023</w:t>
      </w:r>
      <w:r w:rsidR="005A528A" w:rsidRPr="004E1159">
        <w:t>–</w:t>
      </w:r>
      <w:r w:rsidR="00C84C77" w:rsidRPr="004E1159">
        <w:t>24 to 2026</w:t>
      </w:r>
      <w:r w:rsidR="005A528A" w:rsidRPr="004E1159">
        <w:t>–</w:t>
      </w:r>
      <w:r w:rsidR="00C84C77" w:rsidRPr="004E1159">
        <w:t>27, primarily due to a decrease in student enrolments at Government Schools</w:t>
      </w:r>
      <w:r w:rsidR="00976000" w:rsidRPr="004E1159">
        <w:t>.</w:t>
      </w:r>
    </w:p>
    <w:p w14:paraId="26A25253" w14:textId="6BCC42F9" w:rsidR="0068596F" w:rsidRPr="0033720D" w:rsidRDefault="0068596F" w:rsidP="0068596F">
      <w:r w:rsidRPr="004E1159">
        <w:t xml:space="preserve">Consistent with past budgets, the underlying cash balance has been improved by regular draw down of the conservative bias allowance. Details in </w:t>
      </w:r>
      <w:r w:rsidRPr="004E1159">
        <w:rPr>
          <w:rStyle w:val="Emphasis"/>
        </w:rPr>
        <w:t>Statement 6: Expenses and Net Capital Investment</w:t>
      </w:r>
      <w:r w:rsidRPr="004E1159">
        <w:t>.</w:t>
      </w:r>
    </w:p>
    <w:p w14:paraId="501C960C" w14:textId="1C370BC5" w:rsidR="00D01E96" w:rsidRPr="003A2B54" w:rsidRDefault="00D01E96" w:rsidP="003A2B54">
      <w:r w:rsidRPr="00EA288B">
        <w:br w:type="page"/>
      </w:r>
    </w:p>
    <w:p w14:paraId="6404B57B" w14:textId="7CC34F75" w:rsidR="00260731" w:rsidRPr="004E1159" w:rsidRDefault="00E21765" w:rsidP="00260731">
      <w:pPr>
        <w:pStyle w:val="TableHeading"/>
        <w:rPr>
          <w:rFonts w:asciiTheme="minorHAnsi" w:eastAsiaTheme="minorHAnsi" w:hAnsiTheme="minorHAnsi" w:cstheme="minorBidi"/>
          <w:sz w:val="22"/>
          <w:szCs w:val="22"/>
          <w:lang w:eastAsia="en-US"/>
        </w:rPr>
      </w:pPr>
      <w:r w:rsidRPr="004E1159">
        <w:lastRenderedPageBreak/>
        <w:t>Table </w:t>
      </w:r>
      <w:r w:rsidR="00D01E96" w:rsidRPr="004E1159">
        <w:t>3.</w:t>
      </w:r>
      <w:r w:rsidR="00C00330" w:rsidRPr="004E1159">
        <w:t>3</w:t>
      </w:r>
      <w:r w:rsidR="00D01E96" w:rsidRPr="004E1159">
        <w:t xml:space="preserve">: Reconciliation of </w:t>
      </w:r>
      <w:r w:rsidR="00372138" w:rsidRPr="004E1159">
        <w:t xml:space="preserve">general government sector </w:t>
      </w:r>
      <w:r w:rsidR="00D01E96" w:rsidRPr="004E1159">
        <w:t>payments estimates</w:t>
      </w:r>
      <w:r w:rsidR="00D01E96" w:rsidRPr="004E1159">
        <w:rPr>
          <w:vertAlign w:val="superscript"/>
        </w:rPr>
        <w:t>(a)</w:t>
      </w:r>
    </w:p>
    <w:tbl>
      <w:tblPr>
        <w:tblW w:w="5000" w:type="pct"/>
        <w:tblCellMar>
          <w:left w:w="0" w:type="dxa"/>
          <w:right w:w="28" w:type="dxa"/>
        </w:tblCellMar>
        <w:tblLook w:val="04A0" w:firstRow="1" w:lastRow="0" w:firstColumn="1" w:lastColumn="0" w:noHBand="0" w:noVBand="1"/>
      </w:tblPr>
      <w:tblGrid>
        <w:gridCol w:w="3108"/>
        <w:gridCol w:w="735"/>
        <w:gridCol w:w="726"/>
        <w:gridCol w:w="731"/>
        <w:gridCol w:w="737"/>
        <w:gridCol w:w="651"/>
        <w:gridCol w:w="282"/>
        <w:gridCol w:w="740"/>
      </w:tblGrid>
      <w:tr w:rsidR="00864963" w:rsidRPr="00864963" w14:paraId="2DA8065E" w14:textId="77777777" w:rsidTr="00260731">
        <w:trPr>
          <w:trHeight w:val="225"/>
        </w:trPr>
        <w:tc>
          <w:tcPr>
            <w:tcW w:w="2016" w:type="pct"/>
            <w:tcBorders>
              <w:top w:val="single" w:sz="4" w:space="0" w:color="293F5B"/>
              <w:left w:val="nil"/>
              <w:bottom w:val="nil"/>
              <w:right w:val="nil"/>
            </w:tcBorders>
            <w:shd w:val="clear" w:color="000000" w:fill="FFFFFF"/>
            <w:noWrap/>
            <w:vAlign w:val="center"/>
            <w:hideMark/>
          </w:tcPr>
          <w:p w14:paraId="43ECD26A" w14:textId="01C1D424"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77" w:type="pct"/>
            <w:tcBorders>
              <w:top w:val="single" w:sz="4" w:space="0" w:color="293F5B"/>
              <w:left w:val="nil"/>
              <w:bottom w:val="single" w:sz="4" w:space="0" w:color="293F5B"/>
              <w:right w:val="nil"/>
            </w:tcBorders>
            <w:shd w:val="clear" w:color="000000" w:fill="FFFFFF"/>
            <w:noWrap/>
            <w:vAlign w:val="center"/>
            <w:hideMark/>
          </w:tcPr>
          <w:p w14:paraId="6F5107FE"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945" w:type="pct"/>
            <w:gridSpan w:val="2"/>
            <w:tcBorders>
              <w:top w:val="single" w:sz="4" w:space="0" w:color="293F5B"/>
              <w:left w:val="nil"/>
              <w:bottom w:val="single" w:sz="4" w:space="0" w:color="293F5B"/>
              <w:right w:val="nil"/>
            </w:tcBorders>
            <w:shd w:val="clear" w:color="000000" w:fill="FFFFFF"/>
            <w:noWrap/>
            <w:vAlign w:val="center"/>
            <w:hideMark/>
          </w:tcPr>
          <w:p w14:paraId="12AC9329" w14:textId="77777777" w:rsidR="00260731" w:rsidRPr="00864963" w:rsidRDefault="00260731" w:rsidP="00260731">
            <w:pPr>
              <w:spacing w:before="0" w:after="0" w:line="240" w:lineRule="auto"/>
              <w:jc w:val="center"/>
              <w:rPr>
                <w:rFonts w:ascii="Arial" w:hAnsi="Arial" w:cs="Arial"/>
                <w:sz w:val="16"/>
                <w:szCs w:val="16"/>
                <w:highlight w:val="darkCyan"/>
              </w:rPr>
            </w:pPr>
            <w:r w:rsidRPr="00864963">
              <w:rPr>
                <w:rFonts w:ascii="Arial" w:hAnsi="Arial" w:cs="Arial"/>
                <w:sz w:val="16"/>
                <w:szCs w:val="16"/>
              </w:rPr>
              <w:t>Estimates</w:t>
            </w:r>
          </w:p>
        </w:tc>
        <w:tc>
          <w:tcPr>
            <w:tcW w:w="478" w:type="pct"/>
            <w:tcBorders>
              <w:top w:val="single" w:sz="4" w:space="0" w:color="293F5B"/>
              <w:left w:val="nil"/>
              <w:bottom w:val="single" w:sz="4" w:space="0" w:color="293F5B"/>
              <w:right w:val="nil"/>
            </w:tcBorders>
            <w:shd w:val="clear" w:color="000000" w:fill="FFFFFF"/>
            <w:noWrap/>
            <w:vAlign w:val="center"/>
            <w:hideMark/>
          </w:tcPr>
          <w:p w14:paraId="0196575A"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22" w:type="pct"/>
            <w:tcBorders>
              <w:top w:val="single" w:sz="4" w:space="0" w:color="293F5B"/>
              <w:left w:val="nil"/>
              <w:bottom w:val="single" w:sz="4" w:space="0" w:color="293F5B"/>
              <w:right w:val="nil"/>
            </w:tcBorders>
            <w:shd w:val="clear" w:color="000000" w:fill="FFFFFF"/>
            <w:noWrap/>
            <w:vAlign w:val="center"/>
            <w:hideMark/>
          </w:tcPr>
          <w:p w14:paraId="7FA1C7CC"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183" w:type="pct"/>
            <w:tcBorders>
              <w:top w:val="single" w:sz="4" w:space="0" w:color="293F5B"/>
              <w:left w:val="nil"/>
              <w:bottom w:val="nil"/>
              <w:right w:val="nil"/>
            </w:tcBorders>
            <w:shd w:val="clear" w:color="000000" w:fill="FFFFFF"/>
            <w:noWrap/>
            <w:vAlign w:val="center"/>
            <w:hideMark/>
          </w:tcPr>
          <w:p w14:paraId="7C7ACE79"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80" w:type="pct"/>
            <w:tcBorders>
              <w:top w:val="single" w:sz="4" w:space="0" w:color="293F5B"/>
              <w:left w:val="nil"/>
              <w:bottom w:val="single" w:sz="4" w:space="0" w:color="293F5B"/>
              <w:right w:val="nil"/>
            </w:tcBorders>
            <w:shd w:val="clear" w:color="000000" w:fill="FFFFFF"/>
            <w:noWrap/>
            <w:vAlign w:val="center"/>
            <w:hideMark/>
          </w:tcPr>
          <w:p w14:paraId="0E4FFCF5" w14:textId="77777777" w:rsidR="00260731" w:rsidRPr="00864963" w:rsidRDefault="00260731" w:rsidP="00260731">
            <w:pPr>
              <w:spacing w:before="0" w:after="0" w:line="240" w:lineRule="auto"/>
              <w:rPr>
                <w:rFonts w:ascii="Arial" w:hAnsi="Arial" w:cs="Arial"/>
                <w:sz w:val="16"/>
                <w:szCs w:val="16"/>
              </w:rPr>
            </w:pPr>
            <w:r w:rsidRPr="00864963">
              <w:rPr>
                <w:rFonts w:ascii="Arial" w:hAnsi="Arial" w:cs="Arial"/>
                <w:sz w:val="16"/>
                <w:szCs w:val="16"/>
              </w:rPr>
              <w:t> </w:t>
            </w:r>
          </w:p>
        </w:tc>
      </w:tr>
      <w:tr w:rsidR="00864963" w:rsidRPr="00864963" w14:paraId="3C090B86" w14:textId="77777777" w:rsidTr="00260731">
        <w:trPr>
          <w:trHeight w:val="225"/>
        </w:trPr>
        <w:tc>
          <w:tcPr>
            <w:tcW w:w="2016" w:type="pct"/>
            <w:tcBorders>
              <w:top w:val="nil"/>
              <w:left w:val="nil"/>
              <w:bottom w:val="nil"/>
              <w:right w:val="nil"/>
            </w:tcBorders>
            <w:shd w:val="clear" w:color="000000" w:fill="FFFFFF"/>
            <w:noWrap/>
            <w:vAlign w:val="bottom"/>
            <w:hideMark/>
          </w:tcPr>
          <w:p w14:paraId="220902F1"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77" w:type="pct"/>
            <w:tcBorders>
              <w:top w:val="single" w:sz="4" w:space="0" w:color="auto"/>
              <w:left w:val="nil"/>
              <w:bottom w:val="nil"/>
              <w:right w:val="nil"/>
            </w:tcBorders>
            <w:shd w:val="clear" w:color="000000" w:fill="FFFFFF"/>
            <w:noWrap/>
            <w:vAlign w:val="center"/>
            <w:hideMark/>
          </w:tcPr>
          <w:p w14:paraId="4EC29345"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2022–23</w:t>
            </w:r>
          </w:p>
        </w:tc>
        <w:tc>
          <w:tcPr>
            <w:tcW w:w="471" w:type="pct"/>
            <w:tcBorders>
              <w:top w:val="single" w:sz="4" w:space="0" w:color="auto"/>
              <w:left w:val="nil"/>
              <w:bottom w:val="nil"/>
              <w:right w:val="nil"/>
            </w:tcBorders>
            <w:shd w:val="clear" w:color="000000" w:fill="E6F2FF"/>
            <w:noWrap/>
            <w:vAlign w:val="center"/>
            <w:hideMark/>
          </w:tcPr>
          <w:p w14:paraId="19988EFE"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2023–24</w:t>
            </w:r>
          </w:p>
        </w:tc>
        <w:tc>
          <w:tcPr>
            <w:tcW w:w="473" w:type="pct"/>
            <w:tcBorders>
              <w:top w:val="single" w:sz="4" w:space="0" w:color="auto"/>
              <w:left w:val="nil"/>
              <w:bottom w:val="nil"/>
              <w:right w:val="nil"/>
            </w:tcBorders>
            <w:shd w:val="clear" w:color="000000" w:fill="FFFFFF"/>
            <w:noWrap/>
            <w:vAlign w:val="center"/>
            <w:hideMark/>
          </w:tcPr>
          <w:p w14:paraId="0CB26059"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2024–25</w:t>
            </w:r>
          </w:p>
        </w:tc>
        <w:tc>
          <w:tcPr>
            <w:tcW w:w="478" w:type="pct"/>
            <w:tcBorders>
              <w:top w:val="single" w:sz="4" w:space="0" w:color="auto"/>
              <w:left w:val="nil"/>
              <w:bottom w:val="nil"/>
              <w:right w:val="nil"/>
            </w:tcBorders>
            <w:shd w:val="clear" w:color="000000" w:fill="FFFFFF"/>
            <w:noWrap/>
            <w:vAlign w:val="center"/>
            <w:hideMark/>
          </w:tcPr>
          <w:p w14:paraId="3226E10B"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2025–26</w:t>
            </w:r>
          </w:p>
        </w:tc>
        <w:tc>
          <w:tcPr>
            <w:tcW w:w="422" w:type="pct"/>
            <w:tcBorders>
              <w:top w:val="single" w:sz="4" w:space="0" w:color="auto"/>
              <w:left w:val="nil"/>
              <w:bottom w:val="nil"/>
              <w:right w:val="nil"/>
            </w:tcBorders>
            <w:shd w:val="clear" w:color="000000" w:fill="FFFFFF"/>
            <w:noWrap/>
            <w:vAlign w:val="center"/>
            <w:hideMark/>
          </w:tcPr>
          <w:p w14:paraId="18942B01"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2026–27</w:t>
            </w:r>
          </w:p>
        </w:tc>
        <w:tc>
          <w:tcPr>
            <w:tcW w:w="183" w:type="pct"/>
            <w:tcBorders>
              <w:top w:val="nil"/>
              <w:left w:val="nil"/>
              <w:bottom w:val="nil"/>
              <w:right w:val="nil"/>
            </w:tcBorders>
            <w:shd w:val="clear" w:color="000000" w:fill="FFFFFF"/>
            <w:noWrap/>
            <w:vAlign w:val="center"/>
            <w:hideMark/>
          </w:tcPr>
          <w:p w14:paraId="07428E33"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480" w:type="pct"/>
            <w:tcBorders>
              <w:top w:val="single" w:sz="4" w:space="0" w:color="auto"/>
              <w:left w:val="nil"/>
              <w:bottom w:val="nil"/>
              <w:right w:val="nil"/>
            </w:tcBorders>
            <w:shd w:val="clear" w:color="000000" w:fill="FFFFFF"/>
            <w:noWrap/>
            <w:vAlign w:val="center"/>
            <w:hideMark/>
          </w:tcPr>
          <w:p w14:paraId="1F55DCEC" w14:textId="77777777" w:rsidR="00260731" w:rsidRPr="00864963" w:rsidRDefault="00260731" w:rsidP="00260731">
            <w:pPr>
              <w:spacing w:before="0" w:after="0" w:line="240" w:lineRule="auto"/>
              <w:jc w:val="right"/>
              <w:rPr>
                <w:rFonts w:ascii="Arial" w:hAnsi="Arial" w:cs="Arial"/>
                <w:sz w:val="16"/>
                <w:szCs w:val="16"/>
              </w:rPr>
            </w:pPr>
            <w:r w:rsidRPr="00864963">
              <w:rPr>
                <w:rFonts w:ascii="Arial" w:hAnsi="Arial" w:cs="Arial"/>
                <w:sz w:val="16"/>
                <w:szCs w:val="16"/>
              </w:rPr>
              <w:t>Total</w:t>
            </w:r>
          </w:p>
        </w:tc>
      </w:tr>
      <w:tr w:rsidR="00864963" w:rsidRPr="00864963" w14:paraId="65A996D8" w14:textId="77777777" w:rsidTr="00260731">
        <w:trPr>
          <w:trHeight w:val="225"/>
        </w:trPr>
        <w:tc>
          <w:tcPr>
            <w:tcW w:w="2016" w:type="pct"/>
            <w:tcBorders>
              <w:top w:val="nil"/>
              <w:left w:val="nil"/>
              <w:bottom w:val="nil"/>
              <w:right w:val="nil"/>
            </w:tcBorders>
            <w:shd w:val="clear" w:color="000000" w:fill="FFFFFF"/>
            <w:noWrap/>
            <w:vAlign w:val="center"/>
            <w:hideMark/>
          </w:tcPr>
          <w:p w14:paraId="420BD997"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77" w:type="pct"/>
            <w:tcBorders>
              <w:top w:val="nil"/>
              <w:left w:val="nil"/>
              <w:bottom w:val="single" w:sz="4" w:space="0" w:color="293F5B"/>
              <w:right w:val="nil"/>
            </w:tcBorders>
            <w:shd w:val="clear" w:color="000000" w:fill="FFFFFF"/>
            <w:noWrap/>
            <w:vAlign w:val="center"/>
            <w:hideMark/>
          </w:tcPr>
          <w:p w14:paraId="5BA73B63"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$m</w:t>
            </w:r>
          </w:p>
        </w:tc>
        <w:tc>
          <w:tcPr>
            <w:tcW w:w="471" w:type="pct"/>
            <w:tcBorders>
              <w:top w:val="nil"/>
              <w:left w:val="nil"/>
              <w:bottom w:val="single" w:sz="4" w:space="0" w:color="293F5B"/>
              <w:right w:val="nil"/>
            </w:tcBorders>
            <w:shd w:val="clear" w:color="000000" w:fill="E6F2FF"/>
            <w:noWrap/>
            <w:vAlign w:val="center"/>
            <w:hideMark/>
          </w:tcPr>
          <w:p w14:paraId="399E3462"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$m</w:t>
            </w:r>
          </w:p>
        </w:tc>
        <w:tc>
          <w:tcPr>
            <w:tcW w:w="473" w:type="pct"/>
            <w:tcBorders>
              <w:top w:val="nil"/>
              <w:left w:val="nil"/>
              <w:bottom w:val="single" w:sz="4" w:space="0" w:color="293F5B"/>
              <w:right w:val="nil"/>
            </w:tcBorders>
            <w:shd w:val="clear" w:color="000000" w:fill="FFFFFF"/>
            <w:noWrap/>
            <w:vAlign w:val="center"/>
            <w:hideMark/>
          </w:tcPr>
          <w:p w14:paraId="054C7144"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$m</w:t>
            </w:r>
          </w:p>
        </w:tc>
        <w:tc>
          <w:tcPr>
            <w:tcW w:w="478" w:type="pct"/>
            <w:tcBorders>
              <w:top w:val="nil"/>
              <w:left w:val="nil"/>
              <w:bottom w:val="single" w:sz="4" w:space="0" w:color="293F5B"/>
              <w:right w:val="nil"/>
            </w:tcBorders>
            <w:shd w:val="clear" w:color="000000" w:fill="FFFFFF"/>
            <w:noWrap/>
            <w:vAlign w:val="center"/>
            <w:hideMark/>
          </w:tcPr>
          <w:p w14:paraId="60A1F320"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3FF90005"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$m</w:t>
            </w:r>
          </w:p>
        </w:tc>
        <w:tc>
          <w:tcPr>
            <w:tcW w:w="183" w:type="pct"/>
            <w:tcBorders>
              <w:top w:val="nil"/>
              <w:left w:val="nil"/>
              <w:bottom w:val="nil"/>
              <w:right w:val="nil"/>
            </w:tcBorders>
            <w:shd w:val="clear" w:color="000000" w:fill="FFFFFF"/>
            <w:noWrap/>
            <w:vAlign w:val="center"/>
            <w:hideMark/>
          </w:tcPr>
          <w:p w14:paraId="4E82A126"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480" w:type="pct"/>
            <w:tcBorders>
              <w:top w:val="nil"/>
              <w:left w:val="nil"/>
              <w:bottom w:val="single" w:sz="4" w:space="0" w:color="293F5B"/>
              <w:right w:val="nil"/>
            </w:tcBorders>
            <w:shd w:val="clear" w:color="000000" w:fill="FFFFFF"/>
            <w:noWrap/>
            <w:vAlign w:val="center"/>
            <w:hideMark/>
          </w:tcPr>
          <w:p w14:paraId="046D06C6" w14:textId="77777777" w:rsidR="00260731" w:rsidRPr="00864963" w:rsidRDefault="00260731" w:rsidP="00260731">
            <w:pPr>
              <w:spacing w:before="0" w:after="0" w:line="240" w:lineRule="auto"/>
              <w:jc w:val="right"/>
              <w:rPr>
                <w:rFonts w:ascii="Arial" w:hAnsi="Arial" w:cs="Arial"/>
                <w:sz w:val="16"/>
                <w:szCs w:val="16"/>
              </w:rPr>
            </w:pPr>
            <w:r w:rsidRPr="00864963">
              <w:rPr>
                <w:rFonts w:ascii="Arial" w:hAnsi="Arial" w:cs="Arial"/>
                <w:sz w:val="16"/>
                <w:szCs w:val="16"/>
              </w:rPr>
              <w:t>$m</w:t>
            </w:r>
          </w:p>
        </w:tc>
      </w:tr>
      <w:tr w:rsidR="00864963" w:rsidRPr="00864963" w14:paraId="6D84C45B" w14:textId="77777777" w:rsidTr="00260731">
        <w:trPr>
          <w:trHeight w:val="225"/>
        </w:trPr>
        <w:tc>
          <w:tcPr>
            <w:tcW w:w="2016" w:type="pct"/>
            <w:tcBorders>
              <w:top w:val="nil"/>
              <w:left w:val="nil"/>
              <w:bottom w:val="nil"/>
              <w:right w:val="nil"/>
            </w:tcBorders>
            <w:shd w:val="clear" w:color="000000" w:fill="FFFFFF"/>
            <w:noWrap/>
            <w:vAlign w:val="center"/>
            <w:hideMark/>
          </w:tcPr>
          <w:p w14:paraId="360CD029" w14:textId="77777777" w:rsidR="00260731" w:rsidRPr="00864963" w:rsidRDefault="00260731" w:rsidP="00260731">
            <w:pPr>
              <w:spacing w:before="0" w:after="0" w:line="240" w:lineRule="auto"/>
              <w:rPr>
                <w:rFonts w:ascii="Arial" w:hAnsi="Arial" w:cs="Arial"/>
                <w:b/>
                <w:bCs/>
                <w:sz w:val="16"/>
                <w:szCs w:val="16"/>
                <w:highlight w:val="darkCyan"/>
              </w:rPr>
            </w:pPr>
            <w:r w:rsidRPr="00864963">
              <w:rPr>
                <w:rFonts w:ascii="Arial" w:hAnsi="Arial" w:cs="Arial"/>
                <w:b/>
                <w:bCs/>
                <w:sz w:val="16"/>
                <w:szCs w:val="16"/>
              </w:rPr>
              <w:t>2022 PEFO payments(b)</w:t>
            </w:r>
          </w:p>
        </w:tc>
        <w:tc>
          <w:tcPr>
            <w:tcW w:w="477" w:type="pct"/>
            <w:tcBorders>
              <w:top w:val="nil"/>
              <w:left w:val="nil"/>
              <w:bottom w:val="nil"/>
              <w:right w:val="nil"/>
            </w:tcBorders>
            <w:shd w:val="clear" w:color="000000" w:fill="FFFFFF"/>
            <w:noWrap/>
            <w:vAlign w:val="center"/>
            <w:hideMark/>
          </w:tcPr>
          <w:p w14:paraId="249A79C1"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626,470</w:t>
            </w:r>
          </w:p>
        </w:tc>
        <w:tc>
          <w:tcPr>
            <w:tcW w:w="471" w:type="pct"/>
            <w:tcBorders>
              <w:top w:val="nil"/>
              <w:left w:val="nil"/>
              <w:bottom w:val="nil"/>
              <w:right w:val="nil"/>
            </w:tcBorders>
            <w:shd w:val="clear" w:color="000000" w:fill="E6F2FF"/>
            <w:noWrap/>
            <w:vAlign w:val="center"/>
            <w:hideMark/>
          </w:tcPr>
          <w:p w14:paraId="553DB82E"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641,714</w:t>
            </w:r>
          </w:p>
        </w:tc>
        <w:tc>
          <w:tcPr>
            <w:tcW w:w="473" w:type="pct"/>
            <w:tcBorders>
              <w:top w:val="nil"/>
              <w:left w:val="nil"/>
              <w:bottom w:val="nil"/>
              <w:right w:val="nil"/>
            </w:tcBorders>
            <w:shd w:val="clear" w:color="000000" w:fill="FFFFFF"/>
            <w:noWrap/>
            <w:vAlign w:val="center"/>
            <w:hideMark/>
          </w:tcPr>
          <w:p w14:paraId="3BCF9919"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662,277</w:t>
            </w:r>
          </w:p>
        </w:tc>
        <w:tc>
          <w:tcPr>
            <w:tcW w:w="478" w:type="pct"/>
            <w:tcBorders>
              <w:top w:val="nil"/>
              <w:left w:val="nil"/>
              <w:bottom w:val="nil"/>
              <w:right w:val="nil"/>
            </w:tcBorders>
            <w:shd w:val="clear" w:color="000000" w:fill="FFFFFF"/>
            <w:noWrap/>
            <w:vAlign w:val="center"/>
            <w:hideMark/>
          </w:tcPr>
          <w:p w14:paraId="26312C80"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686,836</w:t>
            </w:r>
          </w:p>
        </w:tc>
        <w:tc>
          <w:tcPr>
            <w:tcW w:w="422" w:type="pct"/>
            <w:tcBorders>
              <w:top w:val="nil"/>
              <w:left w:val="nil"/>
              <w:bottom w:val="nil"/>
              <w:right w:val="nil"/>
            </w:tcBorders>
            <w:shd w:val="clear" w:color="000000" w:fill="FFFFFF"/>
            <w:noWrap/>
            <w:vAlign w:val="center"/>
            <w:hideMark/>
          </w:tcPr>
          <w:p w14:paraId="4784EADD"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718,320</w:t>
            </w:r>
          </w:p>
        </w:tc>
        <w:tc>
          <w:tcPr>
            <w:tcW w:w="183" w:type="pct"/>
            <w:tcBorders>
              <w:top w:val="nil"/>
              <w:left w:val="nil"/>
              <w:bottom w:val="nil"/>
              <w:right w:val="nil"/>
            </w:tcBorders>
            <w:shd w:val="clear" w:color="000000" w:fill="FFFFFF"/>
            <w:noWrap/>
            <w:vAlign w:val="center"/>
            <w:hideMark/>
          </w:tcPr>
          <w:p w14:paraId="5132FB3F"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480" w:type="pct"/>
            <w:tcBorders>
              <w:top w:val="nil"/>
              <w:left w:val="nil"/>
              <w:bottom w:val="nil"/>
              <w:right w:val="nil"/>
            </w:tcBorders>
            <w:shd w:val="clear" w:color="000000" w:fill="FFFFFF"/>
            <w:noWrap/>
            <w:vAlign w:val="center"/>
            <w:hideMark/>
          </w:tcPr>
          <w:p w14:paraId="2BDD8D5C" w14:textId="77777777" w:rsidR="00260731" w:rsidRPr="00864963" w:rsidRDefault="00260731" w:rsidP="00260731">
            <w:pPr>
              <w:spacing w:before="0" w:after="0" w:line="240" w:lineRule="auto"/>
              <w:jc w:val="right"/>
              <w:rPr>
                <w:rFonts w:ascii="Arial" w:hAnsi="Arial" w:cs="Arial"/>
                <w:b/>
                <w:bCs/>
                <w:sz w:val="16"/>
                <w:szCs w:val="16"/>
              </w:rPr>
            </w:pPr>
            <w:r w:rsidRPr="00864963">
              <w:rPr>
                <w:rFonts w:ascii="Arial" w:hAnsi="Arial" w:cs="Arial"/>
                <w:b/>
                <w:bCs/>
                <w:sz w:val="16"/>
                <w:szCs w:val="16"/>
              </w:rPr>
              <w:t>3,335,617</w:t>
            </w:r>
          </w:p>
        </w:tc>
      </w:tr>
      <w:tr w:rsidR="00864963" w:rsidRPr="00864963" w14:paraId="3B128ABC" w14:textId="77777777" w:rsidTr="00260731">
        <w:trPr>
          <w:trHeight w:val="60"/>
        </w:trPr>
        <w:tc>
          <w:tcPr>
            <w:tcW w:w="2016" w:type="pct"/>
            <w:tcBorders>
              <w:top w:val="nil"/>
              <w:left w:val="nil"/>
              <w:bottom w:val="nil"/>
              <w:right w:val="nil"/>
            </w:tcBorders>
            <w:shd w:val="clear" w:color="000000" w:fill="FFFFFF"/>
            <w:noWrap/>
            <w:vAlign w:val="center"/>
            <w:hideMark/>
          </w:tcPr>
          <w:p w14:paraId="196DD145"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2502016F"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471" w:type="pct"/>
            <w:tcBorders>
              <w:top w:val="nil"/>
              <w:left w:val="nil"/>
              <w:bottom w:val="nil"/>
              <w:right w:val="nil"/>
            </w:tcBorders>
            <w:shd w:val="clear" w:color="000000" w:fill="E6F2FF"/>
            <w:noWrap/>
            <w:vAlign w:val="center"/>
            <w:hideMark/>
          </w:tcPr>
          <w:p w14:paraId="58FDD019"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1C252195"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57860414"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B5760E3"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183" w:type="pct"/>
            <w:tcBorders>
              <w:top w:val="nil"/>
              <w:left w:val="nil"/>
              <w:bottom w:val="nil"/>
              <w:right w:val="nil"/>
            </w:tcBorders>
            <w:shd w:val="clear" w:color="000000" w:fill="FFFFFF"/>
            <w:noWrap/>
            <w:vAlign w:val="center"/>
            <w:hideMark/>
          </w:tcPr>
          <w:p w14:paraId="722CB456"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380F3935" w14:textId="77777777" w:rsidR="00260731" w:rsidRPr="00864963" w:rsidRDefault="00260731" w:rsidP="00260731">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57C96345" w14:textId="77777777" w:rsidTr="00260731">
        <w:trPr>
          <w:trHeight w:val="225"/>
        </w:trPr>
        <w:tc>
          <w:tcPr>
            <w:tcW w:w="2016" w:type="pct"/>
            <w:tcBorders>
              <w:top w:val="nil"/>
              <w:left w:val="nil"/>
              <w:bottom w:val="nil"/>
              <w:right w:val="nil"/>
            </w:tcBorders>
            <w:shd w:val="clear" w:color="000000" w:fill="FFFFFF"/>
            <w:noWrap/>
            <w:vAlign w:val="center"/>
            <w:hideMark/>
          </w:tcPr>
          <w:p w14:paraId="51611807" w14:textId="77777777" w:rsidR="00260731" w:rsidRPr="00864963" w:rsidRDefault="00260731" w:rsidP="00260731">
            <w:pPr>
              <w:spacing w:before="0" w:after="0" w:line="240" w:lineRule="auto"/>
              <w:rPr>
                <w:rFonts w:ascii="Arial" w:hAnsi="Arial" w:cs="Arial"/>
                <w:b/>
                <w:bCs/>
                <w:sz w:val="16"/>
                <w:szCs w:val="16"/>
                <w:highlight w:val="darkCyan"/>
              </w:rPr>
            </w:pPr>
            <w:r w:rsidRPr="00864963">
              <w:rPr>
                <w:rFonts w:ascii="Arial" w:hAnsi="Arial" w:cs="Arial"/>
                <w:b/>
                <w:bCs/>
                <w:sz w:val="16"/>
                <w:szCs w:val="16"/>
              </w:rPr>
              <w:t>Changes from 2022 PEFO to</w:t>
            </w:r>
          </w:p>
        </w:tc>
        <w:tc>
          <w:tcPr>
            <w:tcW w:w="477" w:type="pct"/>
            <w:tcBorders>
              <w:top w:val="nil"/>
              <w:left w:val="nil"/>
              <w:bottom w:val="nil"/>
              <w:right w:val="nil"/>
            </w:tcBorders>
            <w:shd w:val="clear" w:color="000000" w:fill="FFFFFF"/>
            <w:noWrap/>
            <w:vAlign w:val="center"/>
            <w:hideMark/>
          </w:tcPr>
          <w:p w14:paraId="14E39432"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71" w:type="pct"/>
            <w:tcBorders>
              <w:top w:val="nil"/>
              <w:left w:val="nil"/>
              <w:bottom w:val="nil"/>
              <w:right w:val="nil"/>
            </w:tcBorders>
            <w:shd w:val="clear" w:color="000000" w:fill="E6F2FF"/>
            <w:noWrap/>
            <w:vAlign w:val="center"/>
            <w:hideMark/>
          </w:tcPr>
          <w:p w14:paraId="79B8F8DC"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483000B0"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74974803"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AB28064"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183" w:type="pct"/>
            <w:tcBorders>
              <w:top w:val="nil"/>
              <w:left w:val="nil"/>
              <w:bottom w:val="nil"/>
              <w:right w:val="nil"/>
            </w:tcBorders>
            <w:shd w:val="clear" w:color="000000" w:fill="FFFFFF"/>
            <w:noWrap/>
            <w:vAlign w:val="center"/>
            <w:hideMark/>
          </w:tcPr>
          <w:p w14:paraId="5CF46C58"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27ED5B04" w14:textId="77777777" w:rsidR="00260731" w:rsidRPr="00864963" w:rsidRDefault="00260731" w:rsidP="00260731">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37E3CE7B" w14:textId="77777777" w:rsidTr="00260731">
        <w:trPr>
          <w:trHeight w:val="225"/>
        </w:trPr>
        <w:tc>
          <w:tcPr>
            <w:tcW w:w="2016" w:type="pct"/>
            <w:tcBorders>
              <w:top w:val="nil"/>
              <w:left w:val="nil"/>
              <w:bottom w:val="nil"/>
              <w:right w:val="nil"/>
            </w:tcBorders>
            <w:shd w:val="clear" w:color="000000" w:fill="FFFFFF"/>
            <w:noWrap/>
            <w:vAlign w:val="center"/>
            <w:hideMark/>
          </w:tcPr>
          <w:p w14:paraId="63F23E75" w14:textId="77777777" w:rsidR="00260731" w:rsidRPr="00864963" w:rsidRDefault="00260731" w:rsidP="00260731">
            <w:pPr>
              <w:spacing w:before="0" w:after="0" w:line="240" w:lineRule="auto"/>
              <w:ind w:firstLineChars="100" w:firstLine="161"/>
              <w:rPr>
                <w:rFonts w:ascii="Arial" w:hAnsi="Arial" w:cs="Arial"/>
                <w:b/>
                <w:bCs/>
                <w:sz w:val="16"/>
                <w:szCs w:val="16"/>
                <w:highlight w:val="darkCyan"/>
              </w:rPr>
            </w:pPr>
            <w:r w:rsidRPr="00864963">
              <w:rPr>
                <w:rFonts w:ascii="Arial" w:hAnsi="Arial" w:cs="Arial"/>
                <w:b/>
                <w:bCs/>
                <w:sz w:val="16"/>
                <w:szCs w:val="16"/>
              </w:rPr>
              <w:t>2022–23 October Budget</w:t>
            </w:r>
          </w:p>
        </w:tc>
        <w:tc>
          <w:tcPr>
            <w:tcW w:w="477" w:type="pct"/>
            <w:tcBorders>
              <w:top w:val="nil"/>
              <w:left w:val="nil"/>
              <w:bottom w:val="nil"/>
              <w:right w:val="nil"/>
            </w:tcBorders>
            <w:shd w:val="clear" w:color="000000" w:fill="FFFFFF"/>
            <w:noWrap/>
            <w:vAlign w:val="center"/>
            <w:hideMark/>
          </w:tcPr>
          <w:p w14:paraId="5F52FA06"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71" w:type="pct"/>
            <w:tcBorders>
              <w:top w:val="nil"/>
              <w:left w:val="nil"/>
              <w:bottom w:val="nil"/>
              <w:right w:val="nil"/>
            </w:tcBorders>
            <w:shd w:val="clear" w:color="000000" w:fill="E6F2FF"/>
            <w:noWrap/>
            <w:vAlign w:val="center"/>
            <w:hideMark/>
          </w:tcPr>
          <w:p w14:paraId="0D4EAB20"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1E07902B"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2332752D"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1C5F19F"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183" w:type="pct"/>
            <w:tcBorders>
              <w:top w:val="nil"/>
              <w:left w:val="nil"/>
              <w:bottom w:val="nil"/>
              <w:right w:val="nil"/>
            </w:tcBorders>
            <w:shd w:val="clear" w:color="000000" w:fill="FFFFFF"/>
            <w:noWrap/>
            <w:vAlign w:val="center"/>
            <w:hideMark/>
          </w:tcPr>
          <w:p w14:paraId="01D35C66"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248C5D4B" w14:textId="77777777" w:rsidR="00260731" w:rsidRPr="00864963" w:rsidRDefault="00260731" w:rsidP="00260731">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301D5009" w14:textId="77777777" w:rsidTr="00260731">
        <w:trPr>
          <w:trHeight w:val="225"/>
        </w:trPr>
        <w:tc>
          <w:tcPr>
            <w:tcW w:w="2016" w:type="pct"/>
            <w:tcBorders>
              <w:top w:val="nil"/>
              <w:left w:val="nil"/>
              <w:bottom w:val="nil"/>
              <w:right w:val="nil"/>
            </w:tcBorders>
            <w:shd w:val="clear" w:color="000000" w:fill="FFFFFF"/>
            <w:noWrap/>
            <w:vAlign w:val="center"/>
            <w:hideMark/>
          </w:tcPr>
          <w:p w14:paraId="3975130F"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Effect of policy decisions(c)</w:t>
            </w:r>
          </w:p>
        </w:tc>
        <w:tc>
          <w:tcPr>
            <w:tcW w:w="477" w:type="pct"/>
            <w:tcBorders>
              <w:top w:val="nil"/>
              <w:left w:val="nil"/>
              <w:bottom w:val="nil"/>
              <w:right w:val="nil"/>
            </w:tcBorders>
            <w:shd w:val="clear" w:color="000000" w:fill="FFFFFF"/>
            <w:noWrap/>
            <w:vAlign w:val="center"/>
            <w:hideMark/>
          </w:tcPr>
          <w:p w14:paraId="5B690023"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2,506</w:t>
            </w:r>
          </w:p>
        </w:tc>
        <w:tc>
          <w:tcPr>
            <w:tcW w:w="471" w:type="pct"/>
            <w:tcBorders>
              <w:top w:val="nil"/>
              <w:left w:val="nil"/>
              <w:bottom w:val="nil"/>
              <w:right w:val="nil"/>
            </w:tcBorders>
            <w:shd w:val="clear" w:color="000000" w:fill="E6F2FF"/>
            <w:noWrap/>
            <w:vAlign w:val="center"/>
            <w:hideMark/>
          </w:tcPr>
          <w:p w14:paraId="663728D0"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1,711</w:t>
            </w:r>
          </w:p>
        </w:tc>
        <w:tc>
          <w:tcPr>
            <w:tcW w:w="473" w:type="pct"/>
            <w:tcBorders>
              <w:top w:val="nil"/>
              <w:left w:val="nil"/>
              <w:bottom w:val="nil"/>
              <w:right w:val="nil"/>
            </w:tcBorders>
            <w:shd w:val="clear" w:color="000000" w:fill="FFFFFF"/>
            <w:noWrap/>
            <w:vAlign w:val="center"/>
            <w:hideMark/>
          </w:tcPr>
          <w:p w14:paraId="6D259531"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5,980</w:t>
            </w:r>
          </w:p>
        </w:tc>
        <w:tc>
          <w:tcPr>
            <w:tcW w:w="478" w:type="pct"/>
            <w:tcBorders>
              <w:top w:val="nil"/>
              <w:left w:val="nil"/>
              <w:bottom w:val="nil"/>
              <w:right w:val="nil"/>
            </w:tcBorders>
            <w:shd w:val="clear" w:color="000000" w:fill="FFFFFF"/>
            <w:noWrap/>
            <w:vAlign w:val="center"/>
            <w:hideMark/>
          </w:tcPr>
          <w:p w14:paraId="55D96CA4"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12,673</w:t>
            </w:r>
          </w:p>
        </w:tc>
        <w:tc>
          <w:tcPr>
            <w:tcW w:w="422" w:type="pct"/>
            <w:tcBorders>
              <w:top w:val="nil"/>
              <w:left w:val="nil"/>
              <w:bottom w:val="nil"/>
              <w:right w:val="nil"/>
            </w:tcBorders>
            <w:shd w:val="clear" w:color="000000" w:fill="FFFFFF"/>
            <w:noWrap/>
            <w:vAlign w:val="center"/>
            <w:hideMark/>
          </w:tcPr>
          <w:p w14:paraId="1129A287"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w:t>
            </w:r>
          </w:p>
        </w:tc>
        <w:tc>
          <w:tcPr>
            <w:tcW w:w="183" w:type="pct"/>
            <w:tcBorders>
              <w:top w:val="nil"/>
              <w:left w:val="nil"/>
              <w:bottom w:val="nil"/>
              <w:right w:val="nil"/>
            </w:tcBorders>
            <w:shd w:val="clear" w:color="000000" w:fill="FFFFFF"/>
            <w:noWrap/>
            <w:vAlign w:val="center"/>
            <w:hideMark/>
          </w:tcPr>
          <w:p w14:paraId="054CCB72"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6E2582F1" w14:textId="77777777" w:rsidR="00260731" w:rsidRPr="00864963" w:rsidRDefault="00260731" w:rsidP="00260731">
            <w:pPr>
              <w:spacing w:before="0" w:after="0" w:line="240" w:lineRule="auto"/>
              <w:jc w:val="right"/>
              <w:rPr>
                <w:rFonts w:ascii="Arial" w:hAnsi="Arial" w:cs="Arial"/>
                <w:sz w:val="16"/>
                <w:szCs w:val="16"/>
              </w:rPr>
            </w:pPr>
            <w:r w:rsidRPr="00864963">
              <w:rPr>
                <w:rFonts w:ascii="Arial" w:hAnsi="Arial" w:cs="Arial"/>
                <w:sz w:val="16"/>
                <w:szCs w:val="16"/>
              </w:rPr>
              <w:t>*</w:t>
            </w:r>
          </w:p>
        </w:tc>
      </w:tr>
      <w:tr w:rsidR="00864963" w:rsidRPr="00864963" w14:paraId="339E5189" w14:textId="77777777" w:rsidTr="00260731">
        <w:trPr>
          <w:trHeight w:val="225"/>
        </w:trPr>
        <w:tc>
          <w:tcPr>
            <w:tcW w:w="2016" w:type="pct"/>
            <w:tcBorders>
              <w:top w:val="nil"/>
              <w:left w:val="nil"/>
              <w:bottom w:val="nil"/>
              <w:right w:val="nil"/>
            </w:tcBorders>
            <w:shd w:val="clear" w:color="000000" w:fill="FFFFFF"/>
            <w:noWrap/>
            <w:vAlign w:val="center"/>
            <w:hideMark/>
          </w:tcPr>
          <w:p w14:paraId="6F94461A"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Effect of parameter and other variations</w:t>
            </w:r>
          </w:p>
        </w:tc>
        <w:tc>
          <w:tcPr>
            <w:tcW w:w="477" w:type="pct"/>
            <w:tcBorders>
              <w:top w:val="nil"/>
              <w:left w:val="nil"/>
              <w:bottom w:val="single" w:sz="4" w:space="0" w:color="000000"/>
              <w:right w:val="nil"/>
            </w:tcBorders>
            <w:shd w:val="clear" w:color="000000" w:fill="FFFFFF"/>
            <w:noWrap/>
            <w:vAlign w:val="center"/>
            <w:hideMark/>
          </w:tcPr>
          <w:p w14:paraId="265255AC"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15,105</w:t>
            </w:r>
          </w:p>
        </w:tc>
        <w:tc>
          <w:tcPr>
            <w:tcW w:w="471" w:type="pct"/>
            <w:tcBorders>
              <w:top w:val="nil"/>
              <w:left w:val="nil"/>
              <w:bottom w:val="single" w:sz="4" w:space="0" w:color="000000"/>
              <w:right w:val="nil"/>
            </w:tcBorders>
            <w:shd w:val="clear" w:color="000000" w:fill="E6F2FF"/>
            <w:noWrap/>
            <w:vAlign w:val="center"/>
            <w:hideMark/>
          </w:tcPr>
          <w:p w14:paraId="3FAD75A3"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22,064</w:t>
            </w:r>
          </w:p>
        </w:tc>
        <w:tc>
          <w:tcPr>
            <w:tcW w:w="473" w:type="pct"/>
            <w:tcBorders>
              <w:top w:val="nil"/>
              <w:left w:val="nil"/>
              <w:bottom w:val="single" w:sz="4" w:space="0" w:color="000000"/>
              <w:right w:val="nil"/>
            </w:tcBorders>
            <w:shd w:val="clear" w:color="000000" w:fill="FFFFFF"/>
            <w:noWrap/>
            <w:vAlign w:val="center"/>
            <w:hideMark/>
          </w:tcPr>
          <w:p w14:paraId="7C86B2FF"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25,929</w:t>
            </w:r>
          </w:p>
        </w:tc>
        <w:tc>
          <w:tcPr>
            <w:tcW w:w="478" w:type="pct"/>
            <w:tcBorders>
              <w:top w:val="nil"/>
              <w:left w:val="nil"/>
              <w:bottom w:val="single" w:sz="4" w:space="0" w:color="000000"/>
              <w:right w:val="nil"/>
            </w:tcBorders>
            <w:shd w:val="clear" w:color="000000" w:fill="FFFFFF"/>
            <w:noWrap/>
            <w:vAlign w:val="center"/>
            <w:hideMark/>
          </w:tcPr>
          <w:p w14:paraId="568DD719"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29,075</w:t>
            </w:r>
          </w:p>
        </w:tc>
        <w:tc>
          <w:tcPr>
            <w:tcW w:w="422" w:type="pct"/>
            <w:tcBorders>
              <w:top w:val="nil"/>
              <w:left w:val="nil"/>
              <w:bottom w:val="single" w:sz="4" w:space="0" w:color="000000"/>
              <w:right w:val="nil"/>
            </w:tcBorders>
            <w:shd w:val="clear" w:color="000000" w:fill="FFFFFF"/>
            <w:noWrap/>
            <w:vAlign w:val="center"/>
            <w:hideMark/>
          </w:tcPr>
          <w:p w14:paraId="1A81BAAB"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w:t>
            </w:r>
          </w:p>
        </w:tc>
        <w:tc>
          <w:tcPr>
            <w:tcW w:w="183" w:type="pct"/>
            <w:tcBorders>
              <w:top w:val="nil"/>
              <w:left w:val="nil"/>
              <w:bottom w:val="nil"/>
              <w:right w:val="nil"/>
            </w:tcBorders>
            <w:shd w:val="clear" w:color="000000" w:fill="FFFFFF"/>
            <w:noWrap/>
            <w:vAlign w:val="center"/>
            <w:hideMark/>
          </w:tcPr>
          <w:p w14:paraId="7DE2EAC3"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480" w:type="pct"/>
            <w:tcBorders>
              <w:top w:val="nil"/>
              <w:left w:val="nil"/>
              <w:bottom w:val="single" w:sz="4" w:space="0" w:color="293F5B"/>
              <w:right w:val="nil"/>
            </w:tcBorders>
            <w:shd w:val="clear" w:color="000000" w:fill="FFFFFF"/>
            <w:noWrap/>
            <w:vAlign w:val="center"/>
            <w:hideMark/>
          </w:tcPr>
          <w:p w14:paraId="05554756" w14:textId="77777777" w:rsidR="00260731" w:rsidRPr="00864963" w:rsidRDefault="00260731" w:rsidP="00260731">
            <w:pPr>
              <w:spacing w:before="0" w:after="0" w:line="240" w:lineRule="auto"/>
              <w:jc w:val="right"/>
              <w:rPr>
                <w:rFonts w:ascii="Arial" w:hAnsi="Arial" w:cs="Arial"/>
                <w:sz w:val="16"/>
                <w:szCs w:val="16"/>
              </w:rPr>
            </w:pPr>
            <w:r w:rsidRPr="00864963">
              <w:rPr>
                <w:rFonts w:ascii="Arial" w:hAnsi="Arial" w:cs="Arial"/>
                <w:sz w:val="16"/>
                <w:szCs w:val="16"/>
              </w:rPr>
              <w:t>*</w:t>
            </w:r>
          </w:p>
        </w:tc>
      </w:tr>
      <w:tr w:rsidR="00864963" w:rsidRPr="00864963" w14:paraId="26907C13" w14:textId="77777777" w:rsidTr="00260731">
        <w:trPr>
          <w:trHeight w:val="225"/>
        </w:trPr>
        <w:tc>
          <w:tcPr>
            <w:tcW w:w="2016" w:type="pct"/>
            <w:tcBorders>
              <w:top w:val="nil"/>
              <w:left w:val="nil"/>
              <w:bottom w:val="nil"/>
              <w:right w:val="nil"/>
            </w:tcBorders>
            <w:shd w:val="clear" w:color="000000" w:fill="FFFFFF"/>
            <w:noWrap/>
            <w:vAlign w:val="center"/>
            <w:hideMark/>
          </w:tcPr>
          <w:p w14:paraId="5BAABD73" w14:textId="77777777" w:rsidR="00260731" w:rsidRPr="00864963" w:rsidRDefault="00260731" w:rsidP="00260731">
            <w:pPr>
              <w:spacing w:before="0" w:after="0" w:line="240" w:lineRule="auto"/>
              <w:rPr>
                <w:rFonts w:ascii="Arial" w:hAnsi="Arial" w:cs="Arial"/>
                <w:b/>
                <w:bCs/>
                <w:sz w:val="16"/>
                <w:szCs w:val="16"/>
                <w:highlight w:val="darkCyan"/>
              </w:rPr>
            </w:pPr>
            <w:r w:rsidRPr="00864963">
              <w:rPr>
                <w:rFonts w:ascii="Arial" w:hAnsi="Arial" w:cs="Arial"/>
                <w:b/>
                <w:bCs/>
                <w:sz w:val="16"/>
                <w:szCs w:val="16"/>
              </w:rPr>
              <w:t>Total variations(d)</w:t>
            </w:r>
          </w:p>
        </w:tc>
        <w:tc>
          <w:tcPr>
            <w:tcW w:w="477" w:type="pct"/>
            <w:tcBorders>
              <w:top w:val="single" w:sz="4" w:space="0" w:color="293F5B"/>
              <w:left w:val="nil"/>
              <w:bottom w:val="single" w:sz="4" w:space="0" w:color="293F5B"/>
              <w:right w:val="nil"/>
            </w:tcBorders>
            <w:shd w:val="clear" w:color="000000" w:fill="FFFFFF"/>
            <w:noWrap/>
            <w:vAlign w:val="center"/>
            <w:hideMark/>
          </w:tcPr>
          <w:p w14:paraId="4032C5F6"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17,611</w:t>
            </w:r>
          </w:p>
        </w:tc>
        <w:tc>
          <w:tcPr>
            <w:tcW w:w="471" w:type="pct"/>
            <w:tcBorders>
              <w:top w:val="single" w:sz="4" w:space="0" w:color="293F5B"/>
              <w:left w:val="nil"/>
              <w:bottom w:val="single" w:sz="4" w:space="0" w:color="293F5B"/>
              <w:right w:val="nil"/>
            </w:tcBorders>
            <w:shd w:val="clear" w:color="000000" w:fill="E6F2FF"/>
            <w:noWrap/>
            <w:vAlign w:val="center"/>
            <w:hideMark/>
          </w:tcPr>
          <w:p w14:paraId="76E13865"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23,775</w:t>
            </w:r>
          </w:p>
        </w:tc>
        <w:tc>
          <w:tcPr>
            <w:tcW w:w="473" w:type="pct"/>
            <w:tcBorders>
              <w:top w:val="single" w:sz="4" w:space="0" w:color="293F5B"/>
              <w:left w:val="nil"/>
              <w:bottom w:val="single" w:sz="4" w:space="0" w:color="293F5B"/>
              <w:right w:val="nil"/>
            </w:tcBorders>
            <w:shd w:val="clear" w:color="000000" w:fill="FFFFFF"/>
            <w:noWrap/>
            <w:vAlign w:val="center"/>
            <w:hideMark/>
          </w:tcPr>
          <w:p w14:paraId="393D6637"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31,909</w:t>
            </w:r>
          </w:p>
        </w:tc>
        <w:tc>
          <w:tcPr>
            <w:tcW w:w="478" w:type="pct"/>
            <w:tcBorders>
              <w:top w:val="single" w:sz="4" w:space="0" w:color="293F5B"/>
              <w:left w:val="nil"/>
              <w:bottom w:val="single" w:sz="4" w:space="0" w:color="293F5B"/>
              <w:right w:val="nil"/>
            </w:tcBorders>
            <w:shd w:val="clear" w:color="000000" w:fill="FFFFFF"/>
            <w:noWrap/>
            <w:vAlign w:val="center"/>
            <w:hideMark/>
          </w:tcPr>
          <w:p w14:paraId="038718A3"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41,748</w:t>
            </w:r>
          </w:p>
        </w:tc>
        <w:tc>
          <w:tcPr>
            <w:tcW w:w="422" w:type="pct"/>
            <w:tcBorders>
              <w:top w:val="single" w:sz="4" w:space="0" w:color="293F5B"/>
              <w:left w:val="nil"/>
              <w:bottom w:val="single" w:sz="4" w:space="0" w:color="293F5B"/>
              <w:right w:val="nil"/>
            </w:tcBorders>
            <w:shd w:val="clear" w:color="000000" w:fill="FFFFFF"/>
            <w:noWrap/>
            <w:vAlign w:val="center"/>
            <w:hideMark/>
          </w:tcPr>
          <w:p w14:paraId="70C8D1B8"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43,503</w:t>
            </w:r>
          </w:p>
        </w:tc>
        <w:tc>
          <w:tcPr>
            <w:tcW w:w="183" w:type="pct"/>
            <w:tcBorders>
              <w:top w:val="nil"/>
              <w:left w:val="nil"/>
              <w:bottom w:val="nil"/>
              <w:right w:val="nil"/>
            </w:tcBorders>
            <w:shd w:val="clear" w:color="000000" w:fill="FFFFFF"/>
            <w:noWrap/>
            <w:vAlign w:val="center"/>
            <w:hideMark/>
          </w:tcPr>
          <w:p w14:paraId="63227C00"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480" w:type="pct"/>
            <w:tcBorders>
              <w:top w:val="single" w:sz="4" w:space="0" w:color="auto"/>
              <w:left w:val="nil"/>
              <w:bottom w:val="nil"/>
              <w:right w:val="nil"/>
            </w:tcBorders>
            <w:shd w:val="clear" w:color="000000" w:fill="FFFFFF"/>
            <w:noWrap/>
            <w:vAlign w:val="center"/>
            <w:hideMark/>
          </w:tcPr>
          <w:p w14:paraId="3CFBE517" w14:textId="77777777" w:rsidR="00260731" w:rsidRPr="00864963" w:rsidRDefault="00260731" w:rsidP="00260731">
            <w:pPr>
              <w:spacing w:before="0" w:after="0" w:line="240" w:lineRule="auto"/>
              <w:jc w:val="right"/>
              <w:rPr>
                <w:rFonts w:ascii="Arial" w:hAnsi="Arial" w:cs="Arial"/>
                <w:b/>
                <w:bCs/>
                <w:sz w:val="16"/>
                <w:szCs w:val="16"/>
              </w:rPr>
            </w:pPr>
            <w:r w:rsidRPr="00864963">
              <w:rPr>
                <w:rFonts w:ascii="Arial" w:hAnsi="Arial" w:cs="Arial"/>
                <w:b/>
                <w:bCs/>
                <w:sz w:val="16"/>
                <w:szCs w:val="16"/>
              </w:rPr>
              <w:t>158,546</w:t>
            </w:r>
          </w:p>
        </w:tc>
      </w:tr>
      <w:tr w:rsidR="00864963" w:rsidRPr="00864963" w14:paraId="1BC641F7" w14:textId="77777777" w:rsidTr="00260731">
        <w:trPr>
          <w:trHeight w:val="60"/>
        </w:trPr>
        <w:tc>
          <w:tcPr>
            <w:tcW w:w="2016" w:type="pct"/>
            <w:tcBorders>
              <w:top w:val="nil"/>
              <w:left w:val="nil"/>
              <w:bottom w:val="nil"/>
              <w:right w:val="nil"/>
            </w:tcBorders>
            <w:shd w:val="clear" w:color="000000" w:fill="FFFFFF"/>
            <w:noWrap/>
            <w:vAlign w:val="center"/>
            <w:hideMark/>
          </w:tcPr>
          <w:p w14:paraId="0FF49AC7" w14:textId="77777777" w:rsidR="00260731" w:rsidRPr="00864963" w:rsidRDefault="00260731" w:rsidP="00260731">
            <w:pPr>
              <w:spacing w:before="0" w:after="0" w:line="240" w:lineRule="auto"/>
              <w:rPr>
                <w:rFonts w:ascii="Arial" w:hAnsi="Arial" w:cs="Arial"/>
                <w:b/>
                <w:bCs/>
                <w:sz w:val="16"/>
                <w:szCs w:val="16"/>
                <w:highlight w:val="darkCyan"/>
              </w:rPr>
            </w:pPr>
            <w:r w:rsidRPr="00864963">
              <w:rPr>
                <w:rFonts w:ascii="Arial" w:hAnsi="Arial" w:cs="Arial"/>
                <w:b/>
                <w:bCs/>
                <w:sz w:val="16"/>
                <w:szCs w:val="16"/>
              </w:rPr>
              <w:t> </w:t>
            </w:r>
          </w:p>
        </w:tc>
        <w:tc>
          <w:tcPr>
            <w:tcW w:w="477" w:type="pct"/>
            <w:tcBorders>
              <w:top w:val="nil"/>
              <w:left w:val="nil"/>
              <w:bottom w:val="nil"/>
              <w:right w:val="nil"/>
            </w:tcBorders>
            <w:shd w:val="clear" w:color="000000" w:fill="FFFFFF"/>
            <w:noWrap/>
            <w:vAlign w:val="center"/>
            <w:hideMark/>
          </w:tcPr>
          <w:p w14:paraId="35E28EC6"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71" w:type="pct"/>
            <w:tcBorders>
              <w:top w:val="nil"/>
              <w:left w:val="nil"/>
              <w:bottom w:val="nil"/>
              <w:right w:val="nil"/>
            </w:tcBorders>
            <w:shd w:val="clear" w:color="000000" w:fill="E6F2FF"/>
            <w:noWrap/>
            <w:vAlign w:val="center"/>
            <w:hideMark/>
          </w:tcPr>
          <w:p w14:paraId="4F8C0A89"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4A7D03FC"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390EA8B3"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26A9FD1"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183" w:type="pct"/>
            <w:tcBorders>
              <w:top w:val="nil"/>
              <w:left w:val="nil"/>
              <w:bottom w:val="nil"/>
              <w:right w:val="nil"/>
            </w:tcBorders>
            <w:shd w:val="clear" w:color="000000" w:fill="FFFFFF"/>
            <w:noWrap/>
            <w:vAlign w:val="center"/>
            <w:hideMark/>
          </w:tcPr>
          <w:p w14:paraId="4F81BEA9"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480" w:type="pct"/>
            <w:tcBorders>
              <w:top w:val="single" w:sz="4" w:space="0" w:color="293F5B"/>
              <w:left w:val="nil"/>
              <w:bottom w:val="nil"/>
              <w:right w:val="nil"/>
            </w:tcBorders>
            <w:shd w:val="clear" w:color="000000" w:fill="FFFFFF"/>
            <w:noWrap/>
            <w:vAlign w:val="center"/>
            <w:hideMark/>
          </w:tcPr>
          <w:p w14:paraId="3F7C39E8" w14:textId="77777777" w:rsidR="00260731" w:rsidRPr="00864963" w:rsidRDefault="00260731" w:rsidP="00260731">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3C4669F2" w14:textId="77777777" w:rsidTr="00260731">
        <w:trPr>
          <w:trHeight w:val="225"/>
        </w:trPr>
        <w:tc>
          <w:tcPr>
            <w:tcW w:w="2016" w:type="pct"/>
            <w:tcBorders>
              <w:top w:val="nil"/>
              <w:left w:val="nil"/>
              <w:bottom w:val="nil"/>
              <w:right w:val="nil"/>
            </w:tcBorders>
            <w:shd w:val="clear" w:color="000000" w:fill="FFFFFF"/>
            <w:noWrap/>
            <w:vAlign w:val="center"/>
            <w:hideMark/>
          </w:tcPr>
          <w:p w14:paraId="1FDD5B8D" w14:textId="77777777" w:rsidR="00260731" w:rsidRPr="00864963" w:rsidRDefault="00260731" w:rsidP="00260731">
            <w:pPr>
              <w:spacing w:before="0" w:after="0" w:line="240" w:lineRule="auto"/>
              <w:rPr>
                <w:rFonts w:ascii="Arial" w:hAnsi="Arial" w:cs="Arial"/>
                <w:b/>
                <w:bCs/>
                <w:sz w:val="16"/>
                <w:szCs w:val="16"/>
                <w:highlight w:val="darkCyan"/>
              </w:rPr>
            </w:pPr>
            <w:r w:rsidRPr="00864963">
              <w:rPr>
                <w:rFonts w:ascii="Arial" w:hAnsi="Arial" w:cs="Arial"/>
                <w:b/>
                <w:bCs/>
                <w:sz w:val="16"/>
                <w:szCs w:val="16"/>
              </w:rPr>
              <w:t>2022–23 October Budget payments(d)</w:t>
            </w:r>
          </w:p>
        </w:tc>
        <w:tc>
          <w:tcPr>
            <w:tcW w:w="477" w:type="pct"/>
            <w:tcBorders>
              <w:top w:val="nil"/>
              <w:left w:val="nil"/>
              <w:bottom w:val="nil"/>
              <w:right w:val="nil"/>
            </w:tcBorders>
            <w:shd w:val="clear" w:color="000000" w:fill="FFFFFF"/>
            <w:noWrap/>
            <w:vAlign w:val="center"/>
            <w:hideMark/>
          </w:tcPr>
          <w:p w14:paraId="0A0DFA41"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644,080</w:t>
            </w:r>
          </w:p>
        </w:tc>
        <w:tc>
          <w:tcPr>
            <w:tcW w:w="471" w:type="pct"/>
            <w:tcBorders>
              <w:top w:val="nil"/>
              <w:left w:val="nil"/>
              <w:bottom w:val="nil"/>
              <w:right w:val="nil"/>
            </w:tcBorders>
            <w:shd w:val="clear" w:color="000000" w:fill="E6F2FF"/>
            <w:noWrap/>
            <w:vAlign w:val="center"/>
            <w:hideMark/>
          </w:tcPr>
          <w:p w14:paraId="554654C5"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665,489</w:t>
            </w:r>
          </w:p>
        </w:tc>
        <w:tc>
          <w:tcPr>
            <w:tcW w:w="473" w:type="pct"/>
            <w:tcBorders>
              <w:top w:val="nil"/>
              <w:left w:val="nil"/>
              <w:bottom w:val="nil"/>
              <w:right w:val="nil"/>
            </w:tcBorders>
            <w:shd w:val="clear" w:color="000000" w:fill="FFFFFF"/>
            <w:noWrap/>
            <w:vAlign w:val="center"/>
            <w:hideMark/>
          </w:tcPr>
          <w:p w14:paraId="062EFC83"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694,187</w:t>
            </w:r>
          </w:p>
        </w:tc>
        <w:tc>
          <w:tcPr>
            <w:tcW w:w="478" w:type="pct"/>
            <w:tcBorders>
              <w:top w:val="nil"/>
              <w:left w:val="nil"/>
              <w:bottom w:val="nil"/>
              <w:right w:val="nil"/>
            </w:tcBorders>
            <w:shd w:val="clear" w:color="000000" w:fill="FFFFFF"/>
            <w:noWrap/>
            <w:vAlign w:val="center"/>
            <w:hideMark/>
          </w:tcPr>
          <w:p w14:paraId="5399D321"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728,584</w:t>
            </w:r>
          </w:p>
        </w:tc>
        <w:tc>
          <w:tcPr>
            <w:tcW w:w="422" w:type="pct"/>
            <w:tcBorders>
              <w:top w:val="nil"/>
              <w:left w:val="nil"/>
              <w:bottom w:val="nil"/>
              <w:right w:val="nil"/>
            </w:tcBorders>
            <w:shd w:val="clear" w:color="000000" w:fill="FFFFFF"/>
            <w:noWrap/>
            <w:vAlign w:val="center"/>
            <w:hideMark/>
          </w:tcPr>
          <w:p w14:paraId="4F4572E7"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761,823</w:t>
            </w:r>
          </w:p>
        </w:tc>
        <w:tc>
          <w:tcPr>
            <w:tcW w:w="183" w:type="pct"/>
            <w:tcBorders>
              <w:top w:val="nil"/>
              <w:left w:val="nil"/>
              <w:bottom w:val="nil"/>
              <w:right w:val="nil"/>
            </w:tcBorders>
            <w:shd w:val="clear" w:color="000000" w:fill="FFFFFF"/>
            <w:noWrap/>
            <w:vAlign w:val="center"/>
            <w:hideMark/>
          </w:tcPr>
          <w:p w14:paraId="3655E08F"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480" w:type="pct"/>
            <w:tcBorders>
              <w:top w:val="nil"/>
              <w:left w:val="nil"/>
              <w:bottom w:val="nil"/>
              <w:right w:val="nil"/>
            </w:tcBorders>
            <w:shd w:val="clear" w:color="000000" w:fill="FFFFFF"/>
            <w:noWrap/>
            <w:vAlign w:val="center"/>
            <w:hideMark/>
          </w:tcPr>
          <w:p w14:paraId="1794A338" w14:textId="77777777" w:rsidR="00260731" w:rsidRPr="00864963" w:rsidRDefault="00260731" w:rsidP="00260731">
            <w:pPr>
              <w:spacing w:before="0" w:after="0" w:line="240" w:lineRule="auto"/>
              <w:jc w:val="right"/>
              <w:rPr>
                <w:rFonts w:ascii="Arial" w:hAnsi="Arial" w:cs="Arial"/>
                <w:b/>
                <w:bCs/>
                <w:sz w:val="16"/>
                <w:szCs w:val="16"/>
              </w:rPr>
            </w:pPr>
            <w:r w:rsidRPr="00864963">
              <w:rPr>
                <w:rFonts w:ascii="Arial" w:hAnsi="Arial" w:cs="Arial"/>
                <w:b/>
                <w:bCs/>
                <w:sz w:val="16"/>
                <w:szCs w:val="16"/>
              </w:rPr>
              <w:t>3,494,164</w:t>
            </w:r>
          </w:p>
        </w:tc>
      </w:tr>
      <w:tr w:rsidR="00864963" w:rsidRPr="00864963" w14:paraId="3F3C1F90" w14:textId="77777777" w:rsidTr="00260731">
        <w:trPr>
          <w:trHeight w:val="60"/>
        </w:trPr>
        <w:tc>
          <w:tcPr>
            <w:tcW w:w="2016" w:type="pct"/>
            <w:tcBorders>
              <w:top w:val="nil"/>
              <w:left w:val="nil"/>
              <w:bottom w:val="nil"/>
              <w:right w:val="nil"/>
            </w:tcBorders>
            <w:shd w:val="clear" w:color="000000" w:fill="FFFFFF"/>
            <w:noWrap/>
            <w:vAlign w:val="center"/>
            <w:hideMark/>
          </w:tcPr>
          <w:p w14:paraId="745B3124" w14:textId="77777777" w:rsidR="00260731" w:rsidRPr="00864963" w:rsidRDefault="00260731" w:rsidP="00260731">
            <w:pPr>
              <w:spacing w:before="0" w:after="0" w:line="240" w:lineRule="auto"/>
              <w:rPr>
                <w:rFonts w:ascii="Arial" w:hAnsi="Arial" w:cs="Arial"/>
                <w:b/>
                <w:bCs/>
                <w:sz w:val="16"/>
                <w:szCs w:val="16"/>
                <w:highlight w:val="darkCyan"/>
              </w:rPr>
            </w:pPr>
            <w:r w:rsidRPr="00864963">
              <w:rPr>
                <w:rFonts w:ascii="Arial" w:hAnsi="Arial" w:cs="Arial"/>
                <w:b/>
                <w:bCs/>
                <w:sz w:val="16"/>
                <w:szCs w:val="16"/>
              </w:rPr>
              <w:t> </w:t>
            </w:r>
          </w:p>
        </w:tc>
        <w:tc>
          <w:tcPr>
            <w:tcW w:w="477" w:type="pct"/>
            <w:tcBorders>
              <w:top w:val="nil"/>
              <w:left w:val="nil"/>
              <w:bottom w:val="nil"/>
              <w:right w:val="nil"/>
            </w:tcBorders>
            <w:shd w:val="clear" w:color="000000" w:fill="FFFFFF"/>
            <w:noWrap/>
            <w:vAlign w:val="center"/>
            <w:hideMark/>
          </w:tcPr>
          <w:p w14:paraId="6979362D"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71" w:type="pct"/>
            <w:tcBorders>
              <w:top w:val="nil"/>
              <w:left w:val="nil"/>
              <w:bottom w:val="nil"/>
              <w:right w:val="nil"/>
            </w:tcBorders>
            <w:shd w:val="clear" w:color="000000" w:fill="E6F2FF"/>
            <w:noWrap/>
            <w:vAlign w:val="center"/>
            <w:hideMark/>
          </w:tcPr>
          <w:p w14:paraId="6A203F2D"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72249196"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7FF22B70"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87962F3"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183" w:type="pct"/>
            <w:tcBorders>
              <w:top w:val="nil"/>
              <w:left w:val="nil"/>
              <w:bottom w:val="nil"/>
              <w:right w:val="nil"/>
            </w:tcBorders>
            <w:shd w:val="clear" w:color="000000" w:fill="FFFFFF"/>
            <w:noWrap/>
            <w:vAlign w:val="center"/>
            <w:hideMark/>
          </w:tcPr>
          <w:p w14:paraId="33D5B01D"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27D205FA" w14:textId="77777777" w:rsidR="00260731" w:rsidRPr="00864963" w:rsidRDefault="00260731" w:rsidP="00260731">
            <w:pPr>
              <w:spacing w:before="0" w:after="0" w:line="240" w:lineRule="auto"/>
              <w:rPr>
                <w:rFonts w:ascii="Arial" w:hAnsi="Arial" w:cs="Arial"/>
                <w:sz w:val="16"/>
                <w:szCs w:val="16"/>
              </w:rPr>
            </w:pPr>
            <w:r w:rsidRPr="00864963">
              <w:rPr>
                <w:rFonts w:ascii="Arial" w:hAnsi="Arial" w:cs="Arial"/>
                <w:sz w:val="16"/>
                <w:szCs w:val="16"/>
              </w:rPr>
              <w:t> </w:t>
            </w:r>
          </w:p>
        </w:tc>
      </w:tr>
      <w:tr w:rsidR="00864963" w:rsidRPr="00864963" w14:paraId="4A1A8F5A" w14:textId="77777777" w:rsidTr="00260731">
        <w:trPr>
          <w:trHeight w:val="225"/>
        </w:trPr>
        <w:tc>
          <w:tcPr>
            <w:tcW w:w="2016" w:type="pct"/>
            <w:tcBorders>
              <w:top w:val="nil"/>
              <w:left w:val="nil"/>
              <w:bottom w:val="nil"/>
              <w:right w:val="nil"/>
            </w:tcBorders>
            <w:shd w:val="clear" w:color="000000" w:fill="FFFFFF"/>
            <w:noWrap/>
            <w:vAlign w:val="center"/>
            <w:hideMark/>
          </w:tcPr>
          <w:p w14:paraId="0093A5B1" w14:textId="77777777" w:rsidR="00260731" w:rsidRPr="00864963" w:rsidRDefault="00260731" w:rsidP="00260731">
            <w:pPr>
              <w:spacing w:before="0" w:after="0" w:line="240" w:lineRule="auto"/>
              <w:rPr>
                <w:rFonts w:ascii="Arial" w:hAnsi="Arial" w:cs="Arial"/>
                <w:b/>
                <w:bCs/>
                <w:sz w:val="16"/>
                <w:szCs w:val="16"/>
                <w:highlight w:val="darkCyan"/>
              </w:rPr>
            </w:pPr>
            <w:r w:rsidRPr="00864963">
              <w:rPr>
                <w:rFonts w:ascii="Arial" w:hAnsi="Arial" w:cs="Arial"/>
                <w:b/>
                <w:bCs/>
                <w:sz w:val="16"/>
                <w:szCs w:val="16"/>
              </w:rPr>
              <w:t>Changes from 2022–23 October Budget</w:t>
            </w:r>
          </w:p>
        </w:tc>
        <w:tc>
          <w:tcPr>
            <w:tcW w:w="477" w:type="pct"/>
            <w:tcBorders>
              <w:top w:val="nil"/>
              <w:left w:val="nil"/>
              <w:bottom w:val="nil"/>
              <w:right w:val="nil"/>
            </w:tcBorders>
            <w:shd w:val="clear" w:color="000000" w:fill="FFFFFF"/>
            <w:noWrap/>
            <w:vAlign w:val="center"/>
            <w:hideMark/>
          </w:tcPr>
          <w:p w14:paraId="3B482AA1"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71" w:type="pct"/>
            <w:tcBorders>
              <w:top w:val="nil"/>
              <w:left w:val="nil"/>
              <w:bottom w:val="nil"/>
              <w:right w:val="nil"/>
            </w:tcBorders>
            <w:shd w:val="clear" w:color="000000" w:fill="E6F2FF"/>
            <w:noWrap/>
            <w:vAlign w:val="center"/>
            <w:hideMark/>
          </w:tcPr>
          <w:p w14:paraId="5A982639"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19FF45CE"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7125B54B"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EA8E6B2"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183" w:type="pct"/>
            <w:tcBorders>
              <w:top w:val="nil"/>
              <w:left w:val="nil"/>
              <w:bottom w:val="nil"/>
              <w:right w:val="nil"/>
            </w:tcBorders>
            <w:shd w:val="clear" w:color="000000" w:fill="FFFFFF"/>
            <w:noWrap/>
            <w:vAlign w:val="center"/>
            <w:hideMark/>
          </w:tcPr>
          <w:p w14:paraId="40A71C98"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6600DC91" w14:textId="77777777" w:rsidR="00260731" w:rsidRPr="00864963" w:rsidRDefault="00260731" w:rsidP="00260731">
            <w:pPr>
              <w:spacing w:before="0" w:after="0" w:line="240" w:lineRule="auto"/>
              <w:rPr>
                <w:rFonts w:ascii="Arial" w:hAnsi="Arial" w:cs="Arial"/>
                <w:sz w:val="16"/>
                <w:szCs w:val="16"/>
              </w:rPr>
            </w:pPr>
            <w:r w:rsidRPr="00864963">
              <w:rPr>
                <w:rFonts w:ascii="Arial" w:hAnsi="Arial" w:cs="Arial"/>
                <w:sz w:val="16"/>
                <w:szCs w:val="16"/>
              </w:rPr>
              <w:t> </w:t>
            </w:r>
          </w:p>
        </w:tc>
      </w:tr>
      <w:tr w:rsidR="00864963" w:rsidRPr="00864963" w14:paraId="1D1E5B6B" w14:textId="77777777" w:rsidTr="00260731">
        <w:trPr>
          <w:trHeight w:val="225"/>
        </w:trPr>
        <w:tc>
          <w:tcPr>
            <w:tcW w:w="2016" w:type="pct"/>
            <w:tcBorders>
              <w:top w:val="nil"/>
              <w:left w:val="nil"/>
              <w:bottom w:val="nil"/>
              <w:right w:val="nil"/>
            </w:tcBorders>
            <w:shd w:val="clear" w:color="000000" w:fill="FFFFFF"/>
            <w:noWrap/>
            <w:vAlign w:val="center"/>
            <w:hideMark/>
          </w:tcPr>
          <w:p w14:paraId="77FA4004" w14:textId="77777777" w:rsidR="00260731" w:rsidRPr="00864963" w:rsidRDefault="00260731" w:rsidP="00260731">
            <w:pPr>
              <w:spacing w:before="0" w:after="0" w:line="240" w:lineRule="auto"/>
              <w:ind w:firstLineChars="100" w:firstLine="161"/>
              <w:rPr>
                <w:rFonts w:ascii="Arial" w:hAnsi="Arial" w:cs="Arial"/>
                <w:b/>
                <w:bCs/>
                <w:sz w:val="16"/>
                <w:szCs w:val="16"/>
                <w:highlight w:val="darkCyan"/>
              </w:rPr>
            </w:pPr>
            <w:r w:rsidRPr="00864963">
              <w:rPr>
                <w:rFonts w:ascii="Arial" w:hAnsi="Arial" w:cs="Arial"/>
                <w:b/>
                <w:bCs/>
                <w:sz w:val="16"/>
                <w:szCs w:val="16"/>
              </w:rPr>
              <w:t>to 2023–24 Budget</w:t>
            </w:r>
          </w:p>
        </w:tc>
        <w:tc>
          <w:tcPr>
            <w:tcW w:w="477" w:type="pct"/>
            <w:tcBorders>
              <w:top w:val="nil"/>
              <w:left w:val="nil"/>
              <w:bottom w:val="nil"/>
              <w:right w:val="nil"/>
            </w:tcBorders>
            <w:shd w:val="clear" w:color="000000" w:fill="FFFFFF"/>
            <w:noWrap/>
            <w:vAlign w:val="center"/>
            <w:hideMark/>
          </w:tcPr>
          <w:p w14:paraId="5676CEDD" w14:textId="77777777" w:rsidR="00260731" w:rsidRPr="00864963" w:rsidRDefault="00260731" w:rsidP="00260731">
            <w:pPr>
              <w:spacing w:before="0" w:after="0" w:line="240" w:lineRule="auto"/>
              <w:rPr>
                <w:rFonts w:ascii="Arial" w:hAnsi="Arial" w:cs="Arial"/>
                <w:i/>
                <w:iCs/>
                <w:sz w:val="16"/>
                <w:szCs w:val="16"/>
                <w:highlight w:val="darkCyan"/>
              </w:rPr>
            </w:pPr>
            <w:r w:rsidRPr="00864963">
              <w:rPr>
                <w:rFonts w:ascii="Arial" w:hAnsi="Arial" w:cs="Arial"/>
                <w:i/>
                <w:iCs/>
                <w:sz w:val="16"/>
                <w:szCs w:val="16"/>
              </w:rPr>
              <w:t> </w:t>
            </w:r>
          </w:p>
        </w:tc>
        <w:tc>
          <w:tcPr>
            <w:tcW w:w="471" w:type="pct"/>
            <w:tcBorders>
              <w:top w:val="nil"/>
              <w:left w:val="nil"/>
              <w:bottom w:val="nil"/>
              <w:right w:val="nil"/>
            </w:tcBorders>
            <w:shd w:val="clear" w:color="000000" w:fill="E6F2FF"/>
            <w:noWrap/>
            <w:vAlign w:val="center"/>
            <w:hideMark/>
          </w:tcPr>
          <w:p w14:paraId="26EAE667" w14:textId="77777777" w:rsidR="00260731" w:rsidRPr="00864963" w:rsidRDefault="00260731" w:rsidP="00260731">
            <w:pPr>
              <w:spacing w:before="0" w:after="0" w:line="240" w:lineRule="auto"/>
              <w:rPr>
                <w:rFonts w:ascii="Arial" w:hAnsi="Arial" w:cs="Arial"/>
                <w:i/>
                <w:iCs/>
                <w:sz w:val="16"/>
                <w:szCs w:val="16"/>
                <w:highlight w:val="darkCyan"/>
              </w:rPr>
            </w:pPr>
            <w:r w:rsidRPr="00864963">
              <w:rPr>
                <w:rFonts w:ascii="Arial" w:hAnsi="Arial" w:cs="Arial"/>
                <w:i/>
                <w:iCs/>
                <w:sz w:val="16"/>
                <w:szCs w:val="16"/>
              </w:rPr>
              <w:t> </w:t>
            </w:r>
          </w:p>
        </w:tc>
        <w:tc>
          <w:tcPr>
            <w:tcW w:w="473" w:type="pct"/>
            <w:tcBorders>
              <w:top w:val="nil"/>
              <w:left w:val="nil"/>
              <w:bottom w:val="nil"/>
              <w:right w:val="nil"/>
            </w:tcBorders>
            <w:shd w:val="clear" w:color="000000" w:fill="FFFFFF"/>
            <w:noWrap/>
            <w:vAlign w:val="center"/>
            <w:hideMark/>
          </w:tcPr>
          <w:p w14:paraId="1C95C966" w14:textId="77777777" w:rsidR="00260731" w:rsidRPr="00864963" w:rsidRDefault="00260731" w:rsidP="00260731">
            <w:pPr>
              <w:spacing w:before="0" w:after="0" w:line="240" w:lineRule="auto"/>
              <w:rPr>
                <w:rFonts w:ascii="Arial" w:hAnsi="Arial" w:cs="Arial"/>
                <w:i/>
                <w:iCs/>
                <w:sz w:val="16"/>
                <w:szCs w:val="16"/>
                <w:highlight w:val="darkCyan"/>
              </w:rPr>
            </w:pPr>
            <w:r w:rsidRPr="00864963">
              <w:rPr>
                <w:rFonts w:ascii="Arial" w:hAnsi="Arial" w:cs="Arial"/>
                <w:i/>
                <w:iCs/>
                <w:sz w:val="16"/>
                <w:szCs w:val="16"/>
              </w:rPr>
              <w:t> </w:t>
            </w:r>
          </w:p>
        </w:tc>
        <w:tc>
          <w:tcPr>
            <w:tcW w:w="478" w:type="pct"/>
            <w:tcBorders>
              <w:top w:val="nil"/>
              <w:left w:val="nil"/>
              <w:bottom w:val="nil"/>
              <w:right w:val="nil"/>
            </w:tcBorders>
            <w:shd w:val="clear" w:color="000000" w:fill="FFFFFF"/>
            <w:noWrap/>
            <w:vAlign w:val="center"/>
            <w:hideMark/>
          </w:tcPr>
          <w:p w14:paraId="395C0893" w14:textId="77777777" w:rsidR="00260731" w:rsidRPr="00864963" w:rsidRDefault="00260731" w:rsidP="00260731">
            <w:pPr>
              <w:spacing w:before="0" w:after="0" w:line="240" w:lineRule="auto"/>
              <w:rPr>
                <w:rFonts w:ascii="Arial" w:hAnsi="Arial" w:cs="Arial"/>
                <w:i/>
                <w:iCs/>
                <w:sz w:val="16"/>
                <w:szCs w:val="16"/>
                <w:highlight w:val="darkCyan"/>
              </w:rPr>
            </w:pPr>
            <w:r w:rsidRPr="00864963">
              <w:rPr>
                <w:rFonts w:ascii="Arial" w:hAnsi="Arial" w:cs="Arial"/>
                <w:i/>
                <w:iCs/>
                <w:sz w:val="16"/>
                <w:szCs w:val="16"/>
              </w:rPr>
              <w:t> </w:t>
            </w:r>
          </w:p>
        </w:tc>
        <w:tc>
          <w:tcPr>
            <w:tcW w:w="422" w:type="pct"/>
            <w:tcBorders>
              <w:top w:val="nil"/>
              <w:left w:val="nil"/>
              <w:bottom w:val="nil"/>
              <w:right w:val="nil"/>
            </w:tcBorders>
            <w:shd w:val="clear" w:color="000000" w:fill="FFFFFF"/>
            <w:noWrap/>
            <w:vAlign w:val="center"/>
            <w:hideMark/>
          </w:tcPr>
          <w:p w14:paraId="1AC1C3ED" w14:textId="77777777" w:rsidR="00260731" w:rsidRPr="00864963" w:rsidRDefault="00260731" w:rsidP="00260731">
            <w:pPr>
              <w:spacing w:before="0" w:after="0" w:line="240" w:lineRule="auto"/>
              <w:rPr>
                <w:rFonts w:ascii="Arial" w:hAnsi="Arial" w:cs="Arial"/>
                <w:i/>
                <w:iCs/>
                <w:sz w:val="16"/>
                <w:szCs w:val="16"/>
                <w:highlight w:val="darkCyan"/>
              </w:rPr>
            </w:pPr>
            <w:r w:rsidRPr="00864963">
              <w:rPr>
                <w:rFonts w:ascii="Arial" w:hAnsi="Arial" w:cs="Arial"/>
                <w:i/>
                <w:iCs/>
                <w:sz w:val="16"/>
                <w:szCs w:val="16"/>
              </w:rPr>
              <w:t> </w:t>
            </w:r>
          </w:p>
        </w:tc>
        <w:tc>
          <w:tcPr>
            <w:tcW w:w="183" w:type="pct"/>
            <w:tcBorders>
              <w:top w:val="nil"/>
              <w:left w:val="nil"/>
              <w:bottom w:val="nil"/>
              <w:right w:val="nil"/>
            </w:tcBorders>
            <w:shd w:val="clear" w:color="000000" w:fill="FFFFFF"/>
            <w:noWrap/>
            <w:vAlign w:val="center"/>
            <w:hideMark/>
          </w:tcPr>
          <w:p w14:paraId="16860A61" w14:textId="77777777" w:rsidR="00260731" w:rsidRPr="00864963" w:rsidRDefault="00260731" w:rsidP="00260731">
            <w:pPr>
              <w:spacing w:before="0" w:after="0" w:line="240" w:lineRule="auto"/>
              <w:rPr>
                <w:rFonts w:ascii="Arial" w:hAnsi="Arial" w:cs="Arial"/>
                <w:i/>
                <w:iCs/>
                <w:sz w:val="16"/>
                <w:szCs w:val="16"/>
                <w:highlight w:val="darkCyan"/>
              </w:rPr>
            </w:pPr>
            <w:r w:rsidRPr="00864963">
              <w:rPr>
                <w:rFonts w:ascii="Arial" w:hAnsi="Arial" w:cs="Arial"/>
                <w:i/>
                <w:iCs/>
                <w:sz w:val="16"/>
                <w:szCs w:val="16"/>
              </w:rPr>
              <w:t> </w:t>
            </w:r>
          </w:p>
        </w:tc>
        <w:tc>
          <w:tcPr>
            <w:tcW w:w="480" w:type="pct"/>
            <w:tcBorders>
              <w:top w:val="nil"/>
              <w:left w:val="nil"/>
              <w:bottom w:val="nil"/>
              <w:right w:val="nil"/>
            </w:tcBorders>
            <w:shd w:val="clear" w:color="000000" w:fill="FFFFFF"/>
            <w:noWrap/>
            <w:vAlign w:val="center"/>
            <w:hideMark/>
          </w:tcPr>
          <w:p w14:paraId="2F48F651" w14:textId="77777777" w:rsidR="00260731" w:rsidRPr="00864963" w:rsidRDefault="00260731" w:rsidP="00260731">
            <w:pPr>
              <w:spacing w:before="0" w:after="0" w:line="240" w:lineRule="auto"/>
              <w:rPr>
                <w:rFonts w:ascii="Arial" w:hAnsi="Arial" w:cs="Arial"/>
                <w:sz w:val="16"/>
                <w:szCs w:val="16"/>
              </w:rPr>
            </w:pPr>
            <w:r w:rsidRPr="00864963">
              <w:rPr>
                <w:rFonts w:ascii="Arial" w:hAnsi="Arial" w:cs="Arial"/>
                <w:sz w:val="16"/>
                <w:szCs w:val="16"/>
              </w:rPr>
              <w:t> </w:t>
            </w:r>
          </w:p>
        </w:tc>
      </w:tr>
      <w:tr w:rsidR="00864963" w:rsidRPr="00864963" w14:paraId="250B47B9" w14:textId="77777777" w:rsidTr="00260731">
        <w:trPr>
          <w:trHeight w:val="225"/>
        </w:trPr>
        <w:tc>
          <w:tcPr>
            <w:tcW w:w="2016" w:type="pct"/>
            <w:tcBorders>
              <w:top w:val="nil"/>
              <w:left w:val="nil"/>
              <w:bottom w:val="nil"/>
              <w:right w:val="nil"/>
            </w:tcBorders>
            <w:shd w:val="clear" w:color="000000" w:fill="FFFFFF"/>
            <w:noWrap/>
            <w:vAlign w:val="center"/>
            <w:hideMark/>
          </w:tcPr>
          <w:p w14:paraId="30A5D11E"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Effect of policy decisions(c)</w:t>
            </w:r>
          </w:p>
        </w:tc>
        <w:tc>
          <w:tcPr>
            <w:tcW w:w="477" w:type="pct"/>
            <w:tcBorders>
              <w:top w:val="nil"/>
              <w:left w:val="nil"/>
              <w:bottom w:val="nil"/>
              <w:right w:val="nil"/>
            </w:tcBorders>
            <w:shd w:val="clear" w:color="000000" w:fill="FFFFFF"/>
            <w:noWrap/>
            <w:vAlign w:val="center"/>
            <w:hideMark/>
          </w:tcPr>
          <w:p w14:paraId="64543D0B"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1,212</w:t>
            </w:r>
          </w:p>
        </w:tc>
        <w:tc>
          <w:tcPr>
            <w:tcW w:w="471" w:type="pct"/>
            <w:tcBorders>
              <w:top w:val="nil"/>
              <w:left w:val="nil"/>
              <w:bottom w:val="nil"/>
              <w:right w:val="nil"/>
            </w:tcBorders>
            <w:shd w:val="clear" w:color="000000" w:fill="E6F2FF"/>
            <w:noWrap/>
            <w:vAlign w:val="center"/>
            <w:hideMark/>
          </w:tcPr>
          <w:p w14:paraId="0EB6C456"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13,779</w:t>
            </w:r>
          </w:p>
        </w:tc>
        <w:tc>
          <w:tcPr>
            <w:tcW w:w="473" w:type="pct"/>
            <w:tcBorders>
              <w:top w:val="nil"/>
              <w:left w:val="nil"/>
              <w:bottom w:val="nil"/>
              <w:right w:val="nil"/>
            </w:tcBorders>
            <w:shd w:val="clear" w:color="000000" w:fill="FFFFFF"/>
            <w:noWrap/>
            <w:vAlign w:val="center"/>
            <w:hideMark/>
          </w:tcPr>
          <w:p w14:paraId="1496DBF4"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10,825</w:t>
            </w:r>
          </w:p>
        </w:tc>
        <w:tc>
          <w:tcPr>
            <w:tcW w:w="478" w:type="pct"/>
            <w:tcBorders>
              <w:top w:val="nil"/>
              <w:left w:val="nil"/>
              <w:bottom w:val="nil"/>
              <w:right w:val="nil"/>
            </w:tcBorders>
            <w:shd w:val="clear" w:color="000000" w:fill="FFFFFF"/>
            <w:noWrap/>
            <w:vAlign w:val="center"/>
            <w:hideMark/>
          </w:tcPr>
          <w:p w14:paraId="7A80E8C4"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8,960</w:t>
            </w:r>
          </w:p>
        </w:tc>
        <w:tc>
          <w:tcPr>
            <w:tcW w:w="422" w:type="pct"/>
            <w:tcBorders>
              <w:top w:val="nil"/>
              <w:left w:val="nil"/>
              <w:bottom w:val="nil"/>
              <w:right w:val="nil"/>
            </w:tcBorders>
            <w:shd w:val="clear" w:color="000000" w:fill="FFFFFF"/>
            <w:noWrap/>
            <w:vAlign w:val="center"/>
            <w:hideMark/>
          </w:tcPr>
          <w:p w14:paraId="3E6EB232"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7,867</w:t>
            </w:r>
          </w:p>
        </w:tc>
        <w:tc>
          <w:tcPr>
            <w:tcW w:w="183" w:type="pct"/>
            <w:tcBorders>
              <w:top w:val="nil"/>
              <w:left w:val="nil"/>
              <w:bottom w:val="nil"/>
              <w:right w:val="nil"/>
            </w:tcBorders>
            <w:shd w:val="clear" w:color="000000" w:fill="FFFFFF"/>
            <w:noWrap/>
            <w:vAlign w:val="center"/>
            <w:hideMark/>
          </w:tcPr>
          <w:p w14:paraId="37B6FFE8"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028435A9" w14:textId="77777777" w:rsidR="00260731" w:rsidRPr="00864963" w:rsidRDefault="00260731" w:rsidP="00260731">
            <w:pPr>
              <w:spacing w:before="0" w:after="0" w:line="240" w:lineRule="auto"/>
              <w:jc w:val="right"/>
              <w:rPr>
                <w:rFonts w:ascii="Arial" w:hAnsi="Arial" w:cs="Arial"/>
                <w:sz w:val="16"/>
                <w:szCs w:val="16"/>
              </w:rPr>
            </w:pPr>
            <w:r w:rsidRPr="00864963">
              <w:rPr>
                <w:rFonts w:ascii="Arial" w:hAnsi="Arial" w:cs="Arial"/>
                <w:sz w:val="16"/>
                <w:szCs w:val="16"/>
              </w:rPr>
              <w:t>42,643</w:t>
            </w:r>
          </w:p>
        </w:tc>
      </w:tr>
      <w:tr w:rsidR="00864963" w:rsidRPr="00864963" w14:paraId="5B88AAF2" w14:textId="77777777" w:rsidTr="00260731">
        <w:trPr>
          <w:trHeight w:val="225"/>
        </w:trPr>
        <w:tc>
          <w:tcPr>
            <w:tcW w:w="2016" w:type="pct"/>
            <w:tcBorders>
              <w:top w:val="nil"/>
              <w:left w:val="nil"/>
              <w:bottom w:val="nil"/>
              <w:right w:val="nil"/>
            </w:tcBorders>
            <w:shd w:val="clear" w:color="000000" w:fill="FFFFFF"/>
            <w:noWrap/>
            <w:vAlign w:val="center"/>
            <w:hideMark/>
          </w:tcPr>
          <w:p w14:paraId="3CCB47F2"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Effect of parameter and other variations</w:t>
            </w:r>
          </w:p>
        </w:tc>
        <w:tc>
          <w:tcPr>
            <w:tcW w:w="477" w:type="pct"/>
            <w:tcBorders>
              <w:top w:val="nil"/>
              <w:left w:val="nil"/>
              <w:bottom w:val="nil"/>
              <w:right w:val="nil"/>
            </w:tcBorders>
            <w:shd w:val="clear" w:color="000000" w:fill="FFFFFF"/>
            <w:noWrap/>
            <w:vAlign w:val="center"/>
            <w:hideMark/>
          </w:tcPr>
          <w:p w14:paraId="5D93E12F" w14:textId="3282F4E3" w:rsidR="00260731" w:rsidRPr="00864963" w:rsidRDefault="00594653"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260731" w:rsidRPr="00864963">
              <w:rPr>
                <w:rFonts w:ascii="Arial" w:hAnsi="Arial" w:cs="Arial"/>
                <w:sz w:val="16"/>
                <w:szCs w:val="16"/>
              </w:rPr>
              <w:t>13,901</w:t>
            </w:r>
          </w:p>
        </w:tc>
        <w:tc>
          <w:tcPr>
            <w:tcW w:w="471" w:type="pct"/>
            <w:tcBorders>
              <w:top w:val="nil"/>
              <w:left w:val="nil"/>
              <w:bottom w:val="nil"/>
              <w:right w:val="nil"/>
            </w:tcBorders>
            <w:shd w:val="clear" w:color="000000" w:fill="E6F2FF"/>
            <w:noWrap/>
            <w:vAlign w:val="center"/>
            <w:hideMark/>
          </w:tcPr>
          <w:p w14:paraId="0D32B2DA"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2,792</w:t>
            </w:r>
          </w:p>
        </w:tc>
        <w:tc>
          <w:tcPr>
            <w:tcW w:w="473" w:type="pct"/>
            <w:tcBorders>
              <w:top w:val="nil"/>
              <w:left w:val="nil"/>
              <w:bottom w:val="nil"/>
              <w:right w:val="nil"/>
            </w:tcBorders>
            <w:shd w:val="clear" w:color="000000" w:fill="FFFFFF"/>
            <w:noWrap/>
            <w:vAlign w:val="center"/>
            <w:hideMark/>
          </w:tcPr>
          <w:p w14:paraId="6D040273"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1,284</w:t>
            </w:r>
          </w:p>
        </w:tc>
        <w:tc>
          <w:tcPr>
            <w:tcW w:w="478" w:type="pct"/>
            <w:tcBorders>
              <w:top w:val="nil"/>
              <w:left w:val="nil"/>
              <w:bottom w:val="nil"/>
              <w:right w:val="nil"/>
            </w:tcBorders>
            <w:shd w:val="clear" w:color="000000" w:fill="FFFFFF"/>
            <w:noWrap/>
            <w:vAlign w:val="center"/>
            <w:hideMark/>
          </w:tcPr>
          <w:p w14:paraId="4DDEEAE4"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7BE60311" w14:textId="5098F812" w:rsidR="00260731" w:rsidRPr="00864963" w:rsidRDefault="00594653"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260731" w:rsidRPr="00864963">
              <w:rPr>
                <w:rFonts w:ascii="Arial" w:hAnsi="Arial" w:cs="Arial"/>
                <w:sz w:val="16"/>
                <w:szCs w:val="16"/>
              </w:rPr>
              <w:t>6,122</w:t>
            </w:r>
          </w:p>
        </w:tc>
        <w:tc>
          <w:tcPr>
            <w:tcW w:w="183" w:type="pct"/>
            <w:tcBorders>
              <w:top w:val="nil"/>
              <w:left w:val="nil"/>
              <w:bottom w:val="nil"/>
              <w:right w:val="nil"/>
            </w:tcBorders>
            <w:shd w:val="clear" w:color="000000" w:fill="FFFFFF"/>
            <w:noWrap/>
            <w:vAlign w:val="center"/>
            <w:hideMark/>
          </w:tcPr>
          <w:p w14:paraId="4210A600"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13BD2D89" w14:textId="7F73BB1F" w:rsidR="00260731" w:rsidRPr="00864963" w:rsidRDefault="00594653" w:rsidP="00260731">
            <w:pPr>
              <w:spacing w:before="0" w:after="0" w:line="240" w:lineRule="auto"/>
              <w:jc w:val="right"/>
              <w:rPr>
                <w:rFonts w:ascii="Arial" w:hAnsi="Arial" w:cs="Arial"/>
                <w:sz w:val="16"/>
                <w:szCs w:val="16"/>
              </w:rPr>
            </w:pPr>
            <w:r w:rsidRPr="00864963">
              <w:rPr>
                <w:rFonts w:ascii="Arial" w:hAnsi="Arial" w:cs="Arial"/>
                <w:sz w:val="16"/>
                <w:szCs w:val="16"/>
              </w:rPr>
              <w:noBreakHyphen/>
            </w:r>
            <w:r w:rsidR="00260731" w:rsidRPr="00864963">
              <w:rPr>
                <w:rFonts w:ascii="Arial" w:hAnsi="Arial" w:cs="Arial"/>
                <w:sz w:val="16"/>
                <w:szCs w:val="16"/>
              </w:rPr>
              <w:t>15,941</w:t>
            </w:r>
          </w:p>
        </w:tc>
      </w:tr>
      <w:tr w:rsidR="00864963" w:rsidRPr="00864963" w14:paraId="7DF3035B" w14:textId="77777777" w:rsidTr="00260731">
        <w:trPr>
          <w:trHeight w:val="225"/>
        </w:trPr>
        <w:tc>
          <w:tcPr>
            <w:tcW w:w="2016" w:type="pct"/>
            <w:tcBorders>
              <w:top w:val="nil"/>
              <w:left w:val="nil"/>
              <w:bottom w:val="nil"/>
              <w:right w:val="nil"/>
            </w:tcBorders>
            <w:shd w:val="clear" w:color="000000" w:fill="FFFFFF"/>
            <w:noWrap/>
            <w:vAlign w:val="center"/>
            <w:hideMark/>
          </w:tcPr>
          <w:p w14:paraId="2512FF60" w14:textId="77777777" w:rsidR="00260731" w:rsidRPr="00864963" w:rsidRDefault="00260731" w:rsidP="00260731">
            <w:pPr>
              <w:spacing w:before="0" w:after="0" w:line="240" w:lineRule="auto"/>
              <w:ind w:firstLineChars="100" w:firstLine="160"/>
              <w:rPr>
                <w:rFonts w:ascii="Arial" w:hAnsi="Arial" w:cs="Arial"/>
                <w:sz w:val="16"/>
                <w:szCs w:val="16"/>
                <w:highlight w:val="darkCyan"/>
              </w:rPr>
            </w:pPr>
            <w:r w:rsidRPr="00864963">
              <w:rPr>
                <w:rFonts w:ascii="Arial" w:hAnsi="Arial" w:cs="Arial"/>
                <w:sz w:val="16"/>
                <w:szCs w:val="16"/>
              </w:rPr>
              <w:t>Total economic parameter variations</w:t>
            </w:r>
          </w:p>
        </w:tc>
        <w:tc>
          <w:tcPr>
            <w:tcW w:w="477" w:type="pct"/>
            <w:tcBorders>
              <w:top w:val="nil"/>
              <w:left w:val="nil"/>
              <w:bottom w:val="nil"/>
              <w:right w:val="nil"/>
            </w:tcBorders>
            <w:shd w:val="clear" w:color="000000" w:fill="FFFFFF"/>
            <w:noWrap/>
            <w:vAlign w:val="center"/>
            <w:hideMark/>
          </w:tcPr>
          <w:p w14:paraId="64DBCA35" w14:textId="146028AC" w:rsidR="00260731" w:rsidRPr="00864963" w:rsidRDefault="00594653"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260731" w:rsidRPr="00864963">
              <w:rPr>
                <w:rFonts w:ascii="Arial" w:hAnsi="Arial" w:cs="Arial"/>
                <w:sz w:val="16"/>
                <w:szCs w:val="16"/>
              </w:rPr>
              <w:t>387</w:t>
            </w:r>
          </w:p>
        </w:tc>
        <w:tc>
          <w:tcPr>
            <w:tcW w:w="471" w:type="pct"/>
            <w:tcBorders>
              <w:top w:val="nil"/>
              <w:left w:val="nil"/>
              <w:bottom w:val="nil"/>
              <w:right w:val="nil"/>
            </w:tcBorders>
            <w:shd w:val="clear" w:color="000000" w:fill="E6F2FF"/>
            <w:noWrap/>
            <w:vAlign w:val="center"/>
            <w:hideMark/>
          </w:tcPr>
          <w:p w14:paraId="5EE94644"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640</w:t>
            </w:r>
          </w:p>
        </w:tc>
        <w:tc>
          <w:tcPr>
            <w:tcW w:w="473" w:type="pct"/>
            <w:tcBorders>
              <w:top w:val="nil"/>
              <w:left w:val="nil"/>
              <w:bottom w:val="nil"/>
              <w:right w:val="nil"/>
            </w:tcBorders>
            <w:shd w:val="clear" w:color="000000" w:fill="FFFFFF"/>
            <w:noWrap/>
            <w:vAlign w:val="center"/>
            <w:hideMark/>
          </w:tcPr>
          <w:p w14:paraId="363997F0"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3,060</w:t>
            </w:r>
          </w:p>
        </w:tc>
        <w:tc>
          <w:tcPr>
            <w:tcW w:w="478" w:type="pct"/>
            <w:tcBorders>
              <w:top w:val="nil"/>
              <w:left w:val="nil"/>
              <w:bottom w:val="nil"/>
              <w:right w:val="nil"/>
            </w:tcBorders>
            <w:shd w:val="clear" w:color="000000" w:fill="FFFFFF"/>
            <w:noWrap/>
            <w:vAlign w:val="center"/>
            <w:hideMark/>
          </w:tcPr>
          <w:p w14:paraId="5A86A7FB"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5,881</w:t>
            </w:r>
          </w:p>
        </w:tc>
        <w:tc>
          <w:tcPr>
            <w:tcW w:w="422" w:type="pct"/>
            <w:tcBorders>
              <w:top w:val="nil"/>
              <w:left w:val="nil"/>
              <w:bottom w:val="nil"/>
              <w:right w:val="nil"/>
            </w:tcBorders>
            <w:shd w:val="clear" w:color="000000" w:fill="FFFFFF"/>
            <w:noWrap/>
            <w:vAlign w:val="center"/>
            <w:hideMark/>
          </w:tcPr>
          <w:p w14:paraId="7AE72132"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w:t>
            </w:r>
          </w:p>
        </w:tc>
        <w:tc>
          <w:tcPr>
            <w:tcW w:w="183" w:type="pct"/>
            <w:tcBorders>
              <w:top w:val="nil"/>
              <w:left w:val="nil"/>
              <w:bottom w:val="nil"/>
              <w:right w:val="nil"/>
            </w:tcBorders>
            <w:shd w:val="clear" w:color="000000" w:fill="FFFFFF"/>
            <w:noWrap/>
            <w:vAlign w:val="center"/>
            <w:hideMark/>
          </w:tcPr>
          <w:p w14:paraId="0FF17347"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3CE024DD" w14:textId="77777777" w:rsidR="00260731" w:rsidRPr="00864963" w:rsidRDefault="00260731" w:rsidP="00260731">
            <w:pPr>
              <w:spacing w:before="0" w:after="0" w:line="240" w:lineRule="auto"/>
              <w:jc w:val="right"/>
              <w:rPr>
                <w:rFonts w:ascii="Arial" w:hAnsi="Arial" w:cs="Arial"/>
                <w:sz w:val="16"/>
                <w:szCs w:val="16"/>
              </w:rPr>
            </w:pPr>
            <w:r w:rsidRPr="00864963">
              <w:rPr>
                <w:rFonts w:ascii="Arial" w:hAnsi="Arial" w:cs="Arial"/>
                <w:sz w:val="16"/>
                <w:szCs w:val="16"/>
              </w:rPr>
              <w:t>*</w:t>
            </w:r>
          </w:p>
        </w:tc>
      </w:tr>
      <w:tr w:rsidR="00864963" w:rsidRPr="00864963" w14:paraId="657A3C67" w14:textId="77777777" w:rsidTr="00260731">
        <w:trPr>
          <w:trHeight w:val="225"/>
        </w:trPr>
        <w:tc>
          <w:tcPr>
            <w:tcW w:w="2016" w:type="pct"/>
            <w:tcBorders>
              <w:top w:val="nil"/>
              <w:left w:val="nil"/>
              <w:bottom w:val="nil"/>
              <w:right w:val="nil"/>
            </w:tcBorders>
            <w:shd w:val="clear" w:color="000000" w:fill="FFFFFF"/>
            <w:noWrap/>
            <w:vAlign w:val="center"/>
            <w:hideMark/>
          </w:tcPr>
          <w:p w14:paraId="6ED4A86D" w14:textId="77777777" w:rsidR="00260731" w:rsidRPr="00864963" w:rsidRDefault="00260731" w:rsidP="00260731">
            <w:pPr>
              <w:spacing w:before="0" w:after="0" w:line="240" w:lineRule="auto"/>
              <w:ind w:firstLineChars="200" w:firstLine="320"/>
              <w:rPr>
                <w:rFonts w:ascii="Arial" w:hAnsi="Arial" w:cs="Arial"/>
                <w:i/>
                <w:iCs/>
                <w:sz w:val="16"/>
                <w:szCs w:val="16"/>
                <w:highlight w:val="darkCyan"/>
              </w:rPr>
            </w:pPr>
            <w:r w:rsidRPr="00864963">
              <w:rPr>
                <w:rFonts w:ascii="Arial" w:hAnsi="Arial" w:cs="Arial"/>
                <w:i/>
                <w:iCs/>
                <w:sz w:val="16"/>
                <w:szCs w:val="16"/>
              </w:rPr>
              <w:t>Unemployment benefits</w:t>
            </w:r>
          </w:p>
        </w:tc>
        <w:tc>
          <w:tcPr>
            <w:tcW w:w="477" w:type="pct"/>
            <w:tcBorders>
              <w:top w:val="nil"/>
              <w:left w:val="nil"/>
              <w:bottom w:val="nil"/>
              <w:right w:val="nil"/>
            </w:tcBorders>
            <w:shd w:val="clear" w:color="000000" w:fill="FFFFFF"/>
            <w:noWrap/>
            <w:vAlign w:val="center"/>
            <w:hideMark/>
          </w:tcPr>
          <w:p w14:paraId="6F4E4CDD" w14:textId="02E12F47" w:rsidR="00260731" w:rsidRPr="00864963" w:rsidRDefault="00594653"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noBreakHyphen/>
            </w:r>
            <w:r w:rsidR="00260731" w:rsidRPr="00864963">
              <w:rPr>
                <w:rFonts w:ascii="Arial" w:hAnsi="Arial" w:cs="Arial"/>
                <w:i/>
                <w:iCs/>
                <w:sz w:val="16"/>
                <w:szCs w:val="16"/>
              </w:rPr>
              <w:t>65</w:t>
            </w:r>
          </w:p>
        </w:tc>
        <w:tc>
          <w:tcPr>
            <w:tcW w:w="471" w:type="pct"/>
            <w:tcBorders>
              <w:top w:val="nil"/>
              <w:left w:val="nil"/>
              <w:bottom w:val="nil"/>
              <w:right w:val="nil"/>
            </w:tcBorders>
            <w:shd w:val="clear" w:color="000000" w:fill="E6F2FF"/>
            <w:noWrap/>
            <w:vAlign w:val="center"/>
            <w:hideMark/>
          </w:tcPr>
          <w:p w14:paraId="29E7B073" w14:textId="7B1CA056" w:rsidR="00260731" w:rsidRPr="00864963" w:rsidRDefault="00594653"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noBreakHyphen/>
            </w:r>
            <w:r w:rsidR="00260731" w:rsidRPr="00864963">
              <w:rPr>
                <w:rFonts w:ascii="Arial" w:hAnsi="Arial" w:cs="Arial"/>
                <w:i/>
                <w:iCs/>
                <w:sz w:val="16"/>
                <w:szCs w:val="16"/>
              </w:rPr>
              <w:t>591</w:t>
            </w:r>
          </w:p>
        </w:tc>
        <w:tc>
          <w:tcPr>
            <w:tcW w:w="473" w:type="pct"/>
            <w:tcBorders>
              <w:top w:val="nil"/>
              <w:left w:val="nil"/>
              <w:bottom w:val="nil"/>
              <w:right w:val="nil"/>
            </w:tcBorders>
            <w:shd w:val="clear" w:color="000000" w:fill="FFFFFF"/>
            <w:noWrap/>
            <w:vAlign w:val="center"/>
            <w:hideMark/>
          </w:tcPr>
          <w:p w14:paraId="3868F07D" w14:textId="77777777" w:rsidR="00260731" w:rsidRPr="00864963" w:rsidRDefault="00260731"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t>323</w:t>
            </w:r>
          </w:p>
        </w:tc>
        <w:tc>
          <w:tcPr>
            <w:tcW w:w="478" w:type="pct"/>
            <w:tcBorders>
              <w:top w:val="nil"/>
              <w:left w:val="nil"/>
              <w:bottom w:val="nil"/>
              <w:right w:val="nil"/>
            </w:tcBorders>
            <w:shd w:val="clear" w:color="000000" w:fill="FFFFFF"/>
            <w:noWrap/>
            <w:vAlign w:val="center"/>
            <w:hideMark/>
          </w:tcPr>
          <w:p w14:paraId="2CDEB48B" w14:textId="77777777" w:rsidR="00260731" w:rsidRPr="00864963" w:rsidRDefault="00260731"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t>861</w:t>
            </w:r>
          </w:p>
        </w:tc>
        <w:tc>
          <w:tcPr>
            <w:tcW w:w="422" w:type="pct"/>
            <w:tcBorders>
              <w:top w:val="nil"/>
              <w:left w:val="nil"/>
              <w:bottom w:val="nil"/>
              <w:right w:val="nil"/>
            </w:tcBorders>
            <w:shd w:val="clear" w:color="000000" w:fill="FFFFFF"/>
            <w:noWrap/>
            <w:vAlign w:val="center"/>
            <w:hideMark/>
          </w:tcPr>
          <w:p w14:paraId="76C0F6C2" w14:textId="77777777" w:rsidR="00260731" w:rsidRPr="00864963" w:rsidRDefault="00260731"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t>*</w:t>
            </w:r>
          </w:p>
        </w:tc>
        <w:tc>
          <w:tcPr>
            <w:tcW w:w="183" w:type="pct"/>
            <w:tcBorders>
              <w:top w:val="nil"/>
              <w:left w:val="nil"/>
              <w:bottom w:val="nil"/>
              <w:right w:val="nil"/>
            </w:tcBorders>
            <w:shd w:val="clear" w:color="000000" w:fill="FFFFFF"/>
            <w:noWrap/>
            <w:vAlign w:val="center"/>
            <w:hideMark/>
          </w:tcPr>
          <w:p w14:paraId="63C76E81" w14:textId="77777777" w:rsidR="00260731" w:rsidRPr="00864963" w:rsidRDefault="00260731"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t> </w:t>
            </w:r>
          </w:p>
        </w:tc>
        <w:tc>
          <w:tcPr>
            <w:tcW w:w="480" w:type="pct"/>
            <w:tcBorders>
              <w:top w:val="nil"/>
              <w:left w:val="nil"/>
              <w:bottom w:val="nil"/>
              <w:right w:val="nil"/>
            </w:tcBorders>
            <w:shd w:val="clear" w:color="000000" w:fill="FFFFFF"/>
            <w:noWrap/>
            <w:vAlign w:val="center"/>
            <w:hideMark/>
          </w:tcPr>
          <w:p w14:paraId="74E738C8" w14:textId="77777777" w:rsidR="00260731" w:rsidRPr="00864963" w:rsidRDefault="00260731" w:rsidP="00260731">
            <w:pPr>
              <w:spacing w:before="0" w:after="0" w:line="240" w:lineRule="auto"/>
              <w:jc w:val="right"/>
              <w:rPr>
                <w:rFonts w:ascii="Arial" w:hAnsi="Arial" w:cs="Arial"/>
                <w:i/>
                <w:iCs/>
                <w:sz w:val="16"/>
                <w:szCs w:val="16"/>
              </w:rPr>
            </w:pPr>
            <w:r w:rsidRPr="00864963">
              <w:rPr>
                <w:rFonts w:ascii="Arial" w:hAnsi="Arial" w:cs="Arial"/>
                <w:i/>
                <w:iCs/>
                <w:sz w:val="16"/>
                <w:szCs w:val="16"/>
              </w:rPr>
              <w:t>*</w:t>
            </w:r>
          </w:p>
        </w:tc>
      </w:tr>
      <w:tr w:rsidR="00864963" w:rsidRPr="00864963" w14:paraId="68A32DE8" w14:textId="77777777" w:rsidTr="00260731">
        <w:trPr>
          <w:trHeight w:val="225"/>
        </w:trPr>
        <w:tc>
          <w:tcPr>
            <w:tcW w:w="2016" w:type="pct"/>
            <w:tcBorders>
              <w:top w:val="nil"/>
              <w:left w:val="nil"/>
              <w:bottom w:val="nil"/>
              <w:right w:val="nil"/>
            </w:tcBorders>
            <w:shd w:val="clear" w:color="000000" w:fill="FFFFFF"/>
            <w:noWrap/>
            <w:vAlign w:val="center"/>
            <w:hideMark/>
          </w:tcPr>
          <w:p w14:paraId="1D6C1D0D" w14:textId="77777777" w:rsidR="00260731" w:rsidRPr="00864963" w:rsidRDefault="00260731" w:rsidP="00260731">
            <w:pPr>
              <w:spacing w:before="0" w:after="0" w:line="240" w:lineRule="auto"/>
              <w:ind w:firstLineChars="200" w:firstLine="320"/>
              <w:rPr>
                <w:rFonts w:ascii="Arial" w:hAnsi="Arial" w:cs="Arial"/>
                <w:i/>
                <w:iCs/>
                <w:sz w:val="16"/>
                <w:szCs w:val="16"/>
                <w:highlight w:val="darkCyan"/>
              </w:rPr>
            </w:pPr>
            <w:r w:rsidRPr="00864963">
              <w:rPr>
                <w:rFonts w:ascii="Arial" w:hAnsi="Arial" w:cs="Arial"/>
                <w:i/>
                <w:iCs/>
                <w:sz w:val="16"/>
                <w:szCs w:val="16"/>
              </w:rPr>
              <w:t>Prices and wages</w:t>
            </w:r>
          </w:p>
        </w:tc>
        <w:tc>
          <w:tcPr>
            <w:tcW w:w="477" w:type="pct"/>
            <w:tcBorders>
              <w:top w:val="nil"/>
              <w:left w:val="nil"/>
              <w:bottom w:val="nil"/>
              <w:right w:val="nil"/>
            </w:tcBorders>
            <w:shd w:val="clear" w:color="000000" w:fill="FFFFFF"/>
            <w:noWrap/>
            <w:vAlign w:val="center"/>
            <w:hideMark/>
          </w:tcPr>
          <w:p w14:paraId="57A34933" w14:textId="77777777" w:rsidR="00260731" w:rsidRPr="00864963" w:rsidRDefault="00260731"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t>7</w:t>
            </w:r>
          </w:p>
        </w:tc>
        <w:tc>
          <w:tcPr>
            <w:tcW w:w="471" w:type="pct"/>
            <w:tcBorders>
              <w:top w:val="nil"/>
              <w:left w:val="nil"/>
              <w:bottom w:val="nil"/>
              <w:right w:val="nil"/>
            </w:tcBorders>
            <w:shd w:val="clear" w:color="000000" w:fill="E6F2FF"/>
            <w:noWrap/>
            <w:vAlign w:val="center"/>
            <w:hideMark/>
          </w:tcPr>
          <w:p w14:paraId="2E3BFC53" w14:textId="77777777" w:rsidR="00260731" w:rsidRPr="00864963" w:rsidRDefault="00260731"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t>494</w:t>
            </w:r>
          </w:p>
        </w:tc>
        <w:tc>
          <w:tcPr>
            <w:tcW w:w="473" w:type="pct"/>
            <w:tcBorders>
              <w:top w:val="nil"/>
              <w:left w:val="nil"/>
              <w:bottom w:val="nil"/>
              <w:right w:val="nil"/>
            </w:tcBorders>
            <w:shd w:val="clear" w:color="000000" w:fill="FFFFFF"/>
            <w:noWrap/>
            <w:vAlign w:val="center"/>
            <w:hideMark/>
          </w:tcPr>
          <w:p w14:paraId="4E4BCAFA" w14:textId="77777777" w:rsidR="00260731" w:rsidRPr="00864963" w:rsidRDefault="00260731"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t>1,544</w:t>
            </w:r>
          </w:p>
        </w:tc>
        <w:tc>
          <w:tcPr>
            <w:tcW w:w="478" w:type="pct"/>
            <w:tcBorders>
              <w:top w:val="nil"/>
              <w:left w:val="nil"/>
              <w:bottom w:val="nil"/>
              <w:right w:val="nil"/>
            </w:tcBorders>
            <w:shd w:val="clear" w:color="000000" w:fill="FFFFFF"/>
            <w:noWrap/>
            <w:vAlign w:val="center"/>
            <w:hideMark/>
          </w:tcPr>
          <w:p w14:paraId="4CB6B5F5" w14:textId="77777777" w:rsidR="00260731" w:rsidRPr="00864963" w:rsidRDefault="00260731"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t>2,901</w:t>
            </w:r>
          </w:p>
        </w:tc>
        <w:tc>
          <w:tcPr>
            <w:tcW w:w="422" w:type="pct"/>
            <w:tcBorders>
              <w:top w:val="nil"/>
              <w:left w:val="nil"/>
              <w:bottom w:val="nil"/>
              <w:right w:val="nil"/>
            </w:tcBorders>
            <w:shd w:val="clear" w:color="000000" w:fill="FFFFFF"/>
            <w:noWrap/>
            <w:vAlign w:val="center"/>
            <w:hideMark/>
          </w:tcPr>
          <w:p w14:paraId="186F4961" w14:textId="77777777" w:rsidR="00260731" w:rsidRPr="00864963" w:rsidRDefault="00260731"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t>*</w:t>
            </w:r>
          </w:p>
        </w:tc>
        <w:tc>
          <w:tcPr>
            <w:tcW w:w="183" w:type="pct"/>
            <w:tcBorders>
              <w:top w:val="nil"/>
              <w:left w:val="nil"/>
              <w:bottom w:val="nil"/>
              <w:right w:val="nil"/>
            </w:tcBorders>
            <w:shd w:val="clear" w:color="000000" w:fill="FFFFFF"/>
            <w:noWrap/>
            <w:vAlign w:val="center"/>
            <w:hideMark/>
          </w:tcPr>
          <w:p w14:paraId="005ECBC2" w14:textId="77777777" w:rsidR="00260731" w:rsidRPr="00864963" w:rsidRDefault="00260731"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t> </w:t>
            </w:r>
          </w:p>
        </w:tc>
        <w:tc>
          <w:tcPr>
            <w:tcW w:w="480" w:type="pct"/>
            <w:tcBorders>
              <w:top w:val="nil"/>
              <w:left w:val="nil"/>
              <w:bottom w:val="nil"/>
              <w:right w:val="nil"/>
            </w:tcBorders>
            <w:shd w:val="clear" w:color="000000" w:fill="FFFFFF"/>
            <w:noWrap/>
            <w:vAlign w:val="center"/>
            <w:hideMark/>
          </w:tcPr>
          <w:p w14:paraId="4FBB89D2" w14:textId="77777777" w:rsidR="00260731" w:rsidRPr="00864963" w:rsidRDefault="00260731" w:rsidP="00260731">
            <w:pPr>
              <w:spacing w:before="0" w:after="0" w:line="240" w:lineRule="auto"/>
              <w:jc w:val="right"/>
              <w:rPr>
                <w:rFonts w:ascii="Arial" w:hAnsi="Arial" w:cs="Arial"/>
                <w:i/>
                <w:iCs/>
                <w:sz w:val="16"/>
                <w:szCs w:val="16"/>
              </w:rPr>
            </w:pPr>
            <w:r w:rsidRPr="00864963">
              <w:rPr>
                <w:rFonts w:ascii="Arial" w:hAnsi="Arial" w:cs="Arial"/>
                <w:i/>
                <w:iCs/>
                <w:sz w:val="16"/>
                <w:szCs w:val="16"/>
              </w:rPr>
              <w:t>*</w:t>
            </w:r>
          </w:p>
        </w:tc>
      </w:tr>
      <w:tr w:rsidR="00864963" w:rsidRPr="00864963" w14:paraId="26566180" w14:textId="77777777" w:rsidTr="00260731">
        <w:trPr>
          <w:trHeight w:val="225"/>
        </w:trPr>
        <w:tc>
          <w:tcPr>
            <w:tcW w:w="2016" w:type="pct"/>
            <w:tcBorders>
              <w:top w:val="nil"/>
              <w:left w:val="nil"/>
              <w:bottom w:val="nil"/>
              <w:right w:val="nil"/>
            </w:tcBorders>
            <w:shd w:val="clear" w:color="000000" w:fill="FFFFFF"/>
            <w:noWrap/>
            <w:vAlign w:val="center"/>
            <w:hideMark/>
          </w:tcPr>
          <w:p w14:paraId="572505BB" w14:textId="77777777" w:rsidR="00260731" w:rsidRPr="00864963" w:rsidRDefault="00260731" w:rsidP="00260731">
            <w:pPr>
              <w:spacing w:before="0" w:after="0" w:line="240" w:lineRule="auto"/>
              <w:ind w:firstLineChars="200" w:firstLine="320"/>
              <w:rPr>
                <w:rFonts w:ascii="Arial" w:hAnsi="Arial" w:cs="Arial"/>
                <w:i/>
                <w:iCs/>
                <w:sz w:val="16"/>
                <w:szCs w:val="16"/>
                <w:highlight w:val="darkCyan"/>
              </w:rPr>
            </w:pPr>
            <w:r w:rsidRPr="00864963">
              <w:rPr>
                <w:rFonts w:ascii="Arial" w:hAnsi="Arial" w:cs="Arial"/>
                <w:i/>
                <w:iCs/>
                <w:sz w:val="16"/>
                <w:szCs w:val="16"/>
              </w:rPr>
              <w:t>Interest and exchange rates</w:t>
            </w:r>
          </w:p>
        </w:tc>
        <w:tc>
          <w:tcPr>
            <w:tcW w:w="477" w:type="pct"/>
            <w:tcBorders>
              <w:top w:val="nil"/>
              <w:left w:val="nil"/>
              <w:bottom w:val="nil"/>
              <w:right w:val="nil"/>
            </w:tcBorders>
            <w:shd w:val="clear" w:color="000000" w:fill="FFFFFF"/>
            <w:noWrap/>
            <w:vAlign w:val="center"/>
            <w:hideMark/>
          </w:tcPr>
          <w:p w14:paraId="4259B8B7" w14:textId="77777777" w:rsidR="00260731" w:rsidRPr="00864963" w:rsidRDefault="00260731"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t>447</w:t>
            </w:r>
          </w:p>
        </w:tc>
        <w:tc>
          <w:tcPr>
            <w:tcW w:w="471" w:type="pct"/>
            <w:tcBorders>
              <w:top w:val="nil"/>
              <w:left w:val="nil"/>
              <w:bottom w:val="nil"/>
              <w:right w:val="nil"/>
            </w:tcBorders>
            <w:shd w:val="clear" w:color="000000" w:fill="E6F2FF"/>
            <w:noWrap/>
            <w:vAlign w:val="center"/>
            <w:hideMark/>
          </w:tcPr>
          <w:p w14:paraId="07101FE6" w14:textId="77777777" w:rsidR="00260731" w:rsidRPr="00864963" w:rsidRDefault="00260731"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t>1,060</w:t>
            </w:r>
          </w:p>
        </w:tc>
        <w:tc>
          <w:tcPr>
            <w:tcW w:w="473" w:type="pct"/>
            <w:tcBorders>
              <w:top w:val="nil"/>
              <w:left w:val="nil"/>
              <w:bottom w:val="nil"/>
              <w:right w:val="nil"/>
            </w:tcBorders>
            <w:shd w:val="clear" w:color="000000" w:fill="FFFFFF"/>
            <w:noWrap/>
            <w:vAlign w:val="center"/>
            <w:hideMark/>
          </w:tcPr>
          <w:p w14:paraId="10A45EC0" w14:textId="77777777" w:rsidR="00260731" w:rsidRPr="00864963" w:rsidRDefault="00260731"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t>1,016</w:t>
            </w:r>
          </w:p>
        </w:tc>
        <w:tc>
          <w:tcPr>
            <w:tcW w:w="478" w:type="pct"/>
            <w:tcBorders>
              <w:top w:val="nil"/>
              <w:left w:val="nil"/>
              <w:bottom w:val="nil"/>
              <w:right w:val="nil"/>
            </w:tcBorders>
            <w:shd w:val="clear" w:color="000000" w:fill="FFFFFF"/>
            <w:noWrap/>
            <w:vAlign w:val="center"/>
            <w:hideMark/>
          </w:tcPr>
          <w:p w14:paraId="0CD394F7" w14:textId="77777777" w:rsidR="00260731" w:rsidRPr="00864963" w:rsidRDefault="00260731"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t>1,019</w:t>
            </w:r>
          </w:p>
        </w:tc>
        <w:tc>
          <w:tcPr>
            <w:tcW w:w="422" w:type="pct"/>
            <w:tcBorders>
              <w:top w:val="nil"/>
              <w:left w:val="nil"/>
              <w:bottom w:val="nil"/>
              <w:right w:val="nil"/>
            </w:tcBorders>
            <w:shd w:val="clear" w:color="000000" w:fill="FFFFFF"/>
            <w:noWrap/>
            <w:vAlign w:val="center"/>
            <w:hideMark/>
          </w:tcPr>
          <w:p w14:paraId="2C067776" w14:textId="77777777" w:rsidR="00260731" w:rsidRPr="00864963" w:rsidRDefault="00260731"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t>*</w:t>
            </w:r>
          </w:p>
        </w:tc>
        <w:tc>
          <w:tcPr>
            <w:tcW w:w="183" w:type="pct"/>
            <w:tcBorders>
              <w:top w:val="nil"/>
              <w:left w:val="nil"/>
              <w:bottom w:val="nil"/>
              <w:right w:val="nil"/>
            </w:tcBorders>
            <w:shd w:val="clear" w:color="000000" w:fill="FFFFFF"/>
            <w:noWrap/>
            <w:vAlign w:val="center"/>
            <w:hideMark/>
          </w:tcPr>
          <w:p w14:paraId="0F21B865" w14:textId="77777777" w:rsidR="00260731" w:rsidRPr="00864963" w:rsidRDefault="00260731"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t> </w:t>
            </w:r>
          </w:p>
        </w:tc>
        <w:tc>
          <w:tcPr>
            <w:tcW w:w="480" w:type="pct"/>
            <w:tcBorders>
              <w:top w:val="nil"/>
              <w:left w:val="nil"/>
              <w:bottom w:val="nil"/>
              <w:right w:val="nil"/>
            </w:tcBorders>
            <w:shd w:val="clear" w:color="000000" w:fill="FFFFFF"/>
            <w:noWrap/>
            <w:vAlign w:val="center"/>
            <w:hideMark/>
          </w:tcPr>
          <w:p w14:paraId="1BABBBF5" w14:textId="77777777" w:rsidR="00260731" w:rsidRPr="00864963" w:rsidRDefault="00260731" w:rsidP="00260731">
            <w:pPr>
              <w:spacing w:before="0" w:after="0" w:line="240" w:lineRule="auto"/>
              <w:jc w:val="right"/>
              <w:rPr>
                <w:rFonts w:ascii="Arial" w:hAnsi="Arial" w:cs="Arial"/>
                <w:i/>
                <w:iCs/>
                <w:sz w:val="16"/>
                <w:szCs w:val="16"/>
              </w:rPr>
            </w:pPr>
            <w:r w:rsidRPr="00864963">
              <w:rPr>
                <w:rFonts w:ascii="Arial" w:hAnsi="Arial" w:cs="Arial"/>
                <w:i/>
                <w:iCs/>
                <w:sz w:val="16"/>
                <w:szCs w:val="16"/>
              </w:rPr>
              <w:t>*</w:t>
            </w:r>
          </w:p>
        </w:tc>
      </w:tr>
      <w:tr w:rsidR="00864963" w:rsidRPr="00864963" w14:paraId="4EDA7EC0" w14:textId="77777777" w:rsidTr="00260731">
        <w:trPr>
          <w:trHeight w:val="225"/>
        </w:trPr>
        <w:tc>
          <w:tcPr>
            <w:tcW w:w="2016" w:type="pct"/>
            <w:tcBorders>
              <w:top w:val="nil"/>
              <w:left w:val="nil"/>
              <w:bottom w:val="nil"/>
              <w:right w:val="nil"/>
            </w:tcBorders>
            <w:shd w:val="clear" w:color="000000" w:fill="FFFFFF"/>
            <w:noWrap/>
            <w:vAlign w:val="center"/>
            <w:hideMark/>
          </w:tcPr>
          <w:p w14:paraId="5AE72784" w14:textId="77777777" w:rsidR="00260731" w:rsidRPr="00864963" w:rsidRDefault="00260731" w:rsidP="00260731">
            <w:pPr>
              <w:spacing w:before="0" w:after="0" w:line="240" w:lineRule="auto"/>
              <w:ind w:firstLineChars="200" w:firstLine="320"/>
              <w:rPr>
                <w:rFonts w:ascii="Arial" w:hAnsi="Arial" w:cs="Arial"/>
                <w:i/>
                <w:iCs/>
                <w:sz w:val="16"/>
                <w:szCs w:val="16"/>
                <w:highlight w:val="darkCyan"/>
              </w:rPr>
            </w:pPr>
            <w:r w:rsidRPr="00864963">
              <w:rPr>
                <w:rFonts w:ascii="Arial" w:hAnsi="Arial" w:cs="Arial"/>
                <w:i/>
                <w:iCs/>
                <w:sz w:val="16"/>
                <w:szCs w:val="16"/>
              </w:rPr>
              <w:t>GST payments to the States</w:t>
            </w:r>
          </w:p>
        </w:tc>
        <w:tc>
          <w:tcPr>
            <w:tcW w:w="477" w:type="pct"/>
            <w:tcBorders>
              <w:top w:val="nil"/>
              <w:left w:val="nil"/>
              <w:bottom w:val="nil"/>
              <w:right w:val="nil"/>
            </w:tcBorders>
            <w:shd w:val="clear" w:color="000000" w:fill="FFFFFF"/>
            <w:noWrap/>
            <w:vAlign w:val="center"/>
            <w:hideMark/>
          </w:tcPr>
          <w:p w14:paraId="70E3DFBF" w14:textId="74195D74" w:rsidR="00260731" w:rsidRPr="00864963" w:rsidRDefault="00594653"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noBreakHyphen/>
            </w:r>
            <w:r w:rsidR="00260731" w:rsidRPr="00864963">
              <w:rPr>
                <w:rFonts w:ascii="Arial" w:hAnsi="Arial" w:cs="Arial"/>
                <w:i/>
                <w:iCs/>
                <w:sz w:val="16"/>
                <w:szCs w:val="16"/>
              </w:rPr>
              <w:t>776</w:t>
            </w:r>
          </w:p>
        </w:tc>
        <w:tc>
          <w:tcPr>
            <w:tcW w:w="471" w:type="pct"/>
            <w:tcBorders>
              <w:top w:val="nil"/>
              <w:left w:val="nil"/>
              <w:bottom w:val="nil"/>
              <w:right w:val="nil"/>
            </w:tcBorders>
            <w:shd w:val="clear" w:color="000000" w:fill="E6F2FF"/>
            <w:noWrap/>
            <w:vAlign w:val="center"/>
            <w:hideMark/>
          </w:tcPr>
          <w:p w14:paraId="710B98B2" w14:textId="3D36F5A6" w:rsidR="00260731" w:rsidRPr="00864963" w:rsidRDefault="00594653"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noBreakHyphen/>
            </w:r>
            <w:r w:rsidR="00260731" w:rsidRPr="00864963">
              <w:rPr>
                <w:rFonts w:ascii="Arial" w:hAnsi="Arial" w:cs="Arial"/>
                <w:i/>
                <w:iCs/>
                <w:sz w:val="16"/>
                <w:szCs w:val="16"/>
              </w:rPr>
              <w:t>323</w:t>
            </w:r>
          </w:p>
        </w:tc>
        <w:tc>
          <w:tcPr>
            <w:tcW w:w="473" w:type="pct"/>
            <w:tcBorders>
              <w:top w:val="nil"/>
              <w:left w:val="nil"/>
              <w:bottom w:val="nil"/>
              <w:right w:val="nil"/>
            </w:tcBorders>
            <w:shd w:val="clear" w:color="000000" w:fill="FFFFFF"/>
            <w:noWrap/>
            <w:vAlign w:val="center"/>
            <w:hideMark/>
          </w:tcPr>
          <w:p w14:paraId="64EDDDAC" w14:textId="77777777" w:rsidR="00260731" w:rsidRPr="00864963" w:rsidRDefault="00260731"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t>177</w:t>
            </w:r>
          </w:p>
        </w:tc>
        <w:tc>
          <w:tcPr>
            <w:tcW w:w="478" w:type="pct"/>
            <w:tcBorders>
              <w:top w:val="nil"/>
              <w:left w:val="nil"/>
              <w:bottom w:val="nil"/>
              <w:right w:val="nil"/>
            </w:tcBorders>
            <w:shd w:val="clear" w:color="000000" w:fill="FFFFFF"/>
            <w:noWrap/>
            <w:vAlign w:val="center"/>
            <w:hideMark/>
          </w:tcPr>
          <w:p w14:paraId="145DF6D0" w14:textId="77777777" w:rsidR="00260731" w:rsidRPr="00864963" w:rsidRDefault="00260731"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t>1,100</w:t>
            </w:r>
          </w:p>
        </w:tc>
        <w:tc>
          <w:tcPr>
            <w:tcW w:w="422" w:type="pct"/>
            <w:tcBorders>
              <w:top w:val="nil"/>
              <w:left w:val="nil"/>
              <w:bottom w:val="nil"/>
              <w:right w:val="nil"/>
            </w:tcBorders>
            <w:shd w:val="clear" w:color="000000" w:fill="FFFFFF"/>
            <w:noWrap/>
            <w:vAlign w:val="center"/>
            <w:hideMark/>
          </w:tcPr>
          <w:p w14:paraId="73D24F8B" w14:textId="77777777" w:rsidR="00260731" w:rsidRPr="00864963" w:rsidRDefault="00260731"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t>*</w:t>
            </w:r>
          </w:p>
        </w:tc>
        <w:tc>
          <w:tcPr>
            <w:tcW w:w="183" w:type="pct"/>
            <w:tcBorders>
              <w:top w:val="nil"/>
              <w:left w:val="nil"/>
              <w:bottom w:val="nil"/>
              <w:right w:val="nil"/>
            </w:tcBorders>
            <w:shd w:val="clear" w:color="000000" w:fill="FFFFFF"/>
            <w:noWrap/>
            <w:vAlign w:val="center"/>
            <w:hideMark/>
          </w:tcPr>
          <w:p w14:paraId="66427A5C" w14:textId="77777777" w:rsidR="00260731" w:rsidRPr="00864963" w:rsidRDefault="00260731" w:rsidP="00260731">
            <w:pPr>
              <w:spacing w:before="0" w:after="0" w:line="240" w:lineRule="auto"/>
              <w:jc w:val="right"/>
              <w:rPr>
                <w:rFonts w:ascii="Arial" w:hAnsi="Arial" w:cs="Arial"/>
                <w:i/>
                <w:iCs/>
                <w:sz w:val="16"/>
                <w:szCs w:val="16"/>
                <w:highlight w:val="darkCyan"/>
              </w:rPr>
            </w:pPr>
            <w:r w:rsidRPr="00864963">
              <w:rPr>
                <w:rFonts w:ascii="Arial" w:hAnsi="Arial" w:cs="Arial"/>
                <w:i/>
                <w:iCs/>
                <w:sz w:val="16"/>
                <w:szCs w:val="16"/>
              </w:rPr>
              <w:t> </w:t>
            </w:r>
          </w:p>
        </w:tc>
        <w:tc>
          <w:tcPr>
            <w:tcW w:w="480" w:type="pct"/>
            <w:tcBorders>
              <w:top w:val="nil"/>
              <w:left w:val="nil"/>
              <w:bottom w:val="nil"/>
              <w:right w:val="nil"/>
            </w:tcBorders>
            <w:shd w:val="clear" w:color="000000" w:fill="FFFFFF"/>
            <w:noWrap/>
            <w:vAlign w:val="center"/>
            <w:hideMark/>
          </w:tcPr>
          <w:p w14:paraId="1F5D06CC" w14:textId="77777777" w:rsidR="00260731" w:rsidRPr="00864963" w:rsidRDefault="00260731" w:rsidP="00260731">
            <w:pPr>
              <w:spacing w:before="0" w:after="0" w:line="240" w:lineRule="auto"/>
              <w:jc w:val="right"/>
              <w:rPr>
                <w:rFonts w:ascii="Arial" w:hAnsi="Arial" w:cs="Arial"/>
                <w:i/>
                <w:iCs/>
                <w:sz w:val="16"/>
                <w:szCs w:val="16"/>
              </w:rPr>
            </w:pPr>
            <w:r w:rsidRPr="00864963">
              <w:rPr>
                <w:rFonts w:ascii="Arial" w:hAnsi="Arial" w:cs="Arial"/>
                <w:i/>
                <w:iCs/>
                <w:sz w:val="16"/>
                <w:szCs w:val="16"/>
              </w:rPr>
              <w:t>*</w:t>
            </w:r>
          </w:p>
        </w:tc>
      </w:tr>
      <w:tr w:rsidR="00864963" w:rsidRPr="00864963" w14:paraId="5049D7C1" w14:textId="77777777" w:rsidTr="00260731">
        <w:trPr>
          <w:trHeight w:val="225"/>
        </w:trPr>
        <w:tc>
          <w:tcPr>
            <w:tcW w:w="2016" w:type="pct"/>
            <w:tcBorders>
              <w:top w:val="nil"/>
              <w:left w:val="nil"/>
              <w:bottom w:val="nil"/>
              <w:right w:val="nil"/>
            </w:tcBorders>
            <w:shd w:val="clear" w:color="000000" w:fill="FFFFFF"/>
            <w:noWrap/>
            <w:vAlign w:val="center"/>
            <w:hideMark/>
          </w:tcPr>
          <w:p w14:paraId="2F3D5FE5" w14:textId="77777777" w:rsidR="00260731" w:rsidRPr="00864963" w:rsidRDefault="00260731" w:rsidP="00260731">
            <w:pPr>
              <w:spacing w:before="0" w:after="0" w:line="240" w:lineRule="auto"/>
              <w:ind w:firstLineChars="100" w:firstLine="160"/>
              <w:rPr>
                <w:rFonts w:ascii="Arial" w:hAnsi="Arial" w:cs="Arial"/>
                <w:sz w:val="16"/>
                <w:szCs w:val="16"/>
                <w:highlight w:val="darkCyan"/>
              </w:rPr>
            </w:pPr>
            <w:r w:rsidRPr="00864963">
              <w:rPr>
                <w:rFonts w:ascii="Arial" w:hAnsi="Arial" w:cs="Arial"/>
                <w:sz w:val="16"/>
                <w:szCs w:val="16"/>
              </w:rPr>
              <w:t>Interest payments on AGS</w:t>
            </w:r>
          </w:p>
        </w:tc>
        <w:tc>
          <w:tcPr>
            <w:tcW w:w="477" w:type="pct"/>
            <w:tcBorders>
              <w:top w:val="nil"/>
              <w:left w:val="nil"/>
              <w:bottom w:val="nil"/>
              <w:right w:val="nil"/>
            </w:tcBorders>
            <w:shd w:val="clear" w:color="000000" w:fill="FFFFFF"/>
            <w:noWrap/>
            <w:vAlign w:val="center"/>
            <w:hideMark/>
          </w:tcPr>
          <w:p w14:paraId="6094AD5B" w14:textId="7E98758D" w:rsidR="00260731" w:rsidRPr="00864963" w:rsidRDefault="00594653"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260731" w:rsidRPr="00864963">
              <w:rPr>
                <w:rFonts w:ascii="Arial" w:hAnsi="Arial" w:cs="Arial"/>
                <w:sz w:val="16"/>
                <w:szCs w:val="16"/>
              </w:rPr>
              <w:t>340</w:t>
            </w:r>
          </w:p>
        </w:tc>
        <w:tc>
          <w:tcPr>
            <w:tcW w:w="471" w:type="pct"/>
            <w:tcBorders>
              <w:top w:val="nil"/>
              <w:left w:val="nil"/>
              <w:bottom w:val="nil"/>
              <w:right w:val="nil"/>
            </w:tcBorders>
            <w:shd w:val="clear" w:color="000000" w:fill="E6F2FF"/>
            <w:noWrap/>
            <w:vAlign w:val="center"/>
            <w:hideMark/>
          </w:tcPr>
          <w:p w14:paraId="42CB5BBE" w14:textId="4583F80F" w:rsidR="00260731" w:rsidRPr="00864963" w:rsidRDefault="00594653"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260731" w:rsidRPr="00864963">
              <w:rPr>
                <w:rFonts w:ascii="Arial" w:hAnsi="Arial" w:cs="Arial"/>
                <w:sz w:val="16"/>
                <w:szCs w:val="16"/>
              </w:rPr>
              <w:t>1,694</w:t>
            </w:r>
          </w:p>
        </w:tc>
        <w:tc>
          <w:tcPr>
            <w:tcW w:w="473" w:type="pct"/>
            <w:tcBorders>
              <w:top w:val="nil"/>
              <w:left w:val="nil"/>
              <w:bottom w:val="nil"/>
              <w:right w:val="nil"/>
            </w:tcBorders>
            <w:shd w:val="clear" w:color="000000" w:fill="FFFFFF"/>
            <w:noWrap/>
            <w:vAlign w:val="center"/>
            <w:hideMark/>
          </w:tcPr>
          <w:p w14:paraId="0E8B6024" w14:textId="39C30140" w:rsidR="00260731" w:rsidRPr="00864963" w:rsidRDefault="00594653"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260731" w:rsidRPr="00864963">
              <w:rPr>
                <w:rFonts w:ascii="Arial" w:hAnsi="Arial" w:cs="Arial"/>
                <w:sz w:val="16"/>
                <w:szCs w:val="16"/>
              </w:rPr>
              <w:t>3,224</w:t>
            </w:r>
          </w:p>
        </w:tc>
        <w:tc>
          <w:tcPr>
            <w:tcW w:w="478" w:type="pct"/>
            <w:tcBorders>
              <w:top w:val="nil"/>
              <w:left w:val="nil"/>
              <w:bottom w:val="nil"/>
              <w:right w:val="nil"/>
            </w:tcBorders>
            <w:shd w:val="clear" w:color="000000" w:fill="FFFFFF"/>
            <w:noWrap/>
            <w:vAlign w:val="center"/>
            <w:hideMark/>
          </w:tcPr>
          <w:p w14:paraId="13F40FEF" w14:textId="588E11C0" w:rsidR="00260731" w:rsidRPr="00864963" w:rsidRDefault="00594653"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260731" w:rsidRPr="00864963">
              <w:rPr>
                <w:rFonts w:ascii="Arial" w:hAnsi="Arial" w:cs="Arial"/>
                <w:sz w:val="16"/>
                <w:szCs w:val="16"/>
              </w:rPr>
              <w:t>4,661</w:t>
            </w:r>
          </w:p>
        </w:tc>
        <w:tc>
          <w:tcPr>
            <w:tcW w:w="422" w:type="pct"/>
            <w:tcBorders>
              <w:top w:val="nil"/>
              <w:left w:val="nil"/>
              <w:bottom w:val="nil"/>
              <w:right w:val="nil"/>
            </w:tcBorders>
            <w:shd w:val="clear" w:color="000000" w:fill="FFFFFF"/>
            <w:noWrap/>
            <w:vAlign w:val="center"/>
            <w:hideMark/>
          </w:tcPr>
          <w:p w14:paraId="151408E9"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w:t>
            </w:r>
          </w:p>
        </w:tc>
        <w:tc>
          <w:tcPr>
            <w:tcW w:w="183" w:type="pct"/>
            <w:tcBorders>
              <w:top w:val="nil"/>
              <w:left w:val="nil"/>
              <w:bottom w:val="nil"/>
              <w:right w:val="nil"/>
            </w:tcBorders>
            <w:shd w:val="clear" w:color="000000" w:fill="FFFFFF"/>
            <w:noWrap/>
            <w:vAlign w:val="center"/>
            <w:hideMark/>
          </w:tcPr>
          <w:p w14:paraId="3CA69841"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5E2BC5A3" w14:textId="77777777" w:rsidR="00260731" w:rsidRPr="00864963" w:rsidRDefault="00260731" w:rsidP="00260731">
            <w:pPr>
              <w:spacing w:before="0" w:after="0" w:line="240" w:lineRule="auto"/>
              <w:jc w:val="right"/>
              <w:rPr>
                <w:rFonts w:ascii="Arial" w:hAnsi="Arial" w:cs="Arial"/>
                <w:sz w:val="16"/>
                <w:szCs w:val="16"/>
              </w:rPr>
            </w:pPr>
            <w:r w:rsidRPr="00864963">
              <w:rPr>
                <w:rFonts w:ascii="Arial" w:hAnsi="Arial" w:cs="Arial"/>
                <w:sz w:val="16"/>
                <w:szCs w:val="16"/>
              </w:rPr>
              <w:t>*</w:t>
            </w:r>
          </w:p>
        </w:tc>
      </w:tr>
      <w:tr w:rsidR="00864963" w:rsidRPr="00864963" w14:paraId="1C1FF19D" w14:textId="77777777" w:rsidTr="00260731">
        <w:trPr>
          <w:trHeight w:val="225"/>
        </w:trPr>
        <w:tc>
          <w:tcPr>
            <w:tcW w:w="2016" w:type="pct"/>
            <w:tcBorders>
              <w:top w:val="nil"/>
              <w:left w:val="nil"/>
              <w:bottom w:val="nil"/>
              <w:right w:val="nil"/>
            </w:tcBorders>
            <w:shd w:val="clear" w:color="000000" w:fill="FFFFFF"/>
            <w:noWrap/>
            <w:vAlign w:val="center"/>
            <w:hideMark/>
          </w:tcPr>
          <w:p w14:paraId="3BE6E347" w14:textId="77777777" w:rsidR="00260731" w:rsidRPr="00864963" w:rsidRDefault="00260731" w:rsidP="00260731">
            <w:pPr>
              <w:spacing w:before="0" w:after="0" w:line="240" w:lineRule="auto"/>
              <w:ind w:firstLineChars="100" w:firstLine="160"/>
              <w:rPr>
                <w:rFonts w:ascii="Arial" w:hAnsi="Arial" w:cs="Arial"/>
                <w:sz w:val="16"/>
                <w:szCs w:val="16"/>
                <w:highlight w:val="darkCyan"/>
              </w:rPr>
            </w:pPr>
            <w:r w:rsidRPr="00864963">
              <w:rPr>
                <w:rFonts w:ascii="Arial" w:hAnsi="Arial" w:cs="Arial"/>
                <w:sz w:val="16"/>
                <w:szCs w:val="16"/>
              </w:rPr>
              <w:t>Program specific parameter variations</w:t>
            </w:r>
          </w:p>
        </w:tc>
        <w:tc>
          <w:tcPr>
            <w:tcW w:w="477" w:type="pct"/>
            <w:tcBorders>
              <w:top w:val="nil"/>
              <w:left w:val="nil"/>
              <w:bottom w:val="nil"/>
              <w:right w:val="nil"/>
            </w:tcBorders>
            <w:shd w:val="clear" w:color="000000" w:fill="FFFFFF"/>
            <w:noWrap/>
            <w:vAlign w:val="center"/>
            <w:hideMark/>
          </w:tcPr>
          <w:p w14:paraId="23A9DE4E" w14:textId="409B4707" w:rsidR="00260731" w:rsidRPr="00864963" w:rsidRDefault="00594653"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260731" w:rsidRPr="00864963">
              <w:rPr>
                <w:rFonts w:ascii="Arial" w:hAnsi="Arial" w:cs="Arial"/>
                <w:sz w:val="16"/>
                <w:szCs w:val="16"/>
              </w:rPr>
              <w:t>5,196</w:t>
            </w:r>
          </w:p>
        </w:tc>
        <w:tc>
          <w:tcPr>
            <w:tcW w:w="471" w:type="pct"/>
            <w:tcBorders>
              <w:top w:val="nil"/>
              <w:left w:val="nil"/>
              <w:bottom w:val="nil"/>
              <w:right w:val="nil"/>
            </w:tcBorders>
            <w:shd w:val="clear" w:color="000000" w:fill="E6F2FF"/>
            <w:noWrap/>
            <w:vAlign w:val="center"/>
            <w:hideMark/>
          </w:tcPr>
          <w:p w14:paraId="46C22310"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401</w:t>
            </w:r>
          </w:p>
        </w:tc>
        <w:tc>
          <w:tcPr>
            <w:tcW w:w="473" w:type="pct"/>
            <w:tcBorders>
              <w:top w:val="nil"/>
              <w:left w:val="nil"/>
              <w:bottom w:val="nil"/>
              <w:right w:val="nil"/>
            </w:tcBorders>
            <w:shd w:val="clear" w:color="000000" w:fill="FFFFFF"/>
            <w:noWrap/>
            <w:vAlign w:val="center"/>
            <w:hideMark/>
          </w:tcPr>
          <w:p w14:paraId="20C7F6A7" w14:textId="543D5E4F" w:rsidR="00260731" w:rsidRPr="00864963" w:rsidRDefault="00594653"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260731" w:rsidRPr="00864963">
              <w:rPr>
                <w:rFonts w:ascii="Arial" w:hAnsi="Arial" w:cs="Arial"/>
                <w:sz w:val="16"/>
                <w:szCs w:val="16"/>
              </w:rPr>
              <w:t>778</w:t>
            </w:r>
          </w:p>
        </w:tc>
        <w:tc>
          <w:tcPr>
            <w:tcW w:w="478" w:type="pct"/>
            <w:tcBorders>
              <w:top w:val="nil"/>
              <w:left w:val="nil"/>
              <w:bottom w:val="nil"/>
              <w:right w:val="nil"/>
            </w:tcBorders>
            <w:shd w:val="clear" w:color="000000" w:fill="FFFFFF"/>
            <w:noWrap/>
            <w:vAlign w:val="center"/>
            <w:hideMark/>
          </w:tcPr>
          <w:p w14:paraId="324E3657" w14:textId="3394695F" w:rsidR="00260731" w:rsidRPr="00864963" w:rsidRDefault="00594653"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260731" w:rsidRPr="00864963">
              <w:rPr>
                <w:rFonts w:ascii="Arial" w:hAnsi="Arial" w:cs="Arial"/>
                <w:sz w:val="16"/>
                <w:szCs w:val="16"/>
              </w:rPr>
              <w:t>1,099</w:t>
            </w:r>
          </w:p>
        </w:tc>
        <w:tc>
          <w:tcPr>
            <w:tcW w:w="422" w:type="pct"/>
            <w:tcBorders>
              <w:top w:val="nil"/>
              <w:left w:val="nil"/>
              <w:bottom w:val="nil"/>
              <w:right w:val="nil"/>
            </w:tcBorders>
            <w:shd w:val="clear" w:color="000000" w:fill="FFFFFF"/>
            <w:noWrap/>
            <w:vAlign w:val="center"/>
            <w:hideMark/>
          </w:tcPr>
          <w:p w14:paraId="7D8780FE"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w:t>
            </w:r>
          </w:p>
        </w:tc>
        <w:tc>
          <w:tcPr>
            <w:tcW w:w="183" w:type="pct"/>
            <w:tcBorders>
              <w:top w:val="nil"/>
              <w:left w:val="nil"/>
              <w:bottom w:val="nil"/>
              <w:right w:val="nil"/>
            </w:tcBorders>
            <w:shd w:val="clear" w:color="000000" w:fill="FFFFFF"/>
            <w:noWrap/>
            <w:vAlign w:val="center"/>
            <w:hideMark/>
          </w:tcPr>
          <w:p w14:paraId="526C84DC"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2831DE0A" w14:textId="77777777" w:rsidR="00260731" w:rsidRPr="00864963" w:rsidRDefault="00260731" w:rsidP="00260731">
            <w:pPr>
              <w:spacing w:before="0" w:after="0" w:line="240" w:lineRule="auto"/>
              <w:jc w:val="right"/>
              <w:rPr>
                <w:rFonts w:ascii="Arial" w:hAnsi="Arial" w:cs="Arial"/>
                <w:sz w:val="16"/>
                <w:szCs w:val="16"/>
              </w:rPr>
            </w:pPr>
            <w:r w:rsidRPr="00864963">
              <w:rPr>
                <w:rFonts w:ascii="Arial" w:hAnsi="Arial" w:cs="Arial"/>
                <w:sz w:val="16"/>
                <w:szCs w:val="16"/>
              </w:rPr>
              <w:t>*</w:t>
            </w:r>
          </w:p>
        </w:tc>
      </w:tr>
      <w:tr w:rsidR="00864963" w:rsidRPr="00864963" w14:paraId="058A26D0" w14:textId="77777777" w:rsidTr="00260731">
        <w:trPr>
          <w:trHeight w:val="225"/>
        </w:trPr>
        <w:tc>
          <w:tcPr>
            <w:tcW w:w="2016" w:type="pct"/>
            <w:tcBorders>
              <w:top w:val="nil"/>
              <w:left w:val="nil"/>
              <w:bottom w:val="nil"/>
              <w:right w:val="nil"/>
            </w:tcBorders>
            <w:shd w:val="clear" w:color="000000" w:fill="FFFFFF"/>
            <w:noWrap/>
            <w:vAlign w:val="center"/>
            <w:hideMark/>
          </w:tcPr>
          <w:p w14:paraId="1084CE8F" w14:textId="77777777" w:rsidR="00260731" w:rsidRPr="00864963" w:rsidRDefault="00260731" w:rsidP="00260731">
            <w:pPr>
              <w:spacing w:before="0" w:after="0" w:line="240" w:lineRule="auto"/>
              <w:ind w:firstLineChars="100" w:firstLine="160"/>
              <w:rPr>
                <w:rFonts w:ascii="Arial" w:hAnsi="Arial" w:cs="Arial"/>
                <w:sz w:val="16"/>
                <w:szCs w:val="16"/>
                <w:highlight w:val="darkCyan"/>
              </w:rPr>
            </w:pPr>
            <w:r w:rsidRPr="00864963">
              <w:rPr>
                <w:rFonts w:ascii="Arial" w:hAnsi="Arial" w:cs="Arial"/>
                <w:sz w:val="16"/>
                <w:szCs w:val="16"/>
              </w:rPr>
              <w:t>Other variations(e)</w:t>
            </w:r>
          </w:p>
        </w:tc>
        <w:tc>
          <w:tcPr>
            <w:tcW w:w="477" w:type="pct"/>
            <w:tcBorders>
              <w:top w:val="nil"/>
              <w:left w:val="nil"/>
              <w:bottom w:val="single" w:sz="4" w:space="0" w:color="293F5B"/>
              <w:right w:val="nil"/>
            </w:tcBorders>
            <w:shd w:val="clear" w:color="000000" w:fill="FFFFFF"/>
            <w:noWrap/>
            <w:vAlign w:val="center"/>
            <w:hideMark/>
          </w:tcPr>
          <w:p w14:paraId="51F4F21B" w14:textId="6157BC55" w:rsidR="00260731" w:rsidRPr="00864963" w:rsidRDefault="00594653"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260731" w:rsidRPr="00864963">
              <w:rPr>
                <w:rFonts w:ascii="Arial" w:hAnsi="Arial" w:cs="Arial"/>
                <w:sz w:val="16"/>
                <w:szCs w:val="16"/>
              </w:rPr>
              <w:t>7,977</w:t>
            </w:r>
          </w:p>
        </w:tc>
        <w:tc>
          <w:tcPr>
            <w:tcW w:w="471" w:type="pct"/>
            <w:tcBorders>
              <w:top w:val="nil"/>
              <w:left w:val="nil"/>
              <w:bottom w:val="single" w:sz="4" w:space="0" w:color="293F5B"/>
              <w:right w:val="nil"/>
            </w:tcBorders>
            <w:shd w:val="clear" w:color="000000" w:fill="E6F2FF"/>
            <w:noWrap/>
            <w:vAlign w:val="center"/>
            <w:hideMark/>
          </w:tcPr>
          <w:p w14:paraId="3CF8CB74"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3,444</w:t>
            </w:r>
          </w:p>
        </w:tc>
        <w:tc>
          <w:tcPr>
            <w:tcW w:w="473" w:type="pct"/>
            <w:tcBorders>
              <w:top w:val="nil"/>
              <w:left w:val="nil"/>
              <w:bottom w:val="single" w:sz="4" w:space="0" w:color="293F5B"/>
              <w:right w:val="nil"/>
            </w:tcBorders>
            <w:shd w:val="clear" w:color="000000" w:fill="FFFFFF"/>
            <w:noWrap/>
            <w:vAlign w:val="center"/>
            <w:hideMark/>
          </w:tcPr>
          <w:p w14:paraId="2FA1EC38"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2,226</w:t>
            </w:r>
          </w:p>
        </w:tc>
        <w:tc>
          <w:tcPr>
            <w:tcW w:w="478" w:type="pct"/>
            <w:tcBorders>
              <w:top w:val="nil"/>
              <w:left w:val="nil"/>
              <w:bottom w:val="single" w:sz="4" w:space="0" w:color="293F5B"/>
              <w:right w:val="nil"/>
            </w:tcBorders>
            <w:shd w:val="clear" w:color="000000" w:fill="FFFFFF"/>
            <w:noWrap/>
            <w:vAlign w:val="center"/>
            <w:hideMark/>
          </w:tcPr>
          <w:p w14:paraId="71EFFA54" w14:textId="382435FB" w:rsidR="00260731" w:rsidRPr="00864963" w:rsidRDefault="00594653"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260731" w:rsidRPr="00864963">
              <w:rPr>
                <w:rFonts w:ascii="Arial" w:hAnsi="Arial" w:cs="Arial"/>
                <w:sz w:val="16"/>
                <w:szCs w:val="16"/>
              </w:rPr>
              <w:t>116</w:t>
            </w:r>
          </w:p>
        </w:tc>
        <w:tc>
          <w:tcPr>
            <w:tcW w:w="422" w:type="pct"/>
            <w:tcBorders>
              <w:top w:val="nil"/>
              <w:left w:val="nil"/>
              <w:bottom w:val="single" w:sz="4" w:space="0" w:color="293F5B"/>
              <w:right w:val="nil"/>
            </w:tcBorders>
            <w:shd w:val="clear" w:color="000000" w:fill="FFFFFF"/>
            <w:noWrap/>
            <w:vAlign w:val="center"/>
            <w:hideMark/>
          </w:tcPr>
          <w:p w14:paraId="1E636E7D"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w:t>
            </w:r>
          </w:p>
        </w:tc>
        <w:tc>
          <w:tcPr>
            <w:tcW w:w="183" w:type="pct"/>
            <w:tcBorders>
              <w:top w:val="nil"/>
              <w:left w:val="nil"/>
              <w:bottom w:val="nil"/>
              <w:right w:val="nil"/>
            </w:tcBorders>
            <w:shd w:val="clear" w:color="000000" w:fill="FFFFFF"/>
            <w:noWrap/>
            <w:vAlign w:val="center"/>
            <w:hideMark/>
          </w:tcPr>
          <w:p w14:paraId="6792828E" w14:textId="77777777" w:rsidR="00260731" w:rsidRPr="00864963" w:rsidRDefault="00260731" w:rsidP="00260731">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480" w:type="pct"/>
            <w:tcBorders>
              <w:top w:val="nil"/>
              <w:left w:val="nil"/>
              <w:bottom w:val="single" w:sz="4" w:space="0" w:color="293F5B"/>
              <w:right w:val="nil"/>
            </w:tcBorders>
            <w:shd w:val="clear" w:color="000000" w:fill="FFFFFF"/>
            <w:noWrap/>
            <w:vAlign w:val="center"/>
            <w:hideMark/>
          </w:tcPr>
          <w:p w14:paraId="7AA776EC" w14:textId="77777777" w:rsidR="00260731" w:rsidRPr="00864963" w:rsidRDefault="00260731" w:rsidP="00260731">
            <w:pPr>
              <w:spacing w:before="0" w:after="0" w:line="240" w:lineRule="auto"/>
              <w:jc w:val="right"/>
              <w:rPr>
                <w:rFonts w:ascii="Arial" w:hAnsi="Arial" w:cs="Arial"/>
                <w:sz w:val="16"/>
                <w:szCs w:val="16"/>
              </w:rPr>
            </w:pPr>
            <w:r w:rsidRPr="00864963">
              <w:rPr>
                <w:rFonts w:ascii="Arial" w:hAnsi="Arial" w:cs="Arial"/>
                <w:sz w:val="16"/>
                <w:szCs w:val="16"/>
              </w:rPr>
              <w:t>*</w:t>
            </w:r>
          </w:p>
        </w:tc>
      </w:tr>
      <w:tr w:rsidR="00864963" w:rsidRPr="00864963" w14:paraId="77547AB0" w14:textId="77777777" w:rsidTr="00260731">
        <w:trPr>
          <w:trHeight w:val="225"/>
        </w:trPr>
        <w:tc>
          <w:tcPr>
            <w:tcW w:w="2016" w:type="pct"/>
            <w:tcBorders>
              <w:top w:val="nil"/>
              <w:left w:val="nil"/>
              <w:bottom w:val="nil"/>
              <w:right w:val="nil"/>
            </w:tcBorders>
            <w:shd w:val="clear" w:color="000000" w:fill="FFFFFF"/>
            <w:noWrap/>
            <w:vAlign w:val="center"/>
            <w:hideMark/>
          </w:tcPr>
          <w:p w14:paraId="1FFF9C68" w14:textId="77777777" w:rsidR="00260731" w:rsidRPr="00864963" w:rsidRDefault="00260731" w:rsidP="00260731">
            <w:pPr>
              <w:spacing w:before="0" w:after="0" w:line="240" w:lineRule="auto"/>
              <w:rPr>
                <w:rFonts w:ascii="Arial" w:hAnsi="Arial" w:cs="Arial"/>
                <w:b/>
                <w:bCs/>
                <w:sz w:val="16"/>
                <w:szCs w:val="16"/>
                <w:highlight w:val="darkCyan"/>
              </w:rPr>
            </w:pPr>
            <w:r w:rsidRPr="00864963">
              <w:rPr>
                <w:rFonts w:ascii="Arial" w:hAnsi="Arial" w:cs="Arial"/>
                <w:b/>
                <w:bCs/>
                <w:sz w:val="16"/>
                <w:szCs w:val="16"/>
              </w:rPr>
              <w:t>Total variations</w:t>
            </w:r>
          </w:p>
        </w:tc>
        <w:tc>
          <w:tcPr>
            <w:tcW w:w="477" w:type="pct"/>
            <w:tcBorders>
              <w:top w:val="single" w:sz="4" w:space="0" w:color="293F5B"/>
              <w:left w:val="nil"/>
              <w:bottom w:val="single" w:sz="4" w:space="0" w:color="293F5B"/>
              <w:right w:val="nil"/>
            </w:tcBorders>
            <w:shd w:val="clear" w:color="000000" w:fill="FFFFFF"/>
            <w:noWrap/>
            <w:vAlign w:val="center"/>
            <w:hideMark/>
          </w:tcPr>
          <w:p w14:paraId="2C200704" w14:textId="54061693" w:rsidR="00260731" w:rsidRPr="00864963" w:rsidRDefault="00594653"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noBreakHyphen/>
            </w:r>
            <w:r w:rsidR="00260731" w:rsidRPr="00864963">
              <w:rPr>
                <w:rFonts w:ascii="Arial" w:hAnsi="Arial" w:cs="Arial"/>
                <w:b/>
                <w:bCs/>
                <w:sz w:val="16"/>
                <w:szCs w:val="16"/>
              </w:rPr>
              <w:t>12,689</w:t>
            </w:r>
          </w:p>
        </w:tc>
        <w:tc>
          <w:tcPr>
            <w:tcW w:w="471" w:type="pct"/>
            <w:tcBorders>
              <w:top w:val="single" w:sz="4" w:space="0" w:color="293F5B"/>
              <w:left w:val="nil"/>
              <w:bottom w:val="single" w:sz="4" w:space="0" w:color="293F5B"/>
              <w:right w:val="nil"/>
            </w:tcBorders>
            <w:shd w:val="clear" w:color="000000" w:fill="E6F2FF"/>
            <w:noWrap/>
            <w:vAlign w:val="center"/>
            <w:hideMark/>
          </w:tcPr>
          <w:p w14:paraId="63B9F7FF"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16,571</w:t>
            </w:r>
          </w:p>
        </w:tc>
        <w:tc>
          <w:tcPr>
            <w:tcW w:w="473" w:type="pct"/>
            <w:tcBorders>
              <w:top w:val="single" w:sz="4" w:space="0" w:color="293F5B"/>
              <w:left w:val="nil"/>
              <w:bottom w:val="single" w:sz="4" w:space="0" w:color="293F5B"/>
              <w:right w:val="nil"/>
            </w:tcBorders>
            <w:shd w:val="clear" w:color="000000" w:fill="FFFFFF"/>
            <w:noWrap/>
            <w:vAlign w:val="center"/>
            <w:hideMark/>
          </w:tcPr>
          <w:p w14:paraId="706BDFC7"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12,109</w:t>
            </w:r>
          </w:p>
        </w:tc>
        <w:tc>
          <w:tcPr>
            <w:tcW w:w="478" w:type="pct"/>
            <w:tcBorders>
              <w:top w:val="single" w:sz="4" w:space="0" w:color="293F5B"/>
              <w:left w:val="nil"/>
              <w:bottom w:val="single" w:sz="4" w:space="0" w:color="293F5B"/>
              <w:right w:val="nil"/>
            </w:tcBorders>
            <w:shd w:val="clear" w:color="000000" w:fill="FFFFFF"/>
            <w:noWrap/>
            <w:vAlign w:val="center"/>
            <w:hideMark/>
          </w:tcPr>
          <w:p w14:paraId="7574D5F1"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8,965</w:t>
            </w:r>
          </w:p>
        </w:tc>
        <w:tc>
          <w:tcPr>
            <w:tcW w:w="422" w:type="pct"/>
            <w:tcBorders>
              <w:top w:val="single" w:sz="4" w:space="0" w:color="293F5B"/>
              <w:left w:val="nil"/>
              <w:bottom w:val="single" w:sz="4" w:space="0" w:color="293F5B"/>
              <w:right w:val="nil"/>
            </w:tcBorders>
            <w:shd w:val="clear" w:color="000000" w:fill="FFFFFF"/>
            <w:noWrap/>
            <w:vAlign w:val="center"/>
            <w:hideMark/>
          </w:tcPr>
          <w:p w14:paraId="1E407A1C"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1,745</w:t>
            </w:r>
          </w:p>
        </w:tc>
        <w:tc>
          <w:tcPr>
            <w:tcW w:w="183" w:type="pct"/>
            <w:tcBorders>
              <w:top w:val="nil"/>
              <w:left w:val="nil"/>
              <w:bottom w:val="nil"/>
              <w:right w:val="nil"/>
            </w:tcBorders>
            <w:shd w:val="clear" w:color="000000" w:fill="FFFFFF"/>
            <w:noWrap/>
            <w:vAlign w:val="center"/>
            <w:hideMark/>
          </w:tcPr>
          <w:p w14:paraId="2A994BE1"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480" w:type="pct"/>
            <w:tcBorders>
              <w:top w:val="single" w:sz="4" w:space="0" w:color="293F5B"/>
              <w:left w:val="nil"/>
              <w:bottom w:val="single" w:sz="4" w:space="0" w:color="293F5B"/>
              <w:right w:val="nil"/>
            </w:tcBorders>
            <w:shd w:val="clear" w:color="000000" w:fill="FFFFFF"/>
            <w:noWrap/>
            <w:vAlign w:val="center"/>
            <w:hideMark/>
          </w:tcPr>
          <w:p w14:paraId="5600CA0F" w14:textId="77777777" w:rsidR="00260731" w:rsidRPr="00864963" w:rsidRDefault="00260731" w:rsidP="00260731">
            <w:pPr>
              <w:spacing w:before="0" w:after="0" w:line="240" w:lineRule="auto"/>
              <w:jc w:val="right"/>
              <w:rPr>
                <w:rFonts w:ascii="Arial" w:hAnsi="Arial" w:cs="Arial"/>
                <w:b/>
                <w:bCs/>
                <w:sz w:val="16"/>
                <w:szCs w:val="16"/>
              </w:rPr>
            </w:pPr>
            <w:r w:rsidRPr="00864963">
              <w:rPr>
                <w:rFonts w:ascii="Arial" w:hAnsi="Arial" w:cs="Arial"/>
                <w:b/>
                <w:bCs/>
                <w:sz w:val="16"/>
                <w:szCs w:val="16"/>
              </w:rPr>
              <w:t>26,702</w:t>
            </w:r>
          </w:p>
        </w:tc>
      </w:tr>
      <w:tr w:rsidR="00864963" w:rsidRPr="00864963" w14:paraId="4B962E28" w14:textId="77777777" w:rsidTr="00260731">
        <w:trPr>
          <w:trHeight w:val="60"/>
        </w:trPr>
        <w:tc>
          <w:tcPr>
            <w:tcW w:w="2016" w:type="pct"/>
            <w:tcBorders>
              <w:top w:val="nil"/>
              <w:left w:val="nil"/>
              <w:bottom w:val="nil"/>
              <w:right w:val="nil"/>
            </w:tcBorders>
            <w:shd w:val="clear" w:color="000000" w:fill="FFFFFF"/>
            <w:noWrap/>
            <w:vAlign w:val="center"/>
            <w:hideMark/>
          </w:tcPr>
          <w:p w14:paraId="7EF39896" w14:textId="77777777" w:rsidR="00260731" w:rsidRPr="00864963" w:rsidRDefault="00260731" w:rsidP="00260731">
            <w:pPr>
              <w:spacing w:before="0" w:after="0" w:line="240" w:lineRule="auto"/>
              <w:rPr>
                <w:rFonts w:ascii="Arial" w:hAnsi="Arial" w:cs="Arial"/>
                <w:b/>
                <w:bCs/>
                <w:sz w:val="16"/>
                <w:szCs w:val="16"/>
                <w:highlight w:val="darkCyan"/>
              </w:rPr>
            </w:pPr>
            <w:r w:rsidRPr="00864963">
              <w:rPr>
                <w:rFonts w:ascii="Arial" w:hAnsi="Arial" w:cs="Arial"/>
                <w:b/>
                <w:bCs/>
                <w:sz w:val="16"/>
                <w:szCs w:val="16"/>
              </w:rPr>
              <w:t> </w:t>
            </w:r>
          </w:p>
        </w:tc>
        <w:tc>
          <w:tcPr>
            <w:tcW w:w="477" w:type="pct"/>
            <w:tcBorders>
              <w:top w:val="nil"/>
              <w:left w:val="nil"/>
              <w:bottom w:val="nil"/>
              <w:right w:val="nil"/>
            </w:tcBorders>
            <w:shd w:val="clear" w:color="000000" w:fill="FFFFFF"/>
            <w:noWrap/>
            <w:vAlign w:val="center"/>
            <w:hideMark/>
          </w:tcPr>
          <w:p w14:paraId="6231AD00"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71" w:type="pct"/>
            <w:tcBorders>
              <w:top w:val="nil"/>
              <w:left w:val="nil"/>
              <w:bottom w:val="nil"/>
              <w:right w:val="nil"/>
            </w:tcBorders>
            <w:shd w:val="clear" w:color="000000" w:fill="E6F2FF"/>
            <w:noWrap/>
            <w:vAlign w:val="center"/>
            <w:hideMark/>
          </w:tcPr>
          <w:p w14:paraId="26C6B23E"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73" w:type="pct"/>
            <w:tcBorders>
              <w:top w:val="nil"/>
              <w:left w:val="nil"/>
              <w:bottom w:val="nil"/>
              <w:right w:val="nil"/>
            </w:tcBorders>
            <w:shd w:val="clear" w:color="000000" w:fill="FFFFFF"/>
            <w:noWrap/>
            <w:vAlign w:val="center"/>
            <w:hideMark/>
          </w:tcPr>
          <w:p w14:paraId="2FB0B4D0"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78" w:type="pct"/>
            <w:tcBorders>
              <w:top w:val="nil"/>
              <w:left w:val="nil"/>
              <w:bottom w:val="nil"/>
              <w:right w:val="nil"/>
            </w:tcBorders>
            <w:shd w:val="clear" w:color="000000" w:fill="FFFFFF"/>
            <w:noWrap/>
            <w:vAlign w:val="center"/>
            <w:hideMark/>
          </w:tcPr>
          <w:p w14:paraId="2915638F"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499302E"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183" w:type="pct"/>
            <w:tcBorders>
              <w:top w:val="nil"/>
              <w:left w:val="nil"/>
              <w:bottom w:val="nil"/>
              <w:right w:val="nil"/>
            </w:tcBorders>
            <w:shd w:val="clear" w:color="000000" w:fill="FFFFFF"/>
            <w:noWrap/>
            <w:vAlign w:val="center"/>
            <w:hideMark/>
          </w:tcPr>
          <w:p w14:paraId="73DA1645" w14:textId="77777777" w:rsidR="00260731" w:rsidRPr="00864963" w:rsidRDefault="00260731" w:rsidP="00260731">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109552CD" w14:textId="77777777" w:rsidR="00260731" w:rsidRPr="00864963" w:rsidRDefault="00260731" w:rsidP="00260731">
            <w:pPr>
              <w:spacing w:before="0" w:after="0" w:line="240" w:lineRule="auto"/>
              <w:rPr>
                <w:rFonts w:ascii="Arial" w:hAnsi="Arial" w:cs="Arial"/>
                <w:sz w:val="16"/>
                <w:szCs w:val="16"/>
              </w:rPr>
            </w:pPr>
            <w:r w:rsidRPr="00864963">
              <w:rPr>
                <w:rFonts w:ascii="Arial" w:hAnsi="Arial" w:cs="Arial"/>
                <w:sz w:val="16"/>
                <w:szCs w:val="16"/>
              </w:rPr>
              <w:t> </w:t>
            </w:r>
          </w:p>
        </w:tc>
      </w:tr>
      <w:tr w:rsidR="00864963" w:rsidRPr="00864963" w14:paraId="17E4E2E3" w14:textId="77777777" w:rsidTr="00260731">
        <w:trPr>
          <w:trHeight w:val="225"/>
        </w:trPr>
        <w:tc>
          <w:tcPr>
            <w:tcW w:w="2016" w:type="pct"/>
            <w:tcBorders>
              <w:top w:val="nil"/>
              <w:left w:val="nil"/>
              <w:bottom w:val="single" w:sz="4" w:space="0" w:color="293F5B"/>
              <w:right w:val="nil"/>
            </w:tcBorders>
            <w:shd w:val="clear" w:color="000000" w:fill="FFFFFF"/>
            <w:noWrap/>
            <w:vAlign w:val="center"/>
            <w:hideMark/>
          </w:tcPr>
          <w:p w14:paraId="5B758A66" w14:textId="77777777" w:rsidR="00260731" w:rsidRPr="00864963" w:rsidRDefault="00260731" w:rsidP="00260731">
            <w:pPr>
              <w:spacing w:before="0" w:after="0" w:line="240" w:lineRule="auto"/>
              <w:rPr>
                <w:rFonts w:ascii="Arial" w:hAnsi="Arial" w:cs="Arial"/>
                <w:b/>
                <w:bCs/>
                <w:sz w:val="16"/>
                <w:szCs w:val="16"/>
                <w:highlight w:val="darkCyan"/>
              </w:rPr>
            </w:pPr>
            <w:r w:rsidRPr="00864963">
              <w:rPr>
                <w:rFonts w:ascii="Arial" w:hAnsi="Arial" w:cs="Arial"/>
                <w:b/>
                <w:bCs/>
                <w:sz w:val="16"/>
                <w:szCs w:val="16"/>
              </w:rPr>
              <w:t>2023–24 Budget payments</w:t>
            </w:r>
          </w:p>
        </w:tc>
        <w:tc>
          <w:tcPr>
            <w:tcW w:w="477" w:type="pct"/>
            <w:tcBorders>
              <w:top w:val="nil"/>
              <w:left w:val="nil"/>
              <w:bottom w:val="single" w:sz="4" w:space="0" w:color="293F5B"/>
              <w:right w:val="nil"/>
            </w:tcBorders>
            <w:shd w:val="clear" w:color="000000" w:fill="FFFFFF"/>
            <w:noWrap/>
            <w:vAlign w:val="center"/>
            <w:hideMark/>
          </w:tcPr>
          <w:p w14:paraId="474B4B0A"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631,392</w:t>
            </w:r>
          </w:p>
        </w:tc>
        <w:tc>
          <w:tcPr>
            <w:tcW w:w="471" w:type="pct"/>
            <w:tcBorders>
              <w:top w:val="nil"/>
              <w:left w:val="nil"/>
              <w:bottom w:val="single" w:sz="4" w:space="0" w:color="293F5B"/>
              <w:right w:val="nil"/>
            </w:tcBorders>
            <w:shd w:val="clear" w:color="000000" w:fill="E6F2FF"/>
            <w:noWrap/>
            <w:vAlign w:val="center"/>
            <w:hideMark/>
          </w:tcPr>
          <w:p w14:paraId="2E8A8C43"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682,060</w:t>
            </w:r>
          </w:p>
        </w:tc>
        <w:tc>
          <w:tcPr>
            <w:tcW w:w="473" w:type="pct"/>
            <w:tcBorders>
              <w:top w:val="nil"/>
              <w:left w:val="nil"/>
              <w:bottom w:val="single" w:sz="4" w:space="0" w:color="293F5B"/>
              <w:right w:val="nil"/>
            </w:tcBorders>
            <w:shd w:val="clear" w:color="000000" w:fill="FFFFFF"/>
            <w:noWrap/>
            <w:vAlign w:val="center"/>
            <w:hideMark/>
          </w:tcPr>
          <w:p w14:paraId="1433A0B6"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706,296</w:t>
            </w:r>
          </w:p>
        </w:tc>
        <w:tc>
          <w:tcPr>
            <w:tcW w:w="478" w:type="pct"/>
            <w:tcBorders>
              <w:top w:val="nil"/>
              <w:left w:val="nil"/>
              <w:bottom w:val="single" w:sz="4" w:space="0" w:color="293F5B"/>
              <w:right w:val="nil"/>
            </w:tcBorders>
            <w:shd w:val="clear" w:color="000000" w:fill="FFFFFF"/>
            <w:noWrap/>
            <w:vAlign w:val="center"/>
            <w:hideMark/>
          </w:tcPr>
          <w:p w14:paraId="1BA92CB4"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737,549</w:t>
            </w:r>
          </w:p>
        </w:tc>
        <w:tc>
          <w:tcPr>
            <w:tcW w:w="422" w:type="pct"/>
            <w:tcBorders>
              <w:top w:val="nil"/>
              <w:left w:val="nil"/>
              <w:bottom w:val="single" w:sz="4" w:space="0" w:color="293F5B"/>
              <w:right w:val="nil"/>
            </w:tcBorders>
            <w:shd w:val="clear" w:color="000000" w:fill="FFFFFF"/>
            <w:noWrap/>
            <w:vAlign w:val="center"/>
            <w:hideMark/>
          </w:tcPr>
          <w:p w14:paraId="4424ACEA"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763,569</w:t>
            </w:r>
          </w:p>
        </w:tc>
        <w:tc>
          <w:tcPr>
            <w:tcW w:w="183" w:type="pct"/>
            <w:tcBorders>
              <w:top w:val="nil"/>
              <w:left w:val="nil"/>
              <w:bottom w:val="single" w:sz="4" w:space="0" w:color="293F5B"/>
              <w:right w:val="nil"/>
            </w:tcBorders>
            <w:shd w:val="clear" w:color="000000" w:fill="FFFFFF"/>
            <w:noWrap/>
            <w:vAlign w:val="center"/>
            <w:hideMark/>
          </w:tcPr>
          <w:p w14:paraId="4E0A5756" w14:textId="77777777" w:rsidR="00260731" w:rsidRPr="00864963" w:rsidRDefault="00260731" w:rsidP="00260731">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480" w:type="pct"/>
            <w:tcBorders>
              <w:top w:val="nil"/>
              <w:left w:val="nil"/>
              <w:bottom w:val="single" w:sz="4" w:space="0" w:color="293F5B"/>
              <w:right w:val="nil"/>
            </w:tcBorders>
            <w:shd w:val="clear" w:color="000000" w:fill="FFFFFF"/>
            <w:noWrap/>
            <w:vAlign w:val="center"/>
            <w:hideMark/>
          </w:tcPr>
          <w:p w14:paraId="7DC55F45" w14:textId="77777777" w:rsidR="00260731" w:rsidRPr="00864963" w:rsidRDefault="00260731" w:rsidP="00260731">
            <w:pPr>
              <w:spacing w:before="0" w:after="0" w:line="240" w:lineRule="auto"/>
              <w:jc w:val="right"/>
              <w:rPr>
                <w:rFonts w:ascii="Arial" w:hAnsi="Arial" w:cs="Arial"/>
                <w:b/>
                <w:bCs/>
                <w:sz w:val="16"/>
                <w:szCs w:val="16"/>
              </w:rPr>
            </w:pPr>
            <w:r w:rsidRPr="00864963">
              <w:rPr>
                <w:rFonts w:ascii="Arial" w:hAnsi="Arial" w:cs="Arial"/>
                <w:b/>
                <w:bCs/>
                <w:sz w:val="16"/>
                <w:szCs w:val="16"/>
              </w:rPr>
              <w:t>3,520,865</w:t>
            </w:r>
          </w:p>
        </w:tc>
      </w:tr>
    </w:tbl>
    <w:p w14:paraId="12CDB058" w14:textId="62F70334" w:rsidR="00214B9C" w:rsidRPr="004E1159" w:rsidRDefault="008A311E" w:rsidP="00260731">
      <w:pPr>
        <w:pStyle w:val="ChartandTableFootnote"/>
        <w:rPr>
          <w:color w:val="auto"/>
        </w:rPr>
      </w:pPr>
      <w:r w:rsidRPr="004E1159">
        <w:rPr>
          <w:color w:val="auto"/>
        </w:rPr>
        <w:t>*D</w:t>
      </w:r>
      <w:r w:rsidR="00C6388C" w:rsidRPr="004E1159">
        <w:rPr>
          <w:color w:val="auto"/>
        </w:rPr>
        <w:t>a</w:t>
      </w:r>
      <w:r w:rsidR="00214B9C" w:rsidRPr="004E1159">
        <w:rPr>
          <w:color w:val="auto"/>
        </w:rPr>
        <w:t xml:space="preserve">ta is not available. </w:t>
      </w:r>
    </w:p>
    <w:p w14:paraId="69C6D511" w14:textId="6DC0A6D8" w:rsidR="00214B9C" w:rsidRPr="004E1159" w:rsidRDefault="00214B9C" w:rsidP="00D57DA8">
      <w:pPr>
        <w:pStyle w:val="ChartandTableFootnoteAlpha"/>
        <w:numPr>
          <w:ilvl w:val="0"/>
          <w:numId w:val="8"/>
        </w:numPr>
        <w:rPr>
          <w:color w:val="auto"/>
        </w:rPr>
      </w:pPr>
      <w:r w:rsidRPr="004E1159">
        <w:rPr>
          <w:color w:val="auto"/>
        </w:rPr>
        <w:t xml:space="preserve">A positive number for payments worsens the underlying cash balance. </w:t>
      </w:r>
    </w:p>
    <w:p w14:paraId="7DB93770" w14:textId="087A392D" w:rsidR="00214B9C" w:rsidRPr="004E1159" w:rsidRDefault="00214B9C" w:rsidP="00D57DA8">
      <w:pPr>
        <w:pStyle w:val="ChartandTableFootnoteAlpha"/>
        <w:rPr>
          <w:color w:val="auto"/>
        </w:rPr>
      </w:pPr>
      <w:r w:rsidRPr="004E1159">
        <w:rPr>
          <w:color w:val="auto"/>
        </w:rPr>
        <w:t>2026–27 as published in the medium</w:t>
      </w:r>
      <w:r w:rsidR="00594653" w:rsidRPr="004E1159">
        <w:rPr>
          <w:color w:val="auto"/>
        </w:rPr>
        <w:noBreakHyphen/>
      </w:r>
      <w:r w:rsidRPr="004E1159">
        <w:rPr>
          <w:color w:val="auto"/>
        </w:rPr>
        <w:t>term projections, pages 10 and 11</w:t>
      </w:r>
      <w:r w:rsidR="00C159E5" w:rsidRPr="004E1159">
        <w:rPr>
          <w:color w:val="auto"/>
        </w:rPr>
        <w:t xml:space="preserve"> </w:t>
      </w:r>
      <w:r w:rsidRPr="004E1159">
        <w:rPr>
          <w:color w:val="auto"/>
        </w:rPr>
        <w:t xml:space="preserve">of the </w:t>
      </w:r>
      <w:r w:rsidR="00093A77" w:rsidRPr="004E1159">
        <w:rPr>
          <w:color w:val="auto"/>
        </w:rPr>
        <w:t>2022 PEFO</w:t>
      </w:r>
      <w:r w:rsidRPr="004E1159">
        <w:rPr>
          <w:color w:val="auto"/>
        </w:rPr>
        <w:t xml:space="preserve">. </w:t>
      </w:r>
    </w:p>
    <w:p w14:paraId="5C30E529" w14:textId="573E15EF" w:rsidR="00214B9C" w:rsidRPr="004E1159" w:rsidRDefault="00214B9C" w:rsidP="00D57DA8">
      <w:pPr>
        <w:pStyle w:val="ChartandTableFootnoteAlpha"/>
        <w:rPr>
          <w:color w:val="auto"/>
        </w:rPr>
      </w:pPr>
      <w:r w:rsidRPr="004E1159">
        <w:rPr>
          <w:color w:val="auto"/>
        </w:rPr>
        <w:t>Excludes secondary impacts on public debt interest of policy decisions and offsets from the Contingency Reserve for decisions taken.</w:t>
      </w:r>
    </w:p>
    <w:p w14:paraId="1DB2FD5F" w14:textId="4164236D" w:rsidR="00214B9C" w:rsidRPr="004E1159" w:rsidRDefault="00214B9C" w:rsidP="00D57DA8">
      <w:pPr>
        <w:pStyle w:val="ChartandTableFootnoteAlpha"/>
        <w:rPr>
          <w:color w:val="auto"/>
        </w:rPr>
      </w:pPr>
      <w:r w:rsidRPr="004E1159">
        <w:rPr>
          <w:color w:val="auto"/>
        </w:rPr>
        <w:t>2026–27 as published in the medium</w:t>
      </w:r>
      <w:r w:rsidR="00594653" w:rsidRPr="004E1159">
        <w:rPr>
          <w:color w:val="auto"/>
        </w:rPr>
        <w:noBreakHyphen/>
      </w:r>
      <w:r w:rsidRPr="004E1159">
        <w:rPr>
          <w:color w:val="auto"/>
        </w:rPr>
        <w:t>term projections, pages 90 and 91</w:t>
      </w:r>
      <w:r w:rsidR="00C159E5" w:rsidRPr="004E1159">
        <w:rPr>
          <w:color w:val="auto"/>
        </w:rPr>
        <w:t xml:space="preserve"> </w:t>
      </w:r>
      <w:r w:rsidRPr="004E1159">
        <w:rPr>
          <w:color w:val="auto"/>
        </w:rPr>
        <w:t>of Budget Paper No. 1: Budget Strategy and Outlook October 2022–23.</w:t>
      </w:r>
    </w:p>
    <w:p w14:paraId="716A58C9" w14:textId="40A7B479" w:rsidR="00D01E96" w:rsidRDefault="00214B9C" w:rsidP="00D57DA8">
      <w:pPr>
        <w:pStyle w:val="ChartandTableFootnoteAlpha"/>
      </w:pPr>
      <w:r w:rsidRPr="004E1159">
        <w:rPr>
          <w:color w:val="auto"/>
        </w:rPr>
        <w:t>Includes changes in the conservative bias allowance component in the Contingency Reserve and impacts of changes in program payments for a range of reasons including movement of funds and re</w:t>
      </w:r>
      <w:r w:rsidR="00594653" w:rsidRPr="004E1159">
        <w:rPr>
          <w:color w:val="auto"/>
        </w:rPr>
        <w:noBreakHyphen/>
      </w:r>
      <w:r w:rsidRPr="004E1159">
        <w:rPr>
          <w:color w:val="auto"/>
        </w:rPr>
        <w:t>profiling.</w:t>
      </w:r>
      <w:r w:rsidR="00E351F0" w:rsidRPr="004E1159">
        <w:rPr>
          <w:rFonts w:ascii="Calibri" w:hAnsi="Calibri" w:cs="Calibri"/>
          <w:color w:val="auto"/>
          <w:sz w:val="22"/>
          <w:szCs w:val="22"/>
        </w:rPr>
        <w:t xml:space="preserve"> </w:t>
      </w:r>
    </w:p>
    <w:p w14:paraId="3DAA1305" w14:textId="77777777" w:rsidR="00547383" w:rsidRPr="00547383" w:rsidRDefault="00547383" w:rsidP="00547383">
      <w:pPr>
        <w:pStyle w:val="TableLine"/>
      </w:pPr>
    </w:p>
    <w:p w14:paraId="71F6EB17" w14:textId="77777777" w:rsidR="0068596F" w:rsidRPr="00455E31" w:rsidRDefault="0068596F" w:rsidP="00455E31">
      <w:r w:rsidRPr="00455E31">
        <w:br w:type="page"/>
      </w:r>
    </w:p>
    <w:p w14:paraId="5D774AD4" w14:textId="3A00863A" w:rsidR="00D01E96" w:rsidRPr="00EA288B" w:rsidRDefault="00D01E96" w:rsidP="00D01E96">
      <w:pPr>
        <w:pStyle w:val="Heading3"/>
      </w:pPr>
      <w:bookmarkStart w:id="22" w:name="_Toc117356562"/>
      <w:bookmarkStart w:id="23" w:name="_Toc134321294"/>
      <w:r w:rsidRPr="00EA288B">
        <w:rPr>
          <w:rStyle w:val="Heading3Char"/>
        </w:rPr>
        <w:lastRenderedPageBreak/>
        <w:t>Headline cash balance estimates</w:t>
      </w:r>
      <w:bookmarkEnd w:id="22"/>
      <w:bookmarkEnd w:id="23"/>
    </w:p>
    <w:p w14:paraId="38FBD6F3" w14:textId="61778149" w:rsidR="000F7F88" w:rsidRPr="004E1159" w:rsidRDefault="00D01E96" w:rsidP="00D01E96">
      <w:r w:rsidRPr="004E1159">
        <w:t>The headline cash balance adjusts the underlying cash balance to include net cash flows from investments in financial assets for policy purposes. For example,</w:t>
      </w:r>
      <w:r w:rsidRPr="004E1159" w:rsidDel="009C44A9">
        <w:t xml:space="preserve"> </w:t>
      </w:r>
      <w:r w:rsidR="000B142C" w:rsidRPr="004E1159">
        <w:t>Clean Energy Fin</w:t>
      </w:r>
      <w:r w:rsidR="007F24F9" w:rsidRPr="004E1159">
        <w:t>ance Corporation</w:t>
      </w:r>
      <w:r w:rsidRPr="004E1159">
        <w:t xml:space="preserve"> </w:t>
      </w:r>
      <w:r w:rsidR="002743F7" w:rsidRPr="004E1159">
        <w:t xml:space="preserve">loans </w:t>
      </w:r>
      <w:r w:rsidR="00F633D6" w:rsidRPr="004E1159">
        <w:t xml:space="preserve">and equity investments in the </w:t>
      </w:r>
      <w:r w:rsidR="002743F7" w:rsidRPr="004E1159">
        <w:t xml:space="preserve">NBN </w:t>
      </w:r>
      <w:r w:rsidRPr="004E1159">
        <w:t xml:space="preserve">reduce the headline cash balance but not the underlying cash balance. </w:t>
      </w:r>
      <w:r w:rsidR="00E21765" w:rsidRPr="004E1159">
        <w:t>Table </w:t>
      </w:r>
      <w:r w:rsidRPr="004E1159">
        <w:t>3.</w:t>
      </w:r>
      <w:r w:rsidR="005D3583" w:rsidRPr="004E1159">
        <w:t>4</w:t>
      </w:r>
      <w:r w:rsidRPr="004E1159">
        <w:t xml:space="preserve"> provides further details of differences between the underlying and headline cash balance estimates. </w:t>
      </w:r>
    </w:p>
    <w:p w14:paraId="12C0FC44" w14:textId="036C972A" w:rsidR="00210698" w:rsidRPr="004E1159" w:rsidRDefault="00D01E96" w:rsidP="00D01E96">
      <w:r w:rsidRPr="004E1159">
        <w:t>A headline cash deficit of $</w:t>
      </w:r>
      <w:r w:rsidR="00016EC1" w:rsidRPr="004E1159">
        <w:t>19.7</w:t>
      </w:r>
      <w:r w:rsidR="00F634C3" w:rsidRPr="004E1159">
        <w:t> billion</w:t>
      </w:r>
      <w:r w:rsidRPr="004E1159">
        <w:t xml:space="preserve"> is estimated in 202</w:t>
      </w:r>
      <w:r w:rsidR="00810D40" w:rsidRPr="004E1159">
        <w:t>3</w:t>
      </w:r>
      <w:r w:rsidRPr="004E1159">
        <w:t>–2</w:t>
      </w:r>
      <w:r w:rsidR="00810D40" w:rsidRPr="004E1159">
        <w:t>4</w:t>
      </w:r>
      <w:r w:rsidRPr="004E1159">
        <w:t>, compared to a</w:t>
      </w:r>
      <w:r w:rsidR="00081701" w:rsidRPr="004E1159">
        <w:t>n estimated</w:t>
      </w:r>
      <w:r w:rsidRPr="004E1159">
        <w:t xml:space="preserve"> deficit of $</w:t>
      </w:r>
      <w:r w:rsidR="00DD2F4E" w:rsidRPr="004E1159">
        <w:t>50.7</w:t>
      </w:r>
      <w:r w:rsidR="00F634C3" w:rsidRPr="004E1159">
        <w:t> billion</w:t>
      </w:r>
      <w:r w:rsidRPr="004E1159" w:rsidDel="00E62F13">
        <w:t xml:space="preserve"> </w:t>
      </w:r>
      <w:r w:rsidRPr="004E1159">
        <w:t xml:space="preserve">in </w:t>
      </w:r>
      <w:r w:rsidR="00810D40" w:rsidRPr="004E1159">
        <w:t xml:space="preserve">the </w:t>
      </w:r>
      <w:r w:rsidR="00F634C3" w:rsidRPr="004E1159">
        <w:t>October Budget</w:t>
      </w:r>
      <w:r w:rsidRPr="004E1159">
        <w:t xml:space="preserve">. </w:t>
      </w:r>
      <w:r w:rsidR="00A65EC4" w:rsidRPr="004E1159">
        <w:t xml:space="preserve">The headline cash balance </w:t>
      </w:r>
      <w:r w:rsidR="008B0B7D" w:rsidRPr="004E1159">
        <w:t xml:space="preserve">weakens </w:t>
      </w:r>
      <w:r w:rsidR="00A65EC4" w:rsidRPr="004E1159">
        <w:t>to an estimated deficit of $</w:t>
      </w:r>
      <w:r w:rsidR="007D013D" w:rsidRPr="004E1159">
        <w:t>41.3</w:t>
      </w:r>
      <w:r w:rsidR="00F634C3" w:rsidRPr="004E1159">
        <w:t> billion</w:t>
      </w:r>
      <w:r w:rsidR="00A65EC4" w:rsidRPr="004E1159">
        <w:t xml:space="preserve"> (</w:t>
      </w:r>
      <w:r w:rsidR="00697474" w:rsidRPr="004E1159">
        <w:t>1.4</w:t>
      </w:r>
      <w:r w:rsidR="00F634C3" w:rsidRPr="004E1159">
        <w:t> per </w:t>
      </w:r>
      <w:r w:rsidR="00A65EC4" w:rsidRPr="004E1159">
        <w:t>cent of GDP) in 2026</w:t>
      </w:r>
      <w:r w:rsidR="00F634C3" w:rsidRPr="004E1159">
        <w:t>–</w:t>
      </w:r>
      <w:r w:rsidR="00A65EC4" w:rsidRPr="004E1159">
        <w:t xml:space="preserve">27. </w:t>
      </w:r>
      <w:r w:rsidR="00F06626" w:rsidRPr="004E1159">
        <w:t>The lower headline cash balance</w:t>
      </w:r>
      <w:r w:rsidR="0075648E" w:rsidRPr="004E1159">
        <w:t xml:space="preserve"> </w:t>
      </w:r>
      <w:r w:rsidR="00DC29A8" w:rsidRPr="004E1159">
        <w:t>compared to the October Budget</w:t>
      </w:r>
      <w:r w:rsidR="0075648E" w:rsidRPr="004E1159">
        <w:t xml:space="preserve"> </w:t>
      </w:r>
      <w:r w:rsidR="00F06626" w:rsidRPr="004E1159">
        <w:t>is primarily driven by the</w:t>
      </w:r>
      <w:r w:rsidR="0075648E" w:rsidRPr="004E1159">
        <w:t xml:space="preserve"> improvement in the underlying cash balance</w:t>
      </w:r>
      <w:r w:rsidR="00DC29A8" w:rsidRPr="004E1159">
        <w:t>.</w:t>
      </w:r>
      <w:r w:rsidR="00253C2E" w:rsidRPr="004E1159">
        <w:t xml:space="preserve"> </w:t>
      </w:r>
    </w:p>
    <w:p w14:paraId="3F604A3D" w14:textId="1A58F339" w:rsidR="0003532E" w:rsidRPr="00172242" w:rsidRDefault="00253C2E" w:rsidP="00D01E96">
      <w:r w:rsidRPr="004E1159">
        <w:t>Estimates for total</w:t>
      </w:r>
      <w:r w:rsidR="002A07E5" w:rsidRPr="004E1159">
        <w:t xml:space="preserve"> </w:t>
      </w:r>
      <w:r w:rsidR="005F6E39" w:rsidRPr="004E1159">
        <w:t xml:space="preserve">net cash </w:t>
      </w:r>
      <w:r w:rsidR="0003532E" w:rsidRPr="004E1159">
        <w:t xml:space="preserve">flows from investments in financial assets for policy purposes </w:t>
      </w:r>
      <w:r w:rsidR="00492C30" w:rsidRPr="004E1159">
        <w:t>increase</w:t>
      </w:r>
      <w:r w:rsidR="00337C82" w:rsidRPr="004E1159">
        <w:t>d</w:t>
      </w:r>
      <w:r w:rsidR="00CD3254" w:rsidRPr="004E1159">
        <w:t xml:space="preserve"> by $0.3 billion </w:t>
      </w:r>
      <w:r w:rsidR="009701A3" w:rsidRPr="004E1159">
        <w:t>over 4 years from 2022</w:t>
      </w:r>
      <w:r w:rsidR="00712AE5" w:rsidRPr="004E1159">
        <w:t>–</w:t>
      </w:r>
      <w:r w:rsidR="009701A3" w:rsidRPr="004E1159">
        <w:t>23 to 2025</w:t>
      </w:r>
      <w:r w:rsidR="00712AE5" w:rsidRPr="004E1159">
        <w:t>–</w:t>
      </w:r>
      <w:r w:rsidR="009701A3" w:rsidRPr="004E1159">
        <w:t>26</w:t>
      </w:r>
      <w:r w:rsidR="007778C8" w:rsidRPr="004E1159">
        <w:t xml:space="preserve"> compared to the </w:t>
      </w:r>
      <w:r w:rsidR="00F634C3" w:rsidRPr="004E1159">
        <w:t>October</w:t>
      </w:r>
      <w:r w:rsidR="009616BF" w:rsidRPr="004E1159">
        <w:t xml:space="preserve"> </w:t>
      </w:r>
      <w:r w:rsidR="00F634C3" w:rsidRPr="004E1159">
        <w:t>Budget</w:t>
      </w:r>
      <w:r w:rsidR="009D0CDA" w:rsidRPr="004E1159">
        <w:t>.</w:t>
      </w:r>
      <w:r w:rsidR="0003532E" w:rsidRPr="004E1159">
        <w:t xml:space="preserve"> </w:t>
      </w:r>
      <w:r w:rsidR="009B6F96" w:rsidRPr="004E1159">
        <w:t xml:space="preserve">This is </w:t>
      </w:r>
      <w:r w:rsidR="003C7796" w:rsidRPr="004E1159">
        <w:t xml:space="preserve">primarily </w:t>
      </w:r>
      <w:r w:rsidR="002B1131" w:rsidRPr="004E1159">
        <w:t>dr</w:t>
      </w:r>
      <w:r w:rsidR="0027211E" w:rsidRPr="004E1159">
        <w:t xml:space="preserve">iven by increased </w:t>
      </w:r>
      <w:r w:rsidR="006542FB" w:rsidRPr="004E1159">
        <w:t xml:space="preserve">estimates for HELP loan repayments, partly offset by </w:t>
      </w:r>
      <w:r w:rsidR="0027211E" w:rsidRPr="004E1159">
        <w:t xml:space="preserve">increased </w:t>
      </w:r>
      <w:r w:rsidR="00971093" w:rsidRPr="004E1159">
        <w:t>l</w:t>
      </w:r>
      <w:r w:rsidR="00D1340C" w:rsidRPr="004E1159">
        <w:t xml:space="preserve">oans and investments </w:t>
      </w:r>
      <w:r w:rsidR="001017A8" w:rsidRPr="004E1159">
        <w:t>for</w:t>
      </w:r>
      <w:r w:rsidR="00210698" w:rsidRPr="004E1159">
        <w:t xml:space="preserve"> Clean Energy Finance Corporation</w:t>
      </w:r>
      <w:r w:rsidR="001017A8" w:rsidRPr="004E1159">
        <w:t xml:space="preserve"> </w:t>
      </w:r>
      <w:r w:rsidR="00210698" w:rsidRPr="004E1159">
        <w:t>(</w:t>
      </w:r>
      <w:r w:rsidR="008313C4" w:rsidRPr="004E1159">
        <w:t xml:space="preserve">primarily </w:t>
      </w:r>
      <w:r w:rsidR="00673230" w:rsidRPr="004E1159">
        <w:t>reflecting</w:t>
      </w:r>
      <w:r w:rsidR="008313C4" w:rsidRPr="004E1159">
        <w:t xml:space="preserve"> </w:t>
      </w:r>
      <w:r w:rsidR="001017A8" w:rsidRPr="004E1159">
        <w:t>Rewiring the Nation</w:t>
      </w:r>
      <w:r w:rsidR="001C45CB" w:rsidRPr="004E1159">
        <w:t>)</w:t>
      </w:r>
      <w:r w:rsidR="001017A8" w:rsidRPr="004E1159">
        <w:t xml:space="preserve">, the National Reconstruction Fund, and </w:t>
      </w:r>
      <w:r w:rsidR="001F754B" w:rsidRPr="004E1159">
        <w:t>the National Housing Finance and Investment Corporation</w:t>
      </w:r>
      <w:r w:rsidR="006542FB" w:rsidRPr="004E1159">
        <w:t>.</w:t>
      </w:r>
      <w:r w:rsidR="003D3B56" w:rsidRPr="004E1159">
        <w:t xml:space="preserve"> </w:t>
      </w:r>
    </w:p>
    <w:p w14:paraId="447E94A3" w14:textId="6B2282BD" w:rsidR="00D01E96" w:rsidRPr="00EA288B" w:rsidRDefault="00D01E96" w:rsidP="00D01E96">
      <w:r w:rsidRPr="00EA288B">
        <w:br w:type="page"/>
      </w:r>
    </w:p>
    <w:p w14:paraId="2DDA6B3A" w14:textId="1B54AC0B" w:rsidR="004C121A" w:rsidRDefault="00E21765" w:rsidP="004C121A">
      <w:pPr>
        <w:pStyle w:val="TableHeading"/>
        <w:rPr>
          <w:rFonts w:asciiTheme="minorHAnsi" w:eastAsiaTheme="minorHAnsi" w:hAnsiTheme="minorHAnsi" w:cstheme="minorBidi"/>
          <w:sz w:val="22"/>
          <w:szCs w:val="22"/>
          <w:lang w:eastAsia="en-US"/>
        </w:rPr>
      </w:pPr>
      <w:r w:rsidRPr="004E1159">
        <w:lastRenderedPageBreak/>
        <w:t>Table </w:t>
      </w:r>
      <w:r w:rsidR="00D01E96" w:rsidRPr="004E1159">
        <w:t>3.</w:t>
      </w:r>
      <w:r w:rsidR="00C00330" w:rsidRPr="004E1159">
        <w:t>4</w:t>
      </w:r>
      <w:r w:rsidR="00DA7E4A" w:rsidRPr="004E1159">
        <w:t>:</w:t>
      </w:r>
      <w:r w:rsidR="00D01E96" w:rsidRPr="004E1159">
        <w:t xml:space="preserve"> Reconciliation of general government sector underlying and headline cash balance estimates</w:t>
      </w:r>
    </w:p>
    <w:tbl>
      <w:tblPr>
        <w:tblW w:w="5000" w:type="pct"/>
        <w:tblCellMar>
          <w:left w:w="0" w:type="dxa"/>
          <w:right w:w="28" w:type="dxa"/>
        </w:tblCellMar>
        <w:tblLook w:val="04A0" w:firstRow="1" w:lastRow="0" w:firstColumn="1" w:lastColumn="0" w:noHBand="0" w:noVBand="1"/>
      </w:tblPr>
      <w:tblGrid>
        <w:gridCol w:w="2932"/>
        <w:gridCol w:w="782"/>
        <w:gridCol w:w="782"/>
        <w:gridCol w:w="782"/>
        <w:gridCol w:w="782"/>
        <w:gridCol w:w="782"/>
        <w:gridCol w:w="74"/>
        <w:gridCol w:w="794"/>
      </w:tblGrid>
      <w:tr w:rsidR="004C121A" w:rsidRPr="004C121A" w14:paraId="2B5E9EDE" w14:textId="77777777" w:rsidTr="004C121A">
        <w:trPr>
          <w:trHeight w:hRule="exact" w:val="225"/>
        </w:trPr>
        <w:tc>
          <w:tcPr>
            <w:tcW w:w="1902" w:type="pct"/>
            <w:tcBorders>
              <w:top w:val="single" w:sz="4" w:space="0" w:color="000000"/>
              <w:left w:val="nil"/>
              <w:bottom w:val="nil"/>
              <w:right w:val="nil"/>
            </w:tcBorders>
            <w:shd w:val="clear" w:color="000000" w:fill="FFFFFF"/>
            <w:noWrap/>
            <w:vAlign w:val="bottom"/>
            <w:hideMark/>
          </w:tcPr>
          <w:p w14:paraId="7EF68833" w14:textId="5AC760D3"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2535" w:type="pct"/>
            <w:gridSpan w:val="5"/>
            <w:tcBorders>
              <w:top w:val="single" w:sz="4" w:space="0" w:color="000000"/>
              <w:left w:val="nil"/>
              <w:bottom w:val="single" w:sz="4" w:space="0" w:color="293F5B"/>
              <w:right w:val="nil"/>
            </w:tcBorders>
            <w:shd w:val="clear" w:color="000000" w:fill="FFFFFF"/>
            <w:noWrap/>
            <w:vAlign w:val="bottom"/>
            <w:hideMark/>
          </w:tcPr>
          <w:p w14:paraId="52D3F7F9" w14:textId="77777777" w:rsidR="004C121A" w:rsidRPr="004C121A" w:rsidRDefault="004C121A" w:rsidP="004C121A">
            <w:pPr>
              <w:spacing w:before="0" w:after="0" w:line="240" w:lineRule="auto"/>
              <w:jc w:val="center"/>
              <w:rPr>
                <w:rFonts w:ascii="Arial" w:hAnsi="Arial" w:cs="Arial"/>
                <w:color w:val="000000"/>
                <w:sz w:val="16"/>
                <w:szCs w:val="16"/>
              </w:rPr>
            </w:pPr>
            <w:r w:rsidRPr="004C121A">
              <w:rPr>
                <w:rFonts w:ascii="Arial" w:hAnsi="Arial" w:cs="Arial"/>
                <w:color w:val="000000"/>
                <w:sz w:val="16"/>
                <w:szCs w:val="16"/>
              </w:rPr>
              <w:t>Estimates</w:t>
            </w:r>
          </w:p>
        </w:tc>
        <w:tc>
          <w:tcPr>
            <w:tcW w:w="48" w:type="pct"/>
            <w:tcBorders>
              <w:top w:val="single" w:sz="4" w:space="0" w:color="000000"/>
              <w:left w:val="nil"/>
              <w:bottom w:val="nil"/>
              <w:right w:val="nil"/>
            </w:tcBorders>
            <w:shd w:val="clear" w:color="000000" w:fill="FFFFFF"/>
            <w:noWrap/>
            <w:vAlign w:val="bottom"/>
            <w:hideMark/>
          </w:tcPr>
          <w:p w14:paraId="28DCF795"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single" w:sz="4" w:space="0" w:color="000000"/>
              <w:left w:val="nil"/>
              <w:bottom w:val="single" w:sz="4" w:space="0" w:color="293F5B"/>
              <w:right w:val="nil"/>
            </w:tcBorders>
            <w:shd w:val="clear" w:color="000000" w:fill="FFFFFF"/>
            <w:noWrap/>
            <w:vAlign w:val="bottom"/>
            <w:hideMark/>
          </w:tcPr>
          <w:p w14:paraId="4012C6BA"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r>
      <w:tr w:rsidR="004C121A" w:rsidRPr="004C121A" w14:paraId="381E5CC0"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6801878F"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center"/>
            <w:hideMark/>
          </w:tcPr>
          <w:p w14:paraId="1DBA5BC8"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2022–23</w:t>
            </w:r>
          </w:p>
        </w:tc>
        <w:tc>
          <w:tcPr>
            <w:tcW w:w="507" w:type="pct"/>
            <w:tcBorders>
              <w:top w:val="nil"/>
              <w:left w:val="nil"/>
              <w:bottom w:val="nil"/>
              <w:right w:val="nil"/>
            </w:tcBorders>
            <w:shd w:val="clear" w:color="000000" w:fill="E6F2FF"/>
            <w:noWrap/>
            <w:vAlign w:val="center"/>
            <w:hideMark/>
          </w:tcPr>
          <w:p w14:paraId="115FD18A"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2023–24</w:t>
            </w:r>
          </w:p>
        </w:tc>
        <w:tc>
          <w:tcPr>
            <w:tcW w:w="507" w:type="pct"/>
            <w:tcBorders>
              <w:top w:val="nil"/>
              <w:left w:val="nil"/>
              <w:bottom w:val="nil"/>
              <w:right w:val="nil"/>
            </w:tcBorders>
            <w:shd w:val="clear" w:color="000000" w:fill="FFFFFF"/>
            <w:noWrap/>
            <w:vAlign w:val="center"/>
            <w:hideMark/>
          </w:tcPr>
          <w:p w14:paraId="23F6525B"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2024–25</w:t>
            </w:r>
          </w:p>
        </w:tc>
        <w:tc>
          <w:tcPr>
            <w:tcW w:w="507" w:type="pct"/>
            <w:tcBorders>
              <w:top w:val="nil"/>
              <w:left w:val="nil"/>
              <w:bottom w:val="nil"/>
              <w:right w:val="nil"/>
            </w:tcBorders>
            <w:shd w:val="clear" w:color="000000" w:fill="FFFFFF"/>
            <w:noWrap/>
            <w:vAlign w:val="center"/>
            <w:hideMark/>
          </w:tcPr>
          <w:p w14:paraId="3BC241E1"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2025–26</w:t>
            </w:r>
          </w:p>
        </w:tc>
        <w:tc>
          <w:tcPr>
            <w:tcW w:w="507" w:type="pct"/>
            <w:tcBorders>
              <w:top w:val="nil"/>
              <w:left w:val="nil"/>
              <w:bottom w:val="nil"/>
              <w:right w:val="nil"/>
            </w:tcBorders>
            <w:shd w:val="clear" w:color="000000" w:fill="FFFFFF"/>
            <w:noWrap/>
            <w:vAlign w:val="center"/>
            <w:hideMark/>
          </w:tcPr>
          <w:p w14:paraId="26661FE5"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2026–27</w:t>
            </w:r>
          </w:p>
        </w:tc>
        <w:tc>
          <w:tcPr>
            <w:tcW w:w="48" w:type="pct"/>
            <w:tcBorders>
              <w:top w:val="nil"/>
              <w:left w:val="nil"/>
              <w:bottom w:val="nil"/>
              <w:right w:val="nil"/>
            </w:tcBorders>
            <w:shd w:val="clear" w:color="000000" w:fill="FFFFFF"/>
            <w:noWrap/>
            <w:vAlign w:val="bottom"/>
            <w:hideMark/>
          </w:tcPr>
          <w:p w14:paraId="36E24EC9"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22F55082"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Total</w:t>
            </w:r>
          </w:p>
        </w:tc>
      </w:tr>
      <w:tr w:rsidR="004C121A" w:rsidRPr="004C121A" w14:paraId="784E9D83"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7FD8FD33"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single" w:sz="4" w:space="0" w:color="293F5B"/>
              <w:right w:val="nil"/>
            </w:tcBorders>
            <w:shd w:val="clear" w:color="000000" w:fill="FFFFFF"/>
            <w:noWrap/>
            <w:vAlign w:val="bottom"/>
            <w:hideMark/>
          </w:tcPr>
          <w:p w14:paraId="42768A5C"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$m</w:t>
            </w:r>
          </w:p>
        </w:tc>
        <w:tc>
          <w:tcPr>
            <w:tcW w:w="507" w:type="pct"/>
            <w:tcBorders>
              <w:top w:val="nil"/>
              <w:left w:val="nil"/>
              <w:bottom w:val="single" w:sz="4" w:space="0" w:color="293F5B"/>
              <w:right w:val="nil"/>
            </w:tcBorders>
            <w:shd w:val="clear" w:color="000000" w:fill="E6F2FF"/>
            <w:noWrap/>
            <w:vAlign w:val="bottom"/>
            <w:hideMark/>
          </w:tcPr>
          <w:p w14:paraId="58A6B693"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$m</w:t>
            </w:r>
          </w:p>
        </w:tc>
        <w:tc>
          <w:tcPr>
            <w:tcW w:w="507" w:type="pct"/>
            <w:tcBorders>
              <w:top w:val="nil"/>
              <w:left w:val="nil"/>
              <w:bottom w:val="single" w:sz="4" w:space="0" w:color="293F5B"/>
              <w:right w:val="nil"/>
            </w:tcBorders>
            <w:shd w:val="clear" w:color="000000" w:fill="FFFFFF"/>
            <w:noWrap/>
            <w:vAlign w:val="bottom"/>
            <w:hideMark/>
          </w:tcPr>
          <w:p w14:paraId="0EB7065D"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$m</w:t>
            </w:r>
          </w:p>
        </w:tc>
        <w:tc>
          <w:tcPr>
            <w:tcW w:w="507" w:type="pct"/>
            <w:tcBorders>
              <w:top w:val="nil"/>
              <w:left w:val="nil"/>
              <w:bottom w:val="single" w:sz="4" w:space="0" w:color="293F5B"/>
              <w:right w:val="nil"/>
            </w:tcBorders>
            <w:shd w:val="clear" w:color="000000" w:fill="FFFFFF"/>
            <w:noWrap/>
            <w:vAlign w:val="bottom"/>
            <w:hideMark/>
          </w:tcPr>
          <w:p w14:paraId="1E7BD2E9"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$m</w:t>
            </w:r>
          </w:p>
        </w:tc>
        <w:tc>
          <w:tcPr>
            <w:tcW w:w="507" w:type="pct"/>
            <w:tcBorders>
              <w:top w:val="nil"/>
              <w:left w:val="nil"/>
              <w:bottom w:val="single" w:sz="4" w:space="0" w:color="293F5B"/>
              <w:right w:val="nil"/>
            </w:tcBorders>
            <w:shd w:val="clear" w:color="000000" w:fill="FFFFFF"/>
            <w:noWrap/>
            <w:vAlign w:val="bottom"/>
            <w:hideMark/>
          </w:tcPr>
          <w:p w14:paraId="0F57062B"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$m</w:t>
            </w:r>
          </w:p>
        </w:tc>
        <w:tc>
          <w:tcPr>
            <w:tcW w:w="48" w:type="pct"/>
            <w:tcBorders>
              <w:top w:val="nil"/>
              <w:left w:val="nil"/>
              <w:bottom w:val="nil"/>
              <w:right w:val="nil"/>
            </w:tcBorders>
            <w:shd w:val="clear" w:color="000000" w:fill="FFFFFF"/>
            <w:noWrap/>
            <w:vAlign w:val="bottom"/>
            <w:hideMark/>
          </w:tcPr>
          <w:p w14:paraId="18946B14"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single" w:sz="4" w:space="0" w:color="293F5B"/>
              <w:right w:val="nil"/>
            </w:tcBorders>
            <w:shd w:val="clear" w:color="000000" w:fill="FFFFFF"/>
            <w:noWrap/>
            <w:vAlign w:val="bottom"/>
            <w:hideMark/>
          </w:tcPr>
          <w:p w14:paraId="10DC8E5F"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$m</w:t>
            </w:r>
          </w:p>
        </w:tc>
      </w:tr>
      <w:tr w:rsidR="004C121A" w:rsidRPr="004C121A" w14:paraId="4DFD3371"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7AFDA3F8" w14:textId="77777777" w:rsidR="004C121A" w:rsidRPr="004C121A" w:rsidRDefault="004C121A" w:rsidP="004C121A">
            <w:pPr>
              <w:spacing w:before="0" w:after="0" w:line="240" w:lineRule="auto"/>
              <w:rPr>
                <w:rFonts w:ascii="Arial" w:hAnsi="Arial" w:cs="Arial"/>
                <w:b/>
                <w:bCs/>
                <w:color w:val="000000"/>
                <w:sz w:val="16"/>
                <w:szCs w:val="16"/>
              </w:rPr>
            </w:pPr>
            <w:r w:rsidRPr="004C121A">
              <w:rPr>
                <w:rFonts w:ascii="Arial" w:hAnsi="Arial" w:cs="Arial"/>
                <w:b/>
                <w:bCs/>
                <w:color w:val="000000"/>
                <w:sz w:val="16"/>
                <w:szCs w:val="16"/>
              </w:rPr>
              <w:t>2023–24 Budget underlying</w:t>
            </w:r>
          </w:p>
        </w:tc>
        <w:tc>
          <w:tcPr>
            <w:tcW w:w="507" w:type="pct"/>
            <w:tcBorders>
              <w:top w:val="nil"/>
              <w:left w:val="nil"/>
              <w:bottom w:val="nil"/>
              <w:right w:val="nil"/>
            </w:tcBorders>
            <w:shd w:val="clear" w:color="000000" w:fill="FFFFFF"/>
            <w:noWrap/>
            <w:vAlign w:val="bottom"/>
            <w:hideMark/>
          </w:tcPr>
          <w:p w14:paraId="6F886B2F"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E6F2FF"/>
            <w:noWrap/>
            <w:vAlign w:val="bottom"/>
            <w:hideMark/>
          </w:tcPr>
          <w:p w14:paraId="5F84E149"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07C38710"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7321269C"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59D3188B"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 </w:t>
            </w:r>
          </w:p>
        </w:tc>
        <w:tc>
          <w:tcPr>
            <w:tcW w:w="48" w:type="pct"/>
            <w:tcBorders>
              <w:top w:val="nil"/>
              <w:left w:val="nil"/>
              <w:bottom w:val="nil"/>
              <w:right w:val="nil"/>
            </w:tcBorders>
            <w:shd w:val="clear" w:color="000000" w:fill="FFFFFF"/>
            <w:noWrap/>
            <w:vAlign w:val="bottom"/>
            <w:hideMark/>
          </w:tcPr>
          <w:p w14:paraId="12617FAA"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416B5734"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 </w:t>
            </w:r>
          </w:p>
        </w:tc>
      </w:tr>
      <w:tr w:rsidR="004C121A" w:rsidRPr="004C121A" w14:paraId="425DE6E8"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05AB4FD2" w14:textId="77777777" w:rsidR="004C121A" w:rsidRPr="004C121A" w:rsidRDefault="004C121A" w:rsidP="004C121A">
            <w:pPr>
              <w:spacing w:before="0" w:after="0" w:line="240" w:lineRule="auto"/>
              <w:ind w:left="170"/>
              <w:rPr>
                <w:rFonts w:ascii="Arial" w:hAnsi="Arial" w:cs="Arial"/>
                <w:b/>
                <w:bCs/>
                <w:color w:val="000000"/>
                <w:sz w:val="16"/>
                <w:szCs w:val="16"/>
              </w:rPr>
            </w:pPr>
            <w:r w:rsidRPr="004C121A">
              <w:rPr>
                <w:rFonts w:ascii="Arial" w:hAnsi="Arial" w:cs="Arial"/>
                <w:b/>
                <w:bCs/>
                <w:color w:val="000000"/>
                <w:sz w:val="16"/>
                <w:szCs w:val="16"/>
              </w:rPr>
              <w:t>cash balance</w:t>
            </w:r>
          </w:p>
        </w:tc>
        <w:tc>
          <w:tcPr>
            <w:tcW w:w="507" w:type="pct"/>
            <w:tcBorders>
              <w:top w:val="nil"/>
              <w:left w:val="nil"/>
              <w:bottom w:val="nil"/>
              <w:right w:val="nil"/>
            </w:tcBorders>
            <w:shd w:val="clear" w:color="000000" w:fill="FFFFFF"/>
            <w:noWrap/>
            <w:vAlign w:val="bottom"/>
            <w:hideMark/>
          </w:tcPr>
          <w:p w14:paraId="1821CFA2" w14:textId="77777777" w:rsidR="004C121A" w:rsidRPr="004C121A" w:rsidRDefault="004C121A" w:rsidP="004C121A">
            <w:pPr>
              <w:spacing w:before="0" w:after="0" w:line="240" w:lineRule="auto"/>
              <w:jc w:val="right"/>
              <w:rPr>
                <w:rFonts w:ascii="Arial" w:hAnsi="Arial" w:cs="Arial"/>
                <w:b/>
                <w:bCs/>
                <w:color w:val="000000"/>
                <w:sz w:val="16"/>
                <w:szCs w:val="16"/>
              </w:rPr>
            </w:pPr>
            <w:r w:rsidRPr="004C121A">
              <w:rPr>
                <w:rFonts w:ascii="Arial" w:hAnsi="Arial" w:cs="Arial"/>
                <w:b/>
                <w:bCs/>
                <w:color w:val="000000"/>
                <w:sz w:val="16"/>
                <w:szCs w:val="16"/>
              </w:rPr>
              <w:t>4,202</w:t>
            </w:r>
          </w:p>
        </w:tc>
        <w:tc>
          <w:tcPr>
            <w:tcW w:w="507" w:type="pct"/>
            <w:tcBorders>
              <w:top w:val="nil"/>
              <w:left w:val="nil"/>
              <w:bottom w:val="nil"/>
              <w:right w:val="nil"/>
            </w:tcBorders>
            <w:shd w:val="clear" w:color="000000" w:fill="E6F2FF"/>
            <w:noWrap/>
            <w:vAlign w:val="bottom"/>
            <w:hideMark/>
          </w:tcPr>
          <w:p w14:paraId="642730FF" w14:textId="77777777" w:rsidR="004C121A" w:rsidRPr="004C121A" w:rsidRDefault="004C121A" w:rsidP="004C121A">
            <w:pPr>
              <w:spacing w:before="0" w:after="0" w:line="240" w:lineRule="auto"/>
              <w:jc w:val="right"/>
              <w:rPr>
                <w:rFonts w:ascii="Arial" w:hAnsi="Arial" w:cs="Arial"/>
                <w:b/>
                <w:bCs/>
                <w:color w:val="000000"/>
                <w:sz w:val="16"/>
                <w:szCs w:val="16"/>
              </w:rPr>
            </w:pPr>
            <w:r w:rsidRPr="004C121A">
              <w:rPr>
                <w:rFonts w:ascii="Arial" w:hAnsi="Arial" w:cs="Arial"/>
                <w:b/>
                <w:bCs/>
                <w:color w:val="000000"/>
                <w:sz w:val="16"/>
                <w:szCs w:val="16"/>
              </w:rPr>
              <w:t>-13,918</w:t>
            </w:r>
          </w:p>
        </w:tc>
        <w:tc>
          <w:tcPr>
            <w:tcW w:w="507" w:type="pct"/>
            <w:tcBorders>
              <w:top w:val="nil"/>
              <w:left w:val="nil"/>
              <w:bottom w:val="nil"/>
              <w:right w:val="nil"/>
            </w:tcBorders>
            <w:shd w:val="clear" w:color="000000" w:fill="FFFFFF"/>
            <w:noWrap/>
            <w:vAlign w:val="bottom"/>
            <w:hideMark/>
          </w:tcPr>
          <w:p w14:paraId="4E8F9ADA" w14:textId="77777777" w:rsidR="004C121A" w:rsidRPr="004C121A" w:rsidRDefault="004C121A" w:rsidP="004C121A">
            <w:pPr>
              <w:spacing w:before="0" w:after="0" w:line="240" w:lineRule="auto"/>
              <w:jc w:val="right"/>
              <w:rPr>
                <w:rFonts w:ascii="Arial" w:hAnsi="Arial" w:cs="Arial"/>
                <w:b/>
                <w:bCs/>
                <w:color w:val="000000"/>
                <w:sz w:val="16"/>
                <w:szCs w:val="16"/>
              </w:rPr>
            </w:pPr>
            <w:r w:rsidRPr="004C121A">
              <w:rPr>
                <w:rFonts w:ascii="Arial" w:hAnsi="Arial" w:cs="Arial"/>
                <w:b/>
                <w:bCs/>
                <w:color w:val="000000"/>
                <w:sz w:val="16"/>
                <w:szCs w:val="16"/>
              </w:rPr>
              <w:t>-35,058</w:t>
            </w:r>
          </w:p>
        </w:tc>
        <w:tc>
          <w:tcPr>
            <w:tcW w:w="507" w:type="pct"/>
            <w:tcBorders>
              <w:top w:val="nil"/>
              <w:left w:val="nil"/>
              <w:bottom w:val="nil"/>
              <w:right w:val="nil"/>
            </w:tcBorders>
            <w:shd w:val="clear" w:color="000000" w:fill="FFFFFF"/>
            <w:noWrap/>
            <w:vAlign w:val="bottom"/>
            <w:hideMark/>
          </w:tcPr>
          <w:p w14:paraId="76346C77" w14:textId="77777777" w:rsidR="004C121A" w:rsidRPr="004C121A" w:rsidRDefault="004C121A" w:rsidP="004C121A">
            <w:pPr>
              <w:spacing w:before="0" w:after="0" w:line="240" w:lineRule="auto"/>
              <w:jc w:val="right"/>
              <w:rPr>
                <w:rFonts w:ascii="Arial" w:hAnsi="Arial" w:cs="Arial"/>
                <w:b/>
                <w:bCs/>
                <w:color w:val="000000"/>
                <w:sz w:val="16"/>
                <w:szCs w:val="16"/>
              </w:rPr>
            </w:pPr>
            <w:r w:rsidRPr="004C121A">
              <w:rPr>
                <w:rFonts w:ascii="Arial" w:hAnsi="Arial" w:cs="Arial"/>
                <w:b/>
                <w:bCs/>
                <w:color w:val="000000"/>
                <w:sz w:val="16"/>
                <w:szCs w:val="16"/>
              </w:rPr>
              <w:t>-36,627</w:t>
            </w:r>
          </w:p>
        </w:tc>
        <w:tc>
          <w:tcPr>
            <w:tcW w:w="507" w:type="pct"/>
            <w:tcBorders>
              <w:top w:val="nil"/>
              <w:left w:val="nil"/>
              <w:bottom w:val="nil"/>
              <w:right w:val="nil"/>
            </w:tcBorders>
            <w:shd w:val="clear" w:color="000000" w:fill="FFFFFF"/>
            <w:noWrap/>
            <w:vAlign w:val="bottom"/>
            <w:hideMark/>
          </w:tcPr>
          <w:p w14:paraId="5432182D" w14:textId="77777777" w:rsidR="004C121A" w:rsidRPr="004C121A" w:rsidRDefault="004C121A" w:rsidP="004C121A">
            <w:pPr>
              <w:spacing w:before="0" w:after="0" w:line="240" w:lineRule="auto"/>
              <w:jc w:val="right"/>
              <w:rPr>
                <w:rFonts w:ascii="Arial" w:hAnsi="Arial" w:cs="Arial"/>
                <w:b/>
                <w:bCs/>
                <w:color w:val="000000"/>
                <w:sz w:val="16"/>
                <w:szCs w:val="16"/>
              </w:rPr>
            </w:pPr>
            <w:r w:rsidRPr="004C121A">
              <w:rPr>
                <w:rFonts w:ascii="Arial" w:hAnsi="Arial" w:cs="Arial"/>
                <w:b/>
                <w:bCs/>
                <w:color w:val="000000"/>
                <w:sz w:val="16"/>
                <w:szCs w:val="16"/>
              </w:rPr>
              <w:t>-28,450</w:t>
            </w:r>
          </w:p>
        </w:tc>
        <w:tc>
          <w:tcPr>
            <w:tcW w:w="48" w:type="pct"/>
            <w:tcBorders>
              <w:top w:val="nil"/>
              <w:left w:val="nil"/>
              <w:bottom w:val="nil"/>
              <w:right w:val="nil"/>
            </w:tcBorders>
            <w:shd w:val="clear" w:color="000000" w:fill="FFFFFF"/>
            <w:noWrap/>
            <w:vAlign w:val="bottom"/>
            <w:hideMark/>
          </w:tcPr>
          <w:p w14:paraId="20D6556F" w14:textId="77777777" w:rsidR="004C121A" w:rsidRPr="004C121A" w:rsidRDefault="004C121A" w:rsidP="004C121A">
            <w:pPr>
              <w:spacing w:before="0" w:after="0" w:line="240" w:lineRule="auto"/>
              <w:rPr>
                <w:rFonts w:ascii="Arial" w:hAnsi="Arial" w:cs="Arial"/>
                <w:b/>
                <w:bCs/>
                <w:color w:val="000000"/>
                <w:sz w:val="16"/>
                <w:szCs w:val="16"/>
              </w:rPr>
            </w:pPr>
            <w:r w:rsidRPr="004C121A">
              <w:rPr>
                <w:rFonts w:ascii="Arial" w:hAnsi="Arial" w:cs="Arial"/>
                <w:b/>
                <w:bCs/>
                <w:color w:val="000000"/>
                <w:sz w:val="16"/>
                <w:szCs w:val="16"/>
              </w:rPr>
              <w:t> </w:t>
            </w:r>
          </w:p>
        </w:tc>
        <w:tc>
          <w:tcPr>
            <w:tcW w:w="515" w:type="pct"/>
            <w:tcBorders>
              <w:top w:val="nil"/>
              <w:left w:val="nil"/>
              <w:bottom w:val="nil"/>
              <w:right w:val="nil"/>
            </w:tcBorders>
            <w:shd w:val="clear" w:color="000000" w:fill="FFFFFF"/>
            <w:noWrap/>
            <w:vAlign w:val="bottom"/>
            <w:hideMark/>
          </w:tcPr>
          <w:p w14:paraId="59984A0E" w14:textId="77777777" w:rsidR="004C121A" w:rsidRPr="004C121A" w:rsidRDefault="004C121A" w:rsidP="004C121A">
            <w:pPr>
              <w:spacing w:before="0" w:after="0" w:line="240" w:lineRule="auto"/>
              <w:jc w:val="right"/>
              <w:rPr>
                <w:rFonts w:ascii="Arial" w:hAnsi="Arial" w:cs="Arial"/>
                <w:b/>
                <w:bCs/>
                <w:color w:val="000000"/>
                <w:sz w:val="16"/>
                <w:szCs w:val="16"/>
              </w:rPr>
            </w:pPr>
            <w:r w:rsidRPr="004C121A">
              <w:rPr>
                <w:rFonts w:ascii="Arial" w:hAnsi="Arial" w:cs="Arial"/>
                <w:b/>
                <w:bCs/>
                <w:color w:val="000000"/>
                <w:sz w:val="16"/>
                <w:szCs w:val="16"/>
              </w:rPr>
              <w:t>-109,852</w:t>
            </w:r>
          </w:p>
        </w:tc>
      </w:tr>
      <w:tr w:rsidR="004C121A" w:rsidRPr="004C121A" w14:paraId="75A12062"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27703ABC" w14:textId="77777777" w:rsidR="004C121A" w:rsidRPr="004C121A" w:rsidRDefault="004C121A" w:rsidP="004C121A">
            <w:pPr>
              <w:spacing w:before="0" w:after="0" w:line="240" w:lineRule="auto"/>
              <w:rPr>
                <w:rFonts w:ascii="Arial" w:hAnsi="Arial" w:cs="Arial"/>
                <w:b/>
                <w:bCs/>
                <w:color w:val="000000"/>
                <w:sz w:val="16"/>
                <w:szCs w:val="16"/>
              </w:rPr>
            </w:pPr>
            <w:r w:rsidRPr="004C121A">
              <w:rPr>
                <w:rFonts w:ascii="Arial" w:hAnsi="Arial" w:cs="Arial"/>
                <w:b/>
                <w:bCs/>
                <w:i/>
                <w:iCs/>
                <w:color w:val="000000"/>
                <w:sz w:val="16"/>
                <w:szCs w:val="16"/>
              </w:rPr>
              <w:t>plus</w:t>
            </w:r>
            <w:r w:rsidRPr="004C121A">
              <w:rPr>
                <w:rFonts w:ascii="Arial" w:hAnsi="Arial" w:cs="Arial"/>
                <w:b/>
                <w:bCs/>
                <w:color w:val="000000"/>
                <w:sz w:val="16"/>
                <w:szCs w:val="16"/>
              </w:rPr>
              <w:t xml:space="preserve"> Net cash flows from </w:t>
            </w:r>
          </w:p>
        </w:tc>
        <w:tc>
          <w:tcPr>
            <w:tcW w:w="507" w:type="pct"/>
            <w:tcBorders>
              <w:top w:val="nil"/>
              <w:left w:val="nil"/>
              <w:bottom w:val="nil"/>
              <w:right w:val="nil"/>
            </w:tcBorders>
            <w:shd w:val="clear" w:color="000000" w:fill="FFFFFF"/>
            <w:noWrap/>
            <w:vAlign w:val="bottom"/>
            <w:hideMark/>
          </w:tcPr>
          <w:p w14:paraId="1789F9B8" w14:textId="77777777" w:rsidR="004C121A" w:rsidRPr="004C121A" w:rsidRDefault="004C121A" w:rsidP="004C121A">
            <w:pPr>
              <w:spacing w:before="0" w:after="0" w:line="240" w:lineRule="auto"/>
              <w:rPr>
                <w:rFonts w:ascii="Arial" w:hAnsi="Arial" w:cs="Arial"/>
                <w:b/>
                <w:bCs/>
                <w:color w:val="000000"/>
                <w:sz w:val="16"/>
                <w:szCs w:val="16"/>
              </w:rPr>
            </w:pPr>
            <w:r w:rsidRPr="004C121A">
              <w:rPr>
                <w:rFonts w:ascii="Arial" w:hAnsi="Arial" w:cs="Arial"/>
                <w:b/>
                <w:bCs/>
                <w:color w:val="000000"/>
                <w:sz w:val="16"/>
                <w:szCs w:val="16"/>
              </w:rPr>
              <w:t> </w:t>
            </w:r>
          </w:p>
        </w:tc>
        <w:tc>
          <w:tcPr>
            <w:tcW w:w="507" w:type="pct"/>
            <w:tcBorders>
              <w:top w:val="nil"/>
              <w:left w:val="nil"/>
              <w:bottom w:val="nil"/>
              <w:right w:val="nil"/>
            </w:tcBorders>
            <w:shd w:val="clear" w:color="000000" w:fill="E6F2FF"/>
            <w:noWrap/>
            <w:vAlign w:val="bottom"/>
            <w:hideMark/>
          </w:tcPr>
          <w:p w14:paraId="233DBCE5" w14:textId="77777777" w:rsidR="004C121A" w:rsidRPr="004C121A" w:rsidRDefault="004C121A" w:rsidP="004C121A">
            <w:pPr>
              <w:spacing w:before="0" w:after="0" w:line="240" w:lineRule="auto"/>
              <w:rPr>
                <w:rFonts w:ascii="Arial" w:hAnsi="Arial" w:cs="Arial"/>
                <w:b/>
                <w:bCs/>
                <w:color w:val="000000"/>
                <w:sz w:val="16"/>
                <w:szCs w:val="16"/>
              </w:rPr>
            </w:pPr>
            <w:r w:rsidRPr="004C121A">
              <w:rPr>
                <w:rFonts w:ascii="Arial" w:hAnsi="Arial" w:cs="Arial"/>
                <w:b/>
                <w:bCs/>
                <w:color w:val="000000"/>
                <w:sz w:val="16"/>
                <w:szCs w:val="16"/>
              </w:rPr>
              <w:t> </w:t>
            </w:r>
          </w:p>
        </w:tc>
        <w:tc>
          <w:tcPr>
            <w:tcW w:w="507" w:type="pct"/>
            <w:tcBorders>
              <w:top w:val="nil"/>
              <w:left w:val="nil"/>
              <w:bottom w:val="nil"/>
              <w:right w:val="nil"/>
            </w:tcBorders>
            <w:shd w:val="clear" w:color="000000" w:fill="FFFFFF"/>
            <w:noWrap/>
            <w:vAlign w:val="bottom"/>
            <w:hideMark/>
          </w:tcPr>
          <w:p w14:paraId="128467C0" w14:textId="77777777" w:rsidR="004C121A" w:rsidRPr="004C121A" w:rsidRDefault="004C121A" w:rsidP="004C121A">
            <w:pPr>
              <w:spacing w:before="0" w:after="0" w:line="240" w:lineRule="auto"/>
              <w:rPr>
                <w:rFonts w:ascii="Arial" w:hAnsi="Arial" w:cs="Arial"/>
                <w:b/>
                <w:bCs/>
                <w:color w:val="000000"/>
                <w:sz w:val="16"/>
                <w:szCs w:val="16"/>
              </w:rPr>
            </w:pPr>
            <w:r w:rsidRPr="004C121A">
              <w:rPr>
                <w:rFonts w:ascii="Arial" w:hAnsi="Arial" w:cs="Arial"/>
                <w:b/>
                <w:bCs/>
                <w:color w:val="000000"/>
                <w:sz w:val="16"/>
                <w:szCs w:val="16"/>
              </w:rPr>
              <w:t> </w:t>
            </w:r>
          </w:p>
        </w:tc>
        <w:tc>
          <w:tcPr>
            <w:tcW w:w="507" w:type="pct"/>
            <w:tcBorders>
              <w:top w:val="nil"/>
              <w:left w:val="nil"/>
              <w:bottom w:val="nil"/>
              <w:right w:val="nil"/>
            </w:tcBorders>
            <w:shd w:val="clear" w:color="000000" w:fill="FFFFFF"/>
            <w:noWrap/>
            <w:vAlign w:val="bottom"/>
            <w:hideMark/>
          </w:tcPr>
          <w:p w14:paraId="7C8CD9F5" w14:textId="77777777" w:rsidR="004C121A" w:rsidRPr="004C121A" w:rsidRDefault="004C121A" w:rsidP="004C121A">
            <w:pPr>
              <w:spacing w:before="0" w:after="0" w:line="240" w:lineRule="auto"/>
              <w:rPr>
                <w:rFonts w:ascii="Arial" w:hAnsi="Arial" w:cs="Arial"/>
                <w:b/>
                <w:bCs/>
                <w:color w:val="000000"/>
                <w:sz w:val="16"/>
                <w:szCs w:val="16"/>
              </w:rPr>
            </w:pPr>
            <w:r w:rsidRPr="004C121A">
              <w:rPr>
                <w:rFonts w:ascii="Arial" w:hAnsi="Arial" w:cs="Arial"/>
                <w:b/>
                <w:bCs/>
                <w:color w:val="000000"/>
                <w:sz w:val="16"/>
                <w:szCs w:val="16"/>
              </w:rPr>
              <w:t> </w:t>
            </w:r>
          </w:p>
        </w:tc>
        <w:tc>
          <w:tcPr>
            <w:tcW w:w="507" w:type="pct"/>
            <w:tcBorders>
              <w:top w:val="nil"/>
              <w:left w:val="nil"/>
              <w:bottom w:val="nil"/>
              <w:right w:val="nil"/>
            </w:tcBorders>
            <w:shd w:val="clear" w:color="000000" w:fill="FFFFFF"/>
            <w:noWrap/>
            <w:vAlign w:val="bottom"/>
            <w:hideMark/>
          </w:tcPr>
          <w:p w14:paraId="42928876" w14:textId="77777777" w:rsidR="004C121A" w:rsidRPr="004C121A" w:rsidRDefault="004C121A" w:rsidP="004C121A">
            <w:pPr>
              <w:spacing w:before="0" w:after="0" w:line="240" w:lineRule="auto"/>
              <w:rPr>
                <w:rFonts w:ascii="Arial" w:hAnsi="Arial" w:cs="Arial"/>
                <w:b/>
                <w:bCs/>
                <w:color w:val="000000"/>
                <w:sz w:val="16"/>
                <w:szCs w:val="16"/>
              </w:rPr>
            </w:pPr>
            <w:r w:rsidRPr="004C121A">
              <w:rPr>
                <w:rFonts w:ascii="Arial" w:hAnsi="Arial" w:cs="Arial"/>
                <w:b/>
                <w:bCs/>
                <w:color w:val="000000"/>
                <w:sz w:val="16"/>
                <w:szCs w:val="16"/>
              </w:rPr>
              <w:t> </w:t>
            </w:r>
          </w:p>
        </w:tc>
        <w:tc>
          <w:tcPr>
            <w:tcW w:w="48" w:type="pct"/>
            <w:tcBorders>
              <w:top w:val="nil"/>
              <w:left w:val="nil"/>
              <w:bottom w:val="nil"/>
              <w:right w:val="nil"/>
            </w:tcBorders>
            <w:shd w:val="clear" w:color="000000" w:fill="FFFFFF"/>
            <w:noWrap/>
            <w:vAlign w:val="bottom"/>
            <w:hideMark/>
          </w:tcPr>
          <w:p w14:paraId="0A89E578" w14:textId="77777777" w:rsidR="004C121A" w:rsidRPr="004C121A" w:rsidRDefault="004C121A" w:rsidP="004C121A">
            <w:pPr>
              <w:spacing w:before="0" w:after="0" w:line="240" w:lineRule="auto"/>
              <w:rPr>
                <w:rFonts w:ascii="Arial" w:hAnsi="Arial" w:cs="Arial"/>
                <w:b/>
                <w:bCs/>
                <w:color w:val="000000"/>
                <w:sz w:val="16"/>
                <w:szCs w:val="16"/>
              </w:rPr>
            </w:pPr>
            <w:r w:rsidRPr="004C121A">
              <w:rPr>
                <w:rFonts w:ascii="Arial" w:hAnsi="Arial" w:cs="Arial"/>
                <w:b/>
                <w:bCs/>
                <w:color w:val="000000"/>
                <w:sz w:val="16"/>
                <w:szCs w:val="16"/>
              </w:rPr>
              <w:t> </w:t>
            </w:r>
          </w:p>
        </w:tc>
        <w:tc>
          <w:tcPr>
            <w:tcW w:w="515" w:type="pct"/>
            <w:tcBorders>
              <w:top w:val="nil"/>
              <w:left w:val="nil"/>
              <w:bottom w:val="nil"/>
              <w:right w:val="nil"/>
            </w:tcBorders>
            <w:shd w:val="clear" w:color="000000" w:fill="FFFFFF"/>
            <w:noWrap/>
            <w:vAlign w:val="bottom"/>
            <w:hideMark/>
          </w:tcPr>
          <w:p w14:paraId="6734F4D3" w14:textId="77777777" w:rsidR="004C121A" w:rsidRPr="004C121A" w:rsidRDefault="004C121A" w:rsidP="004C121A">
            <w:pPr>
              <w:spacing w:before="0" w:after="0" w:line="240" w:lineRule="auto"/>
              <w:rPr>
                <w:rFonts w:ascii="Arial" w:hAnsi="Arial" w:cs="Arial"/>
                <w:b/>
                <w:bCs/>
                <w:color w:val="000000"/>
                <w:sz w:val="16"/>
                <w:szCs w:val="16"/>
              </w:rPr>
            </w:pPr>
            <w:r w:rsidRPr="004C121A">
              <w:rPr>
                <w:rFonts w:ascii="Arial" w:hAnsi="Arial" w:cs="Arial"/>
                <w:b/>
                <w:bCs/>
                <w:color w:val="000000"/>
                <w:sz w:val="16"/>
                <w:szCs w:val="16"/>
              </w:rPr>
              <w:t> </w:t>
            </w:r>
          </w:p>
        </w:tc>
      </w:tr>
      <w:tr w:rsidR="004C121A" w:rsidRPr="004C121A" w14:paraId="4B62F0D7"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416458B8" w14:textId="77777777" w:rsidR="004C121A" w:rsidRPr="004C121A" w:rsidRDefault="004C121A" w:rsidP="004C121A">
            <w:pPr>
              <w:spacing w:before="0" w:after="0" w:line="240" w:lineRule="auto"/>
              <w:ind w:left="170"/>
              <w:rPr>
                <w:rFonts w:ascii="Arial" w:hAnsi="Arial" w:cs="Arial"/>
                <w:b/>
                <w:bCs/>
                <w:color w:val="000000"/>
                <w:sz w:val="16"/>
                <w:szCs w:val="16"/>
              </w:rPr>
            </w:pPr>
            <w:r w:rsidRPr="004C121A">
              <w:rPr>
                <w:rFonts w:ascii="Arial" w:hAnsi="Arial" w:cs="Arial"/>
                <w:b/>
                <w:bCs/>
                <w:color w:val="000000"/>
                <w:sz w:val="16"/>
                <w:szCs w:val="16"/>
              </w:rPr>
              <w:t xml:space="preserve">investments in financial </w:t>
            </w:r>
          </w:p>
        </w:tc>
        <w:tc>
          <w:tcPr>
            <w:tcW w:w="507" w:type="pct"/>
            <w:tcBorders>
              <w:top w:val="nil"/>
              <w:left w:val="nil"/>
              <w:bottom w:val="nil"/>
              <w:right w:val="nil"/>
            </w:tcBorders>
            <w:shd w:val="clear" w:color="000000" w:fill="FFFFFF"/>
            <w:noWrap/>
            <w:vAlign w:val="bottom"/>
            <w:hideMark/>
          </w:tcPr>
          <w:p w14:paraId="41AC7445"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E6F2FF"/>
            <w:noWrap/>
            <w:vAlign w:val="bottom"/>
            <w:hideMark/>
          </w:tcPr>
          <w:p w14:paraId="0FF54459"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4F4BD689"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2B721532"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52A3E752"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48" w:type="pct"/>
            <w:tcBorders>
              <w:top w:val="nil"/>
              <w:left w:val="nil"/>
              <w:bottom w:val="nil"/>
              <w:right w:val="nil"/>
            </w:tcBorders>
            <w:shd w:val="clear" w:color="000000" w:fill="FFFFFF"/>
            <w:noWrap/>
            <w:vAlign w:val="bottom"/>
            <w:hideMark/>
          </w:tcPr>
          <w:p w14:paraId="74EE0B8E"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6B3E2D76"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r>
      <w:tr w:rsidR="004C121A" w:rsidRPr="004C121A" w14:paraId="272382CB"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2DBE5461" w14:textId="77777777" w:rsidR="004C121A" w:rsidRPr="004C121A" w:rsidRDefault="004C121A" w:rsidP="004C121A">
            <w:pPr>
              <w:spacing w:before="0" w:after="0" w:line="240" w:lineRule="auto"/>
              <w:ind w:left="170"/>
              <w:rPr>
                <w:rFonts w:ascii="Arial" w:hAnsi="Arial" w:cs="Arial"/>
                <w:b/>
                <w:bCs/>
                <w:color w:val="000000"/>
                <w:sz w:val="16"/>
                <w:szCs w:val="16"/>
              </w:rPr>
            </w:pPr>
            <w:r w:rsidRPr="004C121A">
              <w:rPr>
                <w:rFonts w:ascii="Arial" w:hAnsi="Arial" w:cs="Arial"/>
                <w:b/>
                <w:bCs/>
                <w:color w:val="000000"/>
                <w:sz w:val="16"/>
                <w:szCs w:val="16"/>
              </w:rPr>
              <w:t>assets for policy purposes(a)</w:t>
            </w:r>
          </w:p>
        </w:tc>
        <w:tc>
          <w:tcPr>
            <w:tcW w:w="507" w:type="pct"/>
            <w:tcBorders>
              <w:top w:val="nil"/>
              <w:left w:val="nil"/>
              <w:bottom w:val="nil"/>
              <w:right w:val="nil"/>
            </w:tcBorders>
            <w:shd w:val="clear" w:color="000000" w:fill="FFFFFF"/>
            <w:noWrap/>
            <w:vAlign w:val="bottom"/>
            <w:hideMark/>
          </w:tcPr>
          <w:p w14:paraId="79B7D2C5"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E6F2FF"/>
            <w:noWrap/>
            <w:vAlign w:val="bottom"/>
            <w:hideMark/>
          </w:tcPr>
          <w:p w14:paraId="1C1DBEFD"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3C34A748"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4B0257E9"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33F36EEB"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48" w:type="pct"/>
            <w:tcBorders>
              <w:top w:val="nil"/>
              <w:left w:val="nil"/>
              <w:bottom w:val="nil"/>
              <w:right w:val="nil"/>
            </w:tcBorders>
            <w:shd w:val="clear" w:color="000000" w:fill="FFFFFF"/>
            <w:noWrap/>
            <w:vAlign w:val="bottom"/>
            <w:hideMark/>
          </w:tcPr>
          <w:p w14:paraId="1CF30F14"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339646B6"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r>
      <w:tr w:rsidR="004C121A" w:rsidRPr="004C121A" w14:paraId="335EC935"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185D74F3" w14:textId="77777777" w:rsidR="004C121A" w:rsidRPr="004C121A" w:rsidRDefault="004C121A" w:rsidP="004C121A">
            <w:pPr>
              <w:spacing w:before="0" w:after="0" w:line="240" w:lineRule="auto"/>
              <w:ind w:left="340"/>
              <w:rPr>
                <w:rFonts w:ascii="Arial" w:hAnsi="Arial" w:cs="Arial"/>
                <w:color w:val="000000"/>
                <w:sz w:val="16"/>
                <w:szCs w:val="16"/>
              </w:rPr>
            </w:pPr>
            <w:r w:rsidRPr="004C121A">
              <w:rPr>
                <w:rFonts w:ascii="Arial" w:hAnsi="Arial" w:cs="Arial"/>
                <w:color w:val="000000"/>
                <w:sz w:val="16"/>
                <w:szCs w:val="16"/>
              </w:rPr>
              <w:t>Student loans</w:t>
            </w:r>
          </w:p>
        </w:tc>
        <w:tc>
          <w:tcPr>
            <w:tcW w:w="507" w:type="pct"/>
            <w:tcBorders>
              <w:top w:val="nil"/>
              <w:left w:val="nil"/>
              <w:bottom w:val="nil"/>
              <w:right w:val="nil"/>
            </w:tcBorders>
            <w:shd w:val="clear" w:color="000000" w:fill="FFFFFF"/>
            <w:noWrap/>
            <w:vAlign w:val="bottom"/>
            <w:hideMark/>
          </w:tcPr>
          <w:p w14:paraId="545C4187"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-2,495</w:t>
            </w:r>
          </w:p>
        </w:tc>
        <w:tc>
          <w:tcPr>
            <w:tcW w:w="507" w:type="pct"/>
            <w:tcBorders>
              <w:top w:val="nil"/>
              <w:left w:val="nil"/>
              <w:bottom w:val="nil"/>
              <w:right w:val="nil"/>
            </w:tcBorders>
            <w:shd w:val="clear" w:color="000000" w:fill="E6F2FF"/>
            <w:noWrap/>
            <w:vAlign w:val="bottom"/>
            <w:hideMark/>
          </w:tcPr>
          <w:p w14:paraId="724ABB2C"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-3,468</w:t>
            </w:r>
          </w:p>
        </w:tc>
        <w:tc>
          <w:tcPr>
            <w:tcW w:w="507" w:type="pct"/>
            <w:tcBorders>
              <w:top w:val="nil"/>
              <w:left w:val="nil"/>
              <w:bottom w:val="nil"/>
              <w:right w:val="nil"/>
            </w:tcBorders>
            <w:shd w:val="clear" w:color="000000" w:fill="FFFFFF"/>
            <w:noWrap/>
            <w:vAlign w:val="bottom"/>
            <w:hideMark/>
          </w:tcPr>
          <w:p w14:paraId="37FB6CBD"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-4,372</w:t>
            </w:r>
          </w:p>
        </w:tc>
        <w:tc>
          <w:tcPr>
            <w:tcW w:w="507" w:type="pct"/>
            <w:tcBorders>
              <w:top w:val="nil"/>
              <w:left w:val="nil"/>
              <w:bottom w:val="nil"/>
              <w:right w:val="nil"/>
            </w:tcBorders>
            <w:shd w:val="clear" w:color="000000" w:fill="FFFFFF"/>
            <w:noWrap/>
            <w:vAlign w:val="bottom"/>
            <w:hideMark/>
          </w:tcPr>
          <w:p w14:paraId="43875BE9"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-4,576</w:t>
            </w:r>
          </w:p>
        </w:tc>
        <w:tc>
          <w:tcPr>
            <w:tcW w:w="507" w:type="pct"/>
            <w:tcBorders>
              <w:top w:val="nil"/>
              <w:left w:val="nil"/>
              <w:bottom w:val="nil"/>
              <w:right w:val="nil"/>
            </w:tcBorders>
            <w:shd w:val="clear" w:color="000000" w:fill="FFFFFF"/>
            <w:noWrap/>
            <w:vAlign w:val="bottom"/>
            <w:hideMark/>
          </w:tcPr>
          <w:p w14:paraId="3ADDDDE6"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-4,697</w:t>
            </w:r>
          </w:p>
        </w:tc>
        <w:tc>
          <w:tcPr>
            <w:tcW w:w="48" w:type="pct"/>
            <w:tcBorders>
              <w:top w:val="nil"/>
              <w:left w:val="nil"/>
              <w:bottom w:val="nil"/>
              <w:right w:val="nil"/>
            </w:tcBorders>
            <w:shd w:val="clear" w:color="000000" w:fill="FFFFFF"/>
            <w:noWrap/>
            <w:vAlign w:val="bottom"/>
            <w:hideMark/>
          </w:tcPr>
          <w:p w14:paraId="6C969BBD"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68E1A409"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-19,608</w:t>
            </w:r>
          </w:p>
        </w:tc>
      </w:tr>
      <w:tr w:rsidR="004C121A" w:rsidRPr="004C121A" w14:paraId="1B752B11"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5659CB39" w14:textId="77777777" w:rsidR="004C121A" w:rsidRPr="004C121A" w:rsidRDefault="004C121A" w:rsidP="004C121A">
            <w:pPr>
              <w:spacing w:before="0" w:after="0" w:line="240" w:lineRule="auto"/>
              <w:ind w:left="340"/>
              <w:rPr>
                <w:rFonts w:ascii="Arial" w:hAnsi="Arial" w:cs="Arial"/>
                <w:color w:val="000000"/>
                <w:sz w:val="16"/>
                <w:szCs w:val="16"/>
              </w:rPr>
            </w:pPr>
            <w:r w:rsidRPr="004C121A">
              <w:rPr>
                <w:rFonts w:ascii="Arial" w:hAnsi="Arial" w:cs="Arial"/>
                <w:color w:val="000000"/>
                <w:sz w:val="16"/>
                <w:szCs w:val="16"/>
              </w:rPr>
              <w:t>NBN loan(b)</w:t>
            </w:r>
          </w:p>
        </w:tc>
        <w:tc>
          <w:tcPr>
            <w:tcW w:w="507" w:type="pct"/>
            <w:tcBorders>
              <w:top w:val="nil"/>
              <w:left w:val="nil"/>
              <w:bottom w:val="nil"/>
              <w:right w:val="nil"/>
            </w:tcBorders>
            <w:shd w:val="clear" w:color="000000" w:fill="FFFFFF"/>
            <w:noWrap/>
            <w:vAlign w:val="bottom"/>
            <w:hideMark/>
          </w:tcPr>
          <w:p w14:paraId="4DD622CC"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875</w:t>
            </w:r>
          </w:p>
        </w:tc>
        <w:tc>
          <w:tcPr>
            <w:tcW w:w="507" w:type="pct"/>
            <w:tcBorders>
              <w:top w:val="nil"/>
              <w:left w:val="nil"/>
              <w:bottom w:val="nil"/>
              <w:right w:val="nil"/>
            </w:tcBorders>
            <w:shd w:val="clear" w:color="000000" w:fill="E6F2FF"/>
            <w:noWrap/>
            <w:vAlign w:val="bottom"/>
            <w:hideMark/>
          </w:tcPr>
          <w:p w14:paraId="2B01C4D3"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5,500</w:t>
            </w:r>
          </w:p>
        </w:tc>
        <w:tc>
          <w:tcPr>
            <w:tcW w:w="507" w:type="pct"/>
            <w:tcBorders>
              <w:top w:val="nil"/>
              <w:left w:val="nil"/>
              <w:bottom w:val="nil"/>
              <w:right w:val="nil"/>
            </w:tcBorders>
            <w:shd w:val="clear" w:color="000000" w:fill="FFFFFF"/>
            <w:noWrap/>
            <w:vAlign w:val="bottom"/>
            <w:hideMark/>
          </w:tcPr>
          <w:p w14:paraId="7DE8AEE3"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0</w:t>
            </w:r>
          </w:p>
        </w:tc>
        <w:tc>
          <w:tcPr>
            <w:tcW w:w="507" w:type="pct"/>
            <w:tcBorders>
              <w:top w:val="nil"/>
              <w:left w:val="nil"/>
              <w:bottom w:val="nil"/>
              <w:right w:val="nil"/>
            </w:tcBorders>
            <w:shd w:val="clear" w:color="000000" w:fill="FFFFFF"/>
            <w:noWrap/>
            <w:vAlign w:val="bottom"/>
            <w:hideMark/>
          </w:tcPr>
          <w:p w14:paraId="628A2B4E"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0</w:t>
            </w:r>
          </w:p>
        </w:tc>
        <w:tc>
          <w:tcPr>
            <w:tcW w:w="507" w:type="pct"/>
            <w:tcBorders>
              <w:top w:val="nil"/>
              <w:left w:val="nil"/>
              <w:bottom w:val="nil"/>
              <w:right w:val="nil"/>
            </w:tcBorders>
            <w:shd w:val="clear" w:color="000000" w:fill="FFFFFF"/>
            <w:noWrap/>
            <w:vAlign w:val="bottom"/>
            <w:hideMark/>
          </w:tcPr>
          <w:p w14:paraId="69AC3E74"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0</w:t>
            </w:r>
          </w:p>
        </w:tc>
        <w:tc>
          <w:tcPr>
            <w:tcW w:w="48" w:type="pct"/>
            <w:tcBorders>
              <w:top w:val="nil"/>
              <w:left w:val="nil"/>
              <w:bottom w:val="nil"/>
              <w:right w:val="nil"/>
            </w:tcBorders>
            <w:shd w:val="clear" w:color="000000" w:fill="FFFFFF"/>
            <w:noWrap/>
            <w:vAlign w:val="bottom"/>
            <w:hideMark/>
          </w:tcPr>
          <w:p w14:paraId="0FE4D04B"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58179327"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6,375</w:t>
            </w:r>
          </w:p>
        </w:tc>
      </w:tr>
      <w:tr w:rsidR="004C121A" w:rsidRPr="004C121A" w14:paraId="1BD29969"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7901F43A" w14:textId="77777777" w:rsidR="004C121A" w:rsidRPr="004C121A" w:rsidRDefault="004C121A" w:rsidP="004C121A">
            <w:pPr>
              <w:spacing w:before="0" w:after="0" w:line="240" w:lineRule="auto"/>
              <w:ind w:left="340"/>
              <w:rPr>
                <w:rFonts w:ascii="Arial" w:hAnsi="Arial" w:cs="Arial"/>
                <w:color w:val="000000"/>
                <w:sz w:val="16"/>
                <w:szCs w:val="16"/>
              </w:rPr>
            </w:pPr>
            <w:r w:rsidRPr="004C121A">
              <w:rPr>
                <w:rFonts w:ascii="Arial" w:hAnsi="Arial" w:cs="Arial"/>
                <w:color w:val="000000"/>
                <w:sz w:val="16"/>
                <w:szCs w:val="16"/>
              </w:rPr>
              <w:t>NBN investment</w:t>
            </w:r>
          </w:p>
        </w:tc>
        <w:tc>
          <w:tcPr>
            <w:tcW w:w="507" w:type="pct"/>
            <w:tcBorders>
              <w:top w:val="nil"/>
              <w:left w:val="nil"/>
              <w:bottom w:val="nil"/>
              <w:right w:val="nil"/>
            </w:tcBorders>
            <w:shd w:val="clear" w:color="000000" w:fill="FFFFFF"/>
            <w:noWrap/>
            <w:vAlign w:val="bottom"/>
            <w:hideMark/>
          </w:tcPr>
          <w:p w14:paraId="5B035918"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-328</w:t>
            </w:r>
          </w:p>
        </w:tc>
        <w:tc>
          <w:tcPr>
            <w:tcW w:w="507" w:type="pct"/>
            <w:tcBorders>
              <w:top w:val="nil"/>
              <w:left w:val="nil"/>
              <w:bottom w:val="nil"/>
              <w:right w:val="nil"/>
            </w:tcBorders>
            <w:shd w:val="clear" w:color="000000" w:fill="E6F2FF"/>
            <w:noWrap/>
            <w:vAlign w:val="bottom"/>
            <w:hideMark/>
          </w:tcPr>
          <w:p w14:paraId="2A7DC9A8"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-748</w:t>
            </w:r>
          </w:p>
        </w:tc>
        <w:tc>
          <w:tcPr>
            <w:tcW w:w="507" w:type="pct"/>
            <w:tcBorders>
              <w:top w:val="nil"/>
              <w:left w:val="nil"/>
              <w:bottom w:val="nil"/>
              <w:right w:val="nil"/>
            </w:tcBorders>
            <w:shd w:val="clear" w:color="000000" w:fill="FFFFFF"/>
            <w:noWrap/>
            <w:vAlign w:val="bottom"/>
            <w:hideMark/>
          </w:tcPr>
          <w:p w14:paraId="36AE0700"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-1,016</w:t>
            </w:r>
          </w:p>
        </w:tc>
        <w:tc>
          <w:tcPr>
            <w:tcW w:w="507" w:type="pct"/>
            <w:tcBorders>
              <w:top w:val="nil"/>
              <w:left w:val="nil"/>
              <w:bottom w:val="nil"/>
              <w:right w:val="nil"/>
            </w:tcBorders>
            <w:shd w:val="clear" w:color="000000" w:fill="FFFFFF"/>
            <w:noWrap/>
            <w:vAlign w:val="bottom"/>
            <w:hideMark/>
          </w:tcPr>
          <w:p w14:paraId="4D4F6417"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-308</w:t>
            </w:r>
          </w:p>
        </w:tc>
        <w:tc>
          <w:tcPr>
            <w:tcW w:w="507" w:type="pct"/>
            <w:tcBorders>
              <w:top w:val="nil"/>
              <w:left w:val="nil"/>
              <w:bottom w:val="nil"/>
              <w:right w:val="nil"/>
            </w:tcBorders>
            <w:shd w:val="clear" w:color="000000" w:fill="FFFFFF"/>
            <w:noWrap/>
            <w:vAlign w:val="bottom"/>
            <w:hideMark/>
          </w:tcPr>
          <w:p w14:paraId="79BF9F11"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0</w:t>
            </w:r>
          </w:p>
        </w:tc>
        <w:tc>
          <w:tcPr>
            <w:tcW w:w="48" w:type="pct"/>
            <w:tcBorders>
              <w:top w:val="nil"/>
              <w:left w:val="nil"/>
              <w:bottom w:val="nil"/>
              <w:right w:val="nil"/>
            </w:tcBorders>
            <w:shd w:val="clear" w:color="000000" w:fill="FFFFFF"/>
            <w:noWrap/>
            <w:vAlign w:val="bottom"/>
            <w:hideMark/>
          </w:tcPr>
          <w:p w14:paraId="474651C7"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6FBC09D8"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-2,400</w:t>
            </w:r>
          </w:p>
        </w:tc>
      </w:tr>
      <w:tr w:rsidR="004C121A" w:rsidRPr="004C121A" w14:paraId="6001CDDC"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79540105" w14:textId="77777777" w:rsidR="004C121A" w:rsidRPr="004C121A" w:rsidRDefault="004C121A" w:rsidP="004C121A">
            <w:pPr>
              <w:spacing w:before="0" w:after="0" w:line="240" w:lineRule="auto"/>
              <w:ind w:left="340"/>
              <w:rPr>
                <w:rFonts w:ascii="Arial" w:hAnsi="Arial" w:cs="Arial"/>
                <w:color w:val="000000"/>
                <w:sz w:val="16"/>
                <w:szCs w:val="16"/>
              </w:rPr>
            </w:pPr>
            <w:r w:rsidRPr="004C121A">
              <w:rPr>
                <w:rFonts w:ascii="Arial" w:hAnsi="Arial" w:cs="Arial"/>
                <w:color w:val="000000"/>
                <w:sz w:val="16"/>
                <w:szCs w:val="16"/>
              </w:rPr>
              <w:t>Trade support loans</w:t>
            </w:r>
          </w:p>
        </w:tc>
        <w:tc>
          <w:tcPr>
            <w:tcW w:w="507" w:type="pct"/>
            <w:tcBorders>
              <w:top w:val="nil"/>
              <w:left w:val="nil"/>
              <w:bottom w:val="nil"/>
              <w:right w:val="nil"/>
            </w:tcBorders>
            <w:shd w:val="clear" w:color="000000" w:fill="FFFFFF"/>
            <w:noWrap/>
            <w:vAlign w:val="bottom"/>
            <w:hideMark/>
          </w:tcPr>
          <w:p w14:paraId="26B81FA5"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-137</w:t>
            </w:r>
          </w:p>
        </w:tc>
        <w:tc>
          <w:tcPr>
            <w:tcW w:w="507" w:type="pct"/>
            <w:tcBorders>
              <w:top w:val="nil"/>
              <w:left w:val="nil"/>
              <w:bottom w:val="nil"/>
              <w:right w:val="nil"/>
            </w:tcBorders>
            <w:shd w:val="clear" w:color="000000" w:fill="E6F2FF"/>
            <w:noWrap/>
            <w:vAlign w:val="bottom"/>
            <w:hideMark/>
          </w:tcPr>
          <w:p w14:paraId="00A2B61E"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-149</w:t>
            </w:r>
          </w:p>
        </w:tc>
        <w:tc>
          <w:tcPr>
            <w:tcW w:w="507" w:type="pct"/>
            <w:tcBorders>
              <w:top w:val="nil"/>
              <w:left w:val="nil"/>
              <w:bottom w:val="nil"/>
              <w:right w:val="nil"/>
            </w:tcBorders>
            <w:shd w:val="clear" w:color="000000" w:fill="FFFFFF"/>
            <w:noWrap/>
            <w:vAlign w:val="bottom"/>
            <w:hideMark/>
          </w:tcPr>
          <w:p w14:paraId="7D3140B6"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-157</w:t>
            </w:r>
          </w:p>
        </w:tc>
        <w:tc>
          <w:tcPr>
            <w:tcW w:w="507" w:type="pct"/>
            <w:tcBorders>
              <w:top w:val="nil"/>
              <w:left w:val="nil"/>
              <w:bottom w:val="nil"/>
              <w:right w:val="nil"/>
            </w:tcBorders>
            <w:shd w:val="clear" w:color="000000" w:fill="FFFFFF"/>
            <w:noWrap/>
            <w:vAlign w:val="bottom"/>
            <w:hideMark/>
          </w:tcPr>
          <w:p w14:paraId="658C7F93"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-147</w:t>
            </w:r>
          </w:p>
        </w:tc>
        <w:tc>
          <w:tcPr>
            <w:tcW w:w="507" w:type="pct"/>
            <w:tcBorders>
              <w:top w:val="nil"/>
              <w:left w:val="nil"/>
              <w:bottom w:val="nil"/>
              <w:right w:val="nil"/>
            </w:tcBorders>
            <w:shd w:val="clear" w:color="000000" w:fill="FFFFFF"/>
            <w:noWrap/>
            <w:vAlign w:val="bottom"/>
            <w:hideMark/>
          </w:tcPr>
          <w:p w14:paraId="5A0720B6"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-136</w:t>
            </w:r>
          </w:p>
        </w:tc>
        <w:tc>
          <w:tcPr>
            <w:tcW w:w="48" w:type="pct"/>
            <w:tcBorders>
              <w:top w:val="nil"/>
              <w:left w:val="nil"/>
              <w:bottom w:val="nil"/>
              <w:right w:val="nil"/>
            </w:tcBorders>
            <w:shd w:val="clear" w:color="000000" w:fill="FFFFFF"/>
            <w:noWrap/>
            <w:vAlign w:val="bottom"/>
            <w:hideMark/>
          </w:tcPr>
          <w:p w14:paraId="5E7EDF0D"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443FD601"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-726</w:t>
            </w:r>
          </w:p>
        </w:tc>
      </w:tr>
      <w:tr w:rsidR="004C121A" w:rsidRPr="004C121A" w14:paraId="149C1DDB"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40436789" w14:textId="77777777" w:rsidR="004C121A" w:rsidRPr="004C121A" w:rsidRDefault="004C121A" w:rsidP="004C121A">
            <w:pPr>
              <w:spacing w:before="0" w:after="0" w:line="240" w:lineRule="auto"/>
              <w:ind w:left="340"/>
              <w:rPr>
                <w:rFonts w:ascii="Arial" w:hAnsi="Arial" w:cs="Arial"/>
                <w:color w:val="000000"/>
                <w:sz w:val="16"/>
                <w:szCs w:val="16"/>
              </w:rPr>
            </w:pPr>
            <w:r w:rsidRPr="004C121A">
              <w:rPr>
                <w:rFonts w:ascii="Arial" w:hAnsi="Arial" w:cs="Arial"/>
                <w:color w:val="000000"/>
                <w:sz w:val="16"/>
                <w:szCs w:val="16"/>
              </w:rPr>
              <w:t>CEFC loans and investments</w:t>
            </w:r>
          </w:p>
        </w:tc>
        <w:tc>
          <w:tcPr>
            <w:tcW w:w="507" w:type="pct"/>
            <w:tcBorders>
              <w:top w:val="nil"/>
              <w:left w:val="nil"/>
              <w:bottom w:val="nil"/>
              <w:right w:val="nil"/>
            </w:tcBorders>
            <w:shd w:val="clear" w:color="000000" w:fill="FFFFFF"/>
            <w:noWrap/>
            <w:vAlign w:val="bottom"/>
            <w:hideMark/>
          </w:tcPr>
          <w:p w14:paraId="74E7BAD9"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-344</w:t>
            </w:r>
          </w:p>
        </w:tc>
        <w:tc>
          <w:tcPr>
            <w:tcW w:w="507" w:type="pct"/>
            <w:tcBorders>
              <w:top w:val="nil"/>
              <w:left w:val="nil"/>
              <w:bottom w:val="nil"/>
              <w:right w:val="nil"/>
            </w:tcBorders>
            <w:shd w:val="clear" w:color="000000" w:fill="E6F2FF"/>
            <w:noWrap/>
            <w:vAlign w:val="bottom"/>
            <w:hideMark/>
          </w:tcPr>
          <w:p w14:paraId="78F80CFE"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-975</w:t>
            </w:r>
          </w:p>
        </w:tc>
        <w:tc>
          <w:tcPr>
            <w:tcW w:w="507" w:type="pct"/>
            <w:tcBorders>
              <w:top w:val="nil"/>
              <w:left w:val="nil"/>
              <w:bottom w:val="nil"/>
              <w:right w:val="nil"/>
            </w:tcBorders>
            <w:shd w:val="clear" w:color="000000" w:fill="FFFFFF"/>
            <w:noWrap/>
            <w:vAlign w:val="bottom"/>
            <w:hideMark/>
          </w:tcPr>
          <w:p w14:paraId="5F175758"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-2,564</w:t>
            </w:r>
          </w:p>
        </w:tc>
        <w:tc>
          <w:tcPr>
            <w:tcW w:w="507" w:type="pct"/>
            <w:tcBorders>
              <w:top w:val="nil"/>
              <w:left w:val="nil"/>
              <w:bottom w:val="nil"/>
              <w:right w:val="nil"/>
            </w:tcBorders>
            <w:shd w:val="clear" w:color="000000" w:fill="FFFFFF"/>
            <w:noWrap/>
            <w:vAlign w:val="bottom"/>
            <w:hideMark/>
          </w:tcPr>
          <w:p w14:paraId="1D7EBA8A"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-4,713</w:t>
            </w:r>
          </w:p>
        </w:tc>
        <w:tc>
          <w:tcPr>
            <w:tcW w:w="507" w:type="pct"/>
            <w:tcBorders>
              <w:top w:val="nil"/>
              <w:left w:val="nil"/>
              <w:bottom w:val="nil"/>
              <w:right w:val="nil"/>
            </w:tcBorders>
            <w:shd w:val="clear" w:color="000000" w:fill="FFFFFF"/>
            <w:noWrap/>
            <w:vAlign w:val="bottom"/>
            <w:hideMark/>
          </w:tcPr>
          <w:p w14:paraId="21C7055E"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-4,702</w:t>
            </w:r>
          </w:p>
        </w:tc>
        <w:tc>
          <w:tcPr>
            <w:tcW w:w="48" w:type="pct"/>
            <w:tcBorders>
              <w:top w:val="nil"/>
              <w:left w:val="nil"/>
              <w:bottom w:val="nil"/>
              <w:right w:val="nil"/>
            </w:tcBorders>
            <w:shd w:val="clear" w:color="000000" w:fill="FFFFFF"/>
            <w:noWrap/>
            <w:vAlign w:val="bottom"/>
            <w:hideMark/>
          </w:tcPr>
          <w:p w14:paraId="6B25BAB1"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21780673"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-13,298</w:t>
            </w:r>
          </w:p>
        </w:tc>
      </w:tr>
      <w:tr w:rsidR="004C121A" w:rsidRPr="004C121A" w14:paraId="40C17096"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44321740" w14:textId="77777777" w:rsidR="004C121A" w:rsidRPr="004C121A" w:rsidRDefault="004C121A" w:rsidP="004C121A">
            <w:pPr>
              <w:spacing w:before="0" w:after="0" w:line="240" w:lineRule="auto"/>
              <w:ind w:left="340"/>
              <w:rPr>
                <w:rFonts w:ascii="Arial" w:hAnsi="Arial" w:cs="Arial"/>
                <w:color w:val="000000"/>
                <w:sz w:val="16"/>
                <w:szCs w:val="16"/>
              </w:rPr>
            </w:pPr>
            <w:r w:rsidRPr="004C121A">
              <w:rPr>
                <w:rFonts w:ascii="Arial" w:hAnsi="Arial" w:cs="Arial"/>
                <w:color w:val="000000"/>
                <w:sz w:val="16"/>
                <w:szCs w:val="16"/>
              </w:rPr>
              <w:t xml:space="preserve">Northern Australia </w:t>
            </w:r>
          </w:p>
        </w:tc>
        <w:tc>
          <w:tcPr>
            <w:tcW w:w="507" w:type="pct"/>
            <w:tcBorders>
              <w:top w:val="nil"/>
              <w:left w:val="nil"/>
              <w:bottom w:val="nil"/>
              <w:right w:val="nil"/>
            </w:tcBorders>
            <w:shd w:val="clear" w:color="000000" w:fill="FFFFFF"/>
            <w:noWrap/>
            <w:vAlign w:val="bottom"/>
            <w:hideMark/>
          </w:tcPr>
          <w:p w14:paraId="50B2D109"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E6F2FF"/>
            <w:noWrap/>
            <w:vAlign w:val="bottom"/>
            <w:hideMark/>
          </w:tcPr>
          <w:p w14:paraId="770A177D"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593412B7"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3DBEDD82"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5E4494B3"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48" w:type="pct"/>
            <w:tcBorders>
              <w:top w:val="nil"/>
              <w:left w:val="nil"/>
              <w:bottom w:val="nil"/>
              <w:right w:val="nil"/>
            </w:tcBorders>
            <w:shd w:val="clear" w:color="000000" w:fill="FFFFFF"/>
            <w:noWrap/>
            <w:vAlign w:val="bottom"/>
            <w:hideMark/>
          </w:tcPr>
          <w:p w14:paraId="08097404"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6DB480E3"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r>
      <w:tr w:rsidR="004C121A" w:rsidRPr="004C121A" w14:paraId="50A3BD77"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58090887" w14:textId="77777777" w:rsidR="004C121A" w:rsidRPr="004C121A" w:rsidRDefault="004C121A" w:rsidP="004C121A">
            <w:pPr>
              <w:spacing w:before="0" w:after="0" w:line="240" w:lineRule="auto"/>
              <w:ind w:left="510"/>
              <w:rPr>
                <w:rFonts w:ascii="Arial" w:hAnsi="Arial" w:cs="Arial"/>
                <w:color w:val="000000"/>
                <w:sz w:val="16"/>
                <w:szCs w:val="16"/>
              </w:rPr>
            </w:pPr>
            <w:r w:rsidRPr="004C121A">
              <w:rPr>
                <w:rFonts w:ascii="Arial" w:hAnsi="Arial" w:cs="Arial"/>
                <w:color w:val="000000"/>
                <w:sz w:val="16"/>
                <w:szCs w:val="16"/>
              </w:rPr>
              <w:t xml:space="preserve">Infrastructure Facility </w:t>
            </w:r>
          </w:p>
        </w:tc>
        <w:tc>
          <w:tcPr>
            <w:tcW w:w="507" w:type="pct"/>
            <w:tcBorders>
              <w:top w:val="nil"/>
              <w:left w:val="nil"/>
              <w:bottom w:val="nil"/>
              <w:right w:val="nil"/>
            </w:tcBorders>
            <w:shd w:val="clear" w:color="000000" w:fill="FFFFFF"/>
            <w:noWrap/>
            <w:vAlign w:val="bottom"/>
            <w:hideMark/>
          </w:tcPr>
          <w:p w14:paraId="6D98FB4E"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-743</w:t>
            </w:r>
          </w:p>
        </w:tc>
        <w:tc>
          <w:tcPr>
            <w:tcW w:w="507" w:type="pct"/>
            <w:tcBorders>
              <w:top w:val="nil"/>
              <w:left w:val="nil"/>
              <w:bottom w:val="nil"/>
              <w:right w:val="nil"/>
            </w:tcBorders>
            <w:shd w:val="clear" w:color="000000" w:fill="E6F2FF"/>
            <w:noWrap/>
            <w:vAlign w:val="bottom"/>
            <w:hideMark/>
          </w:tcPr>
          <w:p w14:paraId="20EDDE7E"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-1,016</w:t>
            </w:r>
          </w:p>
        </w:tc>
        <w:tc>
          <w:tcPr>
            <w:tcW w:w="507" w:type="pct"/>
            <w:tcBorders>
              <w:top w:val="nil"/>
              <w:left w:val="nil"/>
              <w:bottom w:val="nil"/>
              <w:right w:val="nil"/>
            </w:tcBorders>
            <w:shd w:val="clear" w:color="000000" w:fill="FFFFFF"/>
            <w:noWrap/>
            <w:vAlign w:val="bottom"/>
            <w:hideMark/>
          </w:tcPr>
          <w:p w14:paraId="607D44B0"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-1,074</w:t>
            </w:r>
          </w:p>
        </w:tc>
        <w:tc>
          <w:tcPr>
            <w:tcW w:w="507" w:type="pct"/>
            <w:tcBorders>
              <w:top w:val="nil"/>
              <w:left w:val="nil"/>
              <w:bottom w:val="nil"/>
              <w:right w:val="nil"/>
            </w:tcBorders>
            <w:shd w:val="clear" w:color="000000" w:fill="FFFFFF"/>
            <w:noWrap/>
            <w:vAlign w:val="bottom"/>
            <w:hideMark/>
          </w:tcPr>
          <w:p w14:paraId="40C107A1"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-961</w:t>
            </w:r>
          </w:p>
        </w:tc>
        <w:tc>
          <w:tcPr>
            <w:tcW w:w="507" w:type="pct"/>
            <w:tcBorders>
              <w:top w:val="nil"/>
              <w:left w:val="nil"/>
              <w:bottom w:val="nil"/>
              <w:right w:val="nil"/>
            </w:tcBorders>
            <w:shd w:val="clear" w:color="000000" w:fill="FFFFFF"/>
            <w:noWrap/>
            <w:vAlign w:val="bottom"/>
            <w:hideMark/>
          </w:tcPr>
          <w:p w14:paraId="484E7059"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-841</w:t>
            </w:r>
          </w:p>
        </w:tc>
        <w:tc>
          <w:tcPr>
            <w:tcW w:w="48" w:type="pct"/>
            <w:tcBorders>
              <w:top w:val="nil"/>
              <w:left w:val="nil"/>
              <w:bottom w:val="nil"/>
              <w:right w:val="nil"/>
            </w:tcBorders>
            <w:shd w:val="clear" w:color="000000" w:fill="FFFFFF"/>
            <w:noWrap/>
            <w:vAlign w:val="bottom"/>
            <w:hideMark/>
          </w:tcPr>
          <w:p w14:paraId="0438DD67"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14926E72"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-4,635</w:t>
            </w:r>
          </w:p>
        </w:tc>
      </w:tr>
      <w:tr w:rsidR="004C121A" w:rsidRPr="004C121A" w14:paraId="40E5BCF9"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34A864F5" w14:textId="77777777" w:rsidR="004C121A" w:rsidRPr="004C121A" w:rsidRDefault="004C121A" w:rsidP="004C121A">
            <w:pPr>
              <w:spacing w:before="0" w:after="0" w:line="240" w:lineRule="auto"/>
              <w:ind w:left="340"/>
              <w:rPr>
                <w:rFonts w:ascii="Arial" w:hAnsi="Arial" w:cs="Arial"/>
                <w:color w:val="000000"/>
                <w:sz w:val="16"/>
                <w:szCs w:val="16"/>
              </w:rPr>
            </w:pPr>
            <w:r w:rsidRPr="004C121A">
              <w:rPr>
                <w:rFonts w:ascii="Arial" w:hAnsi="Arial" w:cs="Arial"/>
                <w:color w:val="000000"/>
                <w:sz w:val="16"/>
                <w:szCs w:val="16"/>
              </w:rPr>
              <w:t>NRFC loans and investments</w:t>
            </w:r>
          </w:p>
        </w:tc>
        <w:tc>
          <w:tcPr>
            <w:tcW w:w="507" w:type="pct"/>
            <w:tcBorders>
              <w:top w:val="nil"/>
              <w:left w:val="nil"/>
              <w:bottom w:val="nil"/>
              <w:right w:val="nil"/>
            </w:tcBorders>
            <w:shd w:val="clear" w:color="000000" w:fill="FFFFFF"/>
            <w:noWrap/>
            <w:vAlign w:val="bottom"/>
            <w:hideMark/>
          </w:tcPr>
          <w:p w14:paraId="3B35E5F8"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0</w:t>
            </w:r>
          </w:p>
        </w:tc>
        <w:tc>
          <w:tcPr>
            <w:tcW w:w="507" w:type="pct"/>
            <w:tcBorders>
              <w:top w:val="nil"/>
              <w:left w:val="nil"/>
              <w:bottom w:val="nil"/>
              <w:right w:val="nil"/>
            </w:tcBorders>
            <w:shd w:val="clear" w:color="000000" w:fill="E6F2FF"/>
            <w:noWrap/>
            <w:vAlign w:val="bottom"/>
            <w:hideMark/>
          </w:tcPr>
          <w:p w14:paraId="1DC42234"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-354</w:t>
            </w:r>
          </w:p>
        </w:tc>
        <w:tc>
          <w:tcPr>
            <w:tcW w:w="507" w:type="pct"/>
            <w:tcBorders>
              <w:top w:val="nil"/>
              <w:left w:val="nil"/>
              <w:bottom w:val="nil"/>
              <w:right w:val="nil"/>
            </w:tcBorders>
            <w:shd w:val="clear" w:color="000000" w:fill="FFFFFF"/>
            <w:noWrap/>
            <w:vAlign w:val="bottom"/>
            <w:hideMark/>
          </w:tcPr>
          <w:p w14:paraId="0860E6D5"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-448</w:t>
            </w:r>
          </w:p>
        </w:tc>
        <w:tc>
          <w:tcPr>
            <w:tcW w:w="507" w:type="pct"/>
            <w:tcBorders>
              <w:top w:val="nil"/>
              <w:left w:val="nil"/>
              <w:bottom w:val="nil"/>
              <w:right w:val="nil"/>
            </w:tcBorders>
            <w:shd w:val="clear" w:color="000000" w:fill="FFFFFF"/>
            <w:noWrap/>
            <w:vAlign w:val="bottom"/>
            <w:hideMark/>
          </w:tcPr>
          <w:p w14:paraId="088426DD"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-849</w:t>
            </w:r>
          </w:p>
        </w:tc>
        <w:tc>
          <w:tcPr>
            <w:tcW w:w="507" w:type="pct"/>
            <w:tcBorders>
              <w:top w:val="nil"/>
              <w:left w:val="nil"/>
              <w:bottom w:val="nil"/>
              <w:right w:val="nil"/>
            </w:tcBorders>
            <w:shd w:val="clear" w:color="000000" w:fill="FFFFFF"/>
            <w:noWrap/>
            <w:vAlign w:val="bottom"/>
            <w:hideMark/>
          </w:tcPr>
          <w:p w14:paraId="50D3A993"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-1,935</w:t>
            </w:r>
          </w:p>
        </w:tc>
        <w:tc>
          <w:tcPr>
            <w:tcW w:w="48" w:type="pct"/>
            <w:tcBorders>
              <w:top w:val="nil"/>
              <w:left w:val="nil"/>
              <w:bottom w:val="nil"/>
              <w:right w:val="nil"/>
            </w:tcBorders>
            <w:shd w:val="clear" w:color="000000" w:fill="FFFFFF"/>
            <w:noWrap/>
            <w:vAlign w:val="bottom"/>
            <w:hideMark/>
          </w:tcPr>
          <w:p w14:paraId="631D5C91"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787523A7"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-3,586</w:t>
            </w:r>
          </w:p>
        </w:tc>
      </w:tr>
      <w:tr w:rsidR="004C121A" w:rsidRPr="004C121A" w14:paraId="44799670"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488F674F" w14:textId="77777777" w:rsidR="004C121A" w:rsidRPr="004C121A" w:rsidRDefault="004C121A" w:rsidP="004C121A">
            <w:pPr>
              <w:spacing w:before="0" w:after="0" w:line="240" w:lineRule="auto"/>
              <w:ind w:left="340"/>
              <w:rPr>
                <w:rFonts w:ascii="Arial" w:hAnsi="Arial" w:cs="Arial"/>
                <w:color w:val="000000"/>
                <w:sz w:val="16"/>
                <w:szCs w:val="16"/>
              </w:rPr>
            </w:pPr>
            <w:r w:rsidRPr="004C121A">
              <w:rPr>
                <w:rFonts w:ascii="Arial" w:hAnsi="Arial" w:cs="Arial"/>
                <w:color w:val="000000"/>
                <w:sz w:val="16"/>
                <w:szCs w:val="16"/>
              </w:rPr>
              <w:t>Australian Business</w:t>
            </w:r>
          </w:p>
        </w:tc>
        <w:tc>
          <w:tcPr>
            <w:tcW w:w="507" w:type="pct"/>
            <w:tcBorders>
              <w:top w:val="nil"/>
              <w:left w:val="nil"/>
              <w:bottom w:val="nil"/>
              <w:right w:val="nil"/>
            </w:tcBorders>
            <w:shd w:val="clear" w:color="000000" w:fill="FFFFFF"/>
            <w:noWrap/>
            <w:vAlign w:val="bottom"/>
            <w:hideMark/>
          </w:tcPr>
          <w:p w14:paraId="407B2D26"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E6F2FF"/>
            <w:noWrap/>
            <w:vAlign w:val="bottom"/>
            <w:hideMark/>
          </w:tcPr>
          <w:p w14:paraId="507FD06A"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526B4288"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77E434F1"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08D00414"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48" w:type="pct"/>
            <w:tcBorders>
              <w:top w:val="nil"/>
              <w:left w:val="nil"/>
              <w:bottom w:val="nil"/>
              <w:right w:val="nil"/>
            </w:tcBorders>
            <w:shd w:val="clear" w:color="000000" w:fill="FFFFFF"/>
            <w:noWrap/>
            <w:vAlign w:val="bottom"/>
            <w:hideMark/>
          </w:tcPr>
          <w:p w14:paraId="2F3936ED"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40FCFCC3"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r>
      <w:tr w:rsidR="004C121A" w:rsidRPr="004C121A" w14:paraId="6B86AD61"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078D191D" w14:textId="77777777" w:rsidR="004C121A" w:rsidRPr="004C121A" w:rsidRDefault="004C121A" w:rsidP="004C121A">
            <w:pPr>
              <w:spacing w:before="0" w:after="0" w:line="240" w:lineRule="auto"/>
              <w:ind w:left="510"/>
              <w:rPr>
                <w:rFonts w:ascii="Arial" w:hAnsi="Arial" w:cs="Arial"/>
                <w:color w:val="000000"/>
                <w:sz w:val="16"/>
                <w:szCs w:val="16"/>
              </w:rPr>
            </w:pPr>
            <w:r w:rsidRPr="004C121A">
              <w:rPr>
                <w:rFonts w:ascii="Arial" w:hAnsi="Arial" w:cs="Arial"/>
                <w:color w:val="000000"/>
                <w:sz w:val="16"/>
                <w:szCs w:val="16"/>
              </w:rPr>
              <w:t>Securitisation Fund</w:t>
            </w:r>
          </w:p>
        </w:tc>
        <w:tc>
          <w:tcPr>
            <w:tcW w:w="507" w:type="pct"/>
            <w:tcBorders>
              <w:top w:val="nil"/>
              <w:left w:val="nil"/>
              <w:bottom w:val="nil"/>
              <w:right w:val="nil"/>
            </w:tcBorders>
            <w:shd w:val="clear" w:color="000000" w:fill="FFFFFF"/>
            <w:noWrap/>
            <w:vAlign w:val="bottom"/>
            <w:hideMark/>
          </w:tcPr>
          <w:p w14:paraId="4B091985"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-434</w:t>
            </w:r>
          </w:p>
        </w:tc>
        <w:tc>
          <w:tcPr>
            <w:tcW w:w="507" w:type="pct"/>
            <w:tcBorders>
              <w:top w:val="nil"/>
              <w:left w:val="nil"/>
              <w:bottom w:val="nil"/>
              <w:right w:val="nil"/>
            </w:tcBorders>
            <w:shd w:val="clear" w:color="000000" w:fill="E6F2FF"/>
            <w:noWrap/>
            <w:vAlign w:val="bottom"/>
            <w:hideMark/>
          </w:tcPr>
          <w:p w14:paraId="3724CEB2"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-355</w:t>
            </w:r>
          </w:p>
        </w:tc>
        <w:tc>
          <w:tcPr>
            <w:tcW w:w="507" w:type="pct"/>
            <w:tcBorders>
              <w:top w:val="nil"/>
              <w:left w:val="nil"/>
              <w:bottom w:val="nil"/>
              <w:right w:val="nil"/>
            </w:tcBorders>
            <w:shd w:val="clear" w:color="000000" w:fill="FFFFFF"/>
            <w:noWrap/>
            <w:vAlign w:val="bottom"/>
            <w:hideMark/>
          </w:tcPr>
          <w:p w14:paraId="1A1A522A"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-251</w:t>
            </w:r>
          </w:p>
        </w:tc>
        <w:tc>
          <w:tcPr>
            <w:tcW w:w="507" w:type="pct"/>
            <w:tcBorders>
              <w:top w:val="nil"/>
              <w:left w:val="nil"/>
              <w:bottom w:val="nil"/>
              <w:right w:val="nil"/>
            </w:tcBorders>
            <w:shd w:val="clear" w:color="000000" w:fill="FFFFFF"/>
            <w:noWrap/>
            <w:vAlign w:val="bottom"/>
            <w:hideMark/>
          </w:tcPr>
          <w:p w14:paraId="7ECEE461"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-151</w:t>
            </w:r>
          </w:p>
        </w:tc>
        <w:tc>
          <w:tcPr>
            <w:tcW w:w="507" w:type="pct"/>
            <w:tcBorders>
              <w:top w:val="nil"/>
              <w:left w:val="nil"/>
              <w:bottom w:val="nil"/>
              <w:right w:val="nil"/>
            </w:tcBorders>
            <w:shd w:val="clear" w:color="000000" w:fill="FFFFFF"/>
            <w:noWrap/>
            <w:vAlign w:val="bottom"/>
            <w:hideMark/>
          </w:tcPr>
          <w:p w14:paraId="621C563F"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-202</w:t>
            </w:r>
          </w:p>
        </w:tc>
        <w:tc>
          <w:tcPr>
            <w:tcW w:w="48" w:type="pct"/>
            <w:tcBorders>
              <w:top w:val="nil"/>
              <w:left w:val="nil"/>
              <w:bottom w:val="nil"/>
              <w:right w:val="nil"/>
            </w:tcBorders>
            <w:shd w:val="clear" w:color="000000" w:fill="FFFFFF"/>
            <w:noWrap/>
            <w:vAlign w:val="bottom"/>
            <w:hideMark/>
          </w:tcPr>
          <w:p w14:paraId="74259636"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610081F6"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-1,393</w:t>
            </w:r>
          </w:p>
        </w:tc>
      </w:tr>
      <w:tr w:rsidR="004C121A" w:rsidRPr="004C121A" w14:paraId="0F89D3D8"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28B65B79" w14:textId="77777777" w:rsidR="004C121A" w:rsidRPr="004C121A" w:rsidRDefault="004C121A" w:rsidP="004C121A">
            <w:pPr>
              <w:spacing w:before="0" w:after="0" w:line="240" w:lineRule="auto"/>
              <w:ind w:left="340"/>
              <w:rPr>
                <w:rFonts w:ascii="Arial" w:hAnsi="Arial" w:cs="Arial"/>
                <w:color w:val="000000"/>
                <w:sz w:val="16"/>
                <w:szCs w:val="16"/>
              </w:rPr>
            </w:pPr>
            <w:r w:rsidRPr="004C121A">
              <w:rPr>
                <w:rFonts w:ascii="Arial" w:hAnsi="Arial" w:cs="Arial"/>
                <w:color w:val="000000"/>
                <w:sz w:val="16"/>
                <w:szCs w:val="16"/>
              </w:rPr>
              <w:t xml:space="preserve">Structured Finance </w:t>
            </w:r>
          </w:p>
        </w:tc>
        <w:tc>
          <w:tcPr>
            <w:tcW w:w="507" w:type="pct"/>
            <w:tcBorders>
              <w:top w:val="nil"/>
              <w:left w:val="nil"/>
              <w:bottom w:val="nil"/>
              <w:right w:val="nil"/>
            </w:tcBorders>
            <w:shd w:val="clear" w:color="000000" w:fill="FFFFFF"/>
            <w:noWrap/>
            <w:vAlign w:val="bottom"/>
            <w:hideMark/>
          </w:tcPr>
          <w:p w14:paraId="76E006E6"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E6F2FF"/>
            <w:noWrap/>
            <w:vAlign w:val="bottom"/>
            <w:hideMark/>
          </w:tcPr>
          <w:p w14:paraId="0B758C82"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379C20E2"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7BA646C7"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34F647D7"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48" w:type="pct"/>
            <w:tcBorders>
              <w:top w:val="nil"/>
              <w:left w:val="nil"/>
              <w:bottom w:val="nil"/>
              <w:right w:val="nil"/>
            </w:tcBorders>
            <w:shd w:val="clear" w:color="000000" w:fill="FFFFFF"/>
            <w:noWrap/>
            <w:vAlign w:val="bottom"/>
            <w:hideMark/>
          </w:tcPr>
          <w:p w14:paraId="672ECD35"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09835CBF"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r>
      <w:tr w:rsidR="004C121A" w:rsidRPr="004C121A" w14:paraId="493C4DDE"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3590D1BF" w14:textId="77777777" w:rsidR="004C121A" w:rsidRPr="004C121A" w:rsidRDefault="004C121A" w:rsidP="004C121A">
            <w:pPr>
              <w:spacing w:before="0" w:after="0" w:line="240" w:lineRule="auto"/>
              <w:ind w:left="510"/>
              <w:rPr>
                <w:rFonts w:ascii="Arial" w:hAnsi="Arial" w:cs="Arial"/>
                <w:color w:val="000000"/>
                <w:sz w:val="16"/>
                <w:szCs w:val="16"/>
              </w:rPr>
            </w:pPr>
            <w:r w:rsidRPr="004C121A">
              <w:rPr>
                <w:rFonts w:ascii="Arial" w:hAnsi="Arial" w:cs="Arial"/>
                <w:color w:val="000000"/>
                <w:sz w:val="16"/>
                <w:szCs w:val="16"/>
              </w:rPr>
              <w:t>Support Fund</w:t>
            </w:r>
          </w:p>
        </w:tc>
        <w:tc>
          <w:tcPr>
            <w:tcW w:w="507" w:type="pct"/>
            <w:tcBorders>
              <w:top w:val="nil"/>
              <w:left w:val="nil"/>
              <w:bottom w:val="nil"/>
              <w:right w:val="nil"/>
            </w:tcBorders>
            <w:shd w:val="clear" w:color="000000" w:fill="FFFFFF"/>
            <w:noWrap/>
            <w:vAlign w:val="bottom"/>
            <w:hideMark/>
          </w:tcPr>
          <w:p w14:paraId="0FCB62C8"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295</w:t>
            </w:r>
          </w:p>
        </w:tc>
        <w:tc>
          <w:tcPr>
            <w:tcW w:w="507" w:type="pct"/>
            <w:tcBorders>
              <w:top w:val="nil"/>
              <w:left w:val="nil"/>
              <w:bottom w:val="nil"/>
              <w:right w:val="nil"/>
            </w:tcBorders>
            <w:shd w:val="clear" w:color="000000" w:fill="E6F2FF"/>
            <w:noWrap/>
            <w:vAlign w:val="bottom"/>
            <w:hideMark/>
          </w:tcPr>
          <w:p w14:paraId="089956B2"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260</w:t>
            </w:r>
          </w:p>
        </w:tc>
        <w:tc>
          <w:tcPr>
            <w:tcW w:w="507" w:type="pct"/>
            <w:tcBorders>
              <w:top w:val="nil"/>
              <w:left w:val="nil"/>
              <w:bottom w:val="nil"/>
              <w:right w:val="nil"/>
            </w:tcBorders>
            <w:shd w:val="clear" w:color="000000" w:fill="FFFFFF"/>
            <w:noWrap/>
            <w:vAlign w:val="bottom"/>
            <w:hideMark/>
          </w:tcPr>
          <w:p w14:paraId="7D9F9B70"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69</w:t>
            </w:r>
          </w:p>
        </w:tc>
        <w:tc>
          <w:tcPr>
            <w:tcW w:w="507" w:type="pct"/>
            <w:tcBorders>
              <w:top w:val="nil"/>
              <w:left w:val="nil"/>
              <w:bottom w:val="nil"/>
              <w:right w:val="nil"/>
            </w:tcBorders>
            <w:shd w:val="clear" w:color="000000" w:fill="FFFFFF"/>
            <w:noWrap/>
            <w:vAlign w:val="bottom"/>
            <w:hideMark/>
          </w:tcPr>
          <w:p w14:paraId="6F1B2167"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71</w:t>
            </w:r>
          </w:p>
        </w:tc>
        <w:tc>
          <w:tcPr>
            <w:tcW w:w="507" w:type="pct"/>
            <w:tcBorders>
              <w:top w:val="nil"/>
              <w:left w:val="nil"/>
              <w:bottom w:val="nil"/>
              <w:right w:val="nil"/>
            </w:tcBorders>
            <w:shd w:val="clear" w:color="000000" w:fill="FFFFFF"/>
            <w:noWrap/>
            <w:vAlign w:val="bottom"/>
            <w:hideMark/>
          </w:tcPr>
          <w:p w14:paraId="7EDD6739"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0</w:t>
            </w:r>
          </w:p>
        </w:tc>
        <w:tc>
          <w:tcPr>
            <w:tcW w:w="48" w:type="pct"/>
            <w:tcBorders>
              <w:top w:val="nil"/>
              <w:left w:val="nil"/>
              <w:bottom w:val="nil"/>
              <w:right w:val="nil"/>
            </w:tcBorders>
            <w:shd w:val="clear" w:color="000000" w:fill="FFFFFF"/>
            <w:noWrap/>
            <w:vAlign w:val="bottom"/>
            <w:hideMark/>
          </w:tcPr>
          <w:p w14:paraId="0ECDEAD3"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0CB65089"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695</w:t>
            </w:r>
          </w:p>
        </w:tc>
      </w:tr>
      <w:tr w:rsidR="004C121A" w:rsidRPr="004C121A" w14:paraId="56414F05"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29841D09" w14:textId="77777777" w:rsidR="004C121A" w:rsidRPr="004C121A" w:rsidRDefault="004C121A" w:rsidP="004C121A">
            <w:pPr>
              <w:spacing w:before="0" w:after="0" w:line="240" w:lineRule="auto"/>
              <w:ind w:left="340"/>
              <w:rPr>
                <w:rFonts w:ascii="Arial" w:hAnsi="Arial" w:cs="Arial"/>
                <w:color w:val="000000"/>
                <w:sz w:val="16"/>
                <w:szCs w:val="16"/>
              </w:rPr>
            </w:pPr>
            <w:r w:rsidRPr="004C121A">
              <w:rPr>
                <w:rFonts w:ascii="Arial" w:hAnsi="Arial" w:cs="Arial"/>
                <w:color w:val="000000"/>
                <w:sz w:val="16"/>
                <w:szCs w:val="16"/>
              </w:rPr>
              <w:t>Drought and rural assistance</w:t>
            </w:r>
          </w:p>
        </w:tc>
        <w:tc>
          <w:tcPr>
            <w:tcW w:w="507" w:type="pct"/>
            <w:tcBorders>
              <w:top w:val="nil"/>
              <w:left w:val="nil"/>
              <w:bottom w:val="nil"/>
              <w:right w:val="nil"/>
            </w:tcBorders>
            <w:shd w:val="clear" w:color="000000" w:fill="FFFFFF"/>
            <w:noWrap/>
            <w:vAlign w:val="bottom"/>
            <w:hideMark/>
          </w:tcPr>
          <w:p w14:paraId="4C5A9E83"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E6F2FF"/>
            <w:noWrap/>
            <w:vAlign w:val="bottom"/>
            <w:hideMark/>
          </w:tcPr>
          <w:p w14:paraId="4B7FE2ED"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0431880D"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7B3D080D"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6F6AD6CD"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48" w:type="pct"/>
            <w:tcBorders>
              <w:top w:val="nil"/>
              <w:left w:val="nil"/>
              <w:bottom w:val="nil"/>
              <w:right w:val="nil"/>
            </w:tcBorders>
            <w:shd w:val="clear" w:color="000000" w:fill="FFFFFF"/>
            <w:noWrap/>
            <w:vAlign w:val="bottom"/>
            <w:hideMark/>
          </w:tcPr>
          <w:p w14:paraId="70BF6EE1"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7B0DAA0B"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r>
      <w:tr w:rsidR="004C121A" w:rsidRPr="004C121A" w14:paraId="253E03A4"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228169BB" w14:textId="77777777" w:rsidR="004C121A" w:rsidRPr="004C121A" w:rsidRDefault="004C121A" w:rsidP="004C121A">
            <w:pPr>
              <w:spacing w:before="0" w:after="0" w:line="240" w:lineRule="auto"/>
              <w:ind w:left="510"/>
              <w:rPr>
                <w:rFonts w:ascii="Arial" w:hAnsi="Arial" w:cs="Arial"/>
                <w:color w:val="000000"/>
                <w:sz w:val="16"/>
                <w:szCs w:val="16"/>
              </w:rPr>
            </w:pPr>
            <w:r w:rsidRPr="004C121A">
              <w:rPr>
                <w:rFonts w:ascii="Arial" w:hAnsi="Arial" w:cs="Arial"/>
                <w:color w:val="000000"/>
                <w:sz w:val="16"/>
                <w:szCs w:val="16"/>
              </w:rPr>
              <w:t>loans</w:t>
            </w:r>
          </w:p>
        </w:tc>
        <w:tc>
          <w:tcPr>
            <w:tcW w:w="507" w:type="pct"/>
            <w:tcBorders>
              <w:top w:val="nil"/>
              <w:left w:val="nil"/>
              <w:bottom w:val="nil"/>
              <w:right w:val="nil"/>
            </w:tcBorders>
            <w:shd w:val="clear" w:color="000000" w:fill="FFFFFF"/>
            <w:noWrap/>
            <w:vAlign w:val="bottom"/>
            <w:hideMark/>
          </w:tcPr>
          <w:p w14:paraId="59C1E886"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-244</w:t>
            </w:r>
          </w:p>
        </w:tc>
        <w:tc>
          <w:tcPr>
            <w:tcW w:w="507" w:type="pct"/>
            <w:tcBorders>
              <w:top w:val="nil"/>
              <w:left w:val="nil"/>
              <w:bottom w:val="nil"/>
              <w:right w:val="nil"/>
            </w:tcBorders>
            <w:shd w:val="clear" w:color="000000" w:fill="E6F2FF"/>
            <w:noWrap/>
            <w:vAlign w:val="bottom"/>
            <w:hideMark/>
          </w:tcPr>
          <w:p w14:paraId="7F02425B"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-203</w:t>
            </w:r>
          </w:p>
        </w:tc>
        <w:tc>
          <w:tcPr>
            <w:tcW w:w="507" w:type="pct"/>
            <w:tcBorders>
              <w:top w:val="nil"/>
              <w:left w:val="nil"/>
              <w:bottom w:val="nil"/>
              <w:right w:val="nil"/>
            </w:tcBorders>
            <w:shd w:val="clear" w:color="000000" w:fill="FFFFFF"/>
            <w:noWrap/>
            <w:vAlign w:val="bottom"/>
            <w:hideMark/>
          </w:tcPr>
          <w:p w14:paraId="14B8898F"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-178</w:t>
            </w:r>
          </w:p>
        </w:tc>
        <w:tc>
          <w:tcPr>
            <w:tcW w:w="507" w:type="pct"/>
            <w:tcBorders>
              <w:top w:val="nil"/>
              <w:left w:val="nil"/>
              <w:bottom w:val="nil"/>
              <w:right w:val="nil"/>
            </w:tcBorders>
            <w:shd w:val="clear" w:color="000000" w:fill="FFFFFF"/>
            <w:noWrap/>
            <w:vAlign w:val="bottom"/>
            <w:hideMark/>
          </w:tcPr>
          <w:p w14:paraId="0681E707"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-117</w:t>
            </w:r>
          </w:p>
        </w:tc>
        <w:tc>
          <w:tcPr>
            <w:tcW w:w="507" w:type="pct"/>
            <w:tcBorders>
              <w:top w:val="nil"/>
              <w:left w:val="nil"/>
              <w:bottom w:val="nil"/>
              <w:right w:val="nil"/>
            </w:tcBorders>
            <w:shd w:val="clear" w:color="000000" w:fill="FFFFFF"/>
            <w:noWrap/>
            <w:vAlign w:val="bottom"/>
            <w:hideMark/>
          </w:tcPr>
          <w:p w14:paraId="4088B43C"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268</w:t>
            </w:r>
          </w:p>
        </w:tc>
        <w:tc>
          <w:tcPr>
            <w:tcW w:w="48" w:type="pct"/>
            <w:tcBorders>
              <w:top w:val="nil"/>
              <w:left w:val="nil"/>
              <w:bottom w:val="nil"/>
              <w:right w:val="nil"/>
            </w:tcBorders>
            <w:shd w:val="clear" w:color="000000" w:fill="FFFFFF"/>
            <w:noWrap/>
            <w:vAlign w:val="bottom"/>
            <w:hideMark/>
          </w:tcPr>
          <w:p w14:paraId="57774094"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14F5655B"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-474</w:t>
            </w:r>
          </w:p>
        </w:tc>
      </w:tr>
      <w:tr w:rsidR="004C121A" w:rsidRPr="004C121A" w14:paraId="6A7FA937"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571E6B2A" w14:textId="77777777" w:rsidR="004C121A" w:rsidRPr="004C121A" w:rsidRDefault="004C121A" w:rsidP="004C121A">
            <w:pPr>
              <w:spacing w:before="0" w:after="0" w:line="240" w:lineRule="auto"/>
              <w:ind w:left="340"/>
              <w:rPr>
                <w:rFonts w:ascii="Arial" w:hAnsi="Arial" w:cs="Arial"/>
                <w:color w:val="000000"/>
                <w:sz w:val="16"/>
                <w:szCs w:val="16"/>
              </w:rPr>
            </w:pPr>
            <w:r w:rsidRPr="004C121A">
              <w:rPr>
                <w:rFonts w:ascii="Arial" w:hAnsi="Arial" w:cs="Arial"/>
                <w:color w:val="000000"/>
                <w:sz w:val="16"/>
                <w:szCs w:val="16"/>
              </w:rPr>
              <w:t>Official Development Assistance</w:t>
            </w:r>
          </w:p>
        </w:tc>
        <w:tc>
          <w:tcPr>
            <w:tcW w:w="507" w:type="pct"/>
            <w:tcBorders>
              <w:top w:val="nil"/>
              <w:left w:val="nil"/>
              <w:bottom w:val="nil"/>
              <w:right w:val="nil"/>
            </w:tcBorders>
            <w:shd w:val="clear" w:color="000000" w:fill="FFFFFF"/>
            <w:noWrap/>
            <w:vAlign w:val="bottom"/>
            <w:hideMark/>
          </w:tcPr>
          <w:p w14:paraId="45021A20"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E6F2FF"/>
            <w:noWrap/>
            <w:vAlign w:val="bottom"/>
            <w:hideMark/>
          </w:tcPr>
          <w:p w14:paraId="7CB11EBB"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31F4D55C"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18A9F3C8"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4AF9EC77"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48" w:type="pct"/>
            <w:tcBorders>
              <w:top w:val="nil"/>
              <w:left w:val="nil"/>
              <w:bottom w:val="nil"/>
              <w:right w:val="nil"/>
            </w:tcBorders>
            <w:shd w:val="clear" w:color="000000" w:fill="FFFFFF"/>
            <w:noWrap/>
            <w:vAlign w:val="bottom"/>
            <w:hideMark/>
          </w:tcPr>
          <w:p w14:paraId="70F15C88"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7677BC4C"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r>
      <w:tr w:rsidR="004C121A" w:rsidRPr="004C121A" w14:paraId="7D994932"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3E8B9BB1" w14:textId="77777777" w:rsidR="004C121A" w:rsidRPr="004C121A" w:rsidRDefault="004C121A" w:rsidP="004C121A">
            <w:pPr>
              <w:spacing w:before="0" w:after="0" w:line="240" w:lineRule="auto"/>
              <w:ind w:left="510"/>
              <w:rPr>
                <w:rFonts w:ascii="Arial" w:hAnsi="Arial" w:cs="Arial"/>
                <w:color w:val="000000"/>
                <w:sz w:val="16"/>
                <w:szCs w:val="16"/>
              </w:rPr>
            </w:pPr>
            <w:r w:rsidRPr="004C121A">
              <w:rPr>
                <w:rFonts w:ascii="Arial" w:hAnsi="Arial" w:cs="Arial"/>
                <w:color w:val="000000"/>
                <w:sz w:val="16"/>
                <w:szCs w:val="16"/>
              </w:rPr>
              <w:t>- Multilateral Replenishment</w:t>
            </w:r>
          </w:p>
        </w:tc>
        <w:tc>
          <w:tcPr>
            <w:tcW w:w="507" w:type="pct"/>
            <w:tcBorders>
              <w:top w:val="nil"/>
              <w:left w:val="nil"/>
              <w:bottom w:val="nil"/>
              <w:right w:val="nil"/>
            </w:tcBorders>
            <w:shd w:val="clear" w:color="000000" w:fill="FFFFFF"/>
            <w:noWrap/>
            <w:vAlign w:val="bottom"/>
            <w:hideMark/>
          </w:tcPr>
          <w:p w14:paraId="0CE0A0AF"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-128</w:t>
            </w:r>
          </w:p>
        </w:tc>
        <w:tc>
          <w:tcPr>
            <w:tcW w:w="507" w:type="pct"/>
            <w:tcBorders>
              <w:top w:val="nil"/>
              <w:left w:val="nil"/>
              <w:bottom w:val="nil"/>
              <w:right w:val="nil"/>
            </w:tcBorders>
            <w:shd w:val="clear" w:color="000000" w:fill="E6F2FF"/>
            <w:noWrap/>
            <w:vAlign w:val="bottom"/>
            <w:hideMark/>
          </w:tcPr>
          <w:p w14:paraId="208102B6"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-135</w:t>
            </w:r>
          </w:p>
        </w:tc>
        <w:tc>
          <w:tcPr>
            <w:tcW w:w="507" w:type="pct"/>
            <w:tcBorders>
              <w:top w:val="nil"/>
              <w:left w:val="nil"/>
              <w:bottom w:val="nil"/>
              <w:right w:val="nil"/>
            </w:tcBorders>
            <w:shd w:val="clear" w:color="000000" w:fill="FFFFFF"/>
            <w:noWrap/>
            <w:vAlign w:val="bottom"/>
            <w:hideMark/>
          </w:tcPr>
          <w:p w14:paraId="1051CF3F"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-142</w:t>
            </w:r>
          </w:p>
        </w:tc>
        <w:tc>
          <w:tcPr>
            <w:tcW w:w="507" w:type="pct"/>
            <w:tcBorders>
              <w:top w:val="nil"/>
              <w:left w:val="nil"/>
              <w:bottom w:val="nil"/>
              <w:right w:val="nil"/>
            </w:tcBorders>
            <w:shd w:val="clear" w:color="000000" w:fill="FFFFFF"/>
            <w:noWrap/>
            <w:vAlign w:val="bottom"/>
            <w:hideMark/>
          </w:tcPr>
          <w:p w14:paraId="2D88502C"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-195</w:t>
            </w:r>
          </w:p>
        </w:tc>
        <w:tc>
          <w:tcPr>
            <w:tcW w:w="507" w:type="pct"/>
            <w:tcBorders>
              <w:top w:val="nil"/>
              <w:left w:val="nil"/>
              <w:bottom w:val="nil"/>
              <w:right w:val="nil"/>
            </w:tcBorders>
            <w:shd w:val="clear" w:color="000000" w:fill="FFFFFF"/>
            <w:noWrap/>
            <w:vAlign w:val="bottom"/>
            <w:hideMark/>
          </w:tcPr>
          <w:p w14:paraId="617868DF"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-170</w:t>
            </w:r>
          </w:p>
        </w:tc>
        <w:tc>
          <w:tcPr>
            <w:tcW w:w="48" w:type="pct"/>
            <w:tcBorders>
              <w:top w:val="nil"/>
              <w:left w:val="nil"/>
              <w:bottom w:val="nil"/>
              <w:right w:val="nil"/>
            </w:tcBorders>
            <w:shd w:val="clear" w:color="000000" w:fill="FFFFFF"/>
            <w:noWrap/>
            <w:vAlign w:val="bottom"/>
            <w:hideMark/>
          </w:tcPr>
          <w:p w14:paraId="635C1863"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5F2084F3"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-770</w:t>
            </w:r>
          </w:p>
        </w:tc>
      </w:tr>
      <w:tr w:rsidR="004C121A" w:rsidRPr="004C121A" w14:paraId="2D4D11EC"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7C9A0B15" w14:textId="77777777" w:rsidR="004C121A" w:rsidRPr="004C121A" w:rsidRDefault="004C121A" w:rsidP="004C121A">
            <w:pPr>
              <w:spacing w:before="0" w:after="0" w:line="240" w:lineRule="auto"/>
              <w:ind w:left="340"/>
              <w:rPr>
                <w:rFonts w:ascii="Arial" w:hAnsi="Arial" w:cs="Arial"/>
                <w:color w:val="000000"/>
                <w:sz w:val="16"/>
                <w:szCs w:val="16"/>
              </w:rPr>
            </w:pPr>
            <w:r w:rsidRPr="004C121A">
              <w:rPr>
                <w:rFonts w:ascii="Arial" w:hAnsi="Arial" w:cs="Arial"/>
                <w:color w:val="000000"/>
                <w:sz w:val="16"/>
                <w:szCs w:val="16"/>
              </w:rPr>
              <w:t xml:space="preserve">National Housing Finance and </w:t>
            </w:r>
          </w:p>
        </w:tc>
        <w:tc>
          <w:tcPr>
            <w:tcW w:w="507" w:type="pct"/>
            <w:tcBorders>
              <w:top w:val="nil"/>
              <w:left w:val="nil"/>
              <w:bottom w:val="nil"/>
              <w:right w:val="nil"/>
            </w:tcBorders>
            <w:shd w:val="clear" w:color="000000" w:fill="FFFFFF"/>
            <w:noWrap/>
            <w:vAlign w:val="bottom"/>
            <w:hideMark/>
          </w:tcPr>
          <w:p w14:paraId="3CA811A6"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E6F2FF"/>
            <w:noWrap/>
            <w:vAlign w:val="bottom"/>
            <w:hideMark/>
          </w:tcPr>
          <w:p w14:paraId="16B9F23C"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768EB4F8"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5BC191BE"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2C010569"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48" w:type="pct"/>
            <w:tcBorders>
              <w:top w:val="nil"/>
              <w:left w:val="nil"/>
              <w:bottom w:val="nil"/>
              <w:right w:val="nil"/>
            </w:tcBorders>
            <w:shd w:val="clear" w:color="000000" w:fill="FFFFFF"/>
            <w:noWrap/>
            <w:vAlign w:val="bottom"/>
            <w:hideMark/>
          </w:tcPr>
          <w:p w14:paraId="3E394963"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36C1364E"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r>
      <w:tr w:rsidR="004C121A" w:rsidRPr="004C121A" w14:paraId="28726E24"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00B55E6F" w14:textId="77777777" w:rsidR="004C121A" w:rsidRPr="004C121A" w:rsidRDefault="004C121A" w:rsidP="004C121A">
            <w:pPr>
              <w:spacing w:before="0" w:after="0" w:line="240" w:lineRule="auto"/>
              <w:ind w:left="510"/>
              <w:rPr>
                <w:rFonts w:ascii="Arial" w:hAnsi="Arial" w:cs="Arial"/>
                <w:color w:val="000000"/>
                <w:sz w:val="16"/>
                <w:szCs w:val="16"/>
              </w:rPr>
            </w:pPr>
            <w:r w:rsidRPr="004C121A">
              <w:rPr>
                <w:rFonts w:ascii="Arial" w:hAnsi="Arial" w:cs="Arial"/>
                <w:color w:val="000000"/>
                <w:sz w:val="16"/>
                <w:szCs w:val="16"/>
              </w:rPr>
              <w:t>Investment Corporation</w:t>
            </w:r>
          </w:p>
        </w:tc>
        <w:tc>
          <w:tcPr>
            <w:tcW w:w="507" w:type="pct"/>
            <w:tcBorders>
              <w:top w:val="nil"/>
              <w:left w:val="nil"/>
              <w:bottom w:val="nil"/>
              <w:right w:val="nil"/>
            </w:tcBorders>
            <w:shd w:val="clear" w:color="000000" w:fill="FFFFFF"/>
            <w:noWrap/>
            <w:vAlign w:val="bottom"/>
            <w:hideMark/>
          </w:tcPr>
          <w:p w14:paraId="48F477AE"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-60</w:t>
            </w:r>
          </w:p>
        </w:tc>
        <w:tc>
          <w:tcPr>
            <w:tcW w:w="507" w:type="pct"/>
            <w:tcBorders>
              <w:top w:val="nil"/>
              <w:left w:val="nil"/>
              <w:bottom w:val="nil"/>
              <w:right w:val="nil"/>
            </w:tcBorders>
            <w:shd w:val="clear" w:color="000000" w:fill="E6F2FF"/>
            <w:noWrap/>
            <w:vAlign w:val="bottom"/>
            <w:hideMark/>
          </w:tcPr>
          <w:p w14:paraId="65A02042"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-198</w:t>
            </w:r>
          </w:p>
        </w:tc>
        <w:tc>
          <w:tcPr>
            <w:tcW w:w="507" w:type="pct"/>
            <w:tcBorders>
              <w:top w:val="nil"/>
              <w:left w:val="nil"/>
              <w:bottom w:val="nil"/>
              <w:right w:val="nil"/>
            </w:tcBorders>
            <w:shd w:val="clear" w:color="000000" w:fill="FFFFFF"/>
            <w:noWrap/>
            <w:vAlign w:val="bottom"/>
            <w:hideMark/>
          </w:tcPr>
          <w:p w14:paraId="4B02654F"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-652</w:t>
            </w:r>
          </w:p>
        </w:tc>
        <w:tc>
          <w:tcPr>
            <w:tcW w:w="507" w:type="pct"/>
            <w:tcBorders>
              <w:top w:val="nil"/>
              <w:left w:val="nil"/>
              <w:bottom w:val="nil"/>
              <w:right w:val="nil"/>
            </w:tcBorders>
            <w:shd w:val="clear" w:color="000000" w:fill="FFFFFF"/>
            <w:noWrap/>
            <w:vAlign w:val="bottom"/>
            <w:hideMark/>
          </w:tcPr>
          <w:p w14:paraId="35F55FAA"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-521</w:t>
            </w:r>
          </w:p>
        </w:tc>
        <w:tc>
          <w:tcPr>
            <w:tcW w:w="507" w:type="pct"/>
            <w:tcBorders>
              <w:top w:val="nil"/>
              <w:left w:val="nil"/>
              <w:bottom w:val="nil"/>
              <w:right w:val="nil"/>
            </w:tcBorders>
            <w:shd w:val="clear" w:color="000000" w:fill="FFFFFF"/>
            <w:noWrap/>
            <w:vAlign w:val="bottom"/>
            <w:hideMark/>
          </w:tcPr>
          <w:p w14:paraId="2163E00A"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540</w:t>
            </w:r>
          </w:p>
        </w:tc>
        <w:tc>
          <w:tcPr>
            <w:tcW w:w="48" w:type="pct"/>
            <w:tcBorders>
              <w:top w:val="nil"/>
              <w:left w:val="nil"/>
              <w:bottom w:val="nil"/>
              <w:right w:val="nil"/>
            </w:tcBorders>
            <w:shd w:val="clear" w:color="000000" w:fill="FFFFFF"/>
            <w:noWrap/>
            <w:vAlign w:val="bottom"/>
            <w:hideMark/>
          </w:tcPr>
          <w:p w14:paraId="0F96ACF6"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22761E3A"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-891</w:t>
            </w:r>
          </w:p>
        </w:tc>
      </w:tr>
      <w:tr w:rsidR="004C121A" w:rsidRPr="004C121A" w14:paraId="646E83D6"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48F8111A" w14:textId="77777777" w:rsidR="004C121A" w:rsidRPr="004C121A" w:rsidRDefault="004C121A" w:rsidP="004C121A">
            <w:pPr>
              <w:spacing w:before="0" w:after="0" w:line="240" w:lineRule="auto"/>
              <w:ind w:left="340"/>
              <w:rPr>
                <w:rFonts w:ascii="Arial" w:hAnsi="Arial" w:cs="Arial"/>
                <w:color w:val="000000"/>
                <w:sz w:val="16"/>
                <w:szCs w:val="16"/>
              </w:rPr>
            </w:pPr>
            <w:r w:rsidRPr="004C121A">
              <w:rPr>
                <w:rFonts w:ascii="Arial" w:hAnsi="Arial" w:cs="Arial"/>
                <w:color w:val="000000"/>
                <w:sz w:val="16"/>
                <w:szCs w:val="16"/>
              </w:rPr>
              <w:t xml:space="preserve">COVID-19 Support for </w:t>
            </w:r>
          </w:p>
        </w:tc>
        <w:tc>
          <w:tcPr>
            <w:tcW w:w="507" w:type="pct"/>
            <w:tcBorders>
              <w:top w:val="nil"/>
              <w:left w:val="nil"/>
              <w:bottom w:val="nil"/>
              <w:right w:val="nil"/>
            </w:tcBorders>
            <w:shd w:val="clear" w:color="000000" w:fill="FFFFFF"/>
            <w:noWrap/>
            <w:vAlign w:val="bottom"/>
            <w:hideMark/>
          </w:tcPr>
          <w:p w14:paraId="6FB4EADC"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E6F2FF"/>
            <w:noWrap/>
            <w:vAlign w:val="bottom"/>
            <w:hideMark/>
          </w:tcPr>
          <w:p w14:paraId="0AA2E0A7"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25911B58"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4AD2CD0B"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1411032E"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48" w:type="pct"/>
            <w:tcBorders>
              <w:top w:val="nil"/>
              <w:left w:val="nil"/>
              <w:bottom w:val="nil"/>
              <w:right w:val="nil"/>
            </w:tcBorders>
            <w:shd w:val="clear" w:color="000000" w:fill="FFFFFF"/>
            <w:noWrap/>
            <w:vAlign w:val="bottom"/>
            <w:hideMark/>
          </w:tcPr>
          <w:p w14:paraId="6BB3A991"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667CFFCF"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r>
      <w:tr w:rsidR="004C121A" w:rsidRPr="004C121A" w14:paraId="04E7AF20"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7EC48833" w14:textId="77777777" w:rsidR="004C121A" w:rsidRPr="004C121A" w:rsidRDefault="004C121A" w:rsidP="004C121A">
            <w:pPr>
              <w:spacing w:before="0" w:after="0" w:line="240" w:lineRule="auto"/>
              <w:ind w:left="510"/>
              <w:rPr>
                <w:rFonts w:ascii="Arial" w:hAnsi="Arial" w:cs="Arial"/>
                <w:color w:val="000000"/>
                <w:sz w:val="16"/>
                <w:szCs w:val="16"/>
              </w:rPr>
            </w:pPr>
            <w:r w:rsidRPr="004C121A">
              <w:rPr>
                <w:rFonts w:ascii="Arial" w:hAnsi="Arial" w:cs="Arial"/>
                <w:color w:val="000000"/>
                <w:sz w:val="16"/>
                <w:szCs w:val="16"/>
              </w:rPr>
              <w:t xml:space="preserve">Indonesia — loan </w:t>
            </w:r>
          </w:p>
        </w:tc>
        <w:tc>
          <w:tcPr>
            <w:tcW w:w="507" w:type="pct"/>
            <w:tcBorders>
              <w:top w:val="nil"/>
              <w:left w:val="nil"/>
              <w:bottom w:val="nil"/>
              <w:right w:val="nil"/>
            </w:tcBorders>
            <w:shd w:val="clear" w:color="000000" w:fill="FFFFFF"/>
            <w:noWrap/>
            <w:vAlign w:val="bottom"/>
            <w:hideMark/>
          </w:tcPr>
          <w:p w14:paraId="54A9F61A"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100</w:t>
            </w:r>
          </w:p>
        </w:tc>
        <w:tc>
          <w:tcPr>
            <w:tcW w:w="507" w:type="pct"/>
            <w:tcBorders>
              <w:top w:val="nil"/>
              <w:left w:val="nil"/>
              <w:bottom w:val="nil"/>
              <w:right w:val="nil"/>
            </w:tcBorders>
            <w:shd w:val="clear" w:color="000000" w:fill="E6F2FF"/>
            <w:noWrap/>
            <w:vAlign w:val="bottom"/>
            <w:hideMark/>
          </w:tcPr>
          <w:p w14:paraId="17531ABD"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100</w:t>
            </w:r>
          </w:p>
        </w:tc>
        <w:tc>
          <w:tcPr>
            <w:tcW w:w="507" w:type="pct"/>
            <w:tcBorders>
              <w:top w:val="nil"/>
              <w:left w:val="nil"/>
              <w:bottom w:val="nil"/>
              <w:right w:val="nil"/>
            </w:tcBorders>
            <w:shd w:val="clear" w:color="000000" w:fill="FFFFFF"/>
            <w:noWrap/>
            <w:vAlign w:val="bottom"/>
            <w:hideMark/>
          </w:tcPr>
          <w:p w14:paraId="6A358F96"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100</w:t>
            </w:r>
          </w:p>
        </w:tc>
        <w:tc>
          <w:tcPr>
            <w:tcW w:w="507" w:type="pct"/>
            <w:tcBorders>
              <w:top w:val="nil"/>
              <w:left w:val="nil"/>
              <w:bottom w:val="nil"/>
              <w:right w:val="nil"/>
            </w:tcBorders>
            <w:shd w:val="clear" w:color="000000" w:fill="FFFFFF"/>
            <w:noWrap/>
            <w:vAlign w:val="bottom"/>
            <w:hideMark/>
          </w:tcPr>
          <w:p w14:paraId="23D25FE9"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100</w:t>
            </w:r>
          </w:p>
        </w:tc>
        <w:tc>
          <w:tcPr>
            <w:tcW w:w="507" w:type="pct"/>
            <w:tcBorders>
              <w:top w:val="nil"/>
              <w:left w:val="nil"/>
              <w:bottom w:val="nil"/>
              <w:right w:val="nil"/>
            </w:tcBorders>
            <w:shd w:val="clear" w:color="000000" w:fill="FFFFFF"/>
            <w:noWrap/>
            <w:vAlign w:val="bottom"/>
            <w:hideMark/>
          </w:tcPr>
          <w:p w14:paraId="58B62F21"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100</w:t>
            </w:r>
          </w:p>
        </w:tc>
        <w:tc>
          <w:tcPr>
            <w:tcW w:w="48" w:type="pct"/>
            <w:tcBorders>
              <w:top w:val="nil"/>
              <w:left w:val="nil"/>
              <w:bottom w:val="nil"/>
              <w:right w:val="nil"/>
            </w:tcBorders>
            <w:shd w:val="clear" w:color="000000" w:fill="FFFFFF"/>
            <w:noWrap/>
            <w:vAlign w:val="bottom"/>
            <w:hideMark/>
          </w:tcPr>
          <w:p w14:paraId="603AFBBF"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51D8CAC4"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500</w:t>
            </w:r>
          </w:p>
        </w:tc>
      </w:tr>
      <w:tr w:rsidR="004C121A" w:rsidRPr="004C121A" w14:paraId="78F8FDBD"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47362402" w14:textId="77777777" w:rsidR="004C121A" w:rsidRPr="004C121A" w:rsidRDefault="004C121A" w:rsidP="004C121A">
            <w:pPr>
              <w:spacing w:before="0" w:after="0" w:line="240" w:lineRule="auto"/>
              <w:ind w:left="340"/>
              <w:rPr>
                <w:rFonts w:ascii="Arial" w:hAnsi="Arial" w:cs="Arial"/>
                <w:color w:val="000000"/>
                <w:sz w:val="16"/>
                <w:szCs w:val="16"/>
              </w:rPr>
            </w:pPr>
            <w:r w:rsidRPr="004C121A">
              <w:rPr>
                <w:rFonts w:ascii="Arial" w:hAnsi="Arial" w:cs="Arial"/>
                <w:color w:val="000000"/>
                <w:sz w:val="16"/>
                <w:szCs w:val="16"/>
              </w:rPr>
              <w:t xml:space="preserve">Financial Assistance to </w:t>
            </w:r>
          </w:p>
        </w:tc>
        <w:tc>
          <w:tcPr>
            <w:tcW w:w="507" w:type="pct"/>
            <w:tcBorders>
              <w:top w:val="nil"/>
              <w:left w:val="nil"/>
              <w:bottom w:val="nil"/>
              <w:right w:val="nil"/>
            </w:tcBorders>
            <w:shd w:val="clear" w:color="000000" w:fill="FFFFFF"/>
            <w:noWrap/>
            <w:vAlign w:val="bottom"/>
            <w:hideMark/>
          </w:tcPr>
          <w:p w14:paraId="03104236"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E6F2FF"/>
            <w:noWrap/>
            <w:vAlign w:val="bottom"/>
            <w:hideMark/>
          </w:tcPr>
          <w:p w14:paraId="21C8D129"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300CC693"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752AB41D"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024CBE04"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48" w:type="pct"/>
            <w:tcBorders>
              <w:top w:val="nil"/>
              <w:left w:val="nil"/>
              <w:bottom w:val="nil"/>
              <w:right w:val="nil"/>
            </w:tcBorders>
            <w:shd w:val="clear" w:color="000000" w:fill="FFFFFF"/>
            <w:noWrap/>
            <w:vAlign w:val="bottom"/>
            <w:hideMark/>
          </w:tcPr>
          <w:p w14:paraId="55224E22"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201C4E6A"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r>
      <w:tr w:rsidR="004C121A" w:rsidRPr="004C121A" w14:paraId="18C96499"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032B3593" w14:textId="77777777" w:rsidR="004C121A" w:rsidRPr="004C121A" w:rsidRDefault="004C121A" w:rsidP="004C121A">
            <w:pPr>
              <w:spacing w:before="0" w:after="0" w:line="240" w:lineRule="auto"/>
              <w:ind w:left="510"/>
              <w:rPr>
                <w:rFonts w:ascii="Arial" w:hAnsi="Arial" w:cs="Arial"/>
                <w:color w:val="000000"/>
                <w:sz w:val="16"/>
                <w:szCs w:val="16"/>
              </w:rPr>
            </w:pPr>
            <w:r w:rsidRPr="004C121A">
              <w:rPr>
                <w:rFonts w:ascii="Arial" w:hAnsi="Arial" w:cs="Arial"/>
                <w:color w:val="000000"/>
                <w:sz w:val="16"/>
                <w:szCs w:val="16"/>
              </w:rPr>
              <w:t>Papua New Guinea — loan</w:t>
            </w:r>
          </w:p>
        </w:tc>
        <w:tc>
          <w:tcPr>
            <w:tcW w:w="507" w:type="pct"/>
            <w:tcBorders>
              <w:top w:val="nil"/>
              <w:left w:val="nil"/>
              <w:bottom w:val="nil"/>
              <w:right w:val="nil"/>
            </w:tcBorders>
            <w:shd w:val="clear" w:color="000000" w:fill="FFFFFF"/>
            <w:noWrap/>
            <w:vAlign w:val="bottom"/>
            <w:hideMark/>
          </w:tcPr>
          <w:p w14:paraId="2BB2E9E6"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-678</w:t>
            </w:r>
          </w:p>
        </w:tc>
        <w:tc>
          <w:tcPr>
            <w:tcW w:w="507" w:type="pct"/>
            <w:tcBorders>
              <w:top w:val="nil"/>
              <w:left w:val="nil"/>
              <w:bottom w:val="nil"/>
              <w:right w:val="nil"/>
            </w:tcBorders>
            <w:shd w:val="clear" w:color="000000" w:fill="E6F2FF"/>
            <w:noWrap/>
            <w:vAlign w:val="bottom"/>
            <w:hideMark/>
          </w:tcPr>
          <w:p w14:paraId="09C3D774"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111</w:t>
            </w:r>
          </w:p>
        </w:tc>
        <w:tc>
          <w:tcPr>
            <w:tcW w:w="507" w:type="pct"/>
            <w:tcBorders>
              <w:top w:val="nil"/>
              <w:left w:val="nil"/>
              <w:bottom w:val="nil"/>
              <w:right w:val="nil"/>
            </w:tcBorders>
            <w:shd w:val="clear" w:color="000000" w:fill="FFFFFF"/>
            <w:noWrap/>
            <w:vAlign w:val="bottom"/>
            <w:hideMark/>
          </w:tcPr>
          <w:p w14:paraId="392D3EC7"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111</w:t>
            </w:r>
          </w:p>
        </w:tc>
        <w:tc>
          <w:tcPr>
            <w:tcW w:w="507" w:type="pct"/>
            <w:tcBorders>
              <w:top w:val="nil"/>
              <w:left w:val="nil"/>
              <w:bottom w:val="nil"/>
              <w:right w:val="nil"/>
            </w:tcBorders>
            <w:shd w:val="clear" w:color="000000" w:fill="FFFFFF"/>
            <w:noWrap/>
            <w:vAlign w:val="bottom"/>
            <w:hideMark/>
          </w:tcPr>
          <w:p w14:paraId="17CE36A1"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111</w:t>
            </w:r>
          </w:p>
        </w:tc>
        <w:tc>
          <w:tcPr>
            <w:tcW w:w="507" w:type="pct"/>
            <w:tcBorders>
              <w:top w:val="nil"/>
              <w:left w:val="nil"/>
              <w:bottom w:val="nil"/>
              <w:right w:val="nil"/>
            </w:tcBorders>
            <w:shd w:val="clear" w:color="000000" w:fill="FFFFFF"/>
            <w:noWrap/>
            <w:vAlign w:val="bottom"/>
            <w:hideMark/>
          </w:tcPr>
          <w:p w14:paraId="5D128C43"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111</w:t>
            </w:r>
          </w:p>
        </w:tc>
        <w:tc>
          <w:tcPr>
            <w:tcW w:w="48" w:type="pct"/>
            <w:tcBorders>
              <w:top w:val="nil"/>
              <w:left w:val="nil"/>
              <w:bottom w:val="nil"/>
              <w:right w:val="nil"/>
            </w:tcBorders>
            <w:shd w:val="clear" w:color="000000" w:fill="FFFFFF"/>
            <w:noWrap/>
            <w:vAlign w:val="bottom"/>
            <w:hideMark/>
          </w:tcPr>
          <w:p w14:paraId="2B9BD503"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1447926F"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-234</w:t>
            </w:r>
          </w:p>
        </w:tc>
      </w:tr>
      <w:tr w:rsidR="004C121A" w:rsidRPr="004C121A" w14:paraId="52DDCDAB"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012504DF" w14:textId="77777777" w:rsidR="004C121A" w:rsidRPr="004C121A" w:rsidRDefault="004C121A" w:rsidP="004C121A">
            <w:pPr>
              <w:spacing w:before="0" w:after="0" w:line="240" w:lineRule="auto"/>
              <w:ind w:left="340"/>
              <w:rPr>
                <w:rFonts w:ascii="Arial" w:hAnsi="Arial" w:cs="Arial"/>
                <w:color w:val="000000"/>
                <w:sz w:val="16"/>
                <w:szCs w:val="16"/>
              </w:rPr>
            </w:pPr>
            <w:r w:rsidRPr="004C121A">
              <w:rPr>
                <w:rFonts w:ascii="Arial" w:hAnsi="Arial" w:cs="Arial"/>
                <w:color w:val="000000"/>
                <w:sz w:val="16"/>
                <w:szCs w:val="16"/>
              </w:rPr>
              <w:t>Net other(c)</w:t>
            </w:r>
          </w:p>
        </w:tc>
        <w:tc>
          <w:tcPr>
            <w:tcW w:w="507" w:type="pct"/>
            <w:tcBorders>
              <w:top w:val="nil"/>
              <w:left w:val="nil"/>
              <w:bottom w:val="nil"/>
              <w:right w:val="nil"/>
            </w:tcBorders>
            <w:shd w:val="clear" w:color="000000" w:fill="FFFFFF"/>
            <w:noWrap/>
            <w:vAlign w:val="bottom"/>
            <w:hideMark/>
          </w:tcPr>
          <w:p w14:paraId="043896D6"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-7,368</w:t>
            </w:r>
          </w:p>
        </w:tc>
        <w:tc>
          <w:tcPr>
            <w:tcW w:w="507" w:type="pct"/>
            <w:tcBorders>
              <w:top w:val="nil"/>
              <w:left w:val="nil"/>
              <w:bottom w:val="nil"/>
              <w:right w:val="nil"/>
            </w:tcBorders>
            <w:shd w:val="clear" w:color="000000" w:fill="E6F2FF"/>
            <w:noWrap/>
            <w:vAlign w:val="bottom"/>
            <w:hideMark/>
          </w:tcPr>
          <w:p w14:paraId="09FF4F96"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-4,163</w:t>
            </w:r>
          </w:p>
        </w:tc>
        <w:tc>
          <w:tcPr>
            <w:tcW w:w="507" w:type="pct"/>
            <w:tcBorders>
              <w:top w:val="nil"/>
              <w:left w:val="nil"/>
              <w:bottom w:val="nil"/>
              <w:right w:val="nil"/>
            </w:tcBorders>
            <w:shd w:val="clear" w:color="000000" w:fill="FFFFFF"/>
            <w:noWrap/>
            <w:vAlign w:val="bottom"/>
            <w:hideMark/>
          </w:tcPr>
          <w:p w14:paraId="229CE32D"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-3,546</w:t>
            </w:r>
          </w:p>
        </w:tc>
        <w:tc>
          <w:tcPr>
            <w:tcW w:w="507" w:type="pct"/>
            <w:tcBorders>
              <w:top w:val="nil"/>
              <w:left w:val="nil"/>
              <w:bottom w:val="nil"/>
              <w:right w:val="nil"/>
            </w:tcBorders>
            <w:shd w:val="clear" w:color="000000" w:fill="FFFFFF"/>
            <w:noWrap/>
            <w:vAlign w:val="bottom"/>
            <w:hideMark/>
          </w:tcPr>
          <w:p w14:paraId="77C3F9F6"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-2,959</w:t>
            </w:r>
          </w:p>
        </w:tc>
        <w:tc>
          <w:tcPr>
            <w:tcW w:w="507" w:type="pct"/>
            <w:tcBorders>
              <w:top w:val="nil"/>
              <w:left w:val="nil"/>
              <w:bottom w:val="nil"/>
              <w:right w:val="nil"/>
            </w:tcBorders>
            <w:shd w:val="clear" w:color="000000" w:fill="FFFFFF"/>
            <w:noWrap/>
            <w:vAlign w:val="bottom"/>
            <w:hideMark/>
          </w:tcPr>
          <w:p w14:paraId="345942C3"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-1,140</w:t>
            </w:r>
          </w:p>
        </w:tc>
        <w:tc>
          <w:tcPr>
            <w:tcW w:w="48" w:type="pct"/>
            <w:tcBorders>
              <w:top w:val="nil"/>
              <w:left w:val="nil"/>
              <w:bottom w:val="nil"/>
              <w:right w:val="nil"/>
            </w:tcBorders>
            <w:shd w:val="clear" w:color="000000" w:fill="FFFFFF"/>
            <w:noWrap/>
            <w:vAlign w:val="bottom"/>
            <w:hideMark/>
          </w:tcPr>
          <w:p w14:paraId="5F62F7FF"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72D0E493"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-19,176</w:t>
            </w:r>
          </w:p>
        </w:tc>
      </w:tr>
      <w:tr w:rsidR="004C121A" w:rsidRPr="004C121A" w14:paraId="58D02FA3"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2227F31D" w14:textId="77777777" w:rsidR="004C121A" w:rsidRPr="004C121A" w:rsidRDefault="004C121A" w:rsidP="004C121A">
            <w:pPr>
              <w:spacing w:before="0" w:after="0" w:line="240" w:lineRule="auto"/>
              <w:rPr>
                <w:rFonts w:ascii="Arial" w:hAnsi="Arial" w:cs="Arial"/>
                <w:b/>
                <w:bCs/>
                <w:color w:val="000000"/>
                <w:sz w:val="16"/>
                <w:szCs w:val="16"/>
              </w:rPr>
            </w:pPr>
            <w:r w:rsidRPr="004C121A">
              <w:rPr>
                <w:rFonts w:ascii="Arial" w:hAnsi="Arial" w:cs="Arial"/>
                <w:b/>
                <w:bCs/>
                <w:color w:val="000000"/>
                <w:sz w:val="16"/>
                <w:szCs w:val="16"/>
              </w:rPr>
              <w:t xml:space="preserve">Total net cash flows from </w:t>
            </w:r>
          </w:p>
        </w:tc>
        <w:tc>
          <w:tcPr>
            <w:tcW w:w="507" w:type="pct"/>
            <w:tcBorders>
              <w:top w:val="nil"/>
              <w:left w:val="nil"/>
              <w:bottom w:val="nil"/>
              <w:right w:val="nil"/>
            </w:tcBorders>
            <w:shd w:val="clear" w:color="000000" w:fill="FFFFFF"/>
            <w:noWrap/>
            <w:vAlign w:val="bottom"/>
            <w:hideMark/>
          </w:tcPr>
          <w:p w14:paraId="71A658C7"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E6F2FF"/>
            <w:noWrap/>
            <w:vAlign w:val="bottom"/>
            <w:hideMark/>
          </w:tcPr>
          <w:p w14:paraId="15A8C1CE"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061FCAE4"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0CB73225"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6B0B7A73"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48" w:type="pct"/>
            <w:tcBorders>
              <w:top w:val="nil"/>
              <w:left w:val="nil"/>
              <w:bottom w:val="nil"/>
              <w:right w:val="nil"/>
            </w:tcBorders>
            <w:shd w:val="clear" w:color="000000" w:fill="FFFFFF"/>
            <w:noWrap/>
            <w:vAlign w:val="bottom"/>
            <w:hideMark/>
          </w:tcPr>
          <w:p w14:paraId="326572C8"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78F136CC"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r>
      <w:tr w:rsidR="004C121A" w:rsidRPr="004C121A" w14:paraId="5C75D4E7"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45C0600C" w14:textId="77777777" w:rsidR="004C121A" w:rsidRPr="004C121A" w:rsidRDefault="004C121A" w:rsidP="004C121A">
            <w:pPr>
              <w:spacing w:before="0" w:after="0" w:line="240" w:lineRule="auto"/>
              <w:ind w:left="170"/>
              <w:rPr>
                <w:rFonts w:ascii="Arial" w:hAnsi="Arial" w:cs="Arial"/>
                <w:b/>
                <w:bCs/>
                <w:color w:val="000000"/>
                <w:sz w:val="16"/>
                <w:szCs w:val="16"/>
              </w:rPr>
            </w:pPr>
            <w:r w:rsidRPr="004C121A">
              <w:rPr>
                <w:rFonts w:ascii="Arial" w:hAnsi="Arial" w:cs="Arial"/>
                <w:b/>
                <w:bCs/>
                <w:color w:val="000000"/>
                <w:sz w:val="16"/>
                <w:szCs w:val="16"/>
              </w:rPr>
              <w:t xml:space="preserve">investments in financial </w:t>
            </w:r>
          </w:p>
        </w:tc>
        <w:tc>
          <w:tcPr>
            <w:tcW w:w="507" w:type="pct"/>
            <w:tcBorders>
              <w:top w:val="nil"/>
              <w:left w:val="nil"/>
              <w:bottom w:val="nil"/>
              <w:right w:val="nil"/>
            </w:tcBorders>
            <w:shd w:val="clear" w:color="000000" w:fill="FFFFFF"/>
            <w:noWrap/>
            <w:vAlign w:val="bottom"/>
            <w:hideMark/>
          </w:tcPr>
          <w:p w14:paraId="0031926A"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E6F2FF"/>
            <w:noWrap/>
            <w:vAlign w:val="bottom"/>
            <w:hideMark/>
          </w:tcPr>
          <w:p w14:paraId="08CAAF1F"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62ACFE18"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219CD207"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18320FA4"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48" w:type="pct"/>
            <w:tcBorders>
              <w:top w:val="nil"/>
              <w:left w:val="nil"/>
              <w:bottom w:val="nil"/>
              <w:right w:val="nil"/>
            </w:tcBorders>
            <w:shd w:val="clear" w:color="000000" w:fill="FFFFFF"/>
            <w:noWrap/>
            <w:vAlign w:val="bottom"/>
            <w:hideMark/>
          </w:tcPr>
          <w:p w14:paraId="538EC9CA"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27E0219A"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r>
      <w:tr w:rsidR="004C121A" w:rsidRPr="004C121A" w14:paraId="6567ED5E"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2F759875" w14:textId="77777777" w:rsidR="004C121A" w:rsidRPr="004C121A" w:rsidRDefault="004C121A" w:rsidP="004C121A">
            <w:pPr>
              <w:spacing w:before="0" w:after="0" w:line="240" w:lineRule="auto"/>
              <w:ind w:left="170"/>
              <w:rPr>
                <w:rFonts w:ascii="Arial" w:hAnsi="Arial" w:cs="Arial"/>
                <w:b/>
                <w:bCs/>
                <w:color w:val="000000"/>
                <w:sz w:val="16"/>
                <w:szCs w:val="16"/>
              </w:rPr>
            </w:pPr>
            <w:r w:rsidRPr="004C121A">
              <w:rPr>
                <w:rFonts w:ascii="Arial" w:hAnsi="Arial" w:cs="Arial"/>
                <w:b/>
                <w:bCs/>
                <w:color w:val="000000"/>
                <w:sz w:val="16"/>
                <w:szCs w:val="16"/>
              </w:rPr>
              <w:t>assets for policy purposes</w:t>
            </w:r>
          </w:p>
        </w:tc>
        <w:tc>
          <w:tcPr>
            <w:tcW w:w="507" w:type="pct"/>
            <w:tcBorders>
              <w:top w:val="nil"/>
              <w:left w:val="nil"/>
              <w:bottom w:val="single" w:sz="4" w:space="0" w:color="293F5B"/>
              <w:right w:val="nil"/>
            </w:tcBorders>
            <w:shd w:val="clear" w:color="000000" w:fill="FFFFFF"/>
            <w:noWrap/>
            <w:vAlign w:val="bottom"/>
            <w:hideMark/>
          </w:tcPr>
          <w:p w14:paraId="4D66819E" w14:textId="77777777" w:rsidR="004C121A" w:rsidRPr="004C121A" w:rsidRDefault="004C121A" w:rsidP="004C121A">
            <w:pPr>
              <w:spacing w:before="0" w:after="0" w:line="240" w:lineRule="auto"/>
              <w:jc w:val="right"/>
              <w:rPr>
                <w:rFonts w:ascii="Arial" w:hAnsi="Arial" w:cs="Arial"/>
                <w:b/>
                <w:bCs/>
                <w:color w:val="000000"/>
                <w:sz w:val="16"/>
                <w:szCs w:val="16"/>
              </w:rPr>
            </w:pPr>
            <w:r w:rsidRPr="004C121A">
              <w:rPr>
                <w:rFonts w:ascii="Arial" w:hAnsi="Arial" w:cs="Arial"/>
                <w:b/>
                <w:bCs/>
                <w:color w:val="000000"/>
                <w:sz w:val="16"/>
                <w:szCs w:val="16"/>
              </w:rPr>
              <w:t>-11,689</w:t>
            </w:r>
          </w:p>
        </w:tc>
        <w:tc>
          <w:tcPr>
            <w:tcW w:w="507" w:type="pct"/>
            <w:tcBorders>
              <w:top w:val="nil"/>
              <w:left w:val="nil"/>
              <w:bottom w:val="nil"/>
              <w:right w:val="nil"/>
            </w:tcBorders>
            <w:shd w:val="clear" w:color="000000" w:fill="E6F2FF"/>
            <w:noWrap/>
            <w:vAlign w:val="bottom"/>
            <w:hideMark/>
          </w:tcPr>
          <w:p w14:paraId="70875E51" w14:textId="77777777" w:rsidR="004C121A" w:rsidRPr="004C121A" w:rsidRDefault="004C121A" w:rsidP="004C121A">
            <w:pPr>
              <w:spacing w:before="0" w:after="0" w:line="240" w:lineRule="auto"/>
              <w:jc w:val="right"/>
              <w:rPr>
                <w:rFonts w:ascii="Arial" w:hAnsi="Arial" w:cs="Arial"/>
                <w:b/>
                <w:bCs/>
                <w:color w:val="000000"/>
                <w:sz w:val="16"/>
                <w:szCs w:val="16"/>
              </w:rPr>
            </w:pPr>
            <w:r w:rsidRPr="004C121A">
              <w:rPr>
                <w:rFonts w:ascii="Arial" w:hAnsi="Arial" w:cs="Arial"/>
                <w:b/>
                <w:bCs/>
                <w:color w:val="000000"/>
                <w:sz w:val="16"/>
                <w:szCs w:val="16"/>
              </w:rPr>
              <w:t>-5,795</w:t>
            </w:r>
          </w:p>
        </w:tc>
        <w:tc>
          <w:tcPr>
            <w:tcW w:w="507" w:type="pct"/>
            <w:tcBorders>
              <w:top w:val="nil"/>
              <w:left w:val="nil"/>
              <w:bottom w:val="nil"/>
              <w:right w:val="nil"/>
            </w:tcBorders>
            <w:shd w:val="clear" w:color="000000" w:fill="FFFFFF"/>
            <w:noWrap/>
            <w:vAlign w:val="bottom"/>
            <w:hideMark/>
          </w:tcPr>
          <w:p w14:paraId="143A340D" w14:textId="77777777" w:rsidR="004C121A" w:rsidRPr="004C121A" w:rsidRDefault="004C121A" w:rsidP="004C121A">
            <w:pPr>
              <w:spacing w:before="0" w:after="0" w:line="240" w:lineRule="auto"/>
              <w:jc w:val="right"/>
              <w:rPr>
                <w:rFonts w:ascii="Arial" w:hAnsi="Arial" w:cs="Arial"/>
                <w:b/>
                <w:bCs/>
                <w:color w:val="000000"/>
                <w:sz w:val="16"/>
                <w:szCs w:val="16"/>
              </w:rPr>
            </w:pPr>
            <w:r w:rsidRPr="004C121A">
              <w:rPr>
                <w:rFonts w:ascii="Arial" w:hAnsi="Arial" w:cs="Arial"/>
                <w:b/>
                <w:bCs/>
                <w:color w:val="000000"/>
                <w:sz w:val="16"/>
                <w:szCs w:val="16"/>
              </w:rPr>
              <w:t>-14,120</w:t>
            </w:r>
          </w:p>
        </w:tc>
        <w:tc>
          <w:tcPr>
            <w:tcW w:w="507" w:type="pct"/>
            <w:tcBorders>
              <w:top w:val="nil"/>
              <w:left w:val="nil"/>
              <w:bottom w:val="nil"/>
              <w:right w:val="nil"/>
            </w:tcBorders>
            <w:shd w:val="clear" w:color="000000" w:fill="FFFFFF"/>
            <w:noWrap/>
            <w:vAlign w:val="bottom"/>
            <w:hideMark/>
          </w:tcPr>
          <w:p w14:paraId="17EB9C7C" w14:textId="77777777" w:rsidR="004C121A" w:rsidRPr="004C121A" w:rsidRDefault="004C121A" w:rsidP="004C121A">
            <w:pPr>
              <w:spacing w:before="0" w:after="0" w:line="240" w:lineRule="auto"/>
              <w:jc w:val="right"/>
              <w:rPr>
                <w:rFonts w:ascii="Arial" w:hAnsi="Arial" w:cs="Arial"/>
                <w:b/>
                <w:bCs/>
                <w:color w:val="000000"/>
                <w:sz w:val="16"/>
                <w:szCs w:val="16"/>
              </w:rPr>
            </w:pPr>
            <w:r w:rsidRPr="004C121A">
              <w:rPr>
                <w:rFonts w:ascii="Arial" w:hAnsi="Arial" w:cs="Arial"/>
                <w:b/>
                <w:bCs/>
                <w:color w:val="000000"/>
                <w:sz w:val="16"/>
                <w:szCs w:val="16"/>
              </w:rPr>
              <w:t>-15,215</w:t>
            </w:r>
          </w:p>
        </w:tc>
        <w:tc>
          <w:tcPr>
            <w:tcW w:w="507" w:type="pct"/>
            <w:tcBorders>
              <w:top w:val="nil"/>
              <w:left w:val="nil"/>
              <w:bottom w:val="nil"/>
              <w:right w:val="nil"/>
            </w:tcBorders>
            <w:shd w:val="clear" w:color="000000" w:fill="FFFFFF"/>
            <w:noWrap/>
            <w:vAlign w:val="bottom"/>
            <w:hideMark/>
          </w:tcPr>
          <w:p w14:paraId="44DEF8A5" w14:textId="77777777" w:rsidR="004C121A" w:rsidRPr="004C121A" w:rsidRDefault="004C121A" w:rsidP="004C121A">
            <w:pPr>
              <w:spacing w:before="0" w:after="0" w:line="240" w:lineRule="auto"/>
              <w:jc w:val="right"/>
              <w:rPr>
                <w:rFonts w:ascii="Arial" w:hAnsi="Arial" w:cs="Arial"/>
                <w:b/>
                <w:bCs/>
                <w:color w:val="000000"/>
                <w:sz w:val="16"/>
                <w:szCs w:val="16"/>
              </w:rPr>
            </w:pPr>
            <w:r w:rsidRPr="004C121A">
              <w:rPr>
                <w:rFonts w:ascii="Arial" w:hAnsi="Arial" w:cs="Arial"/>
                <w:b/>
                <w:bCs/>
                <w:color w:val="000000"/>
                <w:sz w:val="16"/>
                <w:szCs w:val="16"/>
              </w:rPr>
              <w:t>-12,804</w:t>
            </w:r>
          </w:p>
        </w:tc>
        <w:tc>
          <w:tcPr>
            <w:tcW w:w="48" w:type="pct"/>
            <w:tcBorders>
              <w:top w:val="nil"/>
              <w:left w:val="nil"/>
              <w:bottom w:val="nil"/>
              <w:right w:val="nil"/>
            </w:tcBorders>
            <w:shd w:val="clear" w:color="000000" w:fill="FFFFFF"/>
            <w:noWrap/>
            <w:vAlign w:val="bottom"/>
            <w:hideMark/>
          </w:tcPr>
          <w:p w14:paraId="38F5A33D"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42843812" w14:textId="77777777" w:rsidR="004C121A" w:rsidRPr="004C121A" w:rsidRDefault="004C121A" w:rsidP="004C121A">
            <w:pPr>
              <w:spacing w:before="0" w:after="0" w:line="240" w:lineRule="auto"/>
              <w:jc w:val="right"/>
              <w:rPr>
                <w:rFonts w:ascii="Arial" w:hAnsi="Arial" w:cs="Arial"/>
                <w:b/>
                <w:bCs/>
                <w:color w:val="000000"/>
                <w:sz w:val="16"/>
                <w:szCs w:val="16"/>
              </w:rPr>
            </w:pPr>
            <w:r w:rsidRPr="004C121A">
              <w:rPr>
                <w:rFonts w:ascii="Arial" w:hAnsi="Arial" w:cs="Arial"/>
                <w:b/>
                <w:bCs/>
                <w:color w:val="000000"/>
                <w:sz w:val="16"/>
                <w:szCs w:val="16"/>
              </w:rPr>
              <w:t>-59,623</w:t>
            </w:r>
          </w:p>
        </w:tc>
      </w:tr>
      <w:tr w:rsidR="004C121A" w:rsidRPr="004C121A" w14:paraId="62654916" w14:textId="77777777" w:rsidTr="004C121A">
        <w:trPr>
          <w:trHeight w:hRule="exact" w:val="60"/>
        </w:trPr>
        <w:tc>
          <w:tcPr>
            <w:tcW w:w="1902" w:type="pct"/>
            <w:tcBorders>
              <w:top w:val="nil"/>
              <w:left w:val="nil"/>
              <w:bottom w:val="nil"/>
              <w:right w:val="nil"/>
            </w:tcBorders>
            <w:shd w:val="clear" w:color="000000" w:fill="FFFFFF"/>
            <w:noWrap/>
            <w:vAlign w:val="bottom"/>
            <w:hideMark/>
          </w:tcPr>
          <w:p w14:paraId="5F0A1F64" w14:textId="77777777" w:rsidR="004C121A" w:rsidRPr="004C121A" w:rsidRDefault="004C121A" w:rsidP="004C121A">
            <w:pPr>
              <w:spacing w:before="0" w:after="0" w:line="240" w:lineRule="auto"/>
              <w:ind w:left="170"/>
              <w:rPr>
                <w:rFonts w:ascii="Arial" w:hAnsi="Arial" w:cs="Arial"/>
                <w:b/>
                <w:bCs/>
                <w:color w:val="000000"/>
                <w:sz w:val="16"/>
                <w:szCs w:val="16"/>
              </w:rPr>
            </w:pPr>
            <w:r w:rsidRPr="004C121A">
              <w:rPr>
                <w:rFonts w:ascii="Arial" w:hAnsi="Arial" w:cs="Arial"/>
                <w:b/>
                <w:bCs/>
                <w:color w:val="000000"/>
                <w:sz w:val="16"/>
                <w:szCs w:val="16"/>
              </w:rPr>
              <w:t> </w:t>
            </w:r>
          </w:p>
        </w:tc>
        <w:tc>
          <w:tcPr>
            <w:tcW w:w="507" w:type="pct"/>
            <w:tcBorders>
              <w:top w:val="nil"/>
              <w:left w:val="nil"/>
              <w:bottom w:val="nil"/>
              <w:right w:val="nil"/>
            </w:tcBorders>
            <w:shd w:val="clear" w:color="000000" w:fill="FFFFFF"/>
            <w:noWrap/>
            <w:vAlign w:val="bottom"/>
            <w:hideMark/>
          </w:tcPr>
          <w:p w14:paraId="22631CEA" w14:textId="77777777" w:rsidR="004C121A" w:rsidRPr="004C121A" w:rsidRDefault="004C121A" w:rsidP="004C121A">
            <w:pPr>
              <w:spacing w:before="0" w:after="0" w:line="240" w:lineRule="auto"/>
              <w:rPr>
                <w:rFonts w:ascii="Arial" w:hAnsi="Arial" w:cs="Arial"/>
                <w:b/>
                <w:bCs/>
                <w:color w:val="000000"/>
                <w:sz w:val="16"/>
                <w:szCs w:val="16"/>
              </w:rPr>
            </w:pPr>
            <w:r w:rsidRPr="004C121A">
              <w:rPr>
                <w:rFonts w:ascii="Arial" w:hAnsi="Arial" w:cs="Arial"/>
                <w:b/>
                <w:bCs/>
                <w:color w:val="000000"/>
                <w:sz w:val="16"/>
                <w:szCs w:val="16"/>
              </w:rPr>
              <w:t> </w:t>
            </w:r>
          </w:p>
        </w:tc>
        <w:tc>
          <w:tcPr>
            <w:tcW w:w="507" w:type="pct"/>
            <w:tcBorders>
              <w:top w:val="single" w:sz="4" w:space="0" w:color="293F5B"/>
              <w:left w:val="nil"/>
              <w:bottom w:val="nil"/>
              <w:right w:val="nil"/>
            </w:tcBorders>
            <w:shd w:val="clear" w:color="000000" w:fill="E6F2FF"/>
            <w:noWrap/>
            <w:vAlign w:val="bottom"/>
            <w:hideMark/>
          </w:tcPr>
          <w:p w14:paraId="4F5911D3" w14:textId="77777777" w:rsidR="004C121A" w:rsidRPr="004C121A" w:rsidRDefault="004C121A" w:rsidP="004C121A">
            <w:pPr>
              <w:spacing w:before="0" w:after="0" w:line="240" w:lineRule="auto"/>
              <w:rPr>
                <w:rFonts w:ascii="Arial" w:hAnsi="Arial" w:cs="Arial"/>
                <w:b/>
                <w:bCs/>
                <w:color w:val="000000"/>
                <w:sz w:val="16"/>
                <w:szCs w:val="16"/>
              </w:rPr>
            </w:pPr>
            <w:r w:rsidRPr="004C121A">
              <w:rPr>
                <w:rFonts w:ascii="Arial" w:hAnsi="Arial" w:cs="Arial"/>
                <w:b/>
                <w:bCs/>
                <w:color w:val="000000"/>
                <w:sz w:val="16"/>
                <w:szCs w:val="16"/>
              </w:rPr>
              <w:t> </w:t>
            </w:r>
          </w:p>
        </w:tc>
        <w:tc>
          <w:tcPr>
            <w:tcW w:w="507" w:type="pct"/>
            <w:tcBorders>
              <w:top w:val="single" w:sz="4" w:space="0" w:color="293F5B"/>
              <w:left w:val="nil"/>
              <w:bottom w:val="nil"/>
              <w:right w:val="nil"/>
            </w:tcBorders>
            <w:shd w:val="clear" w:color="000000" w:fill="FFFFFF"/>
            <w:noWrap/>
            <w:vAlign w:val="bottom"/>
            <w:hideMark/>
          </w:tcPr>
          <w:p w14:paraId="270DBD2C" w14:textId="77777777" w:rsidR="004C121A" w:rsidRPr="004C121A" w:rsidRDefault="004C121A" w:rsidP="004C121A">
            <w:pPr>
              <w:spacing w:before="0" w:after="0" w:line="240" w:lineRule="auto"/>
              <w:rPr>
                <w:rFonts w:ascii="Arial" w:hAnsi="Arial" w:cs="Arial"/>
                <w:b/>
                <w:bCs/>
                <w:color w:val="000000"/>
                <w:sz w:val="16"/>
                <w:szCs w:val="16"/>
              </w:rPr>
            </w:pPr>
            <w:r w:rsidRPr="004C121A">
              <w:rPr>
                <w:rFonts w:ascii="Arial" w:hAnsi="Arial" w:cs="Arial"/>
                <w:b/>
                <w:bCs/>
                <w:color w:val="000000"/>
                <w:sz w:val="16"/>
                <w:szCs w:val="16"/>
              </w:rPr>
              <w:t> </w:t>
            </w:r>
          </w:p>
        </w:tc>
        <w:tc>
          <w:tcPr>
            <w:tcW w:w="507" w:type="pct"/>
            <w:tcBorders>
              <w:top w:val="single" w:sz="4" w:space="0" w:color="293F5B"/>
              <w:left w:val="nil"/>
              <w:bottom w:val="nil"/>
              <w:right w:val="nil"/>
            </w:tcBorders>
            <w:shd w:val="clear" w:color="000000" w:fill="FFFFFF"/>
            <w:noWrap/>
            <w:vAlign w:val="bottom"/>
            <w:hideMark/>
          </w:tcPr>
          <w:p w14:paraId="551EFB94" w14:textId="77777777" w:rsidR="004C121A" w:rsidRPr="004C121A" w:rsidRDefault="004C121A" w:rsidP="004C121A">
            <w:pPr>
              <w:spacing w:before="0" w:after="0" w:line="240" w:lineRule="auto"/>
              <w:rPr>
                <w:rFonts w:ascii="Arial" w:hAnsi="Arial" w:cs="Arial"/>
                <w:b/>
                <w:bCs/>
                <w:color w:val="000000"/>
                <w:sz w:val="16"/>
                <w:szCs w:val="16"/>
              </w:rPr>
            </w:pPr>
            <w:r w:rsidRPr="004C121A">
              <w:rPr>
                <w:rFonts w:ascii="Arial" w:hAnsi="Arial" w:cs="Arial"/>
                <w:b/>
                <w:bCs/>
                <w:color w:val="000000"/>
                <w:sz w:val="16"/>
                <w:szCs w:val="16"/>
              </w:rPr>
              <w:t> </w:t>
            </w:r>
          </w:p>
        </w:tc>
        <w:tc>
          <w:tcPr>
            <w:tcW w:w="507" w:type="pct"/>
            <w:tcBorders>
              <w:top w:val="single" w:sz="4" w:space="0" w:color="293F5B"/>
              <w:left w:val="nil"/>
              <w:bottom w:val="nil"/>
              <w:right w:val="nil"/>
            </w:tcBorders>
            <w:shd w:val="clear" w:color="000000" w:fill="FFFFFF"/>
            <w:noWrap/>
            <w:vAlign w:val="bottom"/>
            <w:hideMark/>
          </w:tcPr>
          <w:p w14:paraId="20A63841" w14:textId="77777777" w:rsidR="004C121A" w:rsidRPr="004C121A" w:rsidRDefault="004C121A" w:rsidP="004C121A">
            <w:pPr>
              <w:spacing w:before="0" w:after="0" w:line="240" w:lineRule="auto"/>
              <w:rPr>
                <w:rFonts w:ascii="Arial" w:hAnsi="Arial" w:cs="Arial"/>
                <w:b/>
                <w:bCs/>
                <w:color w:val="000000"/>
                <w:sz w:val="16"/>
                <w:szCs w:val="16"/>
              </w:rPr>
            </w:pPr>
            <w:r w:rsidRPr="004C121A">
              <w:rPr>
                <w:rFonts w:ascii="Arial" w:hAnsi="Arial" w:cs="Arial"/>
                <w:b/>
                <w:bCs/>
                <w:color w:val="000000"/>
                <w:sz w:val="16"/>
                <w:szCs w:val="16"/>
              </w:rPr>
              <w:t> </w:t>
            </w:r>
          </w:p>
        </w:tc>
        <w:tc>
          <w:tcPr>
            <w:tcW w:w="48" w:type="pct"/>
            <w:tcBorders>
              <w:top w:val="nil"/>
              <w:left w:val="nil"/>
              <w:bottom w:val="nil"/>
              <w:right w:val="nil"/>
            </w:tcBorders>
            <w:shd w:val="clear" w:color="000000" w:fill="FFFFFF"/>
            <w:noWrap/>
            <w:vAlign w:val="bottom"/>
            <w:hideMark/>
          </w:tcPr>
          <w:p w14:paraId="23C8E723"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single" w:sz="4" w:space="0" w:color="293F5B"/>
              <w:left w:val="nil"/>
              <w:bottom w:val="nil"/>
              <w:right w:val="nil"/>
            </w:tcBorders>
            <w:shd w:val="clear" w:color="000000" w:fill="FFFFFF"/>
            <w:noWrap/>
            <w:vAlign w:val="bottom"/>
            <w:hideMark/>
          </w:tcPr>
          <w:p w14:paraId="6D57F52A" w14:textId="77777777" w:rsidR="004C121A" w:rsidRPr="004C121A" w:rsidRDefault="004C121A" w:rsidP="004C121A">
            <w:pPr>
              <w:spacing w:before="0" w:after="0" w:line="240" w:lineRule="auto"/>
              <w:rPr>
                <w:rFonts w:ascii="Arial" w:hAnsi="Arial" w:cs="Arial"/>
                <w:b/>
                <w:bCs/>
                <w:color w:val="000000"/>
                <w:sz w:val="16"/>
                <w:szCs w:val="16"/>
              </w:rPr>
            </w:pPr>
            <w:r w:rsidRPr="004C121A">
              <w:rPr>
                <w:rFonts w:ascii="Arial" w:hAnsi="Arial" w:cs="Arial"/>
                <w:b/>
                <w:bCs/>
                <w:color w:val="000000"/>
                <w:sz w:val="16"/>
                <w:szCs w:val="16"/>
              </w:rPr>
              <w:t> </w:t>
            </w:r>
          </w:p>
        </w:tc>
      </w:tr>
      <w:tr w:rsidR="004C121A" w:rsidRPr="004C121A" w14:paraId="2CEFE4B3" w14:textId="77777777" w:rsidTr="004C121A">
        <w:trPr>
          <w:trHeight w:hRule="exact" w:val="225"/>
        </w:trPr>
        <w:tc>
          <w:tcPr>
            <w:tcW w:w="1902" w:type="pct"/>
            <w:tcBorders>
              <w:top w:val="nil"/>
              <w:left w:val="nil"/>
              <w:bottom w:val="nil"/>
              <w:right w:val="nil"/>
            </w:tcBorders>
            <w:shd w:val="clear" w:color="000000" w:fill="FFFFFF"/>
            <w:noWrap/>
            <w:vAlign w:val="bottom"/>
            <w:hideMark/>
          </w:tcPr>
          <w:p w14:paraId="62B1C282" w14:textId="77777777" w:rsidR="004C121A" w:rsidRPr="004C121A" w:rsidRDefault="004C121A" w:rsidP="004C121A">
            <w:pPr>
              <w:spacing w:before="0" w:after="0" w:line="240" w:lineRule="auto"/>
              <w:rPr>
                <w:rFonts w:ascii="Arial" w:hAnsi="Arial" w:cs="Arial"/>
                <w:b/>
                <w:bCs/>
                <w:color w:val="000000"/>
                <w:sz w:val="16"/>
                <w:szCs w:val="16"/>
              </w:rPr>
            </w:pPr>
            <w:r w:rsidRPr="004C121A">
              <w:rPr>
                <w:rFonts w:ascii="Arial" w:hAnsi="Arial" w:cs="Arial"/>
                <w:b/>
                <w:bCs/>
                <w:color w:val="000000"/>
                <w:sz w:val="16"/>
                <w:szCs w:val="16"/>
              </w:rPr>
              <w:t>2023–24 Budget headline</w:t>
            </w:r>
          </w:p>
        </w:tc>
        <w:tc>
          <w:tcPr>
            <w:tcW w:w="507" w:type="pct"/>
            <w:tcBorders>
              <w:top w:val="nil"/>
              <w:left w:val="nil"/>
              <w:bottom w:val="nil"/>
              <w:right w:val="nil"/>
            </w:tcBorders>
            <w:shd w:val="clear" w:color="000000" w:fill="FFFFFF"/>
            <w:noWrap/>
            <w:vAlign w:val="bottom"/>
            <w:hideMark/>
          </w:tcPr>
          <w:p w14:paraId="587FD62F"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E6F2FF"/>
            <w:noWrap/>
            <w:vAlign w:val="bottom"/>
            <w:hideMark/>
          </w:tcPr>
          <w:p w14:paraId="3B48A490"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6CDDF9D5"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1AC65233"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454C1EB5" w14:textId="77777777" w:rsidR="004C121A" w:rsidRPr="004C121A" w:rsidRDefault="004C121A" w:rsidP="004C121A">
            <w:pPr>
              <w:spacing w:before="0" w:after="0" w:line="240" w:lineRule="auto"/>
              <w:jc w:val="right"/>
              <w:rPr>
                <w:rFonts w:ascii="Arial" w:hAnsi="Arial" w:cs="Arial"/>
                <w:color w:val="000000"/>
                <w:sz w:val="16"/>
                <w:szCs w:val="16"/>
              </w:rPr>
            </w:pPr>
            <w:r w:rsidRPr="004C121A">
              <w:rPr>
                <w:rFonts w:ascii="Arial" w:hAnsi="Arial" w:cs="Arial"/>
                <w:color w:val="000000"/>
                <w:sz w:val="16"/>
                <w:szCs w:val="16"/>
              </w:rPr>
              <w:t> </w:t>
            </w:r>
          </w:p>
        </w:tc>
        <w:tc>
          <w:tcPr>
            <w:tcW w:w="48" w:type="pct"/>
            <w:tcBorders>
              <w:top w:val="nil"/>
              <w:left w:val="nil"/>
              <w:bottom w:val="nil"/>
              <w:right w:val="nil"/>
            </w:tcBorders>
            <w:shd w:val="clear" w:color="000000" w:fill="FFFFFF"/>
            <w:noWrap/>
            <w:vAlign w:val="bottom"/>
            <w:hideMark/>
          </w:tcPr>
          <w:p w14:paraId="1442D7BA"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nil"/>
              <w:right w:val="nil"/>
            </w:tcBorders>
            <w:shd w:val="clear" w:color="000000" w:fill="FFFFFF"/>
            <w:noWrap/>
            <w:vAlign w:val="bottom"/>
            <w:hideMark/>
          </w:tcPr>
          <w:p w14:paraId="635AC978"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r>
      <w:tr w:rsidR="004C121A" w:rsidRPr="004C121A" w14:paraId="284B1E39" w14:textId="77777777" w:rsidTr="004C121A">
        <w:trPr>
          <w:trHeight w:hRule="exact" w:val="225"/>
        </w:trPr>
        <w:tc>
          <w:tcPr>
            <w:tcW w:w="1902" w:type="pct"/>
            <w:tcBorders>
              <w:top w:val="nil"/>
              <w:left w:val="nil"/>
              <w:bottom w:val="single" w:sz="4" w:space="0" w:color="000000"/>
              <w:right w:val="nil"/>
            </w:tcBorders>
            <w:shd w:val="clear" w:color="000000" w:fill="FFFFFF"/>
            <w:noWrap/>
            <w:vAlign w:val="bottom"/>
            <w:hideMark/>
          </w:tcPr>
          <w:p w14:paraId="0A257448" w14:textId="77777777" w:rsidR="004C121A" w:rsidRPr="004C121A" w:rsidRDefault="004C121A" w:rsidP="004C121A">
            <w:pPr>
              <w:spacing w:before="0" w:after="0" w:line="240" w:lineRule="auto"/>
              <w:ind w:left="170"/>
              <w:rPr>
                <w:rFonts w:ascii="Arial" w:hAnsi="Arial" w:cs="Arial"/>
                <w:b/>
                <w:bCs/>
                <w:color w:val="000000"/>
                <w:sz w:val="16"/>
                <w:szCs w:val="16"/>
              </w:rPr>
            </w:pPr>
            <w:r w:rsidRPr="004C121A">
              <w:rPr>
                <w:rFonts w:ascii="Arial" w:hAnsi="Arial" w:cs="Arial"/>
                <w:b/>
                <w:bCs/>
                <w:color w:val="000000"/>
                <w:sz w:val="16"/>
                <w:szCs w:val="16"/>
              </w:rPr>
              <w:t>cash balance</w:t>
            </w:r>
          </w:p>
        </w:tc>
        <w:tc>
          <w:tcPr>
            <w:tcW w:w="507" w:type="pct"/>
            <w:tcBorders>
              <w:top w:val="nil"/>
              <w:left w:val="nil"/>
              <w:bottom w:val="single" w:sz="4" w:space="0" w:color="000000"/>
              <w:right w:val="nil"/>
            </w:tcBorders>
            <w:shd w:val="clear" w:color="000000" w:fill="FFFFFF"/>
            <w:noWrap/>
            <w:vAlign w:val="bottom"/>
            <w:hideMark/>
          </w:tcPr>
          <w:p w14:paraId="59EAAC0C" w14:textId="77777777" w:rsidR="004C121A" w:rsidRPr="004C121A" w:rsidRDefault="004C121A" w:rsidP="004C121A">
            <w:pPr>
              <w:spacing w:before="0" w:after="0" w:line="240" w:lineRule="auto"/>
              <w:jc w:val="right"/>
              <w:rPr>
                <w:rFonts w:ascii="Arial" w:hAnsi="Arial" w:cs="Arial"/>
                <w:b/>
                <w:bCs/>
                <w:color w:val="000000"/>
                <w:sz w:val="16"/>
                <w:szCs w:val="16"/>
              </w:rPr>
            </w:pPr>
            <w:r w:rsidRPr="004C121A">
              <w:rPr>
                <w:rFonts w:ascii="Arial" w:hAnsi="Arial" w:cs="Arial"/>
                <w:b/>
                <w:bCs/>
                <w:color w:val="000000"/>
                <w:sz w:val="16"/>
                <w:szCs w:val="16"/>
              </w:rPr>
              <w:t>-7,487</w:t>
            </w:r>
          </w:p>
        </w:tc>
        <w:tc>
          <w:tcPr>
            <w:tcW w:w="507" w:type="pct"/>
            <w:tcBorders>
              <w:top w:val="nil"/>
              <w:left w:val="nil"/>
              <w:bottom w:val="single" w:sz="4" w:space="0" w:color="000000"/>
              <w:right w:val="nil"/>
            </w:tcBorders>
            <w:shd w:val="clear" w:color="000000" w:fill="E6F2FF"/>
            <w:noWrap/>
            <w:vAlign w:val="bottom"/>
            <w:hideMark/>
          </w:tcPr>
          <w:p w14:paraId="1AD7238D" w14:textId="77777777" w:rsidR="004C121A" w:rsidRPr="004C121A" w:rsidRDefault="004C121A" w:rsidP="004C121A">
            <w:pPr>
              <w:spacing w:before="0" w:after="0" w:line="240" w:lineRule="auto"/>
              <w:jc w:val="right"/>
              <w:rPr>
                <w:rFonts w:ascii="Arial" w:hAnsi="Arial" w:cs="Arial"/>
                <w:b/>
                <w:bCs/>
                <w:color w:val="000000"/>
                <w:sz w:val="16"/>
                <w:szCs w:val="16"/>
              </w:rPr>
            </w:pPr>
            <w:r w:rsidRPr="004C121A">
              <w:rPr>
                <w:rFonts w:ascii="Arial" w:hAnsi="Arial" w:cs="Arial"/>
                <w:b/>
                <w:bCs/>
                <w:color w:val="000000"/>
                <w:sz w:val="16"/>
                <w:szCs w:val="16"/>
              </w:rPr>
              <w:t>-19,713</w:t>
            </w:r>
          </w:p>
        </w:tc>
        <w:tc>
          <w:tcPr>
            <w:tcW w:w="507" w:type="pct"/>
            <w:tcBorders>
              <w:top w:val="nil"/>
              <w:left w:val="nil"/>
              <w:bottom w:val="single" w:sz="4" w:space="0" w:color="000000"/>
              <w:right w:val="nil"/>
            </w:tcBorders>
            <w:shd w:val="clear" w:color="000000" w:fill="FFFFFF"/>
            <w:noWrap/>
            <w:vAlign w:val="bottom"/>
            <w:hideMark/>
          </w:tcPr>
          <w:p w14:paraId="4A7B8DDF" w14:textId="77777777" w:rsidR="004C121A" w:rsidRPr="004C121A" w:rsidRDefault="004C121A" w:rsidP="004C121A">
            <w:pPr>
              <w:spacing w:before="0" w:after="0" w:line="240" w:lineRule="auto"/>
              <w:jc w:val="right"/>
              <w:rPr>
                <w:rFonts w:ascii="Arial" w:hAnsi="Arial" w:cs="Arial"/>
                <w:b/>
                <w:bCs/>
                <w:color w:val="000000"/>
                <w:sz w:val="16"/>
                <w:szCs w:val="16"/>
              </w:rPr>
            </w:pPr>
            <w:r w:rsidRPr="004C121A">
              <w:rPr>
                <w:rFonts w:ascii="Arial" w:hAnsi="Arial" w:cs="Arial"/>
                <w:b/>
                <w:bCs/>
                <w:color w:val="000000"/>
                <w:sz w:val="16"/>
                <w:szCs w:val="16"/>
              </w:rPr>
              <w:t>-49,178</w:t>
            </w:r>
          </w:p>
        </w:tc>
        <w:tc>
          <w:tcPr>
            <w:tcW w:w="507" w:type="pct"/>
            <w:tcBorders>
              <w:top w:val="nil"/>
              <w:left w:val="nil"/>
              <w:bottom w:val="single" w:sz="4" w:space="0" w:color="000000"/>
              <w:right w:val="nil"/>
            </w:tcBorders>
            <w:shd w:val="clear" w:color="000000" w:fill="FFFFFF"/>
            <w:noWrap/>
            <w:vAlign w:val="bottom"/>
            <w:hideMark/>
          </w:tcPr>
          <w:p w14:paraId="00FE7FF4" w14:textId="77777777" w:rsidR="004C121A" w:rsidRPr="004C121A" w:rsidRDefault="004C121A" w:rsidP="004C121A">
            <w:pPr>
              <w:spacing w:before="0" w:after="0" w:line="240" w:lineRule="auto"/>
              <w:jc w:val="right"/>
              <w:rPr>
                <w:rFonts w:ascii="Arial" w:hAnsi="Arial" w:cs="Arial"/>
                <w:b/>
                <w:bCs/>
                <w:color w:val="000000"/>
                <w:sz w:val="16"/>
                <w:szCs w:val="16"/>
              </w:rPr>
            </w:pPr>
            <w:r w:rsidRPr="004C121A">
              <w:rPr>
                <w:rFonts w:ascii="Arial" w:hAnsi="Arial" w:cs="Arial"/>
                <w:b/>
                <w:bCs/>
                <w:color w:val="000000"/>
                <w:sz w:val="16"/>
                <w:szCs w:val="16"/>
              </w:rPr>
              <w:t>-51,842</w:t>
            </w:r>
          </w:p>
        </w:tc>
        <w:tc>
          <w:tcPr>
            <w:tcW w:w="507" w:type="pct"/>
            <w:tcBorders>
              <w:top w:val="nil"/>
              <w:left w:val="nil"/>
              <w:bottom w:val="single" w:sz="4" w:space="0" w:color="000000"/>
              <w:right w:val="nil"/>
            </w:tcBorders>
            <w:shd w:val="clear" w:color="000000" w:fill="FFFFFF"/>
            <w:noWrap/>
            <w:vAlign w:val="bottom"/>
            <w:hideMark/>
          </w:tcPr>
          <w:p w14:paraId="3E7F623F" w14:textId="77777777" w:rsidR="004C121A" w:rsidRPr="004C121A" w:rsidRDefault="004C121A" w:rsidP="004C121A">
            <w:pPr>
              <w:spacing w:before="0" w:after="0" w:line="240" w:lineRule="auto"/>
              <w:jc w:val="right"/>
              <w:rPr>
                <w:rFonts w:ascii="Arial" w:hAnsi="Arial" w:cs="Arial"/>
                <w:b/>
                <w:bCs/>
                <w:color w:val="000000"/>
                <w:sz w:val="16"/>
                <w:szCs w:val="16"/>
              </w:rPr>
            </w:pPr>
            <w:r w:rsidRPr="004C121A">
              <w:rPr>
                <w:rFonts w:ascii="Arial" w:hAnsi="Arial" w:cs="Arial"/>
                <w:b/>
                <w:bCs/>
                <w:color w:val="000000"/>
                <w:sz w:val="16"/>
                <w:szCs w:val="16"/>
              </w:rPr>
              <w:t>-41,255</w:t>
            </w:r>
          </w:p>
        </w:tc>
        <w:tc>
          <w:tcPr>
            <w:tcW w:w="48" w:type="pct"/>
            <w:tcBorders>
              <w:top w:val="nil"/>
              <w:left w:val="nil"/>
              <w:bottom w:val="single" w:sz="4" w:space="0" w:color="000000"/>
              <w:right w:val="nil"/>
            </w:tcBorders>
            <w:shd w:val="clear" w:color="000000" w:fill="FFFFFF"/>
            <w:noWrap/>
            <w:vAlign w:val="bottom"/>
            <w:hideMark/>
          </w:tcPr>
          <w:p w14:paraId="37E8E3FA" w14:textId="77777777" w:rsidR="004C121A" w:rsidRPr="004C121A" w:rsidRDefault="004C121A" w:rsidP="004C121A">
            <w:pPr>
              <w:spacing w:before="0" w:after="0" w:line="240" w:lineRule="auto"/>
              <w:rPr>
                <w:rFonts w:ascii="Arial" w:hAnsi="Arial" w:cs="Arial"/>
                <w:color w:val="000000"/>
                <w:sz w:val="16"/>
                <w:szCs w:val="16"/>
              </w:rPr>
            </w:pPr>
            <w:r w:rsidRPr="004C121A">
              <w:rPr>
                <w:rFonts w:ascii="Arial" w:hAnsi="Arial" w:cs="Arial"/>
                <w:color w:val="000000"/>
                <w:sz w:val="16"/>
                <w:szCs w:val="16"/>
              </w:rPr>
              <w:t> </w:t>
            </w:r>
          </w:p>
        </w:tc>
        <w:tc>
          <w:tcPr>
            <w:tcW w:w="515" w:type="pct"/>
            <w:tcBorders>
              <w:top w:val="nil"/>
              <w:left w:val="nil"/>
              <w:bottom w:val="single" w:sz="4" w:space="0" w:color="000000"/>
              <w:right w:val="nil"/>
            </w:tcBorders>
            <w:shd w:val="clear" w:color="000000" w:fill="FFFFFF"/>
            <w:noWrap/>
            <w:vAlign w:val="bottom"/>
            <w:hideMark/>
          </w:tcPr>
          <w:p w14:paraId="7C7ED1FF" w14:textId="77777777" w:rsidR="004C121A" w:rsidRPr="004C121A" w:rsidRDefault="004C121A" w:rsidP="004C121A">
            <w:pPr>
              <w:spacing w:before="0" w:after="0" w:line="240" w:lineRule="auto"/>
              <w:jc w:val="right"/>
              <w:rPr>
                <w:rFonts w:ascii="Arial" w:hAnsi="Arial" w:cs="Arial"/>
                <w:b/>
                <w:bCs/>
                <w:color w:val="000000"/>
                <w:sz w:val="16"/>
                <w:szCs w:val="16"/>
              </w:rPr>
            </w:pPr>
            <w:r w:rsidRPr="004C121A">
              <w:rPr>
                <w:rFonts w:ascii="Arial" w:hAnsi="Arial" w:cs="Arial"/>
                <w:b/>
                <w:bCs/>
                <w:color w:val="000000"/>
                <w:sz w:val="16"/>
                <w:szCs w:val="16"/>
              </w:rPr>
              <w:t>-169,475</w:t>
            </w:r>
          </w:p>
        </w:tc>
      </w:tr>
    </w:tbl>
    <w:p w14:paraId="005FE881" w14:textId="5583AE7C" w:rsidR="003B3AED" w:rsidRPr="004E1159" w:rsidRDefault="003B3AED">
      <w:pPr>
        <w:pStyle w:val="ChartandTableFootnoteAlpha"/>
        <w:numPr>
          <w:ilvl w:val="0"/>
          <w:numId w:val="26"/>
        </w:numPr>
        <w:rPr>
          <w:color w:val="auto"/>
        </w:rPr>
      </w:pPr>
      <w:r w:rsidRPr="004E1159">
        <w:rPr>
          <w:color w:val="auto"/>
        </w:rPr>
        <w:t xml:space="preserve">A positive number denotes a cash inflow; a negative number denotes a cash outflow. </w:t>
      </w:r>
    </w:p>
    <w:p w14:paraId="377A8423" w14:textId="7674D832" w:rsidR="003B3AED" w:rsidRPr="004E1159" w:rsidRDefault="003B3AED" w:rsidP="00D57DA8">
      <w:pPr>
        <w:pStyle w:val="ChartandTableFootnoteAlpha"/>
        <w:rPr>
          <w:color w:val="auto"/>
        </w:rPr>
      </w:pPr>
      <w:r w:rsidRPr="004E1159">
        <w:rPr>
          <w:color w:val="auto"/>
        </w:rPr>
        <w:t>This financial profile represents the actual repayments for 2022–23. As the loan agreement between the Government and NBN Co allows some flexibility in relation to the timing of the repayment, the remaining amount is included in 2023–24.</w:t>
      </w:r>
    </w:p>
    <w:p w14:paraId="4486407C" w14:textId="0DEB6A2B" w:rsidR="00D01E96" w:rsidRDefault="00D01E96" w:rsidP="00D57DA8">
      <w:pPr>
        <w:pStyle w:val="ChartandTableFootnoteAlpha"/>
      </w:pPr>
      <w:r w:rsidRPr="004E1159">
        <w:rPr>
          <w:color w:val="auto"/>
        </w:rPr>
        <w:t>Net other includes amounts that have not been itemised for commercial</w:t>
      </w:r>
      <w:r w:rsidR="00594653" w:rsidRPr="004E1159">
        <w:rPr>
          <w:color w:val="auto"/>
        </w:rPr>
        <w:noBreakHyphen/>
      </w:r>
      <w:r w:rsidRPr="004E1159">
        <w:rPr>
          <w:color w:val="auto"/>
        </w:rPr>
        <w:t>in</w:t>
      </w:r>
      <w:r w:rsidR="00594653" w:rsidRPr="004E1159">
        <w:rPr>
          <w:color w:val="auto"/>
        </w:rPr>
        <w:noBreakHyphen/>
      </w:r>
      <w:r w:rsidRPr="004E1159">
        <w:rPr>
          <w:color w:val="auto"/>
        </w:rPr>
        <w:t>confidence reasons.</w:t>
      </w:r>
      <w:r w:rsidR="003B3AED" w:rsidRPr="004E1159">
        <w:rPr>
          <w:color w:val="auto"/>
        </w:rPr>
        <w:t xml:space="preserve"> </w:t>
      </w:r>
    </w:p>
    <w:p w14:paraId="5CEA9EAC" w14:textId="77777777" w:rsidR="00437D6F" w:rsidRPr="00EA288B" w:rsidRDefault="00437D6F" w:rsidP="00437D6F">
      <w:pPr>
        <w:pStyle w:val="ChartLine"/>
      </w:pPr>
    </w:p>
    <w:p w14:paraId="6D64BF38" w14:textId="77777777" w:rsidR="00D01E96" w:rsidRPr="00EA288B" w:rsidRDefault="00D01E96" w:rsidP="00D01E96">
      <w:pPr>
        <w:spacing w:before="0" w:after="160" w:line="259" w:lineRule="auto"/>
        <w:rPr>
          <w:rFonts w:ascii="Arial" w:hAnsi="Arial"/>
          <w:sz w:val="16"/>
        </w:rPr>
      </w:pPr>
      <w:r w:rsidRPr="00EA288B">
        <w:br w:type="page"/>
      </w:r>
    </w:p>
    <w:p w14:paraId="4D08AFF1" w14:textId="76915899" w:rsidR="00D01E96" w:rsidRPr="00EA288B" w:rsidRDefault="00D01E96" w:rsidP="00D01E96">
      <w:pPr>
        <w:pStyle w:val="Heading2"/>
      </w:pPr>
      <w:bookmarkStart w:id="24" w:name="_Toc117356563"/>
      <w:bookmarkStart w:id="25" w:name="_Toc134321295"/>
      <w:r w:rsidRPr="00EA288B">
        <w:lastRenderedPageBreak/>
        <w:t>The Government</w:t>
      </w:r>
      <w:r w:rsidR="00594653">
        <w:t>’</w:t>
      </w:r>
      <w:r w:rsidRPr="00EA288B">
        <w:t>s balance sheet</w:t>
      </w:r>
      <w:bookmarkEnd w:id="24"/>
      <w:bookmarkEnd w:id="25"/>
    </w:p>
    <w:p w14:paraId="6152A044" w14:textId="5D3679CC" w:rsidR="00D01E96" w:rsidRPr="004E1159" w:rsidRDefault="00D01E96" w:rsidP="00D01E96">
      <w:r w:rsidRPr="004E1159">
        <w:t>The balance sheet measures the value of the Government</w:t>
      </w:r>
      <w:r w:rsidR="00594653" w:rsidRPr="004E1159">
        <w:t>’</w:t>
      </w:r>
      <w:r w:rsidRPr="004E1159">
        <w:t xml:space="preserve">s assets and liabilities. Changes in the balance sheet reflect movements in the underlying cash balance, additional balance sheet commitments, and market valuation effects including from </w:t>
      </w:r>
      <w:r w:rsidR="00ED380D" w:rsidRPr="004E1159">
        <w:t>changes in</w:t>
      </w:r>
      <w:r w:rsidRPr="004E1159">
        <w:t xml:space="preserve"> yields </w:t>
      </w:r>
      <w:r w:rsidR="0059171D" w:rsidRPr="004E1159">
        <w:t>(</w:t>
      </w:r>
      <w:r w:rsidR="0080517A" w:rsidRPr="004E1159">
        <w:t>Box 3.5)</w:t>
      </w:r>
      <w:r w:rsidR="0040305E" w:rsidRPr="004E1159">
        <w:t>.</w:t>
      </w:r>
    </w:p>
    <w:p w14:paraId="39DB4A3D" w14:textId="77777777" w:rsidR="00D01E96" w:rsidRPr="004E1159" w:rsidRDefault="00D01E96" w:rsidP="00D01E96">
      <w:r w:rsidRPr="004E1159">
        <w:t xml:space="preserve">Different balance sheet metrics measure different groupings of assets and liabilities. </w:t>
      </w:r>
    </w:p>
    <w:p w14:paraId="2CBBD177" w14:textId="76F6905F" w:rsidR="00D01E96" w:rsidRPr="004E1159" w:rsidRDefault="00D01E96" w:rsidP="00D57DA8">
      <w:pPr>
        <w:pStyle w:val="Bullet"/>
        <w:numPr>
          <w:ilvl w:val="0"/>
          <w:numId w:val="4"/>
        </w:numPr>
        <w:ind w:left="284" w:hanging="284"/>
      </w:pPr>
      <w:r w:rsidRPr="004E1159">
        <w:rPr>
          <w:b/>
        </w:rPr>
        <w:t>Gross debt</w:t>
      </w:r>
      <w:r w:rsidRPr="004E1159">
        <w:t xml:space="preserve"> measures the face value of Australian Government Securities (AGS) on issue. This is the amount that the Government pays back to investors at maturity, independent of fluctuations in market prices. </w:t>
      </w:r>
    </w:p>
    <w:p w14:paraId="3C5F8AC3" w14:textId="77777777" w:rsidR="00D01E96" w:rsidRPr="004E1159" w:rsidRDefault="00D01E96" w:rsidP="00D57DA8">
      <w:pPr>
        <w:pStyle w:val="Bullet"/>
        <w:numPr>
          <w:ilvl w:val="0"/>
          <w:numId w:val="4"/>
        </w:numPr>
        <w:ind w:left="284" w:hanging="284"/>
        <w:rPr>
          <w:b/>
        </w:rPr>
      </w:pPr>
      <w:r w:rsidRPr="004E1159">
        <w:rPr>
          <w:b/>
        </w:rPr>
        <w:t>Net debt</w:t>
      </w:r>
      <w:r w:rsidRPr="004E1159">
        <w:t xml:space="preserve"> is measured at market value and incorporates specific financial assets and liabilities and provides a broader measure of the financial obligations of the Government than gross debt.</w:t>
      </w:r>
    </w:p>
    <w:p w14:paraId="385B2E16" w14:textId="020EAC67" w:rsidR="00D01E96" w:rsidRPr="004E1159" w:rsidRDefault="00D01E96" w:rsidP="00D57DA8">
      <w:pPr>
        <w:pStyle w:val="Bullet"/>
        <w:numPr>
          <w:ilvl w:val="0"/>
          <w:numId w:val="4"/>
        </w:numPr>
        <w:ind w:left="284" w:hanging="284"/>
      </w:pPr>
      <w:r w:rsidRPr="004E1159">
        <w:rPr>
          <w:b/>
        </w:rPr>
        <w:t>Net financial worth</w:t>
      </w:r>
      <w:r w:rsidRPr="004E1159">
        <w:t xml:space="preserve"> </w:t>
      </w:r>
      <w:r w:rsidR="009857A0" w:rsidRPr="004E1159">
        <w:rPr>
          <w:lang w:eastAsia="en-US"/>
        </w:rPr>
        <w:t xml:space="preserve">is the sum of all financial assets less all </w:t>
      </w:r>
      <w:r w:rsidR="00F17705" w:rsidRPr="004E1159">
        <w:rPr>
          <w:lang w:eastAsia="en-US"/>
        </w:rPr>
        <w:t xml:space="preserve">financial </w:t>
      </w:r>
      <w:r w:rsidR="009857A0" w:rsidRPr="004E1159">
        <w:rPr>
          <w:lang w:eastAsia="en-US"/>
        </w:rPr>
        <w:t xml:space="preserve">liabilities. </w:t>
      </w:r>
      <w:r w:rsidR="006A525A" w:rsidRPr="004E1159">
        <w:t>T</w:t>
      </w:r>
      <w:r w:rsidRPr="004E1159">
        <w:t>he</w:t>
      </w:r>
      <w:r w:rsidR="003A2B54" w:rsidRPr="004E1159">
        <w:t> </w:t>
      </w:r>
      <w:r w:rsidRPr="004E1159">
        <w:t xml:space="preserve">assets of the Future Fund and the public sector superannuation liability that the Future Fund </w:t>
      </w:r>
      <w:r w:rsidR="0020287A" w:rsidRPr="004E1159">
        <w:t>will</w:t>
      </w:r>
      <w:r w:rsidRPr="004E1159">
        <w:t xml:space="preserve"> finance are included in net financial worth.</w:t>
      </w:r>
    </w:p>
    <w:p w14:paraId="1D03D444" w14:textId="77777777" w:rsidR="00D01E96" w:rsidRPr="004E1159" w:rsidRDefault="00D01E96" w:rsidP="00D57DA8">
      <w:pPr>
        <w:pStyle w:val="Bullet"/>
        <w:numPr>
          <w:ilvl w:val="0"/>
          <w:numId w:val="4"/>
        </w:numPr>
        <w:ind w:left="284" w:hanging="284"/>
      </w:pPr>
      <w:r w:rsidRPr="004E1159">
        <w:rPr>
          <w:b/>
          <w:lang w:eastAsia="en-US"/>
        </w:rPr>
        <w:t>Net worth</w:t>
      </w:r>
      <w:r w:rsidRPr="004E1159">
        <w:rPr>
          <w:lang w:eastAsia="en-US"/>
        </w:rPr>
        <w:t xml:space="preserve"> is the sum of all assets less all liabilities. It includes non–financial assets such as buildings and plant, equipment, and infrastructure.</w:t>
      </w:r>
    </w:p>
    <w:p w14:paraId="36F2F91D" w14:textId="2443EF0D" w:rsidR="00D01E96" w:rsidRPr="00EA288B" w:rsidRDefault="00D01E96" w:rsidP="00D01E96">
      <w:r w:rsidRPr="004E1159">
        <w:t xml:space="preserve">Further information on definitions is available in </w:t>
      </w:r>
      <w:r w:rsidRPr="004E1159">
        <w:rPr>
          <w:rStyle w:val="Emphasis"/>
        </w:rPr>
        <w:t>Statement</w:t>
      </w:r>
      <w:r w:rsidRPr="004E1159">
        <w:t xml:space="preserve"> </w:t>
      </w:r>
      <w:r w:rsidRPr="004E1159">
        <w:rPr>
          <w:rStyle w:val="Emphasis"/>
        </w:rPr>
        <w:t>10:</w:t>
      </w:r>
      <w:r w:rsidRPr="004E1159">
        <w:t xml:space="preserve"> </w:t>
      </w:r>
      <w:r w:rsidRPr="004E1159">
        <w:rPr>
          <w:rStyle w:val="Emphasis"/>
        </w:rPr>
        <w:t>Australian Government Budget Financial Statements</w:t>
      </w:r>
      <w:r w:rsidRPr="004E1159">
        <w:t>.</w:t>
      </w:r>
    </w:p>
    <w:p w14:paraId="224BA128" w14:textId="77777777" w:rsidR="00D01E96" w:rsidRPr="00EA288B" w:rsidRDefault="00D01E96" w:rsidP="00D01E96">
      <w:pPr>
        <w:pStyle w:val="Heading3"/>
      </w:pPr>
      <w:bookmarkStart w:id="26" w:name="_Toc117356564"/>
      <w:bookmarkStart w:id="27" w:name="_Toc134321296"/>
      <w:r w:rsidRPr="00EA288B">
        <w:t>Gross debt estimates and projections</w:t>
      </w:r>
      <w:bookmarkEnd w:id="26"/>
      <w:bookmarkEnd w:id="27"/>
    </w:p>
    <w:p w14:paraId="3D6F69B2" w14:textId="7D724813" w:rsidR="00625ED3" w:rsidRPr="004E1159" w:rsidRDefault="000B76EE" w:rsidP="00D01E96">
      <w:r w:rsidRPr="004E1159">
        <w:t>The Government</w:t>
      </w:r>
      <w:r w:rsidR="00594653" w:rsidRPr="004E1159">
        <w:t>’</w:t>
      </w:r>
      <w:r w:rsidRPr="004E1159">
        <w:t>s responsible budget management is supporting lower debt</w:t>
      </w:r>
      <w:r w:rsidRPr="004E1159" w:rsidDel="00886F4A">
        <w:t xml:space="preserve"> </w:t>
      </w:r>
      <w:r w:rsidR="00EB0159" w:rsidRPr="004E1159">
        <w:t xml:space="preserve">than at the </w:t>
      </w:r>
      <w:r w:rsidR="00F634C3" w:rsidRPr="004E1159">
        <w:t>October Budget</w:t>
      </w:r>
      <w:r w:rsidR="00EB0159" w:rsidRPr="004E1159">
        <w:t xml:space="preserve"> </w:t>
      </w:r>
      <w:r w:rsidRPr="004E1159">
        <w:t>in each year of the forward estimates and medium term.</w:t>
      </w:r>
    </w:p>
    <w:p w14:paraId="4E08252E" w14:textId="05B48F91" w:rsidR="0020287A" w:rsidRPr="004E1159" w:rsidRDefault="00D01E96" w:rsidP="00D01E96">
      <w:r w:rsidRPr="004E1159">
        <w:t xml:space="preserve">Gross debt is estimated to be </w:t>
      </w:r>
      <w:r w:rsidR="00C96C97" w:rsidRPr="004E1159">
        <w:t>35.8</w:t>
      </w:r>
      <w:r w:rsidR="00F634C3" w:rsidRPr="004E1159">
        <w:t> per </w:t>
      </w:r>
      <w:r w:rsidRPr="004E1159">
        <w:t>cent of GDP ($</w:t>
      </w:r>
      <w:r w:rsidR="00A738C1" w:rsidRPr="004E1159">
        <w:t>923.</w:t>
      </w:r>
      <w:r w:rsidR="000063E1" w:rsidRPr="004E1159">
        <w:t>0</w:t>
      </w:r>
      <w:r w:rsidR="00F634C3" w:rsidRPr="004E1159">
        <w:t> billion</w:t>
      </w:r>
      <w:r w:rsidRPr="004E1159">
        <w:t xml:space="preserve">) </w:t>
      </w:r>
      <w:r w:rsidR="00F0668E" w:rsidRPr="004E1159">
        <w:t>in 2023</w:t>
      </w:r>
      <w:r w:rsidR="00594653" w:rsidRPr="004E1159">
        <w:noBreakHyphen/>
      </w:r>
      <w:r w:rsidR="00F0668E" w:rsidRPr="004E1159">
        <w:t>24</w:t>
      </w:r>
      <w:r w:rsidRPr="004E1159">
        <w:t xml:space="preserve">, </w:t>
      </w:r>
      <w:r w:rsidR="00F0668E" w:rsidRPr="004E1159">
        <w:t>$</w:t>
      </w:r>
      <w:r w:rsidR="00491CDF" w:rsidRPr="004E1159">
        <w:t>81</w:t>
      </w:r>
      <w:r w:rsidR="00F0668E" w:rsidRPr="004E1159">
        <w:t xml:space="preserve"> billion</w:t>
      </w:r>
      <w:r w:rsidRPr="004E1159">
        <w:t xml:space="preserve"> lower than the estimate of </w:t>
      </w:r>
      <w:r w:rsidR="00753737" w:rsidRPr="004E1159">
        <w:t>4</w:t>
      </w:r>
      <w:r w:rsidR="002E066D" w:rsidRPr="004E1159">
        <w:t>0.8</w:t>
      </w:r>
      <w:r w:rsidR="00F634C3" w:rsidRPr="004E1159">
        <w:t> per </w:t>
      </w:r>
      <w:r w:rsidRPr="004E1159">
        <w:t>cent of GDP ($</w:t>
      </w:r>
      <w:r w:rsidR="00753737" w:rsidRPr="004E1159">
        <w:t>1</w:t>
      </w:r>
      <w:r w:rsidR="00712009" w:rsidRPr="004E1159">
        <w:t xml:space="preserve"> trillion</w:t>
      </w:r>
      <w:r w:rsidRPr="004E1159">
        <w:t xml:space="preserve">) at </w:t>
      </w:r>
      <w:r w:rsidR="00AB7962" w:rsidRPr="004E1159">
        <w:t xml:space="preserve">the </w:t>
      </w:r>
      <w:r w:rsidR="00F634C3" w:rsidRPr="004E1159">
        <w:t>October Budget</w:t>
      </w:r>
      <w:r w:rsidRPr="004E1159">
        <w:t xml:space="preserve">. This primarily reflects improvements in the underlying cash balance. </w:t>
      </w:r>
      <w:r w:rsidR="00555967" w:rsidRPr="004E1159">
        <w:t xml:space="preserve">The </w:t>
      </w:r>
      <w:r w:rsidR="00270D97" w:rsidRPr="004E1159">
        <w:t>gross</w:t>
      </w:r>
      <w:r w:rsidR="00555967" w:rsidRPr="004E1159">
        <w:t xml:space="preserve"> debt </w:t>
      </w:r>
      <w:r w:rsidR="00F5265F" w:rsidRPr="004E1159">
        <w:t>to GDP</w:t>
      </w:r>
      <w:r w:rsidR="00555967" w:rsidRPr="004E1159">
        <w:t xml:space="preserve"> position also benefits from lower yields compared to October and </w:t>
      </w:r>
      <w:r w:rsidR="0020287A" w:rsidRPr="004E1159">
        <w:t xml:space="preserve">from </w:t>
      </w:r>
      <w:r w:rsidR="00C60F53" w:rsidRPr="004E1159">
        <w:t xml:space="preserve">upgrades to nominal GDP. </w:t>
      </w:r>
    </w:p>
    <w:p w14:paraId="6DFBA9C4" w14:textId="4439EE28" w:rsidR="00BC78FD" w:rsidRPr="00ED5C3A" w:rsidRDefault="004665EE" w:rsidP="0050461D">
      <w:r w:rsidRPr="004E1159">
        <w:t xml:space="preserve">In line with the Economic and Fiscal Strategy, the Government </w:t>
      </w:r>
      <w:r w:rsidR="00795618" w:rsidRPr="004E1159">
        <w:t xml:space="preserve">is on track to </w:t>
      </w:r>
      <w:r w:rsidRPr="004E1159">
        <w:t xml:space="preserve">stabilise </w:t>
      </w:r>
      <w:r w:rsidR="00C25CEC" w:rsidRPr="004E1159">
        <w:t xml:space="preserve">and reduce </w:t>
      </w:r>
      <w:r w:rsidR="003C5453" w:rsidRPr="004E1159">
        <w:t>gross debt as a share of the economy</w:t>
      </w:r>
      <w:r w:rsidRPr="004E1159">
        <w:t>.</w:t>
      </w:r>
      <w:r w:rsidR="00A94797" w:rsidRPr="004E1159">
        <w:t xml:space="preserve"> </w:t>
      </w:r>
      <w:r w:rsidRPr="004E1159">
        <w:t>Gross debt is now projected to peak</w:t>
      </w:r>
      <w:r w:rsidR="0050461D" w:rsidRPr="004E1159">
        <w:t xml:space="preserve"> </w:t>
      </w:r>
      <w:r w:rsidRPr="004E1159">
        <w:t xml:space="preserve">at </w:t>
      </w:r>
      <w:r w:rsidR="00620815" w:rsidRPr="004E1159">
        <w:t>36.5</w:t>
      </w:r>
      <w:r w:rsidR="00F634C3" w:rsidRPr="004E1159">
        <w:t> per </w:t>
      </w:r>
      <w:r w:rsidRPr="004E1159">
        <w:t xml:space="preserve">cent of GDP </w:t>
      </w:r>
      <w:r w:rsidR="009A6484" w:rsidRPr="004E1159">
        <w:t xml:space="preserve">at </w:t>
      </w:r>
      <w:r w:rsidR="00795618" w:rsidRPr="004E1159">
        <w:t>in 2025</w:t>
      </w:r>
      <w:r w:rsidR="003561A5" w:rsidRPr="004E1159">
        <w:t>–</w:t>
      </w:r>
      <w:r w:rsidR="00795618" w:rsidRPr="004E1159">
        <w:t>26</w:t>
      </w:r>
      <w:r w:rsidRPr="004E1159">
        <w:t xml:space="preserve">, </w:t>
      </w:r>
      <w:r w:rsidR="00810DA2" w:rsidRPr="004E1159">
        <w:t>10.4</w:t>
      </w:r>
      <w:r w:rsidR="00F634C3" w:rsidRPr="004E1159">
        <w:t> percentage</w:t>
      </w:r>
      <w:r w:rsidRPr="004E1159">
        <w:t xml:space="preserve"> points lower and </w:t>
      </w:r>
      <w:r w:rsidR="000B1253" w:rsidRPr="004E1159">
        <w:t>5</w:t>
      </w:r>
      <w:r w:rsidR="00DC01B2" w:rsidRPr="004E1159">
        <w:t> year</w:t>
      </w:r>
      <w:r w:rsidRPr="004E1159">
        <w:t xml:space="preserve">s earlier than at the </w:t>
      </w:r>
      <w:r w:rsidR="00F634C3" w:rsidRPr="004E1159">
        <w:t>October Budget</w:t>
      </w:r>
      <w:r w:rsidRPr="004E1159">
        <w:t xml:space="preserve">, before declining to </w:t>
      </w:r>
      <w:r w:rsidR="004A5C88" w:rsidRPr="004E1159">
        <w:t>32.</w:t>
      </w:r>
      <w:r w:rsidR="00236727" w:rsidRPr="004E1159">
        <w:t>3</w:t>
      </w:r>
      <w:r w:rsidR="00F634C3" w:rsidRPr="004E1159">
        <w:t> per </w:t>
      </w:r>
      <w:r w:rsidRPr="004E1159">
        <w:t>cent by 2033</w:t>
      </w:r>
      <w:r w:rsidR="00F634C3" w:rsidRPr="004E1159">
        <w:t>–</w:t>
      </w:r>
      <w:r w:rsidRPr="004E1159">
        <w:t>34</w:t>
      </w:r>
      <w:r w:rsidR="009F6059" w:rsidRPr="004E1159">
        <w:t xml:space="preserve"> (Chart 3.11).</w:t>
      </w:r>
    </w:p>
    <w:p w14:paraId="7CAC41D4" w14:textId="5FF7E5DB" w:rsidR="00B201F3" w:rsidRPr="004E1159" w:rsidRDefault="00750FBA" w:rsidP="00D12E30">
      <w:pPr>
        <w:spacing w:before="0" w:after="160" w:line="259" w:lineRule="auto"/>
      </w:pPr>
      <w:r w:rsidRPr="004E1159">
        <w:t>The</w:t>
      </w:r>
      <w:r w:rsidR="00F24CF6" w:rsidRPr="004E1159">
        <w:t xml:space="preserve"> </w:t>
      </w:r>
      <w:r w:rsidR="001B42C5" w:rsidRPr="004E1159">
        <w:t xml:space="preserve">cost of servicing </w:t>
      </w:r>
      <w:r w:rsidR="00F24CF6" w:rsidRPr="004E1159">
        <w:t xml:space="preserve">Government </w:t>
      </w:r>
      <w:r w:rsidR="002D0DD4" w:rsidRPr="004E1159">
        <w:t xml:space="preserve">debt </w:t>
      </w:r>
      <w:r w:rsidR="00F24CF6" w:rsidRPr="004E1159">
        <w:t xml:space="preserve">has decreased </w:t>
      </w:r>
      <w:r w:rsidR="009802A7" w:rsidRPr="004E1159">
        <w:t xml:space="preserve">since the </w:t>
      </w:r>
      <w:r w:rsidR="00F634C3" w:rsidRPr="004E1159">
        <w:t>October Budget</w:t>
      </w:r>
      <w:r w:rsidR="00881A9C" w:rsidRPr="004E1159">
        <w:t>,</w:t>
      </w:r>
      <w:r w:rsidR="00262323" w:rsidRPr="004E1159">
        <w:t xml:space="preserve"> </w:t>
      </w:r>
      <w:r w:rsidR="00C13A73" w:rsidRPr="004E1159">
        <w:t xml:space="preserve">driven by </w:t>
      </w:r>
      <w:r w:rsidR="00137361" w:rsidRPr="004E1159">
        <w:t xml:space="preserve">the </w:t>
      </w:r>
      <w:r w:rsidR="00C95484" w:rsidRPr="004E1159">
        <w:t xml:space="preserve">reduction in </w:t>
      </w:r>
      <w:r w:rsidR="00137361" w:rsidRPr="004E1159">
        <w:t>debt and</w:t>
      </w:r>
      <w:r w:rsidR="00F53A1B" w:rsidRPr="004E1159">
        <w:t>, to a lesser extent,</w:t>
      </w:r>
      <w:r w:rsidR="00466D35" w:rsidRPr="004E1159">
        <w:t xml:space="preserve"> </w:t>
      </w:r>
      <w:r w:rsidR="00137361" w:rsidRPr="004E1159">
        <w:t>lower</w:t>
      </w:r>
      <w:r w:rsidRPr="004E1159">
        <w:t xml:space="preserve"> </w:t>
      </w:r>
      <w:r w:rsidR="00137361" w:rsidRPr="004E1159">
        <w:t>yields</w:t>
      </w:r>
      <w:r w:rsidR="006F24CA" w:rsidRPr="004E1159">
        <w:t xml:space="preserve">. </w:t>
      </w:r>
      <w:r w:rsidR="007E34DD" w:rsidRPr="004E1159">
        <w:t>Over the forward estimates, b</w:t>
      </w:r>
      <w:r w:rsidR="00596890" w:rsidRPr="004E1159">
        <w:t xml:space="preserve">ond yields are assumed to remain fixed at </w:t>
      </w:r>
      <w:r w:rsidR="00094562" w:rsidRPr="004E1159">
        <w:t xml:space="preserve">a recent average of daily spot rates at the time of the </w:t>
      </w:r>
      <w:r w:rsidR="00427768" w:rsidRPr="004E1159">
        <w:t>B</w:t>
      </w:r>
      <w:r w:rsidR="00094562" w:rsidRPr="004E1159">
        <w:t xml:space="preserve">udget </w:t>
      </w:r>
      <w:r w:rsidR="00B36696" w:rsidRPr="004E1159">
        <w:t>update. Since October, t</w:t>
      </w:r>
      <w:r w:rsidR="00F57B50" w:rsidRPr="004E1159">
        <w:t xml:space="preserve">he </w:t>
      </w:r>
      <w:r w:rsidR="00912E98" w:rsidRPr="004E1159">
        <w:rPr>
          <w:rFonts w:eastAsia="Book Antiqua" w:cs="Book Antiqua"/>
          <w:szCs w:val="19"/>
        </w:rPr>
        <w:t>assumed weighted average cost of borrowing</w:t>
      </w:r>
      <w:r w:rsidR="00912E98" w:rsidRPr="004E1159" w:rsidDel="00912E98">
        <w:t xml:space="preserve"> </w:t>
      </w:r>
      <w:r w:rsidR="00A54546" w:rsidRPr="004E1159">
        <w:rPr>
          <w:rFonts w:eastAsia="Book Antiqua" w:cs="Book Antiqua"/>
          <w:szCs w:val="19"/>
        </w:rPr>
        <w:t xml:space="preserve">for future </w:t>
      </w:r>
      <w:r w:rsidR="00A54546" w:rsidRPr="004E1159">
        <w:rPr>
          <w:rFonts w:eastAsia="Book Antiqua" w:cs="Book Antiqua"/>
          <w:szCs w:val="19"/>
        </w:rPr>
        <w:lastRenderedPageBreak/>
        <w:t xml:space="preserve">issuance of Treasury Bonds </w:t>
      </w:r>
      <w:r w:rsidR="008634A4" w:rsidRPr="004E1159">
        <w:rPr>
          <w:rFonts w:eastAsia="Book Antiqua" w:cs="Book Antiqua"/>
          <w:szCs w:val="19"/>
        </w:rPr>
        <w:t>has de</w:t>
      </w:r>
      <w:r w:rsidR="00443ACD" w:rsidRPr="004E1159">
        <w:rPr>
          <w:rFonts w:eastAsia="Book Antiqua" w:cs="Book Antiqua"/>
          <w:szCs w:val="19"/>
        </w:rPr>
        <w:t>c</w:t>
      </w:r>
      <w:r w:rsidR="008634A4" w:rsidRPr="004E1159">
        <w:rPr>
          <w:rFonts w:eastAsia="Book Antiqua" w:cs="Book Antiqua"/>
          <w:szCs w:val="19"/>
        </w:rPr>
        <w:t xml:space="preserve">reased from 3.8 </w:t>
      </w:r>
      <w:r w:rsidR="00443ACD" w:rsidRPr="004E1159">
        <w:rPr>
          <w:rFonts w:eastAsia="Book Antiqua" w:cs="Book Antiqua"/>
          <w:szCs w:val="19"/>
        </w:rPr>
        <w:t>to 3.4 per cent.</w:t>
      </w:r>
      <w:r w:rsidR="008634A4" w:rsidRPr="004E1159">
        <w:rPr>
          <w:rFonts w:eastAsia="Book Antiqua" w:cs="Book Antiqua"/>
          <w:szCs w:val="19"/>
        </w:rPr>
        <w:t xml:space="preserve"> </w:t>
      </w:r>
      <w:r w:rsidR="003D2102" w:rsidRPr="004E1159">
        <w:rPr>
          <w:rFonts w:eastAsia="Book Antiqua" w:cs="Book Antiqua"/>
          <w:szCs w:val="19"/>
        </w:rPr>
        <w:t>This remains significantly above the 2.2 per cent at PEFO.</w:t>
      </w:r>
      <w:r w:rsidR="00443ACD" w:rsidRPr="004E1159">
        <w:rPr>
          <w:rFonts w:eastAsia="Book Antiqua" w:cs="Book Antiqua"/>
          <w:szCs w:val="19"/>
        </w:rPr>
        <w:t xml:space="preserve"> </w:t>
      </w:r>
      <w:r w:rsidR="00753072" w:rsidRPr="004E1159">
        <w:t xml:space="preserve">Lower yields </w:t>
      </w:r>
      <w:r w:rsidR="003D2102" w:rsidRPr="004E1159">
        <w:t>since Octobe</w:t>
      </w:r>
      <w:r w:rsidR="00930A06" w:rsidRPr="004E1159">
        <w:t>r</w:t>
      </w:r>
      <w:r w:rsidR="00753072" w:rsidRPr="004E1159">
        <w:t xml:space="preserve"> </w:t>
      </w:r>
      <w:r w:rsidR="00B201F3" w:rsidRPr="004E1159">
        <w:t>have been</w:t>
      </w:r>
      <w:r w:rsidR="00753072" w:rsidRPr="004E1159">
        <w:t xml:space="preserve"> driven by </w:t>
      </w:r>
      <w:r w:rsidR="000F6A83" w:rsidRPr="004E1159">
        <w:t xml:space="preserve">some </w:t>
      </w:r>
      <w:r w:rsidR="00282895" w:rsidRPr="004E1159">
        <w:t>moderation</w:t>
      </w:r>
      <w:r w:rsidR="001B1506" w:rsidRPr="004E1159">
        <w:t xml:space="preserve"> in</w:t>
      </w:r>
      <w:r w:rsidR="00A6268E" w:rsidRPr="004E1159">
        <w:t xml:space="preserve"> expectations </w:t>
      </w:r>
      <w:r w:rsidR="0083422E" w:rsidRPr="004E1159">
        <w:t xml:space="preserve">for </w:t>
      </w:r>
      <w:r w:rsidR="00F241CD" w:rsidRPr="004E1159">
        <w:t xml:space="preserve">inflation and </w:t>
      </w:r>
      <w:r w:rsidR="004D3EC8" w:rsidRPr="004E1159">
        <w:t>future cash rates</w:t>
      </w:r>
      <w:r w:rsidR="00674BED" w:rsidRPr="004E1159">
        <w:t>.</w:t>
      </w:r>
      <w:r w:rsidR="00C128BE" w:rsidRPr="004E1159">
        <w:t xml:space="preserve"> </w:t>
      </w:r>
    </w:p>
    <w:p w14:paraId="372D999C" w14:textId="408596D3" w:rsidR="00533D7A" w:rsidRPr="004E1159" w:rsidRDefault="0012794B" w:rsidP="00D12E30">
      <w:pPr>
        <w:spacing w:before="0" w:after="160" w:line="259" w:lineRule="auto"/>
        <w:rPr>
          <w:i/>
        </w:rPr>
      </w:pPr>
      <w:r w:rsidRPr="004E1159">
        <w:t>I</w:t>
      </w:r>
      <w:r w:rsidR="00444972" w:rsidRPr="004E1159">
        <w:t xml:space="preserve">nterest payments </w:t>
      </w:r>
      <w:r w:rsidR="006338EF" w:rsidRPr="004E1159">
        <w:t xml:space="preserve">are estimated to be </w:t>
      </w:r>
      <w:r w:rsidR="00A976B0" w:rsidRPr="004E1159">
        <w:t>0.8</w:t>
      </w:r>
      <w:r w:rsidR="00F634C3" w:rsidRPr="004E1159">
        <w:t> per </w:t>
      </w:r>
      <w:r w:rsidR="006338EF" w:rsidRPr="004E1159">
        <w:t xml:space="preserve">cent of GDP </w:t>
      </w:r>
      <w:r w:rsidR="0001455E" w:rsidRPr="004E1159">
        <w:t>in 2023</w:t>
      </w:r>
      <w:r w:rsidR="00F634C3" w:rsidRPr="004E1159">
        <w:t>–</w:t>
      </w:r>
      <w:r w:rsidR="0001455E" w:rsidRPr="004E1159">
        <w:t>24</w:t>
      </w:r>
      <w:r w:rsidR="00896D49" w:rsidRPr="004E1159">
        <w:t xml:space="preserve"> </w:t>
      </w:r>
      <w:r w:rsidR="0077790D" w:rsidRPr="004E1159">
        <w:t xml:space="preserve">before rising to </w:t>
      </w:r>
      <w:r w:rsidR="00692AAA" w:rsidRPr="004E1159">
        <w:t>1.3</w:t>
      </w:r>
      <w:r w:rsidR="00F634C3" w:rsidRPr="004E1159">
        <w:t> per </w:t>
      </w:r>
      <w:r w:rsidR="008F28BC" w:rsidRPr="004E1159">
        <w:t xml:space="preserve">cent of GDP by </w:t>
      </w:r>
      <w:r w:rsidR="00AA56FB" w:rsidRPr="004E1159">
        <w:t>2032</w:t>
      </w:r>
      <w:r w:rsidR="00235899" w:rsidRPr="004E1159">
        <w:t>–</w:t>
      </w:r>
      <w:r w:rsidR="00AA56FB" w:rsidRPr="004E1159">
        <w:t>33</w:t>
      </w:r>
      <w:r w:rsidR="00470321" w:rsidRPr="004E1159">
        <w:t>.</w:t>
      </w:r>
      <w:r w:rsidR="00830B53" w:rsidRPr="004E1159">
        <w:t xml:space="preserve"> </w:t>
      </w:r>
      <w:r w:rsidR="00470321" w:rsidRPr="004E1159">
        <w:t>T</w:t>
      </w:r>
      <w:r w:rsidR="00750FBA" w:rsidRPr="004E1159">
        <w:t xml:space="preserve">his is </w:t>
      </w:r>
      <w:r w:rsidR="00A976B0" w:rsidRPr="004E1159">
        <w:t>0.1</w:t>
      </w:r>
      <w:r w:rsidR="007E5C52" w:rsidRPr="004E1159">
        <w:t> </w:t>
      </w:r>
      <w:r w:rsidR="00750FBA" w:rsidRPr="004E1159">
        <w:t xml:space="preserve">and </w:t>
      </w:r>
      <w:r w:rsidR="00B1171F" w:rsidRPr="004E1159" w:rsidDel="00E307A1">
        <w:t>0.</w:t>
      </w:r>
      <w:r w:rsidR="009D1A7E" w:rsidRPr="004E1159">
        <w:t>6</w:t>
      </w:r>
      <w:r w:rsidR="00F634C3" w:rsidRPr="004E1159">
        <w:t> percentage</w:t>
      </w:r>
      <w:r w:rsidR="00750FBA" w:rsidRPr="004E1159">
        <w:t xml:space="preserve"> points lower than the </w:t>
      </w:r>
      <w:r w:rsidR="00F634C3" w:rsidRPr="004E1159">
        <w:t>October Budget</w:t>
      </w:r>
      <w:r w:rsidR="00750FBA" w:rsidRPr="004E1159">
        <w:t>, respectively</w:t>
      </w:r>
      <w:r w:rsidR="008F28BC" w:rsidRPr="004E1159">
        <w:t>.</w:t>
      </w:r>
      <w:r w:rsidR="00752C3D" w:rsidRPr="004E1159">
        <w:t xml:space="preserve"> This </w:t>
      </w:r>
      <w:r w:rsidR="0072464F" w:rsidRPr="004E1159">
        <w:t>reflect</w:t>
      </w:r>
      <w:r w:rsidR="00752C3D" w:rsidRPr="004E1159">
        <w:t>s</w:t>
      </w:r>
      <w:r w:rsidR="0072464F" w:rsidRPr="004E1159">
        <w:t xml:space="preserve"> lower deficits </w:t>
      </w:r>
      <w:r w:rsidR="003B075B" w:rsidRPr="004E1159">
        <w:t>and lower yields on government debt</w:t>
      </w:r>
      <w:r w:rsidR="0072464F" w:rsidRPr="004E1159">
        <w:t>.</w:t>
      </w:r>
    </w:p>
    <w:p w14:paraId="5B9894C4" w14:textId="2879B1E9" w:rsidR="004B7CC8" w:rsidRPr="00EA288B" w:rsidRDefault="006B7558" w:rsidP="00CB5BAC">
      <w:pPr>
        <w:spacing w:before="0" w:after="160" w:line="259" w:lineRule="auto"/>
      </w:pPr>
      <w:r w:rsidRPr="004E1159">
        <w:t>As part of its debt issuance task, the Australian Office of Financial Management will be issuing green bonds from 2024 (Box 3.</w:t>
      </w:r>
      <w:r w:rsidR="002D6484" w:rsidRPr="004E1159">
        <w:t>4</w:t>
      </w:r>
      <w:r w:rsidRPr="004E1159">
        <w:t>).</w:t>
      </w:r>
    </w:p>
    <w:p w14:paraId="4A0C700E" w14:textId="741D70B4" w:rsidR="00205627" w:rsidRDefault="00E21765" w:rsidP="00205627">
      <w:pPr>
        <w:pStyle w:val="ChartMainHeading"/>
      </w:pPr>
      <w:r w:rsidRPr="004E1159">
        <w:t>Chart </w:t>
      </w:r>
      <w:r w:rsidR="00D01E96" w:rsidRPr="004E1159">
        <w:t>3.</w:t>
      </w:r>
      <w:r w:rsidR="00F2440B" w:rsidRPr="004E1159">
        <w:t>1</w:t>
      </w:r>
      <w:r w:rsidR="00CB3646" w:rsidRPr="004E1159">
        <w:t>1</w:t>
      </w:r>
      <w:r w:rsidR="00D01E96" w:rsidRPr="004E1159">
        <w:t>: Gross debt</w:t>
      </w:r>
    </w:p>
    <w:p w14:paraId="5668B7A5" w14:textId="606EE216" w:rsidR="00D01E96" w:rsidRPr="005275D5" w:rsidRDefault="0094269C" w:rsidP="00427B42">
      <w:pPr>
        <w:pStyle w:val="ChartGraphic"/>
        <w:rPr>
          <w:noProof/>
        </w:rPr>
      </w:pPr>
      <w:r>
        <w:pict w14:anchorId="4AA2BE64">
          <v:shape id="_x0000_i1034" type="#_x0000_t75" alt="This chart compares projections of gross debt as a share of GDP at the 2023-24 Budget and the 2022-23 October Budget. In the 2023-24 Budget, gross debt is expected to be 35.8 per cent of GDP in 2023-24 before peaking at 36.5 in 2025-26 and reducing to 32.3 per cent of GDP by the end of the medium term. Compared to October Budget, when gross debt was expected to stabilise at 46.9 per cent of GDP in 2030-31, gross debt as a share of GDP is projected to be lower over the entire forward estimates and medium term." style="width:369.35pt;height:201.05pt">
            <v:imagedata r:id="rId28" o:title=""/>
          </v:shape>
        </w:pict>
      </w:r>
      <w:r w:rsidR="00935F79">
        <w:rPr>
          <w:noProof/>
        </w:rPr>
        <w:fldChar w:fldCharType="begin"/>
      </w:r>
      <w:r>
        <w:rPr>
          <w:noProof/>
        </w:rPr>
        <w:fldChar w:fldCharType="separate"/>
      </w:r>
      <w:r w:rsidR="00935F79">
        <w:rPr>
          <w:noProof/>
        </w:rPr>
        <w:fldChar w:fldCharType="end"/>
      </w:r>
    </w:p>
    <w:p w14:paraId="0A5A13CE" w14:textId="03E94971" w:rsidR="00D01E96" w:rsidRPr="00EA288B" w:rsidRDefault="00D01E96" w:rsidP="00D01E96">
      <w:pPr>
        <w:pStyle w:val="ChartandTableFootnote"/>
        <w:rPr>
          <w:color w:val="auto"/>
        </w:rPr>
      </w:pPr>
      <w:r w:rsidRPr="00EA288B">
        <w:rPr>
          <w:color w:val="auto"/>
        </w:rPr>
        <w:t xml:space="preserve">Source: </w:t>
      </w:r>
      <w:r w:rsidRPr="00EA288B">
        <w:rPr>
          <w:color w:val="auto"/>
        </w:rPr>
        <w:tab/>
        <w:t xml:space="preserve">Australian Office of Financial Management, Treasury. </w:t>
      </w:r>
    </w:p>
    <w:p w14:paraId="3CB677AA" w14:textId="77777777" w:rsidR="00D01E96" w:rsidRPr="00EA288B" w:rsidRDefault="00D01E96" w:rsidP="00FF3EF8">
      <w:pPr>
        <w:pStyle w:val="ChartLine"/>
      </w:pPr>
    </w:p>
    <w:p w14:paraId="6741FB98" w14:textId="108F0888" w:rsidR="00B11036" w:rsidRDefault="00D01E96" w:rsidP="00547383">
      <w:r w:rsidRPr="004E1159">
        <w:rPr>
          <w:rStyle w:val="Emphasis"/>
        </w:rPr>
        <w:t>Statement 8</w:t>
      </w:r>
      <w:r w:rsidRPr="004E1159">
        <w:t xml:space="preserve">: </w:t>
      </w:r>
      <w:r w:rsidRPr="004E1159">
        <w:rPr>
          <w:rStyle w:val="Emphasis"/>
        </w:rPr>
        <w:t>Forecast Performance and Sensitivity Analysis</w:t>
      </w:r>
      <w:r w:rsidRPr="004E1159">
        <w:t xml:space="preserve"> contains information on the impact on </w:t>
      </w:r>
      <w:r w:rsidR="00BC6153" w:rsidRPr="004E1159">
        <w:t xml:space="preserve">interest payments and </w:t>
      </w:r>
      <w:r w:rsidRPr="004E1159">
        <w:t xml:space="preserve">gross debt if the future trajectory for yields is higher or lower than </w:t>
      </w:r>
      <w:r w:rsidR="00587FCF" w:rsidRPr="004E1159">
        <w:t>assumed</w:t>
      </w:r>
      <w:r w:rsidRPr="004E1159">
        <w:t>.</w:t>
      </w:r>
      <w:r w:rsidR="005942FC" w:rsidRPr="004E1159">
        <w:t xml:space="preserve"> </w:t>
      </w:r>
      <w:r w:rsidR="009E4955" w:rsidRPr="004E1159">
        <w:rPr>
          <w:rStyle w:val="Emphasis"/>
        </w:rPr>
        <w:t>Statement</w:t>
      </w:r>
      <w:r w:rsidR="00ED2994" w:rsidRPr="004E1159">
        <w:rPr>
          <w:rStyle w:val="Emphasis"/>
        </w:rPr>
        <w:t> </w:t>
      </w:r>
      <w:r w:rsidR="0095247D" w:rsidRPr="004E1159">
        <w:rPr>
          <w:rStyle w:val="Emphasis"/>
        </w:rPr>
        <w:t>7:</w:t>
      </w:r>
      <w:r w:rsidR="00F27EAC" w:rsidRPr="004E1159">
        <w:rPr>
          <w:rStyle w:val="Emphasis"/>
        </w:rPr>
        <w:t xml:space="preserve"> Debt Statement</w:t>
      </w:r>
      <w:r w:rsidR="009E4955" w:rsidRPr="004E1159">
        <w:t xml:space="preserve"> contains </w:t>
      </w:r>
      <w:r w:rsidR="002B1A4E" w:rsidRPr="004E1159">
        <w:t xml:space="preserve">further </w:t>
      </w:r>
      <w:r w:rsidR="009E4955" w:rsidRPr="004E1159">
        <w:t xml:space="preserve">information on </w:t>
      </w:r>
      <w:r w:rsidR="002B1A4E" w:rsidRPr="004E1159">
        <w:t xml:space="preserve">yield assumptions and </w:t>
      </w:r>
      <w:r w:rsidR="00CD1FB5" w:rsidRPr="004E1159">
        <w:t>interest payments.</w:t>
      </w:r>
      <w:r w:rsidR="009E4955" w:rsidRPr="004E1159">
        <w:t xml:space="preserve"> </w:t>
      </w:r>
    </w:p>
    <w:p w14:paraId="75914430" w14:textId="39E0C09C" w:rsidR="003A2B54" w:rsidRDefault="003A2B54">
      <w:pPr>
        <w:spacing w:before="0" w:after="160" w:line="259" w:lineRule="auto"/>
      </w:pPr>
      <w:r>
        <w:br w:type="page"/>
      </w:r>
    </w:p>
    <w:tbl>
      <w:tblPr>
        <w:tblW w:w="5000" w:type="pct"/>
        <w:shd w:val="clear" w:color="auto" w:fill="E6F2FF"/>
        <w:tblLayout w:type="fixed"/>
        <w:tblCellMar>
          <w:top w:w="284" w:type="dxa"/>
          <w:left w:w="284" w:type="dxa"/>
          <w:bottom w:w="284" w:type="dxa"/>
          <w:right w:w="284" w:type="dxa"/>
        </w:tblCellMar>
        <w:tblLook w:val="0000" w:firstRow="0" w:lastRow="0" w:firstColumn="0" w:lastColumn="0" w:noHBand="0" w:noVBand="0"/>
      </w:tblPr>
      <w:tblGrid>
        <w:gridCol w:w="7710"/>
      </w:tblGrid>
      <w:tr w:rsidR="00B11036" w:rsidRPr="00EA288B" w14:paraId="31819EAD" w14:textId="77777777" w:rsidTr="0041306E">
        <w:trPr>
          <w:cantSplit/>
        </w:trPr>
        <w:tc>
          <w:tcPr>
            <w:tcW w:w="5000" w:type="pct"/>
            <w:shd w:val="clear" w:color="auto" w:fill="E6F2FF"/>
          </w:tcPr>
          <w:p w14:paraId="60F1D0CF" w14:textId="3FD2AA61" w:rsidR="00B11036" w:rsidRPr="00EA288B" w:rsidRDefault="00B11036" w:rsidP="00455E31">
            <w:pPr>
              <w:pStyle w:val="BoxHeading"/>
            </w:pPr>
            <w:r w:rsidRPr="00EA288B">
              <w:lastRenderedPageBreak/>
              <w:t>Box 3.</w:t>
            </w:r>
            <w:r w:rsidR="002D6484">
              <w:t>4</w:t>
            </w:r>
            <w:r w:rsidRPr="00EA288B">
              <w:t xml:space="preserve">: Green </w:t>
            </w:r>
            <w:r>
              <w:t>b</w:t>
            </w:r>
            <w:r w:rsidRPr="00EA288B">
              <w:t>onds</w:t>
            </w:r>
          </w:p>
          <w:p w14:paraId="37E47A47" w14:textId="09DE0F53" w:rsidR="00B11036" w:rsidRPr="004E1159" w:rsidRDefault="00B11036" w:rsidP="004F0AB1">
            <w:pPr>
              <w:pStyle w:val="BoxText"/>
            </w:pPr>
            <w:r w:rsidRPr="004E1159">
              <w:t>The Australian Government will commence issuing green bonds from mid</w:t>
            </w:r>
            <w:r w:rsidR="00594653" w:rsidRPr="004E1159">
              <w:noBreakHyphen/>
            </w:r>
            <w:r w:rsidRPr="004E1159">
              <w:t xml:space="preserve">2024. </w:t>
            </w:r>
            <w:r w:rsidRPr="004E1159" w:rsidDel="009C69BC">
              <w:t>Australian Government green bonds</w:t>
            </w:r>
            <w:r w:rsidRPr="004E1159">
              <w:t xml:space="preserve"> will be fixed income bonds that provide financing for specific government programs with positive climate change and environmental outcomes.</w:t>
            </w:r>
            <w:r w:rsidR="00235899" w:rsidRPr="004E1159">
              <w:t xml:space="preserve"> </w:t>
            </w:r>
            <w:r w:rsidRPr="004E1159">
              <w:t>Green bonds provide investors the opportunity to support public projects that contribute to climate change and environmental objectives. The</w:t>
            </w:r>
            <w:r w:rsidR="003A2B54" w:rsidRPr="004E1159">
              <w:t> </w:t>
            </w:r>
            <w:r w:rsidRPr="004E1159">
              <w:t>issuance of sovereign green bonds will support Australia</w:t>
            </w:r>
            <w:r w:rsidR="00594653" w:rsidRPr="004E1159">
              <w:t>’</w:t>
            </w:r>
            <w:r w:rsidRPr="004E1159">
              <w:t xml:space="preserve">s broader green capital market to mature and scale. </w:t>
            </w:r>
            <w:r w:rsidR="00FB5E6E" w:rsidRPr="004E1159">
              <w:t>Green</w:t>
            </w:r>
            <w:r w:rsidRPr="004E1159" w:rsidDel="00FB5E6E">
              <w:t xml:space="preserve"> </w:t>
            </w:r>
            <w:r w:rsidRPr="004E1159">
              <w:t>bonds will not impact the total stock of Government debt</w:t>
            </w:r>
            <w:r w:rsidR="00684FED" w:rsidRPr="004E1159">
              <w:t xml:space="preserve"> </w:t>
            </w:r>
            <w:r w:rsidR="00FB5E6E" w:rsidRPr="004E1159">
              <w:t>as the</w:t>
            </w:r>
            <w:r w:rsidR="009E3319" w:rsidRPr="004E1159">
              <w:t xml:space="preserve">y </w:t>
            </w:r>
            <w:r w:rsidR="00C11B79" w:rsidRPr="004E1159">
              <w:t>displace issuance of normal bonds</w:t>
            </w:r>
            <w:r w:rsidR="00A324CE" w:rsidRPr="004E1159">
              <w:t xml:space="preserve">. </w:t>
            </w:r>
          </w:p>
          <w:p w14:paraId="5986875D" w14:textId="1F047A8C" w:rsidR="00FB51F3" w:rsidRDefault="00B11036" w:rsidP="004F0AB1">
            <w:pPr>
              <w:pStyle w:val="BoxText"/>
            </w:pPr>
            <w:r w:rsidRPr="004E1159">
              <w:t>The international market for sovereign green bonds is substantial and growing</w:t>
            </w:r>
            <w:r w:rsidR="00F450B3" w:rsidRPr="004E1159">
              <w:t xml:space="preserve">. </w:t>
            </w:r>
            <w:r w:rsidRPr="004E1159">
              <w:t xml:space="preserve">Over </w:t>
            </w:r>
            <w:r w:rsidR="00A60AA6" w:rsidRPr="004E1159">
              <w:t> </w:t>
            </w:r>
            <w:r w:rsidRPr="004E1159">
              <w:t>40</w:t>
            </w:r>
            <w:r w:rsidR="00A60AA6" w:rsidRPr="004E1159">
              <w:t> </w:t>
            </w:r>
            <w:r w:rsidRPr="004E1159">
              <w:t xml:space="preserve">countries now issue green bonds, including Canada, New Zealand and </w:t>
            </w:r>
            <w:r w:rsidR="009E25CC" w:rsidRPr="004E1159">
              <w:t xml:space="preserve">the </w:t>
            </w:r>
            <w:r w:rsidRPr="004E1159">
              <w:t>United Kingdom. Sovereign green bonds remain a relatively small proportion of issuers</w:t>
            </w:r>
            <w:r w:rsidR="00594653" w:rsidRPr="004E1159">
              <w:t>’</w:t>
            </w:r>
            <w:r w:rsidRPr="004E1159">
              <w:t xml:space="preserve"> debt portfolios (</w:t>
            </w:r>
            <w:r w:rsidR="00E21765" w:rsidRPr="004E1159">
              <w:t>Chart </w:t>
            </w:r>
            <w:r w:rsidRPr="004E1159">
              <w:t>3.</w:t>
            </w:r>
            <w:r w:rsidR="00697719" w:rsidRPr="004E1159">
              <w:t>1</w:t>
            </w:r>
            <w:r w:rsidR="009D4BE9" w:rsidRPr="004E1159">
              <w:t>2</w:t>
            </w:r>
            <w:r w:rsidR="00697719" w:rsidRPr="004E1159">
              <w:t xml:space="preserve"> and </w:t>
            </w:r>
            <w:r w:rsidRPr="004E1159">
              <w:t>3.</w:t>
            </w:r>
            <w:r w:rsidR="003A7221" w:rsidRPr="004E1159">
              <w:t>1</w:t>
            </w:r>
            <w:r w:rsidR="009D4BE9" w:rsidRPr="004E1159">
              <w:t>3</w:t>
            </w:r>
            <w:r w:rsidRPr="004E1159">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3" w:type="dxa"/>
              </w:tblCellMar>
              <w:tblLook w:val="04A0" w:firstRow="1" w:lastRow="0" w:firstColumn="1" w:lastColumn="0" w:noHBand="0" w:noVBand="1"/>
            </w:tblPr>
            <w:tblGrid>
              <w:gridCol w:w="3571"/>
              <w:gridCol w:w="3571"/>
            </w:tblGrid>
            <w:tr w:rsidR="00FB51F3" w14:paraId="78BA2A7F" w14:textId="77777777" w:rsidTr="006A0E6D">
              <w:tc>
                <w:tcPr>
                  <w:tcW w:w="3571" w:type="dxa"/>
                </w:tcPr>
                <w:p w14:paraId="31E6482F" w14:textId="7A620FC9" w:rsidR="00FB51F3" w:rsidRDefault="00FB51F3" w:rsidP="00AB4D24">
                  <w:pPr>
                    <w:pStyle w:val="ChartMainHeading"/>
                  </w:pPr>
                  <w:r w:rsidRPr="004E1159">
                    <w:t>Chart 3.1</w:t>
                  </w:r>
                  <w:r w:rsidR="009D4BE9" w:rsidRPr="004E1159">
                    <w:t>2</w:t>
                  </w:r>
                  <w:r w:rsidRPr="004E1159">
                    <w:t>: Sovereign green bonds</w:t>
                  </w:r>
                </w:p>
              </w:tc>
              <w:tc>
                <w:tcPr>
                  <w:tcW w:w="3571" w:type="dxa"/>
                </w:tcPr>
                <w:p w14:paraId="6A6BFF46" w14:textId="16BAA13E" w:rsidR="00FB51F3" w:rsidRDefault="00FB51F3" w:rsidP="00AB4D24">
                  <w:pPr>
                    <w:pStyle w:val="ChartMainHeading"/>
                  </w:pPr>
                  <w:r w:rsidRPr="004E1159">
                    <w:t>Chart 3.1</w:t>
                  </w:r>
                  <w:r w:rsidR="009D4BE9" w:rsidRPr="004E1159">
                    <w:t>3</w:t>
                  </w:r>
                  <w:r w:rsidRPr="004E1159">
                    <w:t xml:space="preserve">: </w:t>
                  </w:r>
                  <w:r w:rsidRPr="004E1159" w:rsidDel="000365C0">
                    <w:t>G</w:t>
                  </w:r>
                  <w:r w:rsidRPr="004E1159">
                    <w:t>reen bonds as a percentage of</w:t>
                  </w:r>
                  <w:r w:rsidRPr="004E1159" w:rsidDel="000365C0">
                    <w:t xml:space="preserve"> </w:t>
                  </w:r>
                  <w:r w:rsidRPr="004E1159">
                    <w:t>debt on issue</w:t>
                  </w:r>
                </w:p>
              </w:tc>
            </w:tr>
            <w:tr w:rsidR="00FB51F3" w14:paraId="643CA2C4" w14:textId="77777777" w:rsidTr="00280EF0">
              <w:tblPrEx>
                <w:tblCellMar>
                  <w:left w:w="108" w:type="dxa"/>
                  <w:right w:w="108" w:type="dxa"/>
                </w:tblCellMar>
              </w:tblPrEx>
              <w:tc>
                <w:tcPr>
                  <w:tcW w:w="3571" w:type="dxa"/>
                </w:tcPr>
                <w:p w14:paraId="18FD4745" w14:textId="357A1331" w:rsidR="00FB51F3" w:rsidRDefault="0094269C" w:rsidP="000C16EB">
                  <w:pPr>
                    <w:pStyle w:val="ChartGraphic"/>
                    <w:ind w:left="-113"/>
                  </w:pPr>
                  <w:r>
                    <w:pict w14:anchorId="3D670D68">
                      <v:shape id="_x0000_i1035" type="#_x0000_t75" alt="This chart compares international issuance of green bonds. France's has issued US$68.7 billion of green bonds, highest of compared countries. This is followed by Germany at US$59.6 billion, United Kingdom at US$53.6 billion, Canada at US$2.9 billion and New Zealand at US$1.4 billion." style="width:182.35pt;height:181.4pt;mso-position-vertical:absolute">
                        <v:imagedata r:id="rId29" o:title=""/>
                      </v:shape>
                    </w:pict>
                  </w:r>
                </w:p>
              </w:tc>
              <w:tc>
                <w:tcPr>
                  <w:tcW w:w="3571" w:type="dxa"/>
                </w:tcPr>
                <w:p w14:paraId="47A3E2BB" w14:textId="32C0F566" w:rsidR="00FB51F3" w:rsidRDefault="0094269C" w:rsidP="000C16EB">
                  <w:pPr>
                    <w:pStyle w:val="ChartGraphic"/>
                    <w:ind w:left="-113"/>
                  </w:pPr>
                  <w:r>
                    <w:pict w14:anchorId="458E4E9F">
                      <v:shape id="_x0000_i1036" type="#_x0000_t75" alt="This chart compares international issuance of green bonds as a percentage of total national debt on issue. France's green bonds are 2.46 per cent of total debt on issue, highest of compared countries. This is followed by Germany at 2.38 per cent, United Kingdom at 1.94 per cent, New Zealand at 1.38 per cent and Canada at 0.25 per cent. " style="width:181.4pt;height:181.4pt;mso-position-horizontal:absolute;mso-position-vertical:absolute">
                        <v:imagedata r:id="rId30" o:title=""/>
                      </v:shape>
                    </w:pict>
                  </w:r>
                </w:p>
              </w:tc>
            </w:tr>
            <w:tr w:rsidR="00FB51F3" w14:paraId="1F1B3E36" w14:textId="77777777" w:rsidTr="006A0E6D">
              <w:tc>
                <w:tcPr>
                  <w:tcW w:w="3571" w:type="dxa"/>
                </w:tcPr>
                <w:p w14:paraId="15351DAF" w14:textId="77777777" w:rsidR="00AE6E36" w:rsidRPr="00957885" w:rsidRDefault="00FB51F3" w:rsidP="00AE6E36">
                  <w:pPr>
                    <w:pStyle w:val="ChartandTableFootnote"/>
                    <w:rPr>
                      <w:color w:val="auto"/>
                    </w:rPr>
                  </w:pPr>
                  <w:r w:rsidRPr="00957885">
                    <w:rPr>
                      <w:color w:val="auto"/>
                    </w:rPr>
                    <w:t xml:space="preserve">Source: </w:t>
                  </w:r>
                  <w:r w:rsidRPr="00957885">
                    <w:rPr>
                      <w:color w:val="auto"/>
                    </w:rPr>
                    <w:tab/>
                    <w:t xml:space="preserve">Bloomberg </w:t>
                  </w:r>
                </w:p>
                <w:p w14:paraId="053D2315" w14:textId="0F82DCAB" w:rsidR="00FB51F3" w:rsidRPr="00957885" w:rsidRDefault="00AE6E36" w:rsidP="00AE6E36">
                  <w:pPr>
                    <w:pStyle w:val="ChartandTableFootnote"/>
                    <w:rPr>
                      <w:color w:val="auto"/>
                    </w:rPr>
                  </w:pPr>
                  <w:r w:rsidRPr="00957885">
                    <w:rPr>
                      <w:color w:val="auto"/>
                    </w:rPr>
                    <w:t>Note:</w:t>
                  </w:r>
                  <w:r w:rsidRPr="00EA288B">
                    <w:rPr>
                      <w:color w:val="auto"/>
                    </w:rPr>
                    <w:t xml:space="preserve"> </w:t>
                  </w:r>
                  <w:r w:rsidRPr="00EA288B">
                    <w:rPr>
                      <w:color w:val="auto"/>
                    </w:rPr>
                    <w:tab/>
                  </w:r>
                  <w:r w:rsidRPr="00957885">
                    <w:rPr>
                      <w:color w:val="auto"/>
                    </w:rPr>
                    <w:t>S</w:t>
                  </w:r>
                  <w:r w:rsidR="00FB51F3" w:rsidRPr="00957885">
                    <w:rPr>
                      <w:color w:val="auto"/>
                    </w:rPr>
                    <w:t>overeign green bonds issuance, exchange rates as at 28</w:t>
                  </w:r>
                  <w:r w:rsidR="00A87DC9" w:rsidRPr="00957885">
                    <w:rPr>
                      <w:color w:val="auto"/>
                    </w:rPr>
                    <w:t> </w:t>
                  </w:r>
                  <w:r w:rsidR="00FB51F3" w:rsidRPr="00957885">
                    <w:rPr>
                      <w:color w:val="auto"/>
                    </w:rPr>
                    <w:t>April</w:t>
                  </w:r>
                  <w:r w:rsidR="00A87DC9" w:rsidRPr="00957885">
                    <w:rPr>
                      <w:color w:val="auto"/>
                    </w:rPr>
                    <w:t> </w:t>
                  </w:r>
                  <w:r w:rsidR="00FB51F3" w:rsidRPr="00957885">
                    <w:rPr>
                      <w:color w:val="auto"/>
                    </w:rPr>
                    <w:t>2023</w:t>
                  </w:r>
                </w:p>
              </w:tc>
              <w:tc>
                <w:tcPr>
                  <w:tcW w:w="3571" w:type="dxa"/>
                </w:tcPr>
                <w:p w14:paraId="1F21E964" w14:textId="196101AB" w:rsidR="00AE6E36" w:rsidRPr="00957885" w:rsidRDefault="00FB51F3" w:rsidP="0041306E">
                  <w:pPr>
                    <w:pStyle w:val="ChartandTableFootnote"/>
                    <w:rPr>
                      <w:color w:val="auto"/>
                    </w:rPr>
                  </w:pPr>
                  <w:r w:rsidRPr="00957885">
                    <w:rPr>
                      <w:color w:val="auto"/>
                    </w:rPr>
                    <w:t>Source:</w:t>
                  </w:r>
                  <w:r w:rsidRPr="00957885">
                    <w:rPr>
                      <w:color w:val="auto"/>
                    </w:rPr>
                    <w:tab/>
                    <w:t>Bloomberg</w:t>
                  </w:r>
                  <w:r w:rsidR="006F1B09" w:rsidRPr="00957885">
                    <w:rPr>
                      <w:color w:val="auto"/>
                    </w:rPr>
                    <w:t xml:space="preserve">. </w:t>
                  </w:r>
                </w:p>
                <w:p w14:paraId="157782FF" w14:textId="3989AD73" w:rsidR="00FB51F3" w:rsidRPr="00957885" w:rsidRDefault="00AE6E36" w:rsidP="0041306E">
                  <w:pPr>
                    <w:pStyle w:val="ChartandTableFootnote"/>
                    <w:rPr>
                      <w:color w:val="auto"/>
                    </w:rPr>
                  </w:pPr>
                  <w:r w:rsidRPr="00957885">
                    <w:rPr>
                      <w:color w:val="auto"/>
                    </w:rPr>
                    <w:t>Note:</w:t>
                  </w:r>
                  <w:r w:rsidRPr="00EA288B">
                    <w:rPr>
                      <w:color w:val="auto"/>
                    </w:rPr>
                    <w:t xml:space="preserve"> </w:t>
                  </w:r>
                  <w:r w:rsidRPr="00EA288B">
                    <w:rPr>
                      <w:color w:val="auto"/>
                    </w:rPr>
                    <w:tab/>
                  </w:r>
                  <w:r w:rsidR="006F1B09" w:rsidRPr="00957885">
                    <w:rPr>
                      <w:color w:val="auto"/>
                    </w:rPr>
                    <w:t>D</w:t>
                  </w:r>
                  <w:r w:rsidR="00864F80" w:rsidRPr="00957885">
                    <w:rPr>
                      <w:color w:val="auto"/>
                    </w:rPr>
                    <w:t>ebt on issue refers to the total</w:t>
                  </w:r>
                  <w:r w:rsidR="00501C02" w:rsidRPr="00957885">
                    <w:rPr>
                      <w:color w:val="auto"/>
                    </w:rPr>
                    <w:t xml:space="preserve"> outstanding nominal </w:t>
                  </w:r>
                  <w:r w:rsidR="00991967" w:rsidRPr="00957885">
                    <w:rPr>
                      <w:color w:val="auto"/>
                    </w:rPr>
                    <w:t xml:space="preserve">debt on issue by the </w:t>
                  </w:r>
                  <w:r w:rsidR="00892BB5" w:rsidRPr="00957885">
                    <w:rPr>
                      <w:color w:val="auto"/>
                    </w:rPr>
                    <w:t>central government</w:t>
                  </w:r>
                </w:p>
              </w:tc>
            </w:tr>
          </w:tbl>
          <w:p w14:paraId="2F6CEC58" w14:textId="4B9745DD" w:rsidR="00173F45" w:rsidRDefault="00173F45" w:rsidP="00FF3EF8">
            <w:pPr>
              <w:pStyle w:val="ChartLine"/>
            </w:pPr>
          </w:p>
          <w:p w14:paraId="0C3A3EA3" w14:textId="52D955AA" w:rsidR="00B11036" w:rsidRPr="00EA288B" w:rsidRDefault="00B11036" w:rsidP="003A2B54">
            <w:pPr>
              <w:pStyle w:val="BoxText"/>
            </w:pPr>
            <w:r w:rsidRPr="004E1159">
              <w:t>Green bonds form part of the Government</w:t>
            </w:r>
            <w:r w:rsidR="00594653" w:rsidRPr="004E1159">
              <w:t>’</w:t>
            </w:r>
            <w:r w:rsidRPr="004E1159">
              <w:t xml:space="preserve">s Sustainable Finance Strategy, which will set out measures to develop transparent and credible green finance markets. </w:t>
            </w:r>
            <w:r w:rsidR="00A60AA6" w:rsidRPr="004E1159">
              <w:t>I</w:t>
            </w:r>
            <w:r w:rsidRPr="004E1159">
              <w:t>t</w:t>
            </w:r>
            <w:r w:rsidR="00A60AA6" w:rsidRPr="004E1159">
              <w:t> </w:t>
            </w:r>
            <w:r w:rsidRPr="004E1159">
              <w:t>complements the greater transparency around climate</w:t>
            </w:r>
            <w:r w:rsidR="00594653" w:rsidRPr="004E1159">
              <w:noBreakHyphen/>
            </w:r>
            <w:r w:rsidRPr="004E1159">
              <w:t xml:space="preserve">related spending provided later in this statement, which </w:t>
            </w:r>
            <w:r w:rsidR="00CA7113" w:rsidRPr="004E1159">
              <w:t>is consistent</w:t>
            </w:r>
            <w:r w:rsidRPr="004E1159">
              <w:t xml:space="preserve"> with the International Capital Market Association</w:t>
            </w:r>
            <w:r w:rsidR="00594653" w:rsidRPr="004E1159">
              <w:t>’</w:t>
            </w:r>
            <w:r w:rsidRPr="004E1159">
              <w:t>s (ICMA) Green Bond Principles</w:t>
            </w:r>
            <w:r w:rsidR="002449FE" w:rsidRPr="004E1159">
              <w:t>.</w:t>
            </w:r>
            <w:r w:rsidRPr="004E1159">
              <w:t xml:space="preserve"> Together, these activities will increase transparency around climate outcomes, which will encourage more green capital in </w:t>
            </w:r>
            <w:r w:rsidR="00A60AA6" w:rsidRPr="004E1159">
              <w:t> </w:t>
            </w:r>
            <w:r w:rsidRPr="004E1159">
              <w:t>Australia.</w:t>
            </w:r>
            <w:r w:rsidRPr="0033720D">
              <w:t xml:space="preserve"> </w:t>
            </w:r>
          </w:p>
        </w:tc>
      </w:tr>
    </w:tbl>
    <w:p w14:paraId="3B34026A" w14:textId="77777777" w:rsidR="00D01E96" w:rsidRPr="00EA288B" w:rsidRDefault="00D01E96" w:rsidP="00D01E96">
      <w:pPr>
        <w:pStyle w:val="GhostLine"/>
      </w:pPr>
    </w:p>
    <w:p w14:paraId="554D61AA" w14:textId="77777777" w:rsidR="00D01E96" w:rsidRPr="00EA288B" w:rsidRDefault="00D01E96" w:rsidP="00D01E96">
      <w:pPr>
        <w:pStyle w:val="Heading3"/>
      </w:pPr>
      <w:bookmarkStart w:id="28" w:name="_Toc117356565"/>
      <w:bookmarkStart w:id="29" w:name="_Toc134321297"/>
      <w:r w:rsidRPr="00EA288B">
        <w:lastRenderedPageBreak/>
        <w:t>Net debt estimates and projections</w:t>
      </w:r>
      <w:bookmarkEnd w:id="28"/>
      <w:bookmarkEnd w:id="29"/>
      <w:r w:rsidRPr="00EA288B">
        <w:t xml:space="preserve"> </w:t>
      </w:r>
    </w:p>
    <w:p w14:paraId="14A8A9B3" w14:textId="5B0F9BE1" w:rsidR="00D01E96" w:rsidRPr="004E1159" w:rsidRDefault="00D01E96" w:rsidP="00D01E96">
      <w:r w:rsidRPr="004E1159">
        <w:t xml:space="preserve">Net debt is estimated to be </w:t>
      </w:r>
      <w:r w:rsidR="00EC59C2" w:rsidRPr="004E1159">
        <w:t>22.3</w:t>
      </w:r>
      <w:r w:rsidR="00F634C3" w:rsidRPr="004E1159">
        <w:t> per </w:t>
      </w:r>
      <w:r w:rsidRPr="004E1159">
        <w:t>cent of GDP ($</w:t>
      </w:r>
      <w:r w:rsidR="00EC59C2" w:rsidRPr="004E1159">
        <w:t>574.9</w:t>
      </w:r>
      <w:r w:rsidR="00F634C3" w:rsidRPr="004E1159">
        <w:t> billion</w:t>
      </w:r>
      <w:r w:rsidRPr="004E1159">
        <w:t xml:space="preserve">) </w:t>
      </w:r>
      <w:r w:rsidR="0083685B" w:rsidRPr="004E1159">
        <w:t>in 2023</w:t>
      </w:r>
      <w:r w:rsidR="00235899" w:rsidRPr="004E1159">
        <w:t>–</w:t>
      </w:r>
      <w:r w:rsidR="0083685B" w:rsidRPr="004E1159">
        <w:t>24</w:t>
      </w:r>
      <w:r w:rsidRPr="004E1159">
        <w:t xml:space="preserve"> (</w:t>
      </w:r>
      <w:r w:rsidR="00E21765" w:rsidRPr="004E1159">
        <w:t>Table </w:t>
      </w:r>
      <w:r w:rsidRPr="004E1159">
        <w:t>3.6)</w:t>
      </w:r>
      <w:r w:rsidR="00DB3166" w:rsidRPr="004E1159">
        <w:t>;</w:t>
      </w:r>
      <w:r w:rsidRPr="004E1159">
        <w:t xml:space="preserve"> lower than the estimate of </w:t>
      </w:r>
      <w:r w:rsidR="00035B24" w:rsidRPr="004E1159">
        <w:t>25.8</w:t>
      </w:r>
      <w:r w:rsidR="00F634C3" w:rsidRPr="004E1159">
        <w:t> per </w:t>
      </w:r>
      <w:r w:rsidRPr="004E1159">
        <w:t>cent of GDP ($</w:t>
      </w:r>
      <w:r w:rsidR="00035B24" w:rsidRPr="004E1159">
        <w:t>634.1</w:t>
      </w:r>
      <w:r w:rsidR="00F634C3" w:rsidRPr="004E1159">
        <w:t> billion</w:t>
      </w:r>
      <w:r w:rsidRPr="004E1159">
        <w:t xml:space="preserve">) at </w:t>
      </w:r>
      <w:r w:rsidR="00900EA0" w:rsidRPr="004E1159">
        <w:t xml:space="preserve">the </w:t>
      </w:r>
      <w:r w:rsidR="00F634C3" w:rsidRPr="004E1159">
        <w:t>October Budget</w:t>
      </w:r>
      <w:r w:rsidRPr="004E1159">
        <w:t xml:space="preserve">. </w:t>
      </w:r>
      <w:r w:rsidR="003956D3" w:rsidRPr="004E1159">
        <w:br/>
      </w:r>
      <w:r w:rsidRPr="004E1159">
        <w:t xml:space="preserve">The improvement since </w:t>
      </w:r>
      <w:r w:rsidR="004762AD" w:rsidRPr="004E1159">
        <w:t xml:space="preserve">the </w:t>
      </w:r>
      <w:r w:rsidR="00F634C3" w:rsidRPr="004E1159">
        <w:t>October Budget</w:t>
      </w:r>
      <w:r w:rsidR="004762AD" w:rsidRPr="004E1159">
        <w:t xml:space="preserve"> </w:t>
      </w:r>
      <w:r w:rsidRPr="004E1159">
        <w:t>primarily reflects the Government</w:t>
      </w:r>
      <w:r w:rsidR="00594653" w:rsidRPr="004E1159">
        <w:t>’</w:t>
      </w:r>
      <w:r w:rsidRPr="004E1159">
        <w:t>s decreased borrowing requirement resulting from improvement</w:t>
      </w:r>
      <w:r w:rsidR="00064FB6" w:rsidRPr="004E1159">
        <w:t>s</w:t>
      </w:r>
      <w:r w:rsidRPr="004E1159">
        <w:t xml:space="preserve"> in the underlying cash balance</w:t>
      </w:r>
      <w:r w:rsidR="00FE01D7" w:rsidRPr="004E1159">
        <w:t xml:space="preserve">, </w:t>
      </w:r>
      <w:r w:rsidR="00757DC2" w:rsidRPr="004E1159">
        <w:t xml:space="preserve">partly offset by </w:t>
      </w:r>
      <w:r w:rsidR="00655703" w:rsidRPr="004E1159">
        <w:t xml:space="preserve">an </w:t>
      </w:r>
      <w:r w:rsidR="00067576" w:rsidRPr="004E1159">
        <w:t>increase in the market value of existing debt</w:t>
      </w:r>
      <w:r w:rsidRPr="004E1159">
        <w:t>.</w:t>
      </w:r>
    </w:p>
    <w:p w14:paraId="258303EF" w14:textId="1A3C25A9" w:rsidR="00D01E96" w:rsidRPr="004E1159" w:rsidRDefault="00270110" w:rsidP="00657EF8">
      <w:pPr>
        <w:pStyle w:val="Bullet"/>
      </w:pPr>
      <w:r w:rsidRPr="004E1159">
        <w:t>Y</w:t>
      </w:r>
      <w:r w:rsidR="004412E6" w:rsidRPr="004E1159">
        <w:t xml:space="preserve">ields </w:t>
      </w:r>
      <w:r w:rsidR="004318B1" w:rsidRPr="004E1159">
        <w:t xml:space="preserve">have </w:t>
      </w:r>
      <w:r w:rsidR="00BE2FC7" w:rsidRPr="004E1159">
        <w:t>fall</w:t>
      </w:r>
      <w:r w:rsidR="004318B1" w:rsidRPr="004E1159">
        <w:t>en since October</w:t>
      </w:r>
      <w:r w:rsidR="004412E6" w:rsidRPr="004E1159">
        <w:t xml:space="preserve">, </w:t>
      </w:r>
      <w:r w:rsidRPr="004E1159">
        <w:t>making</w:t>
      </w:r>
      <w:r w:rsidR="004412E6" w:rsidRPr="004E1159">
        <w:t xml:space="preserve"> the fixed income stream from existing bonds relatively </w:t>
      </w:r>
      <w:r w:rsidR="00BE2FC7" w:rsidRPr="004E1159">
        <w:t>more</w:t>
      </w:r>
      <w:r w:rsidR="004412E6" w:rsidRPr="004E1159">
        <w:t xml:space="preserve"> attractive to investors. This </w:t>
      </w:r>
      <w:r w:rsidR="006E3366" w:rsidRPr="004E1159">
        <w:t>increases</w:t>
      </w:r>
      <w:r w:rsidR="004412E6" w:rsidRPr="004E1159">
        <w:t xml:space="preserve"> the market value of </w:t>
      </w:r>
      <w:r w:rsidR="00372570" w:rsidRPr="004E1159">
        <w:t xml:space="preserve">existing bonds and </w:t>
      </w:r>
      <w:r w:rsidR="004318B1" w:rsidRPr="004E1159">
        <w:t xml:space="preserve">hence </w:t>
      </w:r>
      <w:r w:rsidR="00372570" w:rsidRPr="004E1159">
        <w:t xml:space="preserve">net debt. </w:t>
      </w:r>
    </w:p>
    <w:p w14:paraId="2E3A9B60" w14:textId="08AFCB1C" w:rsidR="00D01E96" w:rsidRPr="00EA288B" w:rsidRDefault="00D01E96" w:rsidP="00D01E96">
      <w:r w:rsidRPr="004E1159">
        <w:t xml:space="preserve">Net debt remains lower than estimated at </w:t>
      </w:r>
      <w:r w:rsidR="00900EA0" w:rsidRPr="004E1159">
        <w:t xml:space="preserve">the </w:t>
      </w:r>
      <w:r w:rsidR="00F634C3" w:rsidRPr="004E1159">
        <w:t>October Budget</w:t>
      </w:r>
      <w:r w:rsidR="00900EA0" w:rsidRPr="004E1159">
        <w:t xml:space="preserve"> </w:t>
      </w:r>
      <w:r w:rsidRPr="004E1159">
        <w:t>across each year of the forward estimates</w:t>
      </w:r>
      <w:r w:rsidR="00162651" w:rsidRPr="004E1159">
        <w:t xml:space="preserve"> and the medium term</w:t>
      </w:r>
      <w:r w:rsidRPr="004E1159">
        <w:t>.</w:t>
      </w:r>
      <w:r w:rsidR="00162651" w:rsidRPr="004E1159">
        <w:t xml:space="preserve"> </w:t>
      </w:r>
      <w:r w:rsidRPr="004E1159">
        <w:t xml:space="preserve">Net debt is projected to be </w:t>
      </w:r>
      <w:r w:rsidR="0026673D" w:rsidRPr="004E1159">
        <w:t>19.</w:t>
      </w:r>
      <w:r w:rsidR="001A6502" w:rsidRPr="004E1159">
        <w:t>9</w:t>
      </w:r>
      <w:r w:rsidR="00F634C3" w:rsidRPr="004E1159">
        <w:t> per </w:t>
      </w:r>
      <w:r w:rsidRPr="004E1159">
        <w:t xml:space="preserve">cent of GDP </w:t>
      </w:r>
      <w:r w:rsidR="004952A8" w:rsidRPr="004E1159">
        <w:t>in 20</w:t>
      </w:r>
      <w:r w:rsidR="00F03378" w:rsidRPr="004E1159">
        <w:t>3</w:t>
      </w:r>
      <w:r w:rsidR="004952A8" w:rsidRPr="004E1159">
        <w:t>3</w:t>
      </w:r>
      <w:r w:rsidR="00235899" w:rsidRPr="004E1159">
        <w:t>–</w:t>
      </w:r>
      <w:r w:rsidR="00F03378" w:rsidRPr="004E1159">
        <w:t>3</w:t>
      </w:r>
      <w:r w:rsidR="004952A8" w:rsidRPr="004E1159">
        <w:t>4</w:t>
      </w:r>
      <w:r w:rsidRPr="004E1159">
        <w:t xml:space="preserve"> (</w:t>
      </w:r>
      <w:r w:rsidR="00E21765" w:rsidRPr="004E1159">
        <w:t>Chart </w:t>
      </w:r>
      <w:r w:rsidRPr="004E1159">
        <w:t>3.1</w:t>
      </w:r>
      <w:r w:rsidR="004861B7" w:rsidRPr="004E1159">
        <w:t>4</w:t>
      </w:r>
      <w:r w:rsidRPr="004E1159">
        <w:t>).</w:t>
      </w:r>
      <w:r w:rsidRPr="00EA288B">
        <w:t xml:space="preserve"> </w:t>
      </w:r>
    </w:p>
    <w:p w14:paraId="19678A85" w14:textId="16AD129D" w:rsidR="00D01E96" w:rsidRPr="00EA288B" w:rsidRDefault="00E21765" w:rsidP="00AB4D24">
      <w:pPr>
        <w:pStyle w:val="ChartMainHeading"/>
      </w:pPr>
      <w:r w:rsidRPr="004E1159">
        <w:t>Chart </w:t>
      </w:r>
      <w:r w:rsidR="00D01E96" w:rsidRPr="004E1159">
        <w:t>3.1</w:t>
      </w:r>
      <w:r w:rsidR="004861B7" w:rsidRPr="004E1159">
        <w:t>4</w:t>
      </w:r>
      <w:r w:rsidR="00D01E96" w:rsidRPr="004E1159">
        <w:t>: Net debt</w:t>
      </w:r>
    </w:p>
    <w:p w14:paraId="3439BF39" w14:textId="459A3472" w:rsidR="00D01E96" w:rsidRPr="006A0E6D" w:rsidRDefault="0094269C" w:rsidP="006A0E6D">
      <w:pPr>
        <w:pStyle w:val="ChartGraphic"/>
      </w:pPr>
      <w:r>
        <w:pict w14:anchorId="16192735">
          <v:shape id="_x0000_i1037" type="#_x0000_t75" alt="This chart compares projections of net debt as a share of GDP at the 2023-24 Budget and the 2022-23 October Budget. In the 2023-24 Budget, net debt is projected to improve from 22.3 per cent of GDP in 2023-24 to 21.0 per cent of GDP by 2032-33. At October Budget, net debt was projected to be higher across the entire projection period, increasing from 25.8 per cent of GDP in 2023-24 to 31.9 per cent of GDP by 2032-33." style="width:367.5pt;height:196.35pt">
            <v:imagedata r:id="rId31" o:title=""/>
          </v:shape>
        </w:pict>
      </w:r>
    </w:p>
    <w:p w14:paraId="2669BC4F" w14:textId="77777777" w:rsidR="00D01E96" w:rsidRPr="00EA288B" w:rsidRDefault="00D01E96" w:rsidP="00D01E96">
      <w:pPr>
        <w:pStyle w:val="ChartandTableFootnote"/>
        <w:rPr>
          <w:color w:val="auto"/>
        </w:rPr>
      </w:pPr>
      <w:r w:rsidRPr="00EA288B">
        <w:rPr>
          <w:color w:val="auto"/>
        </w:rPr>
        <w:t>Source:</w:t>
      </w:r>
      <w:r w:rsidRPr="00EA288B">
        <w:rPr>
          <w:color w:val="auto"/>
        </w:rPr>
        <w:tab/>
        <w:t xml:space="preserve">Treasury. </w:t>
      </w:r>
    </w:p>
    <w:p w14:paraId="4169EAEE" w14:textId="77777777" w:rsidR="00D01E96" w:rsidRPr="00EA288B" w:rsidRDefault="00D01E96" w:rsidP="00FF3EF8">
      <w:pPr>
        <w:pStyle w:val="ChartLine"/>
      </w:pPr>
    </w:p>
    <w:p w14:paraId="17668A33" w14:textId="2137CD18" w:rsidR="00D01E96" w:rsidRDefault="00D01E96" w:rsidP="00D01E96">
      <w:r w:rsidRPr="004E1159">
        <w:t xml:space="preserve">Further information on gross debt and net debt estimates across the forward estimates is provided in </w:t>
      </w:r>
      <w:r w:rsidRPr="004E1159">
        <w:rPr>
          <w:rStyle w:val="Emphasis"/>
        </w:rPr>
        <w:t>Statement 7: Debt Statement</w:t>
      </w:r>
      <w:r w:rsidRPr="004E1159">
        <w:t>.</w:t>
      </w:r>
      <w:r w:rsidRPr="00EA288B">
        <w:t xml:space="preserve"> </w:t>
      </w:r>
    </w:p>
    <w:p w14:paraId="53171D83" w14:textId="1E60A4BD" w:rsidR="00A60AA6" w:rsidRPr="00EA288B" w:rsidRDefault="002325B5" w:rsidP="002325B5">
      <w:pPr>
        <w:spacing w:before="0" w:after="160" w:line="259" w:lineRule="auto"/>
      </w:pPr>
      <w:r>
        <w:br w:type="page"/>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D57DA8" w:rsidRPr="00EA288B" w14:paraId="4AA432AA" w14:textId="77777777" w:rsidTr="00BF1D0D">
        <w:trPr>
          <w:cantSplit/>
        </w:trPr>
        <w:tc>
          <w:tcPr>
            <w:tcW w:w="5000" w:type="pct"/>
            <w:shd w:val="clear" w:color="auto" w:fill="E6F2FF"/>
          </w:tcPr>
          <w:p w14:paraId="67873E54" w14:textId="619CE02C" w:rsidR="00D57DA8" w:rsidRPr="00EA288B" w:rsidRDefault="00D57DA8" w:rsidP="00D57DA8">
            <w:pPr>
              <w:pStyle w:val="BoxHeading"/>
            </w:pPr>
            <w:r w:rsidRPr="00EA288B">
              <w:lastRenderedPageBreak/>
              <w:t>Box 3</w:t>
            </w:r>
            <w:r w:rsidRPr="00DA24F0">
              <w:t>.</w:t>
            </w:r>
            <w:r>
              <w:t>5</w:t>
            </w:r>
            <w:r w:rsidRPr="00DA24F0">
              <w:t>:</w:t>
            </w:r>
            <w:r w:rsidRPr="00EA288B">
              <w:t xml:space="preserve"> Leveraging the </w:t>
            </w:r>
            <w:r>
              <w:t>Government</w:t>
            </w:r>
            <w:r w:rsidR="00594653">
              <w:t>’</w:t>
            </w:r>
            <w:r>
              <w:t>s</w:t>
            </w:r>
            <w:r w:rsidRPr="00EA288B">
              <w:t xml:space="preserve"> </w:t>
            </w:r>
            <w:r>
              <w:t>b</w:t>
            </w:r>
            <w:r w:rsidRPr="00EA288B">
              <w:t xml:space="preserve">alance </w:t>
            </w:r>
            <w:r>
              <w:t>s</w:t>
            </w:r>
            <w:r w:rsidRPr="00EA288B">
              <w:t xml:space="preserve">heet for </w:t>
            </w:r>
            <w:r>
              <w:t>growth</w:t>
            </w:r>
          </w:p>
          <w:p w14:paraId="4A6F18F9" w14:textId="26BF7D64" w:rsidR="00D57DA8" w:rsidRPr="004E1159" w:rsidRDefault="00D57DA8" w:rsidP="00D57DA8">
            <w:pPr>
              <w:pStyle w:val="BoxText"/>
              <w:rPr>
                <w:rFonts w:eastAsia="Calibri"/>
              </w:rPr>
            </w:pPr>
            <w:r w:rsidRPr="004E1159">
              <w:rPr>
                <w:rFonts w:eastAsia="Calibri"/>
              </w:rPr>
              <w:t>The Government is investing to build a stronger economy through government financed investment vehicles and government investment funds.</w:t>
            </w:r>
          </w:p>
          <w:p w14:paraId="231DD6FC" w14:textId="6F9511E3" w:rsidR="00D57DA8" w:rsidRPr="004E1159" w:rsidRDefault="00D57DA8" w:rsidP="00D57DA8">
            <w:pPr>
              <w:pStyle w:val="BoxBullet"/>
              <w:rPr>
                <w:rFonts w:eastAsia="Calibri"/>
              </w:rPr>
            </w:pPr>
            <w:r w:rsidRPr="004E1159">
              <w:rPr>
                <w:rFonts w:eastAsia="Calibri"/>
              </w:rPr>
              <w:t xml:space="preserve">Government financed investment vehicles </w:t>
            </w:r>
            <w:r w:rsidRPr="004E1159" w:rsidDel="00E52E3E">
              <w:rPr>
                <w:rFonts w:eastAsia="Calibri"/>
              </w:rPr>
              <w:t>partner</w:t>
            </w:r>
            <w:r w:rsidRPr="004E1159">
              <w:rPr>
                <w:rFonts w:eastAsia="Calibri"/>
              </w:rPr>
              <w:t xml:space="preserve"> with the private sector. Their purpose is to unlock private investment for projects that deliver public value and a financial return to taxpayers. For the private sector, government co</w:t>
            </w:r>
            <w:r w:rsidR="00594653" w:rsidRPr="004E1159">
              <w:rPr>
                <w:rFonts w:eastAsia="Calibri"/>
              </w:rPr>
              <w:noBreakHyphen/>
            </w:r>
            <w:r w:rsidRPr="004E1159">
              <w:rPr>
                <w:rFonts w:eastAsia="Calibri"/>
              </w:rPr>
              <w:t>investment can reduce the risk of early</w:t>
            </w:r>
            <w:r w:rsidR="00594653" w:rsidRPr="004E1159">
              <w:rPr>
                <w:rFonts w:eastAsia="Calibri"/>
              </w:rPr>
              <w:noBreakHyphen/>
            </w:r>
            <w:r w:rsidRPr="004E1159">
              <w:rPr>
                <w:rFonts w:eastAsia="Calibri"/>
              </w:rPr>
              <w:t>stage investments and provide certain, often concessional, long</w:t>
            </w:r>
            <w:r w:rsidR="00594653" w:rsidRPr="004E1159">
              <w:rPr>
                <w:rFonts w:eastAsia="Calibri"/>
              </w:rPr>
              <w:noBreakHyphen/>
            </w:r>
            <w:r w:rsidRPr="004E1159">
              <w:rPr>
                <w:rFonts w:eastAsia="Calibri"/>
              </w:rPr>
              <w:t xml:space="preserve">term capital. </w:t>
            </w:r>
          </w:p>
          <w:p w14:paraId="4ACD42CF" w14:textId="10541535" w:rsidR="00D57DA8" w:rsidRPr="004E1159" w:rsidRDefault="00D57DA8" w:rsidP="00D57DA8">
            <w:pPr>
              <w:pStyle w:val="BoxBullet"/>
              <w:rPr>
                <w:rFonts w:eastAsia="Calibri"/>
              </w:rPr>
            </w:pPr>
            <w:r w:rsidRPr="004E1159">
              <w:rPr>
                <w:rFonts w:eastAsia="Calibri"/>
              </w:rPr>
              <w:t xml:space="preserve">Government investment funds invest to generate commercial returns as a revenue stream to fund policy objectives. </w:t>
            </w:r>
          </w:p>
          <w:p w14:paraId="3F88E10E" w14:textId="7F9F8BB4" w:rsidR="00D57DA8" w:rsidRPr="00EA288B" w:rsidRDefault="00D57DA8" w:rsidP="00D57DA8">
            <w:pPr>
              <w:pStyle w:val="BoxText"/>
              <w:rPr>
                <w:rFonts w:eastAsia="Calibri"/>
              </w:rPr>
            </w:pPr>
            <w:r w:rsidRPr="004E1159">
              <w:rPr>
                <w:rFonts w:eastAsia="Calibri"/>
              </w:rPr>
              <w:t>The Government has established new investment vehicles to support growth in key parts of the economy. For example:</w:t>
            </w:r>
          </w:p>
          <w:p w14:paraId="012EB879" w14:textId="7566B0F5" w:rsidR="00D57DA8" w:rsidRPr="0084652D" w:rsidRDefault="00D57DA8" w:rsidP="00D57DA8">
            <w:pPr>
              <w:pStyle w:val="BoxBullet"/>
              <w:rPr>
                <w:rFonts w:eastAsia="Calibri"/>
              </w:rPr>
            </w:pPr>
            <w:r w:rsidRPr="004E1159">
              <w:rPr>
                <w:rFonts w:eastAsia="Calibri"/>
              </w:rPr>
              <w:t>The National Reconstruction Fund is a $15 billion fund that will partner with the private sector to provide loans, equity and guarantees to projects in 7 priority areas of the economy: renewables and low emissions technologies; medical science; transport; value</w:t>
            </w:r>
            <w:r w:rsidR="00594653" w:rsidRPr="004E1159">
              <w:rPr>
                <w:rFonts w:eastAsia="Calibri"/>
              </w:rPr>
              <w:noBreakHyphen/>
            </w:r>
            <w:r w:rsidRPr="004E1159">
              <w:rPr>
                <w:rFonts w:eastAsia="Calibri"/>
              </w:rPr>
              <w:t>add in the agriculture, forestry and fisheries sectors; value</w:t>
            </w:r>
            <w:r w:rsidR="00594653" w:rsidRPr="004E1159">
              <w:rPr>
                <w:rFonts w:eastAsia="Calibri"/>
              </w:rPr>
              <w:noBreakHyphen/>
            </w:r>
            <w:r w:rsidRPr="004E1159">
              <w:rPr>
                <w:rFonts w:eastAsia="Calibri"/>
              </w:rPr>
              <w:t xml:space="preserve">add in resources; defence capability; and enabling capabilities. </w:t>
            </w:r>
          </w:p>
          <w:p w14:paraId="78679A06" w14:textId="3722307C" w:rsidR="00D57DA8" w:rsidRPr="004D1D20" w:rsidRDefault="00D57DA8" w:rsidP="00D57DA8">
            <w:pPr>
              <w:pStyle w:val="BoxBullet"/>
              <w:rPr>
                <w:rFonts w:eastAsia="Calibri"/>
              </w:rPr>
            </w:pPr>
            <w:r w:rsidRPr="004E1159">
              <w:rPr>
                <w:rFonts w:eastAsia="Calibri"/>
              </w:rPr>
              <w:t>Rewiring the Nation</w:t>
            </w:r>
            <w:r w:rsidRPr="004E1159">
              <w:rPr>
                <w:rFonts w:eastAsia="Calibri"/>
                <w:b/>
              </w:rPr>
              <w:t xml:space="preserve"> </w:t>
            </w:r>
            <w:r w:rsidRPr="004E1159">
              <w:rPr>
                <w:rFonts w:eastAsia="Calibri"/>
              </w:rPr>
              <w:t>will provide $20.0 billion in concessional debt and equity financing to invest in transmission projects. It will invest in priority grid</w:t>
            </w:r>
            <w:r w:rsidR="00594653" w:rsidRPr="004E1159">
              <w:rPr>
                <w:rFonts w:eastAsia="Calibri"/>
              </w:rPr>
              <w:noBreakHyphen/>
            </w:r>
            <w:r w:rsidRPr="004E1159">
              <w:rPr>
                <w:rFonts w:eastAsia="Calibri"/>
              </w:rPr>
              <w:t>related projects through the Clean Energy Financial Corporation (CEFC) to fast</w:t>
            </w:r>
            <w:r w:rsidR="00594653" w:rsidRPr="004E1159">
              <w:rPr>
                <w:rFonts w:eastAsia="Calibri"/>
              </w:rPr>
              <w:noBreakHyphen/>
            </w:r>
            <w:r w:rsidRPr="004E1159">
              <w:rPr>
                <w:rFonts w:eastAsia="Calibri"/>
              </w:rPr>
              <w:t>track the decarbonisation of the electricity sector and take advantage of our abundant renewable energy resources needed to power the next stage of the energy transition. Investments in the electricity grid are critical to bringing low</w:t>
            </w:r>
            <w:r w:rsidR="00594653" w:rsidRPr="004E1159">
              <w:rPr>
                <w:rFonts w:eastAsia="Calibri"/>
              </w:rPr>
              <w:noBreakHyphen/>
            </w:r>
            <w:r w:rsidRPr="004E1159">
              <w:rPr>
                <w:rFonts w:eastAsia="Calibri"/>
              </w:rPr>
              <w:t xml:space="preserve">cost renewable energy to consumers as part of the net zero transition. </w:t>
            </w:r>
          </w:p>
          <w:p w14:paraId="398CCE7E" w14:textId="6008D3F6" w:rsidR="00D57DA8" w:rsidRPr="004E1159" w:rsidRDefault="00D57DA8" w:rsidP="00D57DA8">
            <w:pPr>
              <w:pStyle w:val="BoxText"/>
              <w:rPr>
                <w:rFonts w:eastAsia="Calibri"/>
              </w:rPr>
            </w:pPr>
            <w:r w:rsidRPr="004E1159">
              <w:rPr>
                <w:rFonts w:eastAsia="Calibri"/>
              </w:rPr>
              <w:t>The Government is also establishing a new Investment Fund – the Housing Australia Future Fund (HAFF) to boost the supply of, and better facilitate private investment into, social and affordable housing.</w:t>
            </w:r>
            <w:r w:rsidRPr="004E1159" w:rsidDel="00B500F8">
              <w:rPr>
                <w:rFonts w:eastAsia="Calibri"/>
              </w:rPr>
              <w:t xml:space="preserve"> </w:t>
            </w:r>
          </w:p>
          <w:p w14:paraId="69DA95F5" w14:textId="5D2498DA" w:rsidR="00D57DA8" w:rsidRPr="00FB7A83" w:rsidRDefault="00D57DA8" w:rsidP="003A2B54">
            <w:pPr>
              <w:pStyle w:val="BoxBullet"/>
              <w:rPr>
                <w:rFonts w:eastAsia="Calibri"/>
              </w:rPr>
            </w:pPr>
            <w:r w:rsidRPr="004E1159">
              <w:rPr>
                <w:rFonts w:eastAsia="Calibri"/>
              </w:rPr>
              <w:t xml:space="preserve">The HAFF will provide sustainable funding to increase the supply of social and affordable housing and help address pressures in the housing market. The Government will use returns from the HAFF to deliver 30,000 social and affordable homes over 5 years and provide funding of $330 million for acute housing needs. The HAFF funding will also mobilise institutional investment for social and affordable housing, helping to boost total investment into the sector. </w:t>
            </w:r>
            <w:r w:rsidRPr="00FB7A83">
              <w:rPr>
                <w:rFonts w:eastAsia="Calibri"/>
              </w:rPr>
              <w:t xml:space="preserve"> </w:t>
            </w:r>
          </w:p>
          <w:p w14:paraId="2C6F733A" w14:textId="25DCB4B4" w:rsidR="00D57DA8" w:rsidRPr="00EA288B" w:rsidRDefault="00D57DA8" w:rsidP="00D57DA8">
            <w:pPr>
              <w:pStyle w:val="Box-continuedon"/>
            </w:pPr>
            <w:r>
              <w:t>continued on next page</w:t>
            </w:r>
          </w:p>
        </w:tc>
      </w:tr>
    </w:tbl>
    <w:p w14:paraId="7A3DCC43" w14:textId="62795DED" w:rsidR="00D57DA8" w:rsidRDefault="00D57DA8" w:rsidP="00D57DA8">
      <w:pPr>
        <w:spacing w:before="0" w:after="160" w:line="259" w:lineRule="auto"/>
      </w:pPr>
      <w:r>
        <w:br w:type="page"/>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D57DA8" w:rsidRPr="00B55974" w14:paraId="77203654" w14:textId="77777777" w:rsidTr="00BF1D0D">
        <w:trPr>
          <w:cantSplit/>
        </w:trPr>
        <w:tc>
          <w:tcPr>
            <w:tcW w:w="5000" w:type="pct"/>
            <w:shd w:val="clear" w:color="auto" w:fill="E6F2FF"/>
          </w:tcPr>
          <w:p w14:paraId="4A1227D7" w14:textId="6CB0593D" w:rsidR="00D57DA8" w:rsidRPr="004E1159" w:rsidRDefault="00D57DA8" w:rsidP="00D57DA8">
            <w:pPr>
              <w:pStyle w:val="BoxHeading"/>
            </w:pPr>
            <w:r w:rsidRPr="004E1159">
              <w:lastRenderedPageBreak/>
              <w:t>Box 3.5: Leveraging the Government</w:t>
            </w:r>
            <w:r w:rsidR="00594653" w:rsidRPr="004E1159">
              <w:t>’</w:t>
            </w:r>
            <w:r w:rsidRPr="004E1159">
              <w:t xml:space="preserve">s balance sheet for growth </w:t>
            </w:r>
            <w:r w:rsidRPr="004E1159">
              <w:rPr>
                <w:rStyle w:val="BoxHeading-Continued"/>
              </w:rPr>
              <w:t>(continued)</w:t>
            </w:r>
          </w:p>
          <w:p w14:paraId="6F873F6B" w14:textId="79160757" w:rsidR="00D57DA8" w:rsidRPr="004E1159" w:rsidRDefault="00D57DA8" w:rsidP="00D57DA8">
            <w:pPr>
              <w:pStyle w:val="BoxText"/>
              <w:rPr>
                <w:rFonts w:eastAsia="Calibri"/>
              </w:rPr>
            </w:pPr>
            <w:r w:rsidRPr="004E1159">
              <w:rPr>
                <w:rFonts w:eastAsia="Calibri"/>
              </w:rPr>
              <w:t xml:space="preserve">By attracting capital to national priority areas, such as clean energy, and social and affordable housing, these investments will build productivity, improve supply chain resilience, and increase economic growth. </w:t>
            </w:r>
          </w:p>
          <w:p w14:paraId="378AF64F" w14:textId="0FEC72CA" w:rsidR="00D57DA8" w:rsidRPr="004E1159" w:rsidRDefault="00D57DA8" w:rsidP="00D57DA8">
            <w:pPr>
              <w:pStyle w:val="BoxText"/>
              <w:rPr>
                <w:rFonts w:eastAsia="Calibri"/>
              </w:rPr>
            </w:pPr>
            <w:r w:rsidRPr="004E1159">
              <w:rPr>
                <w:rFonts w:eastAsia="Calibri"/>
              </w:rPr>
              <w:t xml:space="preserve">The Government is cognisant of the need to manage market risks associated with funds and investment vehicles. The Government is committed to effective, efficient, and transparent management of its assets and will establish a new centralised oversight function for investment vehicles within the Department of Finance. </w:t>
            </w:r>
          </w:p>
          <w:p w14:paraId="69180E29" w14:textId="2AC2954B" w:rsidR="00D57DA8" w:rsidRPr="004E1159" w:rsidRDefault="00D57DA8" w:rsidP="00D57DA8">
            <w:pPr>
              <w:pStyle w:val="BoxText"/>
              <w:rPr>
                <w:rFonts w:eastAsia="Calibri"/>
              </w:rPr>
            </w:pPr>
            <w:r w:rsidRPr="004E1159">
              <w:rPr>
                <w:rFonts w:eastAsia="Calibri"/>
              </w:rPr>
              <w:t>This will enhance transparency and accountability around the use of the Government</w:t>
            </w:r>
            <w:r w:rsidR="00594653" w:rsidRPr="004E1159">
              <w:rPr>
                <w:rFonts w:eastAsia="Calibri"/>
              </w:rPr>
              <w:t>’</w:t>
            </w:r>
            <w:r w:rsidRPr="004E1159">
              <w:rPr>
                <w:rFonts w:eastAsia="Calibri"/>
              </w:rPr>
              <w:t xml:space="preserve">s balance sheet. </w:t>
            </w:r>
          </w:p>
          <w:p w14:paraId="5AE43673" w14:textId="77777777" w:rsidR="00D57DA8" w:rsidRPr="004E1159" w:rsidRDefault="00D57DA8" w:rsidP="00D57DA8">
            <w:pPr>
              <w:pStyle w:val="BoxText"/>
              <w:rPr>
                <w:rFonts w:eastAsia="Calibri"/>
              </w:rPr>
            </w:pPr>
            <w:r w:rsidRPr="004E1159">
              <w:rPr>
                <w:rFonts w:eastAsia="Calibri"/>
              </w:rPr>
              <w:t>The</w:t>
            </w:r>
            <w:r w:rsidRPr="004E1159" w:rsidDel="002076E5">
              <w:rPr>
                <w:rFonts w:eastAsia="Calibri"/>
              </w:rPr>
              <w:t xml:space="preserve"> </w:t>
            </w:r>
            <w:r w:rsidRPr="004E1159">
              <w:rPr>
                <w:rFonts w:eastAsia="Calibri"/>
              </w:rPr>
              <w:t xml:space="preserve">Government borrows to finance new investments. Acquisition of financial assets for policy purposes adds assets to the balance sheet, offsetting debt issuance in net financial worth, but increasing gross debt. </w:t>
            </w:r>
          </w:p>
          <w:p w14:paraId="0009C7C7" w14:textId="6B5547AB" w:rsidR="00D57DA8" w:rsidRPr="004E1159" w:rsidRDefault="00D57DA8" w:rsidP="00D57DA8">
            <w:pPr>
              <w:pStyle w:val="BoxText"/>
              <w:rPr>
                <w:rFonts w:eastAsia="Calibri"/>
              </w:rPr>
            </w:pPr>
            <w:r w:rsidRPr="004E1159">
              <w:rPr>
                <w:rFonts w:eastAsia="Calibri"/>
              </w:rPr>
              <w:t>Returns from</w:t>
            </w:r>
            <w:r w:rsidRPr="004E1159" w:rsidDel="00610F1C">
              <w:rPr>
                <w:rFonts w:eastAsia="Calibri"/>
              </w:rPr>
              <w:t xml:space="preserve"> </w:t>
            </w:r>
            <w:r w:rsidRPr="004E1159">
              <w:rPr>
                <w:rFonts w:eastAsia="Calibri"/>
              </w:rPr>
              <w:t xml:space="preserve">government investments are expected to cover or exceed borrowing costs over the long term, improving the budget bottom line (Chart 3.15). Target returns vary across different entities in line with their differing policy objectives. </w:t>
            </w:r>
          </w:p>
          <w:p w14:paraId="1241C349" w14:textId="281B63F9" w:rsidR="00D57DA8" w:rsidRPr="004E1159" w:rsidRDefault="00D57DA8" w:rsidP="00D57DA8">
            <w:pPr>
              <w:pStyle w:val="BoxText"/>
              <w:rPr>
                <w:rFonts w:eastAsia="Calibri"/>
              </w:rPr>
            </w:pPr>
            <w:r w:rsidRPr="004E1159">
              <w:rPr>
                <w:rFonts w:eastAsia="Calibri"/>
              </w:rPr>
              <w:t>The Future Fund can make long</w:t>
            </w:r>
            <w:r w:rsidR="00594653" w:rsidRPr="004E1159">
              <w:rPr>
                <w:rFonts w:eastAsia="Calibri"/>
              </w:rPr>
              <w:noBreakHyphen/>
            </w:r>
            <w:r w:rsidRPr="004E1159">
              <w:rPr>
                <w:rFonts w:eastAsia="Calibri"/>
              </w:rPr>
              <w:t>term investments and is not being drawn down in the immediate future. It has achieved an average annual return of 7.</w:t>
            </w:r>
            <w:r w:rsidR="00895BC1" w:rsidRPr="004E1159">
              <w:rPr>
                <w:rFonts w:eastAsia="Calibri"/>
              </w:rPr>
              <w:t>7</w:t>
            </w:r>
            <w:r w:rsidRPr="004E1159">
              <w:rPr>
                <w:rFonts w:eastAsia="Calibri"/>
              </w:rPr>
              <w:t xml:space="preserve"> per cent per annum since inception in 2006. This is above its average target return of </w:t>
            </w:r>
            <w:r w:rsidR="00895BC1" w:rsidRPr="004E1159">
              <w:rPr>
                <w:rFonts w:eastAsia="Calibri"/>
              </w:rPr>
              <w:t>7</w:t>
            </w:r>
            <w:r w:rsidRPr="004E1159">
              <w:rPr>
                <w:rFonts w:eastAsia="Calibri"/>
              </w:rPr>
              <w:t>.</w:t>
            </w:r>
            <w:r w:rsidR="00895BC1" w:rsidRPr="004E1159">
              <w:rPr>
                <w:rFonts w:eastAsia="Calibri"/>
              </w:rPr>
              <w:t>0</w:t>
            </w:r>
            <w:r w:rsidRPr="004E1159">
              <w:rPr>
                <w:rFonts w:eastAsia="Calibri"/>
              </w:rPr>
              <w:t> per cent, and well above the government</w:t>
            </w:r>
            <w:r w:rsidR="00594653" w:rsidRPr="004E1159">
              <w:rPr>
                <w:rFonts w:eastAsia="Calibri"/>
              </w:rPr>
              <w:t>’</w:t>
            </w:r>
            <w:r w:rsidRPr="004E1159">
              <w:rPr>
                <w:rFonts w:eastAsia="Calibri"/>
              </w:rPr>
              <w:t xml:space="preserve">s average borrowing costs over the period. The Future Fund Board of Guardians also manages the investments for all other Government Investment Funds. Other funds, such as the Medical Research Future Fund (MRRF), have more frequent drawdown requirements and invest in assets with higher liquidity and lower risk, but also with lower returns. </w:t>
            </w:r>
          </w:p>
          <w:p w14:paraId="42C285E5" w14:textId="63FEBCD6" w:rsidR="00D57DA8" w:rsidRPr="004E1159" w:rsidRDefault="00D57DA8" w:rsidP="00D57DA8">
            <w:pPr>
              <w:pStyle w:val="BoxText"/>
              <w:rPr>
                <w:rFonts w:eastAsia="Calibri"/>
                <w:sz w:val="20"/>
              </w:rPr>
            </w:pPr>
            <w:r w:rsidRPr="004E1159">
              <w:rPr>
                <w:rFonts w:eastAsia="Calibri"/>
              </w:rPr>
              <w:t>Government financed investment vehicles have financial and policy objectives. Investment vehicles that have been more recently established, or that are investing in more early</w:t>
            </w:r>
            <w:r w:rsidR="00594653" w:rsidRPr="004E1159">
              <w:rPr>
                <w:rFonts w:eastAsia="Calibri"/>
              </w:rPr>
              <w:noBreakHyphen/>
            </w:r>
            <w:r w:rsidRPr="004E1159">
              <w:rPr>
                <w:rFonts w:eastAsia="Calibri"/>
              </w:rPr>
              <w:t>stage projects, may not see strong returns in the short term.</w:t>
            </w:r>
            <w:r w:rsidRPr="004E1159" w:rsidDel="001F081C">
              <w:rPr>
                <w:rFonts w:eastAsia="Calibri"/>
                <w:sz w:val="20"/>
              </w:rPr>
              <w:t xml:space="preserve"> </w:t>
            </w:r>
          </w:p>
          <w:p w14:paraId="511393F6" w14:textId="0CB2EDC9" w:rsidR="00D57DA8" w:rsidRPr="004E1159" w:rsidRDefault="00D57DA8" w:rsidP="00D57DA8">
            <w:pPr>
              <w:pStyle w:val="Box-continuedon"/>
              <w:rPr>
                <w:rFonts w:eastAsia="Calibri"/>
              </w:rPr>
            </w:pPr>
            <w:r w:rsidRPr="004E1159">
              <w:t>continued on next page</w:t>
            </w:r>
          </w:p>
        </w:tc>
      </w:tr>
    </w:tbl>
    <w:p w14:paraId="79948A86" w14:textId="77DD4EEF" w:rsidR="00D57DA8" w:rsidRPr="004E1159" w:rsidRDefault="00D57DA8" w:rsidP="00D57DA8">
      <w:pPr>
        <w:spacing w:before="0" w:after="160" w:line="259" w:lineRule="auto"/>
      </w:pPr>
      <w:r w:rsidRPr="004E1159">
        <w:br w:type="page"/>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9959E1" w:rsidRPr="00B55974" w14:paraId="33D005D9" w14:textId="77777777" w:rsidTr="00BF1D0D">
        <w:trPr>
          <w:cantSplit/>
        </w:trPr>
        <w:tc>
          <w:tcPr>
            <w:tcW w:w="5000" w:type="pct"/>
            <w:shd w:val="clear" w:color="auto" w:fill="E6F2FF"/>
          </w:tcPr>
          <w:p w14:paraId="1DF975F3" w14:textId="35E6F643" w:rsidR="00D57DA8" w:rsidRPr="004E1159" w:rsidRDefault="00D57DA8" w:rsidP="00D57DA8">
            <w:pPr>
              <w:pStyle w:val="BoxHeading"/>
            </w:pPr>
            <w:r w:rsidRPr="004E1159">
              <w:lastRenderedPageBreak/>
              <w:t>Box 3.5: Leveraging the Government</w:t>
            </w:r>
            <w:r w:rsidR="00594653" w:rsidRPr="004E1159">
              <w:t>’</w:t>
            </w:r>
            <w:r w:rsidRPr="004E1159">
              <w:t xml:space="preserve">s balance sheet for growth </w:t>
            </w:r>
            <w:r w:rsidRPr="004E1159">
              <w:rPr>
                <w:rStyle w:val="BoxHeading-Continued"/>
              </w:rPr>
              <w:t>(continued)</w:t>
            </w:r>
          </w:p>
          <w:p w14:paraId="3728C022" w14:textId="40D39448" w:rsidR="008C63C2" w:rsidRPr="004E1159" w:rsidRDefault="009163DE" w:rsidP="00DD41C2">
            <w:pPr>
              <w:pStyle w:val="BoxText"/>
              <w:rPr>
                <w:rFonts w:eastAsia="Calibri"/>
              </w:rPr>
            </w:pPr>
            <w:r w:rsidRPr="004E1159">
              <w:rPr>
                <w:rFonts w:eastAsia="Calibri"/>
              </w:rPr>
              <w:t>Government financed investment vehicles</w:t>
            </w:r>
            <w:r w:rsidR="0053230A" w:rsidRPr="004E1159">
              <w:rPr>
                <w:rFonts w:eastAsia="Calibri"/>
              </w:rPr>
              <w:t xml:space="preserve"> invest over many years, avoiding pressure on current inflation. Most investments will occur after 2024</w:t>
            </w:r>
            <w:r w:rsidR="00F634C3" w:rsidRPr="004E1159">
              <w:rPr>
                <w:rFonts w:eastAsia="Calibri"/>
              </w:rPr>
              <w:t>–</w:t>
            </w:r>
            <w:r w:rsidR="0053230A" w:rsidRPr="004E1159">
              <w:rPr>
                <w:rFonts w:eastAsia="Calibri"/>
              </w:rPr>
              <w:t>25, when inflationary pressures are expected to ease (</w:t>
            </w:r>
            <w:r w:rsidR="00E21765" w:rsidRPr="004E1159">
              <w:rPr>
                <w:rFonts w:eastAsia="Calibri"/>
              </w:rPr>
              <w:t>Chart </w:t>
            </w:r>
            <w:r w:rsidR="0053230A" w:rsidRPr="004E1159">
              <w:rPr>
                <w:rFonts w:eastAsia="Calibri"/>
              </w:rPr>
              <w:t>3.</w:t>
            </w:r>
            <w:r w:rsidR="004B543A" w:rsidRPr="004E1159">
              <w:rPr>
                <w:rFonts w:eastAsia="Calibri"/>
              </w:rPr>
              <w:t>1</w:t>
            </w:r>
            <w:r w:rsidR="00120195" w:rsidRPr="004E1159">
              <w:rPr>
                <w:rFonts w:eastAsia="Calibri"/>
              </w:rPr>
              <w:t>6</w:t>
            </w:r>
            <w:r w:rsidR="0053230A" w:rsidRPr="004E1159">
              <w:rPr>
                <w:rFonts w:eastAsia="Calibri"/>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610"/>
              <w:gridCol w:w="3532"/>
            </w:tblGrid>
            <w:tr w:rsidR="008C63C2" w:rsidRPr="00B55974" w14:paraId="4BDCA4B2" w14:textId="77777777" w:rsidTr="000C16EB">
              <w:trPr>
                <w:cantSplit/>
                <w:trHeight w:val="20"/>
              </w:trPr>
              <w:tc>
                <w:tcPr>
                  <w:tcW w:w="3577" w:type="dxa"/>
                </w:tcPr>
                <w:p w14:paraId="57475995" w14:textId="4B9C28BC" w:rsidR="008C63C2" w:rsidRPr="00B55974" w:rsidRDefault="008C63C2" w:rsidP="00AB4D24">
                  <w:pPr>
                    <w:pStyle w:val="ChartMainHeading"/>
                    <w:rPr>
                      <w:rFonts w:eastAsia="Calibri"/>
                      <w:highlight w:val="yellow"/>
                    </w:rPr>
                  </w:pPr>
                  <w:r w:rsidRPr="004E1159">
                    <w:t>Chart 3.1</w:t>
                  </w:r>
                  <w:r w:rsidR="00120195" w:rsidRPr="004E1159">
                    <w:t>5</w:t>
                  </w:r>
                  <w:r w:rsidRPr="004E1159">
                    <w:t xml:space="preserve">: </w:t>
                  </w:r>
                  <w:r w:rsidR="004348F7" w:rsidRPr="004E1159">
                    <w:t>Investment returns</w:t>
                  </w:r>
                  <w:r w:rsidRPr="004E1159">
                    <w:t xml:space="preserve"> versus</w:t>
                  </w:r>
                  <w:r w:rsidR="003A2B54" w:rsidRPr="004E1159">
                    <w:t> </w:t>
                  </w:r>
                  <w:r w:rsidR="009A5C9F" w:rsidRPr="004E1159">
                    <w:t>g</w:t>
                  </w:r>
                  <w:r w:rsidRPr="004E1159">
                    <w:t xml:space="preserve">overnment </w:t>
                  </w:r>
                  <w:r w:rsidR="009A5C9F" w:rsidRPr="004E1159">
                    <w:t>b</w:t>
                  </w:r>
                  <w:r w:rsidRPr="004E1159">
                    <w:t xml:space="preserve">orrowing </w:t>
                  </w:r>
                  <w:r w:rsidR="009A5C9F" w:rsidRPr="004E1159">
                    <w:t>c</w:t>
                  </w:r>
                  <w:r w:rsidRPr="004E1159">
                    <w:t>ost</w:t>
                  </w:r>
                </w:p>
              </w:tc>
              <w:tc>
                <w:tcPr>
                  <w:tcW w:w="3565" w:type="dxa"/>
                </w:tcPr>
                <w:p w14:paraId="67448CDB" w14:textId="1B897172" w:rsidR="008C63C2" w:rsidRPr="004E1159" w:rsidRDefault="008C63C2" w:rsidP="00AB4D24">
                  <w:pPr>
                    <w:pStyle w:val="ChartMainHeading"/>
                    <w:rPr>
                      <w:rFonts w:eastAsia="Calibri"/>
                    </w:rPr>
                  </w:pPr>
                  <w:r w:rsidRPr="004E1159">
                    <w:t>Chart 3.1</w:t>
                  </w:r>
                  <w:r w:rsidR="00120195" w:rsidRPr="004E1159">
                    <w:t>6</w:t>
                  </w:r>
                  <w:r w:rsidRPr="004E1159">
                    <w:t>: Net cash flows from investment</w:t>
                  </w:r>
                  <w:r w:rsidR="009A5C9F" w:rsidRPr="004E1159">
                    <w:t xml:space="preserve">s </w:t>
                  </w:r>
                  <w:r w:rsidRPr="004E1159">
                    <w:t>for policy purposes</w:t>
                  </w:r>
                  <w:r w:rsidR="00F21F64" w:rsidRPr="004E1159">
                    <w:t xml:space="preserve"> </w:t>
                  </w:r>
                </w:p>
              </w:tc>
            </w:tr>
            <w:tr w:rsidR="008C63C2" w:rsidRPr="00B55974" w14:paraId="05E40FE1" w14:textId="77777777" w:rsidTr="000C16EB">
              <w:tblPrEx>
                <w:tblCellMar>
                  <w:left w:w="108" w:type="dxa"/>
                </w:tblCellMar>
              </w:tblPrEx>
              <w:trPr>
                <w:cantSplit/>
                <w:trHeight w:val="20"/>
              </w:trPr>
              <w:tc>
                <w:tcPr>
                  <w:tcW w:w="3577" w:type="dxa"/>
                </w:tcPr>
                <w:p w14:paraId="6AA71328" w14:textId="1BCE3411" w:rsidR="008C63C2" w:rsidRPr="00B55974" w:rsidRDefault="0094269C" w:rsidP="000C16EB">
                  <w:pPr>
                    <w:pStyle w:val="ChartGraphic"/>
                    <w:ind w:left="-113"/>
                    <w:rPr>
                      <w:rFonts w:eastAsia="Calibri"/>
                      <w:highlight w:val="yellow"/>
                    </w:rPr>
                  </w:pPr>
                  <w:r>
                    <w:rPr>
                      <w:rFonts w:eastAsia="Calibri"/>
                    </w:rPr>
                    <w:pict w14:anchorId="0F9459FC">
                      <v:shape id="_x0000_i1038" type="#_x0000_t75" alt="This chart compared the investment returns from various government investments to the weighted average government borrowing cost. The Future Fund has made a cumulative return of 7.7 per cent per annum since inception, this is followed by the Future Drought Fund and Disaster Ready Fund at 6.6 per cent, the Clean Energy Finance Corporation at 4.4 per cent and the Medical Research Future Fund at 4.0 per cent. The weighted average cost of borrowing for the government is 3.4 per cent. " style="width:182.35pt;height:181.4pt">
                        <v:imagedata r:id="rId32" o:title=""/>
                      </v:shape>
                    </w:pict>
                  </w:r>
                </w:p>
              </w:tc>
              <w:tc>
                <w:tcPr>
                  <w:tcW w:w="3565" w:type="dxa"/>
                </w:tcPr>
                <w:p w14:paraId="2696E536" w14:textId="47DBA4EF" w:rsidR="008C63C2" w:rsidRPr="004E1159" w:rsidRDefault="0094269C" w:rsidP="000C16EB">
                  <w:pPr>
                    <w:pStyle w:val="ChartGraphic"/>
                    <w:ind w:left="-170"/>
                    <w:rPr>
                      <w:rFonts w:eastAsia="Calibri"/>
                    </w:rPr>
                  </w:pPr>
                  <w:r>
                    <w:rPr>
                      <w:rFonts w:eastAsia="Calibri"/>
                    </w:rPr>
                    <w:pict w14:anchorId="6BA41FC5">
                      <v:shape id="_x0000_i1039" type="#_x0000_t75" alt="This chart shows the net cash flows from the Clean Energy Finance Corporation, National Reconstruction Fund and Northern Australia Infrastructure Fund between 2022-23 and 2026-27. Net cash flows in total are $1.1 billion in 2022-23 and $2.3 billion in 2023-24 before gradually rising to $7.5 billion in 2026-27. " style="width:181.4pt;height:181.4pt">
                        <v:imagedata r:id="rId33" o:title=""/>
                      </v:shape>
                    </w:pict>
                  </w:r>
                </w:p>
              </w:tc>
            </w:tr>
            <w:tr w:rsidR="008C63C2" w:rsidRPr="00B55974" w14:paraId="5F0E9D99" w14:textId="77777777" w:rsidTr="000C16EB">
              <w:trPr>
                <w:cantSplit/>
                <w:trHeight w:val="20"/>
              </w:trPr>
              <w:tc>
                <w:tcPr>
                  <w:tcW w:w="3577" w:type="dxa"/>
                </w:tcPr>
                <w:p w14:paraId="57869396" w14:textId="77777777" w:rsidR="00A36A6A" w:rsidRPr="004E1159" w:rsidRDefault="008C63C2" w:rsidP="006D2E93">
                  <w:pPr>
                    <w:pStyle w:val="ChartandTableFootnote"/>
                    <w:rPr>
                      <w:color w:val="auto"/>
                    </w:rPr>
                  </w:pPr>
                  <w:r w:rsidRPr="004E1159">
                    <w:rPr>
                      <w:color w:val="auto"/>
                    </w:rPr>
                    <w:t xml:space="preserve">Source: </w:t>
                  </w:r>
                  <w:r w:rsidRPr="004E1159">
                    <w:rPr>
                      <w:color w:val="auto"/>
                    </w:rPr>
                    <w:tab/>
                    <w:t>Future Fund, Treasury</w:t>
                  </w:r>
                  <w:r w:rsidR="00CA2C2A" w:rsidRPr="004E1159">
                    <w:rPr>
                      <w:color w:val="auto"/>
                    </w:rPr>
                    <w:t>, CEFC.</w:t>
                  </w:r>
                </w:p>
                <w:p w14:paraId="1941D440" w14:textId="0C59ED16" w:rsidR="008C63C2" w:rsidRPr="00B55974" w:rsidRDefault="00A36A6A" w:rsidP="006D2E93">
                  <w:pPr>
                    <w:pStyle w:val="ChartandTableFootnote"/>
                    <w:rPr>
                      <w:rFonts w:eastAsia="Calibri"/>
                      <w:highlight w:val="yellow"/>
                    </w:rPr>
                  </w:pPr>
                  <w:r w:rsidRPr="004E1159">
                    <w:rPr>
                      <w:color w:val="auto"/>
                    </w:rPr>
                    <w:t xml:space="preserve">Note: </w:t>
                  </w:r>
                  <w:r w:rsidRPr="004E1159">
                    <w:rPr>
                      <w:color w:val="auto"/>
                    </w:rPr>
                    <w:tab/>
                  </w:r>
                  <w:r w:rsidR="00CA2C2A" w:rsidRPr="004E1159">
                    <w:rPr>
                      <w:color w:val="auto"/>
                    </w:rPr>
                    <w:t xml:space="preserve">Investment returns </w:t>
                  </w:r>
                  <w:r w:rsidR="00654521" w:rsidRPr="004E1159">
                    <w:rPr>
                      <w:color w:val="auto"/>
                    </w:rPr>
                    <w:t>are cumulative annual returns since inception.</w:t>
                  </w:r>
                </w:p>
              </w:tc>
              <w:tc>
                <w:tcPr>
                  <w:tcW w:w="3565" w:type="dxa"/>
                </w:tcPr>
                <w:p w14:paraId="3B287C37" w14:textId="1B3AA5B8" w:rsidR="00A36A6A" w:rsidRPr="004E1159" w:rsidRDefault="008C63C2" w:rsidP="00A36A6A">
                  <w:pPr>
                    <w:pStyle w:val="ChartandTableFootnote"/>
                    <w:rPr>
                      <w:color w:val="auto"/>
                    </w:rPr>
                  </w:pPr>
                  <w:r w:rsidRPr="004E1159">
                    <w:rPr>
                      <w:color w:val="auto"/>
                    </w:rPr>
                    <w:t xml:space="preserve">Source: </w:t>
                  </w:r>
                  <w:r w:rsidRPr="004E1159">
                    <w:rPr>
                      <w:color w:val="auto"/>
                    </w:rPr>
                    <w:tab/>
                    <w:t>Treasury.</w:t>
                  </w:r>
                  <w:r w:rsidR="00D555E0" w:rsidRPr="004E1159">
                    <w:rPr>
                      <w:color w:val="auto"/>
                    </w:rPr>
                    <w:t xml:space="preserve"> </w:t>
                  </w:r>
                </w:p>
                <w:p w14:paraId="0D7866DB" w14:textId="70E923B4" w:rsidR="008C63C2" w:rsidRPr="004E1159" w:rsidRDefault="00A36A6A" w:rsidP="00A36A6A">
                  <w:pPr>
                    <w:pStyle w:val="ChartandTableFootnote"/>
                    <w:rPr>
                      <w:rFonts w:eastAsia="Calibri"/>
                      <w:color w:val="auto"/>
                    </w:rPr>
                  </w:pPr>
                  <w:r w:rsidRPr="004E1159">
                    <w:rPr>
                      <w:color w:val="auto"/>
                    </w:rPr>
                    <w:t xml:space="preserve">Note: </w:t>
                  </w:r>
                  <w:r w:rsidRPr="004E1159">
                    <w:rPr>
                      <w:color w:val="auto"/>
                    </w:rPr>
                    <w:tab/>
                  </w:r>
                  <w:r w:rsidR="00D555E0" w:rsidRPr="004E1159">
                    <w:rPr>
                      <w:color w:val="auto"/>
                    </w:rPr>
                    <w:t xml:space="preserve">NAIF </w:t>
                  </w:r>
                  <w:r w:rsidR="00EB12A2" w:rsidRPr="004E1159">
                    <w:rPr>
                      <w:color w:val="auto"/>
                    </w:rPr>
                    <w:t>is the</w:t>
                  </w:r>
                  <w:r w:rsidR="001F0BE2" w:rsidRPr="004E1159">
                    <w:rPr>
                      <w:color w:val="auto"/>
                    </w:rPr>
                    <w:t xml:space="preserve"> Northern Australia Infrastructure Fund. </w:t>
                  </w:r>
                </w:p>
              </w:tc>
            </w:tr>
          </w:tbl>
          <w:p w14:paraId="5BC67193" w14:textId="77777777" w:rsidR="00173F45" w:rsidRPr="004E1159" w:rsidRDefault="00173F45" w:rsidP="00D75CA4">
            <w:pPr>
              <w:pStyle w:val="ChartLine"/>
            </w:pPr>
          </w:p>
          <w:p w14:paraId="3B93E549" w14:textId="5EB83497" w:rsidR="00D75CA4" w:rsidRPr="004E1159" w:rsidRDefault="00D75CA4" w:rsidP="00D75CA4">
            <w:pPr>
              <w:pStyle w:val="GhostLine"/>
              <w:rPr>
                <w:rFonts w:eastAsia="Calibri"/>
              </w:rPr>
            </w:pPr>
          </w:p>
        </w:tc>
      </w:tr>
    </w:tbl>
    <w:p w14:paraId="692B6BB0" w14:textId="77777777" w:rsidR="00D57DA8" w:rsidRDefault="00D57DA8" w:rsidP="00D57DA8">
      <w:pPr>
        <w:pStyle w:val="SingleParagraph"/>
      </w:pPr>
      <w:bookmarkStart w:id="30" w:name="_Toc117356566"/>
    </w:p>
    <w:p w14:paraId="53D082EB" w14:textId="002A131A" w:rsidR="00D01E96" w:rsidRPr="00EA288B" w:rsidRDefault="00D01E96" w:rsidP="00D01E96">
      <w:pPr>
        <w:pStyle w:val="Heading3"/>
      </w:pPr>
      <w:bookmarkStart w:id="31" w:name="_Toc134321298"/>
      <w:r w:rsidRPr="00EA288B">
        <w:t>Net financial worth and net worth estimates and projections</w:t>
      </w:r>
      <w:bookmarkEnd w:id="30"/>
      <w:bookmarkEnd w:id="31"/>
      <w:r w:rsidRPr="00EA288B">
        <w:t xml:space="preserve"> </w:t>
      </w:r>
    </w:p>
    <w:p w14:paraId="013B5AA6" w14:textId="1518B4A4" w:rsidR="00D01E96" w:rsidRPr="004E1159" w:rsidRDefault="00D01E96" w:rsidP="00D01E96">
      <w:pPr>
        <w:rPr>
          <w:lang w:eastAsia="en-US"/>
        </w:rPr>
      </w:pPr>
      <w:r w:rsidRPr="004E1159">
        <w:rPr>
          <w:lang w:eastAsia="en-US"/>
        </w:rPr>
        <w:t xml:space="preserve">Net financial worth is estimated to be </w:t>
      </w:r>
      <w:r w:rsidR="00594653" w:rsidRPr="004E1159">
        <w:rPr>
          <w:lang w:eastAsia="en-US"/>
        </w:rPr>
        <w:noBreakHyphen/>
      </w:r>
      <w:r w:rsidR="002B333D" w:rsidRPr="004E1159">
        <w:rPr>
          <w:lang w:eastAsia="en-US"/>
        </w:rPr>
        <w:t>30.0</w:t>
      </w:r>
      <w:r w:rsidR="00F634C3" w:rsidRPr="004E1159">
        <w:rPr>
          <w:lang w:eastAsia="en-US"/>
        </w:rPr>
        <w:t> per </w:t>
      </w:r>
      <w:r w:rsidRPr="004E1159">
        <w:rPr>
          <w:lang w:eastAsia="en-US"/>
        </w:rPr>
        <w:t>cent of GDP (</w:t>
      </w:r>
      <w:r w:rsidR="00594653" w:rsidRPr="004E1159">
        <w:rPr>
          <w:lang w:eastAsia="en-US"/>
        </w:rPr>
        <w:noBreakHyphen/>
      </w:r>
      <w:r w:rsidRPr="004E1159">
        <w:rPr>
          <w:lang w:eastAsia="en-US"/>
        </w:rPr>
        <w:t>$</w:t>
      </w:r>
      <w:r w:rsidR="002B333D" w:rsidRPr="004E1159">
        <w:rPr>
          <w:lang w:eastAsia="en-US"/>
        </w:rPr>
        <w:t>772.6</w:t>
      </w:r>
      <w:r w:rsidR="00F634C3" w:rsidRPr="004E1159">
        <w:rPr>
          <w:lang w:eastAsia="en-US"/>
        </w:rPr>
        <w:t> billion</w:t>
      </w:r>
      <w:r w:rsidRPr="004E1159">
        <w:rPr>
          <w:lang w:eastAsia="en-US"/>
        </w:rPr>
        <w:t xml:space="preserve">) </w:t>
      </w:r>
      <w:r w:rsidR="00D173CB" w:rsidRPr="004E1159">
        <w:rPr>
          <w:lang w:eastAsia="en-US"/>
        </w:rPr>
        <w:t>in 2023</w:t>
      </w:r>
      <w:r w:rsidR="00235899" w:rsidRPr="004E1159">
        <w:rPr>
          <w:lang w:eastAsia="en-US"/>
        </w:rPr>
        <w:t>–</w:t>
      </w:r>
      <w:r w:rsidR="00D173CB" w:rsidRPr="004E1159">
        <w:rPr>
          <w:lang w:eastAsia="en-US"/>
        </w:rPr>
        <w:t>24</w:t>
      </w:r>
      <w:r w:rsidRPr="004E1159">
        <w:rPr>
          <w:lang w:eastAsia="en-US"/>
        </w:rPr>
        <w:t xml:space="preserve"> </w:t>
      </w:r>
      <w:r w:rsidRPr="004E1159">
        <w:t>(</w:t>
      </w:r>
      <w:r w:rsidR="00E21765" w:rsidRPr="004E1159">
        <w:t>Table </w:t>
      </w:r>
      <w:r w:rsidRPr="004E1159">
        <w:t>3.6)</w:t>
      </w:r>
      <w:r w:rsidRPr="004E1159">
        <w:rPr>
          <w:lang w:eastAsia="en-US"/>
        </w:rPr>
        <w:t xml:space="preserve">, compared with the estimate of </w:t>
      </w:r>
      <w:r w:rsidR="00440D3B" w:rsidRPr="004E1159">
        <w:rPr>
          <w:lang w:eastAsia="en-US"/>
        </w:rPr>
        <w:t>–</w:t>
      </w:r>
      <w:r w:rsidR="003916E6" w:rsidRPr="004E1159">
        <w:rPr>
          <w:lang w:eastAsia="en-US"/>
        </w:rPr>
        <w:t>33.2</w:t>
      </w:r>
      <w:r w:rsidR="00F634C3" w:rsidRPr="004E1159">
        <w:rPr>
          <w:lang w:eastAsia="en-US"/>
        </w:rPr>
        <w:t> per </w:t>
      </w:r>
      <w:r w:rsidRPr="004E1159">
        <w:rPr>
          <w:lang w:eastAsia="en-US"/>
        </w:rPr>
        <w:t>cent of GDP (</w:t>
      </w:r>
      <w:r w:rsidR="00594653" w:rsidRPr="004E1159">
        <w:rPr>
          <w:lang w:eastAsia="en-US"/>
        </w:rPr>
        <w:noBreakHyphen/>
      </w:r>
      <w:r w:rsidR="00AE1839" w:rsidRPr="004E1159">
        <w:rPr>
          <w:lang w:eastAsia="en-US"/>
        </w:rPr>
        <w:t>$</w:t>
      </w:r>
      <w:r w:rsidR="003916E6" w:rsidRPr="004E1159">
        <w:rPr>
          <w:lang w:eastAsia="en-US"/>
        </w:rPr>
        <w:t>817.0</w:t>
      </w:r>
      <w:r w:rsidR="00F634C3" w:rsidRPr="004E1159">
        <w:rPr>
          <w:lang w:eastAsia="en-US"/>
        </w:rPr>
        <w:t> billion</w:t>
      </w:r>
      <w:r w:rsidRPr="004E1159">
        <w:rPr>
          <w:lang w:eastAsia="en-US"/>
        </w:rPr>
        <w:t xml:space="preserve">) at </w:t>
      </w:r>
      <w:r w:rsidR="000375DD" w:rsidRPr="004E1159">
        <w:rPr>
          <w:lang w:eastAsia="en-US"/>
        </w:rPr>
        <w:t xml:space="preserve">the </w:t>
      </w:r>
      <w:r w:rsidR="00F634C3" w:rsidRPr="004E1159">
        <w:rPr>
          <w:lang w:eastAsia="en-US"/>
        </w:rPr>
        <w:t>October Budget</w:t>
      </w:r>
      <w:r w:rsidRPr="004E1159">
        <w:rPr>
          <w:lang w:eastAsia="en-US"/>
        </w:rPr>
        <w:t xml:space="preserve">. </w:t>
      </w:r>
    </w:p>
    <w:p w14:paraId="5D114DA5" w14:textId="462F067D" w:rsidR="00D01E96" w:rsidRPr="00EA288B" w:rsidRDefault="00D01E96" w:rsidP="00D01E96">
      <w:r w:rsidRPr="004E1159">
        <w:t xml:space="preserve">Net financial worth is projected to </w:t>
      </w:r>
      <w:r w:rsidR="001E51A6" w:rsidRPr="004E1159">
        <w:t>deteriorate to</w:t>
      </w:r>
      <w:r w:rsidR="00673911" w:rsidRPr="004E1159">
        <w:t xml:space="preserve"> </w:t>
      </w:r>
      <w:r w:rsidR="00E11586" w:rsidRPr="004E1159">
        <w:t>–</w:t>
      </w:r>
      <w:r w:rsidR="000E199D" w:rsidRPr="004E1159">
        <w:t>31.</w:t>
      </w:r>
      <w:r w:rsidR="000433B1" w:rsidRPr="004E1159">
        <w:t>3</w:t>
      </w:r>
      <w:r w:rsidR="00F634C3" w:rsidRPr="004E1159">
        <w:t> per </w:t>
      </w:r>
      <w:r w:rsidRPr="004E1159">
        <w:t xml:space="preserve">cent of GDP </w:t>
      </w:r>
      <w:r w:rsidR="00673911" w:rsidRPr="004E1159">
        <w:t xml:space="preserve">in </w:t>
      </w:r>
      <w:r w:rsidR="00D173CB" w:rsidRPr="004E1159">
        <w:t>2024</w:t>
      </w:r>
      <w:r w:rsidR="00235899" w:rsidRPr="004E1159">
        <w:t>–</w:t>
      </w:r>
      <w:r w:rsidR="00D173CB" w:rsidRPr="004E1159">
        <w:t>25</w:t>
      </w:r>
      <w:r w:rsidR="00673911" w:rsidRPr="004E1159">
        <w:t xml:space="preserve"> before improving </w:t>
      </w:r>
      <w:r w:rsidR="00C746BA" w:rsidRPr="004E1159">
        <w:t>over</w:t>
      </w:r>
      <w:r w:rsidRPr="004E1159">
        <w:t xml:space="preserve"> </w:t>
      </w:r>
      <w:r w:rsidR="00673911" w:rsidRPr="004E1159">
        <w:t xml:space="preserve">the </w:t>
      </w:r>
      <w:r w:rsidR="004318B7" w:rsidRPr="004E1159">
        <w:t>medium term</w:t>
      </w:r>
      <w:r w:rsidR="000B35B1" w:rsidRPr="004E1159">
        <w:t xml:space="preserve"> (Chart 3.17).</w:t>
      </w:r>
      <w:r w:rsidR="002F1518" w:rsidRPr="004E1159">
        <w:rPr>
          <w:lang w:eastAsia="en-US"/>
        </w:rPr>
        <w:t xml:space="preserve"> </w:t>
      </w:r>
    </w:p>
    <w:p w14:paraId="7BDCADBF" w14:textId="080F1897" w:rsidR="00D01E96" w:rsidRPr="00EA288B" w:rsidRDefault="00E21765" w:rsidP="00AB4D24">
      <w:pPr>
        <w:pStyle w:val="ChartMainHeading"/>
      </w:pPr>
      <w:r w:rsidRPr="004E1159">
        <w:lastRenderedPageBreak/>
        <w:t>Chart </w:t>
      </w:r>
      <w:r w:rsidR="00D01E96" w:rsidRPr="004E1159">
        <w:t>3.1</w:t>
      </w:r>
      <w:r w:rsidR="000B35B1" w:rsidRPr="004E1159">
        <w:t>7</w:t>
      </w:r>
      <w:r w:rsidR="00D01E96" w:rsidRPr="004E1159">
        <w:t xml:space="preserve"> Net financial worth</w:t>
      </w:r>
    </w:p>
    <w:p w14:paraId="5C0278E3" w14:textId="0DB5EBF4" w:rsidR="00D01E96" w:rsidRPr="0090141B" w:rsidRDefault="0094269C" w:rsidP="00136017">
      <w:pPr>
        <w:pStyle w:val="ChartGraphic"/>
      </w:pPr>
      <w:r>
        <w:pict w14:anchorId="17731EAF">
          <v:shape id="_x0000_i1040" type="#_x0000_t75" alt="This chart compares projections of net financial worth as a share of GDP at the 2023-24 Budget and the 2022-23 October Budget. At the 2023-24 Budget, net financial worth is estimated to be -30.0 per cent of GDP in 2023-24, and is expected to improve throughout tthe medium term, reaching -24.3 per cent in 2033-34. Net financial worth is stronger in every year of the forward estimates and medium term than at the October Budget, when in 2032-33 it was expected to be -35.9 per cent of GDP in 2032-33." style="width:368.4pt;height:203.85pt">
            <v:imagedata r:id="rId34" o:title=""/>
          </v:shape>
        </w:pict>
      </w:r>
    </w:p>
    <w:p w14:paraId="65E48A15" w14:textId="77777777" w:rsidR="00D01E96" w:rsidRPr="00EA288B" w:rsidRDefault="00D01E96" w:rsidP="00D01E96">
      <w:pPr>
        <w:pStyle w:val="ChartandTableFootnote"/>
        <w:rPr>
          <w:color w:val="auto"/>
        </w:rPr>
      </w:pPr>
      <w:r w:rsidRPr="00EA288B">
        <w:rPr>
          <w:color w:val="auto"/>
        </w:rPr>
        <w:t xml:space="preserve">Source: </w:t>
      </w:r>
      <w:r w:rsidRPr="00EA288B">
        <w:rPr>
          <w:color w:val="auto"/>
        </w:rPr>
        <w:tab/>
        <w:t>Treasury.</w:t>
      </w:r>
      <w:r w:rsidRPr="00EA288B">
        <w:rPr>
          <w:color w:val="auto"/>
          <w:lang w:eastAsia="en-US"/>
        </w:rPr>
        <w:t xml:space="preserve"> </w:t>
      </w:r>
    </w:p>
    <w:p w14:paraId="0B923DDF" w14:textId="77777777" w:rsidR="00D01E96" w:rsidRPr="00EA288B" w:rsidRDefault="00D01E96" w:rsidP="00FF3EF8">
      <w:pPr>
        <w:pStyle w:val="ChartLine"/>
        <w:rPr>
          <w:lang w:eastAsia="en-US"/>
        </w:rPr>
      </w:pPr>
    </w:p>
    <w:p w14:paraId="045C3941" w14:textId="7B57DF30" w:rsidR="00D01E96" w:rsidRPr="004E1159" w:rsidRDefault="00D01E96" w:rsidP="00D01E96">
      <w:pPr>
        <w:rPr>
          <w:lang w:eastAsia="en-US"/>
        </w:rPr>
      </w:pPr>
      <w:r w:rsidRPr="004E1159">
        <w:rPr>
          <w:lang w:eastAsia="en-US"/>
        </w:rPr>
        <w:t>Net worth is estimated to be –</w:t>
      </w:r>
      <w:r w:rsidR="003A2E1D" w:rsidRPr="004E1159">
        <w:rPr>
          <w:lang w:eastAsia="en-US"/>
        </w:rPr>
        <w:t>21.7</w:t>
      </w:r>
      <w:r w:rsidR="00F634C3" w:rsidRPr="004E1159">
        <w:rPr>
          <w:lang w:eastAsia="en-US"/>
        </w:rPr>
        <w:t> per </w:t>
      </w:r>
      <w:r w:rsidRPr="004E1159">
        <w:rPr>
          <w:lang w:eastAsia="en-US"/>
        </w:rPr>
        <w:t>cent of GDP (</w:t>
      </w:r>
      <w:r w:rsidR="00836680" w:rsidRPr="004E1159">
        <w:rPr>
          <w:lang w:eastAsia="en-US"/>
        </w:rPr>
        <w:t>–</w:t>
      </w:r>
      <w:r w:rsidRPr="004E1159">
        <w:rPr>
          <w:lang w:eastAsia="en-US"/>
        </w:rPr>
        <w:t>$</w:t>
      </w:r>
      <w:r w:rsidR="001350A7" w:rsidRPr="004E1159">
        <w:rPr>
          <w:lang w:eastAsia="en-US"/>
        </w:rPr>
        <w:t>559.1</w:t>
      </w:r>
      <w:r w:rsidR="00F634C3" w:rsidRPr="004E1159">
        <w:rPr>
          <w:lang w:eastAsia="en-US"/>
        </w:rPr>
        <w:t> billion</w:t>
      </w:r>
      <w:r w:rsidRPr="004E1159">
        <w:rPr>
          <w:lang w:eastAsia="en-US"/>
        </w:rPr>
        <w:t xml:space="preserve">) </w:t>
      </w:r>
      <w:r w:rsidR="00513593" w:rsidRPr="004E1159">
        <w:rPr>
          <w:lang w:eastAsia="en-US"/>
        </w:rPr>
        <w:t>in 2023</w:t>
      </w:r>
      <w:r w:rsidR="00235899" w:rsidRPr="004E1159">
        <w:rPr>
          <w:lang w:eastAsia="en-US"/>
        </w:rPr>
        <w:t>–</w:t>
      </w:r>
      <w:r w:rsidR="00513593" w:rsidRPr="004E1159">
        <w:rPr>
          <w:lang w:eastAsia="en-US"/>
        </w:rPr>
        <w:t>24</w:t>
      </w:r>
      <w:r w:rsidRPr="004E1159">
        <w:rPr>
          <w:lang w:eastAsia="en-US"/>
        </w:rPr>
        <w:t xml:space="preserve"> </w:t>
      </w:r>
      <w:r w:rsidRPr="004E1159">
        <w:t>(</w:t>
      </w:r>
      <w:r w:rsidR="00E21765" w:rsidRPr="004E1159">
        <w:t>Table </w:t>
      </w:r>
      <w:r w:rsidRPr="004E1159">
        <w:t>3.</w:t>
      </w:r>
      <w:r w:rsidR="00033AF3" w:rsidRPr="004E1159">
        <w:t>5</w:t>
      </w:r>
      <w:r w:rsidRPr="004E1159">
        <w:t>)</w:t>
      </w:r>
      <w:r w:rsidRPr="004E1159">
        <w:rPr>
          <w:lang w:eastAsia="en-US"/>
        </w:rPr>
        <w:t xml:space="preserve">, </w:t>
      </w:r>
      <w:r w:rsidRPr="004E1159">
        <w:t>compared</w:t>
      </w:r>
      <w:r w:rsidRPr="004E1159">
        <w:rPr>
          <w:lang w:eastAsia="en-US"/>
        </w:rPr>
        <w:t xml:space="preserve"> with the estimate of –</w:t>
      </w:r>
      <w:r w:rsidR="000A2B9F" w:rsidRPr="004E1159">
        <w:rPr>
          <w:lang w:eastAsia="en-US"/>
        </w:rPr>
        <w:t>24.4</w:t>
      </w:r>
      <w:r w:rsidR="00F634C3" w:rsidRPr="004E1159">
        <w:rPr>
          <w:lang w:eastAsia="en-US"/>
        </w:rPr>
        <w:t> per </w:t>
      </w:r>
      <w:r w:rsidRPr="004E1159">
        <w:rPr>
          <w:lang w:eastAsia="en-US"/>
        </w:rPr>
        <w:t xml:space="preserve">cent of GDP </w:t>
      </w:r>
      <w:r w:rsidR="00836680" w:rsidRPr="004E1159">
        <w:rPr>
          <w:lang w:eastAsia="en-US"/>
        </w:rPr>
        <w:t>(–$</w:t>
      </w:r>
      <w:r w:rsidR="000A2B9F" w:rsidRPr="004E1159">
        <w:rPr>
          <w:lang w:eastAsia="en-US"/>
        </w:rPr>
        <w:t>600.6</w:t>
      </w:r>
      <w:r w:rsidR="00F634C3" w:rsidRPr="004E1159">
        <w:rPr>
          <w:lang w:eastAsia="en-US"/>
        </w:rPr>
        <w:t> billion</w:t>
      </w:r>
      <w:r w:rsidRPr="004E1159">
        <w:rPr>
          <w:lang w:eastAsia="en-US"/>
        </w:rPr>
        <w:t xml:space="preserve">) at </w:t>
      </w:r>
      <w:r w:rsidR="00B6341F" w:rsidRPr="004E1159">
        <w:rPr>
          <w:lang w:eastAsia="en-US"/>
        </w:rPr>
        <w:t xml:space="preserve">the </w:t>
      </w:r>
      <w:r w:rsidR="00F634C3" w:rsidRPr="004E1159">
        <w:rPr>
          <w:lang w:eastAsia="en-US"/>
        </w:rPr>
        <w:t>October</w:t>
      </w:r>
      <w:r w:rsidR="00834C36" w:rsidRPr="004E1159">
        <w:rPr>
          <w:lang w:eastAsia="en-US"/>
        </w:rPr>
        <w:t xml:space="preserve"> </w:t>
      </w:r>
      <w:r w:rsidR="00F634C3" w:rsidRPr="004E1159">
        <w:rPr>
          <w:lang w:eastAsia="en-US"/>
        </w:rPr>
        <w:t>Budget</w:t>
      </w:r>
      <w:r w:rsidRPr="004E1159">
        <w:rPr>
          <w:lang w:eastAsia="en-US"/>
        </w:rPr>
        <w:t xml:space="preserve">. Net worth is projected to </w:t>
      </w:r>
      <w:r w:rsidR="001E51A6" w:rsidRPr="004E1159">
        <w:rPr>
          <w:lang w:eastAsia="en-US"/>
        </w:rPr>
        <w:t>deteriorate to</w:t>
      </w:r>
      <w:r w:rsidRPr="004E1159">
        <w:rPr>
          <w:lang w:eastAsia="en-US"/>
        </w:rPr>
        <w:t xml:space="preserve"> </w:t>
      </w:r>
      <w:r w:rsidR="00204BA2" w:rsidRPr="004E1159">
        <w:rPr>
          <w:lang w:eastAsia="en-US"/>
        </w:rPr>
        <w:t>–</w:t>
      </w:r>
      <w:r w:rsidR="001F011F" w:rsidRPr="004E1159">
        <w:rPr>
          <w:lang w:eastAsia="en-US"/>
        </w:rPr>
        <w:t>23.0</w:t>
      </w:r>
      <w:r w:rsidR="00F634C3" w:rsidRPr="004E1159">
        <w:rPr>
          <w:lang w:eastAsia="en-US"/>
        </w:rPr>
        <w:t> per </w:t>
      </w:r>
      <w:r w:rsidRPr="004E1159">
        <w:rPr>
          <w:lang w:eastAsia="en-US"/>
        </w:rPr>
        <w:t xml:space="preserve">cent of GDP by </w:t>
      </w:r>
      <w:r w:rsidR="00513593" w:rsidRPr="004E1159">
        <w:rPr>
          <w:lang w:eastAsia="en-US"/>
        </w:rPr>
        <w:t>in 2025</w:t>
      </w:r>
      <w:r w:rsidR="00235899" w:rsidRPr="004E1159">
        <w:rPr>
          <w:lang w:eastAsia="en-US"/>
        </w:rPr>
        <w:t>–</w:t>
      </w:r>
      <w:r w:rsidR="00513593" w:rsidRPr="004E1159">
        <w:rPr>
          <w:lang w:eastAsia="en-US"/>
        </w:rPr>
        <w:t>26</w:t>
      </w:r>
      <w:r w:rsidR="00F2221D" w:rsidRPr="004E1159">
        <w:rPr>
          <w:lang w:eastAsia="en-US"/>
        </w:rPr>
        <w:t xml:space="preserve"> before improving over the medium term</w:t>
      </w:r>
      <w:r w:rsidRPr="004E1159">
        <w:rPr>
          <w:lang w:eastAsia="en-US"/>
        </w:rPr>
        <w:t>.</w:t>
      </w:r>
    </w:p>
    <w:p w14:paraId="610D30A7" w14:textId="3609C937" w:rsidR="00D01E96" w:rsidRPr="00EA288B" w:rsidRDefault="00D01E96" w:rsidP="00D01E96">
      <w:r w:rsidRPr="004E1159">
        <w:t xml:space="preserve">The improvement in net worth and net financial worth over the forward estimates </w:t>
      </w:r>
      <w:r w:rsidR="00252224" w:rsidRPr="004E1159">
        <w:t xml:space="preserve">largely </w:t>
      </w:r>
      <w:r w:rsidRPr="004E1159">
        <w:t>reflect</w:t>
      </w:r>
      <w:r w:rsidR="00082FAD" w:rsidRPr="004E1159">
        <w:t>s</w:t>
      </w:r>
      <w:r w:rsidRPr="004E1159">
        <w:t xml:space="preserve"> </w:t>
      </w:r>
      <w:r w:rsidR="00252224" w:rsidRPr="004E1159">
        <w:t>the Government</w:t>
      </w:r>
      <w:r w:rsidR="00594653" w:rsidRPr="004E1159">
        <w:t>’</w:t>
      </w:r>
      <w:r w:rsidR="00252224" w:rsidRPr="004E1159">
        <w:t>s decreased borrowing requirement resulting from improvements in the underlying cash balance, partly offset by an increase in the market value of existing debt</w:t>
      </w:r>
      <w:r w:rsidR="002828D6" w:rsidRPr="004E1159">
        <w:t>.</w:t>
      </w:r>
      <w:r w:rsidRPr="0013535E">
        <w:t xml:space="preserve"> </w:t>
      </w:r>
    </w:p>
    <w:p w14:paraId="7D65DAEA" w14:textId="77777777" w:rsidR="0083302A" w:rsidRPr="003A2B54" w:rsidRDefault="0083302A" w:rsidP="003A2B54">
      <w:r>
        <w:br w:type="page"/>
      </w:r>
    </w:p>
    <w:p w14:paraId="179D7983" w14:textId="0C2E78EA" w:rsidR="00F3791E" w:rsidRPr="004E1159" w:rsidRDefault="00E21765" w:rsidP="00F3791E">
      <w:pPr>
        <w:pStyle w:val="TableHeading"/>
        <w:rPr>
          <w:rFonts w:asciiTheme="minorHAnsi" w:eastAsiaTheme="minorHAnsi" w:hAnsiTheme="minorHAnsi" w:cstheme="minorBidi"/>
          <w:b w:val="0"/>
          <w:sz w:val="22"/>
          <w:szCs w:val="22"/>
          <w:lang w:eastAsia="en-US"/>
        </w:rPr>
      </w:pPr>
      <w:r w:rsidRPr="004E1159">
        <w:lastRenderedPageBreak/>
        <w:t>Table </w:t>
      </w:r>
      <w:r w:rsidR="00D01E96" w:rsidRPr="004E1159">
        <w:t>3.</w:t>
      </w:r>
      <w:r w:rsidR="00C00330" w:rsidRPr="004E1159">
        <w:t>5</w:t>
      </w:r>
      <w:r w:rsidR="00D01E96" w:rsidRPr="004E1159">
        <w:t>: Australian Government general government sector balance sheet aggregates</w:t>
      </w:r>
    </w:p>
    <w:tbl>
      <w:tblPr>
        <w:tblW w:w="5000" w:type="pct"/>
        <w:tblCellMar>
          <w:left w:w="0" w:type="dxa"/>
          <w:right w:w="28" w:type="dxa"/>
        </w:tblCellMar>
        <w:tblLook w:val="04A0" w:firstRow="1" w:lastRow="0" w:firstColumn="1" w:lastColumn="0" w:noHBand="0" w:noVBand="1"/>
      </w:tblPr>
      <w:tblGrid>
        <w:gridCol w:w="2597"/>
        <w:gridCol w:w="843"/>
        <w:gridCol w:w="116"/>
        <w:gridCol w:w="831"/>
        <w:gridCol w:w="831"/>
        <w:gridCol w:w="831"/>
        <w:gridCol w:w="831"/>
        <w:gridCol w:w="830"/>
      </w:tblGrid>
      <w:tr w:rsidR="00864963" w:rsidRPr="00864963" w14:paraId="5D3A6F7F" w14:textId="77777777" w:rsidTr="00F3791E">
        <w:trPr>
          <w:trHeight w:val="225"/>
        </w:trPr>
        <w:tc>
          <w:tcPr>
            <w:tcW w:w="1684" w:type="pct"/>
            <w:tcBorders>
              <w:top w:val="single" w:sz="4" w:space="0" w:color="000000"/>
              <w:left w:val="nil"/>
              <w:bottom w:val="nil"/>
              <w:right w:val="nil"/>
            </w:tcBorders>
            <w:shd w:val="clear" w:color="000000" w:fill="FFFFFF"/>
            <w:noWrap/>
            <w:vAlign w:val="center"/>
            <w:hideMark/>
          </w:tcPr>
          <w:p w14:paraId="21DE4569" w14:textId="5911B6C5"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547" w:type="pct"/>
            <w:tcBorders>
              <w:top w:val="single" w:sz="4" w:space="0" w:color="000000"/>
              <w:left w:val="nil"/>
              <w:bottom w:val="single" w:sz="4" w:space="0" w:color="000000"/>
              <w:right w:val="nil"/>
            </w:tcBorders>
            <w:shd w:val="clear" w:color="000000" w:fill="FFFFFF"/>
            <w:noWrap/>
            <w:vAlign w:val="center"/>
            <w:hideMark/>
          </w:tcPr>
          <w:p w14:paraId="67199B84" w14:textId="77777777" w:rsidR="00F3791E" w:rsidRPr="00864963" w:rsidRDefault="00F3791E" w:rsidP="00F3791E">
            <w:pPr>
              <w:spacing w:before="0" w:after="0" w:line="240" w:lineRule="auto"/>
              <w:jc w:val="center"/>
              <w:rPr>
                <w:rFonts w:ascii="Arial" w:hAnsi="Arial" w:cs="Arial"/>
                <w:sz w:val="16"/>
                <w:szCs w:val="16"/>
                <w:highlight w:val="darkCyan"/>
              </w:rPr>
            </w:pPr>
            <w:r w:rsidRPr="00864963">
              <w:rPr>
                <w:rFonts w:ascii="Arial" w:hAnsi="Arial" w:cs="Arial"/>
                <w:sz w:val="16"/>
                <w:szCs w:val="16"/>
              </w:rPr>
              <w:t>Actual</w:t>
            </w:r>
          </w:p>
        </w:tc>
        <w:tc>
          <w:tcPr>
            <w:tcW w:w="75" w:type="pct"/>
            <w:tcBorders>
              <w:top w:val="single" w:sz="4" w:space="0" w:color="000000"/>
              <w:left w:val="nil"/>
              <w:bottom w:val="nil"/>
              <w:right w:val="nil"/>
            </w:tcBorders>
            <w:shd w:val="clear" w:color="000000" w:fill="FFFFFF"/>
            <w:noWrap/>
            <w:vAlign w:val="center"/>
            <w:hideMark/>
          </w:tcPr>
          <w:p w14:paraId="5C701701"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2695" w:type="pct"/>
            <w:gridSpan w:val="5"/>
            <w:tcBorders>
              <w:top w:val="single" w:sz="4" w:space="0" w:color="000000"/>
              <w:left w:val="nil"/>
              <w:bottom w:val="single" w:sz="4" w:space="0" w:color="000000"/>
              <w:right w:val="nil"/>
            </w:tcBorders>
            <w:shd w:val="clear" w:color="000000" w:fill="FFFFFF"/>
            <w:noWrap/>
            <w:vAlign w:val="center"/>
            <w:hideMark/>
          </w:tcPr>
          <w:p w14:paraId="532F6B76" w14:textId="77777777" w:rsidR="00F3791E" w:rsidRPr="00864963" w:rsidRDefault="00F3791E" w:rsidP="00F3791E">
            <w:pPr>
              <w:spacing w:before="0" w:after="0" w:line="240" w:lineRule="auto"/>
              <w:jc w:val="center"/>
              <w:rPr>
                <w:rFonts w:ascii="Arial" w:hAnsi="Arial" w:cs="Arial"/>
                <w:sz w:val="16"/>
                <w:szCs w:val="16"/>
              </w:rPr>
            </w:pPr>
            <w:r w:rsidRPr="00864963">
              <w:rPr>
                <w:rFonts w:ascii="Arial" w:hAnsi="Arial" w:cs="Arial"/>
                <w:sz w:val="16"/>
                <w:szCs w:val="16"/>
              </w:rPr>
              <w:t>Estimates</w:t>
            </w:r>
          </w:p>
        </w:tc>
      </w:tr>
      <w:tr w:rsidR="00864963" w:rsidRPr="00864963" w14:paraId="6A4EEB63" w14:textId="77777777" w:rsidTr="00F3791E">
        <w:trPr>
          <w:trHeight w:val="225"/>
        </w:trPr>
        <w:tc>
          <w:tcPr>
            <w:tcW w:w="1684" w:type="pct"/>
            <w:tcBorders>
              <w:top w:val="nil"/>
              <w:left w:val="nil"/>
              <w:bottom w:val="nil"/>
              <w:right w:val="nil"/>
            </w:tcBorders>
            <w:shd w:val="clear" w:color="000000" w:fill="FFFFFF"/>
            <w:noWrap/>
            <w:vAlign w:val="center"/>
            <w:hideMark/>
          </w:tcPr>
          <w:p w14:paraId="25D44EFA"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547" w:type="pct"/>
            <w:tcBorders>
              <w:top w:val="single" w:sz="4" w:space="0" w:color="293F5B"/>
              <w:left w:val="nil"/>
              <w:bottom w:val="nil"/>
              <w:right w:val="nil"/>
            </w:tcBorders>
            <w:shd w:val="clear" w:color="000000" w:fill="FFFFFF"/>
            <w:noWrap/>
            <w:vAlign w:val="center"/>
            <w:hideMark/>
          </w:tcPr>
          <w:p w14:paraId="5CE69F9D"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2021–22</w:t>
            </w:r>
          </w:p>
        </w:tc>
        <w:tc>
          <w:tcPr>
            <w:tcW w:w="75" w:type="pct"/>
            <w:tcBorders>
              <w:top w:val="nil"/>
              <w:left w:val="nil"/>
              <w:bottom w:val="nil"/>
              <w:right w:val="nil"/>
            </w:tcBorders>
            <w:shd w:val="clear" w:color="000000" w:fill="FFFFFF"/>
            <w:noWrap/>
            <w:vAlign w:val="center"/>
            <w:hideMark/>
          </w:tcPr>
          <w:p w14:paraId="16863F3A"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single" w:sz="4" w:space="0" w:color="293F5B"/>
              <w:left w:val="nil"/>
              <w:bottom w:val="nil"/>
              <w:right w:val="nil"/>
            </w:tcBorders>
            <w:shd w:val="clear" w:color="000000" w:fill="FFFFFF"/>
            <w:noWrap/>
            <w:vAlign w:val="center"/>
            <w:hideMark/>
          </w:tcPr>
          <w:p w14:paraId="37344AD8"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2022–23</w:t>
            </w:r>
          </w:p>
        </w:tc>
        <w:tc>
          <w:tcPr>
            <w:tcW w:w="539" w:type="pct"/>
            <w:tcBorders>
              <w:top w:val="single" w:sz="4" w:space="0" w:color="293F5B"/>
              <w:left w:val="nil"/>
              <w:bottom w:val="nil"/>
              <w:right w:val="nil"/>
            </w:tcBorders>
            <w:shd w:val="clear" w:color="000000" w:fill="E6F2FF"/>
            <w:noWrap/>
            <w:vAlign w:val="center"/>
            <w:hideMark/>
          </w:tcPr>
          <w:p w14:paraId="6C2811D7"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2023–24</w:t>
            </w:r>
          </w:p>
        </w:tc>
        <w:tc>
          <w:tcPr>
            <w:tcW w:w="539" w:type="pct"/>
            <w:tcBorders>
              <w:top w:val="single" w:sz="4" w:space="0" w:color="293F5B"/>
              <w:left w:val="nil"/>
              <w:bottom w:val="nil"/>
              <w:right w:val="nil"/>
            </w:tcBorders>
            <w:shd w:val="clear" w:color="000000" w:fill="FFFFFF"/>
            <w:noWrap/>
            <w:vAlign w:val="center"/>
            <w:hideMark/>
          </w:tcPr>
          <w:p w14:paraId="584148FC"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2024–25</w:t>
            </w:r>
          </w:p>
        </w:tc>
        <w:tc>
          <w:tcPr>
            <w:tcW w:w="539" w:type="pct"/>
            <w:tcBorders>
              <w:top w:val="single" w:sz="4" w:space="0" w:color="293F5B"/>
              <w:left w:val="nil"/>
              <w:bottom w:val="nil"/>
              <w:right w:val="nil"/>
            </w:tcBorders>
            <w:shd w:val="clear" w:color="000000" w:fill="FFFFFF"/>
            <w:noWrap/>
            <w:vAlign w:val="center"/>
            <w:hideMark/>
          </w:tcPr>
          <w:p w14:paraId="5B99CA54"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2025–26</w:t>
            </w:r>
          </w:p>
        </w:tc>
        <w:tc>
          <w:tcPr>
            <w:tcW w:w="539" w:type="pct"/>
            <w:tcBorders>
              <w:top w:val="single" w:sz="4" w:space="0" w:color="293F5B"/>
              <w:left w:val="nil"/>
              <w:bottom w:val="nil"/>
              <w:right w:val="nil"/>
            </w:tcBorders>
            <w:shd w:val="clear" w:color="000000" w:fill="FFFFFF"/>
            <w:noWrap/>
            <w:vAlign w:val="center"/>
            <w:hideMark/>
          </w:tcPr>
          <w:p w14:paraId="35F3F01A" w14:textId="77777777" w:rsidR="00F3791E" w:rsidRPr="00864963" w:rsidRDefault="00F3791E" w:rsidP="00F3791E">
            <w:pPr>
              <w:spacing w:before="0" w:after="0" w:line="240" w:lineRule="auto"/>
              <w:jc w:val="right"/>
              <w:rPr>
                <w:rFonts w:ascii="Arial" w:hAnsi="Arial" w:cs="Arial"/>
                <w:sz w:val="16"/>
                <w:szCs w:val="16"/>
              </w:rPr>
            </w:pPr>
            <w:r w:rsidRPr="00864963">
              <w:rPr>
                <w:rFonts w:ascii="Arial" w:hAnsi="Arial" w:cs="Arial"/>
                <w:sz w:val="16"/>
                <w:szCs w:val="16"/>
              </w:rPr>
              <w:t>2026–27</w:t>
            </w:r>
          </w:p>
        </w:tc>
      </w:tr>
      <w:tr w:rsidR="00864963" w:rsidRPr="00864963" w14:paraId="270EBAC1" w14:textId="77777777" w:rsidTr="00F3791E">
        <w:trPr>
          <w:trHeight w:val="225"/>
        </w:trPr>
        <w:tc>
          <w:tcPr>
            <w:tcW w:w="1684" w:type="pct"/>
            <w:tcBorders>
              <w:top w:val="nil"/>
              <w:left w:val="nil"/>
              <w:bottom w:val="nil"/>
              <w:right w:val="nil"/>
            </w:tcBorders>
            <w:shd w:val="clear" w:color="000000" w:fill="FFFFFF"/>
            <w:noWrap/>
            <w:vAlign w:val="center"/>
            <w:hideMark/>
          </w:tcPr>
          <w:p w14:paraId="70A91BEA"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547" w:type="pct"/>
            <w:tcBorders>
              <w:top w:val="nil"/>
              <w:left w:val="nil"/>
              <w:bottom w:val="single" w:sz="4" w:space="0" w:color="293F5B"/>
              <w:right w:val="nil"/>
            </w:tcBorders>
            <w:shd w:val="clear" w:color="000000" w:fill="FFFFFF"/>
            <w:noWrap/>
            <w:vAlign w:val="center"/>
            <w:hideMark/>
          </w:tcPr>
          <w:p w14:paraId="22A0CFE1"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$b</w:t>
            </w:r>
          </w:p>
        </w:tc>
        <w:tc>
          <w:tcPr>
            <w:tcW w:w="75" w:type="pct"/>
            <w:tcBorders>
              <w:top w:val="nil"/>
              <w:left w:val="nil"/>
              <w:bottom w:val="nil"/>
              <w:right w:val="nil"/>
            </w:tcBorders>
            <w:shd w:val="clear" w:color="000000" w:fill="FFFFFF"/>
            <w:noWrap/>
            <w:vAlign w:val="center"/>
            <w:hideMark/>
          </w:tcPr>
          <w:p w14:paraId="0E53A58F"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single" w:sz="4" w:space="0" w:color="293F5B"/>
              <w:right w:val="nil"/>
            </w:tcBorders>
            <w:shd w:val="clear" w:color="000000" w:fill="FFFFFF"/>
            <w:noWrap/>
            <w:vAlign w:val="center"/>
            <w:hideMark/>
          </w:tcPr>
          <w:p w14:paraId="3A0328FB"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$b</w:t>
            </w:r>
          </w:p>
        </w:tc>
        <w:tc>
          <w:tcPr>
            <w:tcW w:w="539" w:type="pct"/>
            <w:tcBorders>
              <w:top w:val="nil"/>
              <w:left w:val="nil"/>
              <w:bottom w:val="single" w:sz="4" w:space="0" w:color="293F5B"/>
              <w:right w:val="nil"/>
            </w:tcBorders>
            <w:shd w:val="clear" w:color="000000" w:fill="E6F2FF"/>
            <w:noWrap/>
            <w:vAlign w:val="center"/>
            <w:hideMark/>
          </w:tcPr>
          <w:p w14:paraId="2647EA58"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$b</w:t>
            </w:r>
          </w:p>
        </w:tc>
        <w:tc>
          <w:tcPr>
            <w:tcW w:w="539" w:type="pct"/>
            <w:tcBorders>
              <w:top w:val="nil"/>
              <w:left w:val="nil"/>
              <w:bottom w:val="single" w:sz="4" w:space="0" w:color="293F5B"/>
              <w:right w:val="nil"/>
            </w:tcBorders>
            <w:shd w:val="clear" w:color="000000" w:fill="FFFFFF"/>
            <w:noWrap/>
            <w:vAlign w:val="center"/>
            <w:hideMark/>
          </w:tcPr>
          <w:p w14:paraId="2FF5FE8C"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$b</w:t>
            </w:r>
          </w:p>
        </w:tc>
        <w:tc>
          <w:tcPr>
            <w:tcW w:w="539" w:type="pct"/>
            <w:tcBorders>
              <w:top w:val="nil"/>
              <w:left w:val="nil"/>
              <w:bottom w:val="single" w:sz="4" w:space="0" w:color="293F5B"/>
              <w:right w:val="nil"/>
            </w:tcBorders>
            <w:shd w:val="clear" w:color="000000" w:fill="FFFFFF"/>
            <w:noWrap/>
            <w:vAlign w:val="center"/>
            <w:hideMark/>
          </w:tcPr>
          <w:p w14:paraId="0B330CC4"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$b</w:t>
            </w:r>
          </w:p>
        </w:tc>
        <w:tc>
          <w:tcPr>
            <w:tcW w:w="539" w:type="pct"/>
            <w:tcBorders>
              <w:top w:val="nil"/>
              <w:left w:val="nil"/>
              <w:bottom w:val="single" w:sz="4" w:space="0" w:color="293F5B"/>
              <w:right w:val="nil"/>
            </w:tcBorders>
            <w:shd w:val="clear" w:color="000000" w:fill="FFFFFF"/>
            <w:noWrap/>
            <w:vAlign w:val="center"/>
            <w:hideMark/>
          </w:tcPr>
          <w:p w14:paraId="407D6EC1" w14:textId="77777777" w:rsidR="00F3791E" w:rsidRPr="00864963" w:rsidRDefault="00F3791E" w:rsidP="00F3791E">
            <w:pPr>
              <w:spacing w:before="0" w:after="0" w:line="240" w:lineRule="auto"/>
              <w:jc w:val="right"/>
              <w:rPr>
                <w:rFonts w:ascii="Arial" w:hAnsi="Arial" w:cs="Arial"/>
                <w:sz w:val="16"/>
                <w:szCs w:val="16"/>
              </w:rPr>
            </w:pPr>
            <w:r w:rsidRPr="00864963">
              <w:rPr>
                <w:rFonts w:ascii="Arial" w:hAnsi="Arial" w:cs="Arial"/>
                <w:sz w:val="16"/>
                <w:szCs w:val="16"/>
              </w:rPr>
              <w:t>$b</w:t>
            </w:r>
          </w:p>
        </w:tc>
      </w:tr>
      <w:tr w:rsidR="00864963" w:rsidRPr="00864963" w14:paraId="5269A029" w14:textId="77777777" w:rsidTr="00F3791E">
        <w:trPr>
          <w:trHeight w:val="225"/>
        </w:trPr>
        <w:tc>
          <w:tcPr>
            <w:tcW w:w="1684" w:type="pct"/>
            <w:tcBorders>
              <w:top w:val="nil"/>
              <w:left w:val="nil"/>
              <w:bottom w:val="nil"/>
              <w:right w:val="nil"/>
            </w:tcBorders>
            <w:shd w:val="clear" w:color="000000" w:fill="FFFFFF"/>
            <w:noWrap/>
            <w:vAlign w:val="center"/>
            <w:hideMark/>
          </w:tcPr>
          <w:p w14:paraId="7B1F5361" w14:textId="77777777" w:rsidR="00F3791E" w:rsidRPr="00864963" w:rsidRDefault="00F3791E" w:rsidP="00F3791E">
            <w:pPr>
              <w:spacing w:before="0" w:after="0" w:line="240" w:lineRule="auto"/>
              <w:rPr>
                <w:rFonts w:ascii="Arial" w:hAnsi="Arial" w:cs="Arial"/>
                <w:b/>
                <w:bCs/>
                <w:sz w:val="16"/>
                <w:szCs w:val="16"/>
                <w:highlight w:val="darkCyan"/>
              </w:rPr>
            </w:pPr>
            <w:r w:rsidRPr="00864963">
              <w:rPr>
                <w:rFonts w:ascii="Arial" w:hAnsi="Arial" w:cs="Arial"/>
                <w:b/>
                <w:bCs/>
                <w:sz w:val="16"/>
                <w:szCs w:val="16"/>
              </w:rPr>
              <w:t>Financial assets</w:t>
            </w:r>
          </w:p>
        </w:tc>
        <w:tc>
          <w:tcPr>
            <w:tcW w:w="547" w:type="pct"/>
            <w:tcBorders>
              <w:top w:val="nil"/>
              <w:left w:val="nil"/>
              <w:bottom w:val="nil"/>
              <w:right w:val="nil"/>
            </w:tcBorders>
            <w:shd w:val="clear" w:color="000000" w:fill="FFFFFF"/>
            <w:noWrap/>
            <w:vAlign w:val="center"/>
            <w:hideMark/>
          </w:tcPr>
          <w:p w14:paraId="7BCEA533"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569.7</w:t>
            </w:r>
          </w:p>
        </w:tc>
        <w:tc>
          <w:tcPr>
            <w:tcW w:w="75" w:type="pct"/>
            <w:tcBorders>
              <w:top w:val="nil"/>
              <w:left w:val="nil"/>
              <w:bottom w:val="nil"/>
              <w:right w:val="nil"/>
            </w:tcBorders>
            <w:shd w:val="clear" w:color="000000" w:fill="FFFFFF"/>
            <w:noWrap/>
            <w:vAlign w:val="center"/>
            <w:hideMark/>
          </w:tcPr>
          <w:p w14:paraId="41A48432"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5F7056F1"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559.9</w:t>
            </w:r>
          </w:p>
        </w:tc>
        <w:tc>
          <w:tcPr>
            <w:tcW w:w="539" w:type="pct"/>
            <w:tcBorders>
              <w:top w:val="nil"/>
              <w:left w:val="nil"/>
              <w:bottom w:val="nil"/>
              <w:right w:val="nil"/>
            </w:tcBorders>
            <w:shd w:val="clear" w:color="000000" w:fill="E6F2FF"/>
            <w:noWrap/>
            <w:vAlign w:val="center"/>
            <w:hideMark/>
          </w:tcPr>
          <w:p w14:paraId="73C44127"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590.7</w:t>
            </w:r>
          </w:p>
        </w:tc>
        <w:tc>
          <w:tcPr>
            <w:tcW w:w="539" w:type="pct"/>
            <w:tcBorders>
              <w:top w:val="nil"/>
              <w:left w:val="nil"/>
              <w:bottom w:val="nil"/>
              <w:right w:val="nil"/>
            </w:tcBorders>
            <w:shd w:val="clear" w:color="000000" w:fill="FFFFFF"/>
            <w:noWrap/>
            <w:vAlign w:val="center"/>
            <w:hideMark/>
          </w:tcPr>
          <w:p w14:paraId="4B045AB2"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595.5</w:t>
            </w:r>
          </w:p>
        </w:tc>
        <w:tc>
          <w:tcPr>
            <w:tcW w:w="539" w:type="pct"/>
            <w:tcBorders>
              <w:top w:val="nil"/>
              <w:left w:val="nil"/>
              <w:bottom w:val="nil"/>
              <w:right w:val="nil"/>
            </w:tcBorders>
            <w:shd w:val="clear" w:color="000000" w:fill="FFFFFF"/>
            <w:noWrap/>
            <w:vAlign w:val="center"/>
            <w:hideMark/>
          </w:tcPr>
          <w:p w14:paraId="01183D4D"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621.5</w:t>
            </w:r>
          </w:p>
        </w:tc>
        <w:tc>
          <w:tcPr>
            <w:tcW w:w="539" w:type="pct"/>
            <w:tcBorders>
              <w:top w:val="nil"/>
              <w:left w:val="nil"/>
              <w:bottom w:val="nil"/>
              <w:right w:val="nil"/>
            </w:tcBorders>
            <w:shd w:val="clear" w:color="000000" w:fill="FFFFFF"/>
            <w:noWrap/>
            <w:vAlign w:val="center"/>
            <w:hideMark/>
          </w:tcPr>
          <w:p w14:paraId="19F47643" w14:textId="77777777" w:rsidR="00F3791E" w:rsidRPr="00864963" w:rsidRDefault="00F3791E" w:rsidP="00F3791E">
            <w:pPr>
              <w:spacing w:before="0" w:after="0" w:line="240" w:lineRule="auto"/>
              <w:jc w:val="right"/>
              <w:rPr>
                <w:rFonts w:ascii="Arial" w:hAnsi="Arial" w:cs="Arial"/>
                <w:b/>
                <w:bCs/>
                <w:sz w:val="16"/>
                <w:szCs w:val="16"/>
              </w:rPr>
            </w:pPr>
            <w:r w:rsidRPr="00864963">
              <w:rPr>
                <w:rFonts w:ascii="Arial" w:hAnsi="Arial" w:cs="Arial"/>
                <w:b/>
                <w:bCs/>
                <w:sz w:val="16"/>
                <w:szCs w:val="16"/>
              </w:rPr>
              <w:t>651.1</w:t>
            </w:r>
          </w:p>
        </w:tc>
      </w:tr>
      <w:tr w:rsidR="00864963" w:rsidRPr="00864963" w14:paraId="0DE6C8CF" w14:textId="77777777" w:rsidTr="00F3791E">
        <w:trPr>
          <w:trHeight w:val="225"/>
        </w:trPr>
        <w:tc>
          <w:tcPr>
            <w:tcW w:w="1684" w:type="pct"/>
            <w:tcBorders>
              <w:top w:val="nil"/>
              <w:left w:val="nil"/>
              <w:bottom w:val="nil"/>
              <w:right w:val="nil"/>
            </w:tcBorders>
            <w:shd w:val="clear" w:color="000000" w:fill="FFFFFF"/>
            <w:noWrap/>
            <w:vAlign w:val="center"/>
            <w:hideMark/>
          </w:tcPr>
          <w:p w14:paraId="39323699"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Per cent of GDP</w:t>
            </w:r>
          </w:p>
        </w:tc>
        <w:tc>
          <w:tcPr>
            <w:tcW w:w="547" w:type="pct"/>
            <w:tcBorders>
              <w:top w:val="nil"/>
              <w:left w:val="nil"/>
              <w:bottom w:val="nil"/>
              <w:right w:val="nil"/>
            </w:tcBorders>
            <w:shd w:val="clear" w:color="000000" w:fill="FFFFFF"/>
            <w:noWrap/>
            <w:vAlign w:val="center"/>
            <w:hideMark/>
          </w:tcPr>
          <w:p w14:paraId="56656ABD"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24.7</w:t>
            </w:r>
          </w:p>
        </w:tc>
        <w:tc>
          <w:tcPr>
            <w:tcW w:w="75" w:type="pct"/>
            <w:tcBorders>
              <w:top w:val="nil"/>
              <w:left w:val="nil"/>
              <w:bottom w:val="nil"/>
              <w:right w:val="nil"/>
            </w:tcBorders>
            <w:shd w:val="clear" w:color="000000" w:fill="FFFFFF"/>
            <w:noWrap/>
            <w:vAlign w:val="center"/>
            <w:hideMark/>
          </w:tcPr>
          <w:p w14:paraId="0BBCC8BA"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646D48E8"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22.0</w:t>
            </w:r>
          </w:p>
        </w:tc>
        <w:tc>
          <w:tcPr>
            <w:tcW w:w="539" w:type="pct"/>
            <w:tcBorders>
              <w:top w:val="nil"/>
              <w:left w:val="nil"/>
              <w:bottom w:val="nil"/>
              <w:right w:val="nil"/>
            </w:tcBorders>
            <w:shd w:val="clear" w:color="000000" w:fill="E6F2FF"/>
            <w:noWrap/>
            <w:vAlign w:val="center"/>
            <w:hideMark/>
          </w:tcPr>
          <w:p w14:paraId="4F92D51B"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22.9</w:t>
            </w:r>
          </w:p>
        </w:tc>
        <w:tc>
          <w:tcPr>
            <w:tcW w:w="539" w:type="pct"/>
            <w:tcBorders>
              <w:top w:val="nil"/>
              <w:left w:val="nil"/>
              <w:bottom w:val="nil"/>
              <w:right w:val="nil"/>
            </w:tcBorders>
            <w:shd w:val="clear" w:color="000000" w:fill="FFFFFF"/>
            <w:noWrap/>
            <w:vAlign w:val="center"/>
            <w:hideMark/>
          </w:tcPr>
          <w:p w14:paraId="4F064B11"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22.6</w:t>
            </w:r>
          </w:p>
        </w:tc>
        <w:tc>
          <w:tcPr>
            <w:tcW w:w="539" w:type="pct"/>
            <w:tcBorders>
              <w:top w:val="nil"/>
              <w:left w:val="nil"/>
              <w:bottom w:val="nil"/>
              <w:right w:val="nil"/>
            </w:tcBorders>
            <w:shd w:val="clear" w:color="000000" w:fill="FFFFFF"/>
            <w:noWrap/>
            <w:vAlign w:val="center"/>
            <w:hideMark/>
          </w:tcPr>
          <w:p w14:paraId="3F7AB859"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22.4</w:t>
            </w:r>
          </w:p>
        </w:tc>
        <w:tc>
          <w:tcPr>
            <w:tcW w:w="539" w:type="pct"/>
            <w:tcBorders>
              <w:top w:val="nil"/>
              <w:left w:val="nil"/>
              <w:bottom w:val="nil"/>
              <w:right w:val="nil"/>
            </w:tcBorders>
            <w:shd w:val="clear" w:color="000000" w:fill="FFFFFF"/>
            <w:noWrap/>
            <w:vAlign w:val="center"/>
            <w:hideMark/>
          </w:tcPr>
          <w:p w14:paraId="61FEFAC2" w14:textId="77777777" w:rsidR="00F3791E" w:rsidRPr="00864963" w:rsidRDefault="00F3791E" w:rsidP="00F3791E">
            <w:pPr>
              <w:spacing w:before="0" w:after="0" w:line="240" w:lineRule="auto"/>
              <w:jc w:val="right"/>
              <w:rPr>
                <w:rFonts w:ascii="Arial" w:hAnsi="Arial" w:cs="Arial"/>
                <w:sz w:val="16"/>
                <w:szCs w:val="16"/>
              </w:rPr>
            </w:pPr>
            <w:r w:rsidRPr="00864963">
              <w:rPr>
                <w:rFonts w:ascii="Arial" w:hAnsi="Arial" w:cs="Arial"/>
                <w:sz w:val="16"/>
                <w:szCs w:val="16"/>
              </w:rPr>
              <w:t>22.3</w:t>
            </w:r>
          </w:p>
        </w:tc>
      </w:tr>
      <w:tr w:rsidR="00864963" w:rsidRPr="00864963" w14:paraId="0ED0CD31" w14:textId="77777777" w:rsidTr="00F3791E">
        <w:trPr>
          <w:trHeight w:val="60"/>
        </w:trPr>
        <w:tc>
          <w:tcPr>
            <w:tcW w:w="1684" w:type="pct"/>
            <w:tcBorders>
              <w:top w:val="nil"/>
              <w:left w:val="nil"/>
              <w:bottom w:val="nil"/>
              <w:right w:val="nil"/>
            </w:tcBorders>
            <w:shd w:val="clear" w:color="000000" w:fill="FFFFFF"/>
            <w:noWrap/>
            <w:vAlign w:val="center"/>
            <w:hideMark/>
          </w:tcPr>
          <w:p w14:paraId="69B268FD" w14:textId="77777777" w:rsidR="00F3791E" w:rsidRPr="00864963" w:rsidRDefault="00F3791E" w:rsidP="00F3791E">
            <w:pPr>
              <w:spacing w:before="0" w:after="0" w:line="240" w:lineRule="auto"/>
              <w:rPr>
                <w:rFonts w:ascii="Arial" w:hAnsi="Arial" w:cs="Arial"/>
                <w:b/>
                <w:bCs/>
                <w:sz w:val="16"/>
                <w:szCs w:val="16"/>
                <w:highlight w:val="darkCyan"/>
              </w:rPr>
            </w:pPr>
            <w:r w:rsidRPr="00864963">
              <w:rPr>
                <w:rFonts w:ascii="Arial" w:hAnsi="Arial" w:cs="Arial"/>
                <w:b/>
                <w:bCs/>
                <w:sz w:val="16"/>
                <w:szCs w:val="16"/>
              </w:rPr>
              <w:t> </w:t>
            </w:r>
          </w:p>
        </w:tc>
        <w:tc>
          <w:tcPr>
            <w:tcW w:w="547" w:type="pct"/>
            <w:tcBorders>
              <w:top w:val="nil"/>
              <w:left w:val="nil"/>
              <w:bottom w:val="nil"/>
              <w:right w:val="nil"/>
            </w:tcBorders>
            <w:shd w:val="clear" w:color="000000" w:fill="FFFFFF"/>
            <w:noWrap/>
            <w:vAlign w:val="center"/>
            <w:hideMark/>
          </w:tcPr>
          <w:p w14:paraId="7C72B029"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75" w:type="pct"/>
            <w:tcBorders>
              <w:top w:val="nil"/>
              <w:left w:val="nil"/>
              <w:bottom w:val="nil"/>
              <w:right w:val="nil"/>
            </w:tcBorders>
            <w:shd w:val="clear" w:color="000000" w:fill="FFFFFF"/>
            <w:noWrap/>
            <w:vAlign w:val="center"/>
            <w:hideMark/>
          </w:tcPr>
          <w:p w14:paraId="56DD1792"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7ADE0D7C"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E6F2FF"/>
            <w:noWrap/>
            <w:vAlign w:val="center"/>
            <w:hideMark/>
          </w:tcPr>
          <w:p w14:paraId="33B838E5"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3D6B83EE"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60B11A06"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05404CD9" w14:textId="77777777" w:rsidR="00F3791E" w:rsidRPr="00864963" w:rsidRDefault="00F3791E" w:rsidP="00F3791E">
            <w:pPr>
              <w:spacing w:before="0" w:after="0" w:line="240" w:lineRule="auto"/>
              <w:jc w:val="right"/>
              <w:rPr>
                <w:rFonts w:ascii="Arial" w:hAnsi="Arial" w:cs="Arial"/>
                <w:b/>
                <w:bCs/>
                <w:sz w:val="16"/>
                <w:szCs w:val="16"/>
              </w:rPr>
            </w:pPr>
            <w:r w:rsidRPr="00864963">
              <w:rPr>
                <w:rFonts w:ascii="Arial" w:hAnsi="Arial" w:cs="Arial"/>
                <w:b/>
                <w:bCs/>
                <w:sz w:val="16"/>
                <w:szCs w:val="16"/>
              </w:rPr>
              <w:t> </w:t>
            </w:r>
          </w:p>
        </w:tc>
      </w:tr>
      <w:tr w:rsidR="00864963" w:rsidRPr="00864963" w14:paraId="01628666" w14:textId="77777777" w:rsidTr="00F3791E">
        <w:trPr>
          <w:trHeight w:val="225"/>
        </w:trPr>
        <w:tc>
          <w:tcPr>
            <w:tcW w:w="1684" w:type="pct"/>
            <w:tcBorders>
              <w:top w:val="nil"/>
              <w:left w:val="nil"/>
              <w:bottom w:val="nil"/>
              <w:right w:val="nil"/>
            </w:tcBorders>
            <w:shd w:val="clear" w:color="000000" w:fill="FFFFFF"/>
            <w:noWrap/>
            <w:vAlign w:val="center"/>
            <w:hideMark/>
          </w:tcPr>
          <w:p w14:paraId="7B5C98A7" w14:textId="07D7F697" w:rsidR="00F3791E" w:rsidRPr="00864963" w:rsidRDefault="00F3791E" w:rsidP="00F3791E">
            <w:pPr>
              <w:spacing w:before="0" w:after="0" w:line="240" w:lineRule="auto"/>
              <w:rPr>
                <w:rFonts w:ascii="Arial" w:hAnsi="Arial" w:cs="Arial"/>
                <w:b/>
                <w:bCs/>
                <w:sz w:val="16"/>
                <w:szCs w:val="16"/>
                <w:highlight w:val="darkCyan"/>
              </w:rPr>
            </w:pPr>
            <w:r w:rsidRPr="00864963">
              <w:rPr>
                <w:rFonts w:ascii="Arial" w:hAnsi="Arial" w:cs="Arial"/>
                <w:b/>
                <w:bCs/>
                <w:sz w:val="16"/>
                <w:szCs w:val="16"/>
              </w:rPr>
              <w:t>Non</w:t>
            </w:r>
            <w:r w:rsidR="00594653" w:rsidRPr="00864963">
              <w:rPr>
                <w:rFonts w:ascii="Arial" w:hAnsi="Arial" w:cs="Arial"/>
                <w:b/>
                <w:bCs/>
                <w:sz w:val="16"/>
                <w:szCs w:val="16"/>
              </w:rPr>
              <w:noBreakHyphen/>
            </w:r>
            <w:r w:rsidRPr="00864963">
              <w:rPr>
                <w:rFonts w:ascii="Arial" w:hAnsi="Arial" w:cs="Arial"/>
                <w:b/>
                <w:bCs/>
                <w:sz w:val="16"/>
                <w:szCs w:val="16"/>
              </w:rPr>
              <w:t>financial assets</w:t>
            </w:r>
          </w:p>
        </w:tc>
        <w:tc>
          <w:tcPr>
            <w:tcW w:w="547" w:type="pct"/>
            <w:tcBorders>
              <w:top w:val="nil"/>
              <w:left w:val="nil"/>
              <w:bottom w:val="nil"/>
              <w:right w:val="nil"/>
            </w:tcBorders>
            <w:shd w:val="clear" w:color="000000" w:fill="FFFFFF"/>
            <w:noWrap/>
            <w:vAlign w:val="center"/>
            <w:hideMark/>
          </w:tcPr>
          <w:p w14:paraId="2A59464A"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194.0</w:t>
            </w:r>
          </w:p>
        </w:tc>
        <w:tc>
          <w:tcPr>
            <w:tcW w:w="75" w:type="pct"/>
            <w:tcBorders>
              <w:top w:val="nil"/>
              <w:left w:val="nil"/>
              <w:bottom w:val="nil"/>
              <w:right w:val="nil"/>
            </w:tcBorders>
            <w:shd w:val="clear" w:color="000000" w:fill="FFFFFF"/>
            <w:noWrap/>
            <w:vAlign w:val="center"/>
            <w:hideMark/>
          </w:tcPr>
          <w:p w14:paraId="3DEA5608"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61F33FE1"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203.9</w:t>
            </w:r>
          </w:p>
        </w:tc>
        <w:tc>
          <w:tcPr>
            <w:tcW w:w="539" w:type="pct"/>
            <w:tcBorders>
              <w:top w:val="nil"/>
              <w:left w:val="nil"/>
              <w:bottom w:val="nil"/>
              <w:right w:val="nil"/>
            </w:tcBorders>
            <w:shd w:val="clear" w:color="000000" w:fill="E6F2FF"/>
            <w:noWrap/>
            <w:vAlign w:val="center"/>
            <w:hideMark/>
          </w:tcPr>
          <w:p w14:paraId="4BE685CF"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213.5</w:t>
            </w:r>
          </w:p>
        </w:tc>
        <w:tc>
          <w:tcPr>
            <w:tcW w:w="539" w:type="pct"/>
            <w:tcBorders>
              <w:top w:val="nil"/>
              <w:left w:val="nil"/>
              <w:bottom w:val="nil"/>
              <w:right w:val="nil"/>
            </w:tcBorders>
            <w:shd w:val="clear" w:color="000000" w:fill="FFFFFF"/>
            <w:noWrap/>
            <w:vAlign w:val="center"/>
            <w:hideMark/>
          </w:tcPr>
          <w:p w14:paraId="65A845B1"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222.2</w:t>
            </w:r>
          </w:p>
        </w:tc>
        <w:tc>
          <w:tcPr>
            <w:tcW w:w="539" w:type="pct"/>
            <w:tcBorders>
              <w:top w:val="nil"/>
              <w:left w:val="nil"/>
              <w:bottom w:val="nil"/>
              <w:right w:val="nil"/>
            </w:tcBorders>
            <w:shd w:val="clear" w:color="000000" w:fill="FFFFFF"/>
            <w:noWrap/>
            <w:vAlign w:val="center"/>
            <w:hideMark/>
          </w:tcPr>
          <w:p w14:paraId="03867BEF"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226.9</w:t>
            </w:r>
          </w:p>
        </w:tc>
        <w:tc>
          <w:tcPr>
            <w:tcW w:w="539" w:type="pct"/>
            <w:tcBorders>
              <w:top w:val="nil"/>
              <w:left w:val="nil"/>
              <w:bottom w:val="nil"/>
              <w:right w:val="nil"/>
            </w:tcBorders>
            <w:shd w:val="clear" w:color="000000" w:fill="FFFFFF"/>
            <w:noWrap/>
            <w:vAlign w:val="center"/>
            <w:hideMark/>
          </w:tcPr>
          <w:p w14:paraId="594D3120" w14:textId="77777777" w:rsidR="00F3791E" w:rsidRPr="00864963" w:rsidRDefault="00F3791E" w:rsidP="00F3791E">
            <w:pPr>
              <w:spacing w:before="0" w:after="0" w:line="240" w:lineRule="auto"/>
              <w:jc w:val="right"/>
              <w:rPr>
                <w:rFonts w:ascii="Arial" w:hAnsi="Arial" w:cs="Arial"/>
                <w:b/>
                <w:bCs/>
                <w:sz w:val="16"/>
                <w:szCs w:val="16"/>
              </w:rPr>
            </w:pPr>
            <w:r w:rsidRPr="00864963">
              <w:rPr>
                <w:rFonts w:ascii="Arial" w:hAnsi="Arial" w:cs="Arial"/>
                <w:b/>
                <w:bCs/>
                <w:sz w:val="16"/>
                <w:szCs w:val="16"/>
              </w:rPr>
              <w:t>235.5</w:t>
            </w:r>
          </w:p>
        </w:tc>
      </w:tr>
      <w:tr w:rsidR="00864963" w:rsidRPr="00864963" w14:paraId="67997F13" w14:textId="77777777" w:rsidTr="00F3791E">
        <w:trPr>
          <w:trHeight w:val="225"/>
        </w:trPr>
        <w:tc>
          <w:tcPr>
            <w:tcW w:w="1684" w:type="pct"/>
            <w:tcBorders>
              <w:top w:val="nil"/>
              <w:left w:val="nil"/>
              <w:bottom w:val="nil"/>
              <w:right w:val="nil"/>
            </w:tcBorders>
            <w:shd w:val="clear" w:color="000000" w:fill="FFFFFF"/>
            <w:noWrap/>
            <w:vAlign w:val="center"/>
            <w:hideMark/>
          </w:tcPr>
          <w:p w14:paraId="3BCAAE81"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Per cent of GDP</w:t>
            </w:r>
          </w:p>
        </w:tc>
        <w:tc>
          <w:tcPr>
            <w:tcW w:w="547" w:type="pct"/>
            <w:tcBorders>
              <w:top w:val="nil"/>
              <w:left w:val="nil"/>
              <w:bottom w:val="nil"/>
              <w:right w:val="nil"/>
            </w:tcBorders>
            <w:shd w:val="clear" w:color="000000" w:fill="FFFFFF"/>
            <w:noWrap/>
            <w:vAlign w:val="center"/>
            <w:hideMark/>
          </w:tcPr>
          <w:p w14:paraId="69954E39"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8.4</w:t>
            </w:r>
          </w:p>
        </w:tc>
        <w:tc>
          <w:tcPr>
            <w:tcW w:w="75" w:type="pct"/>
            <w:tcBorders>
              <w:top w:val="nil"/>
              <w:left w:val="nil"/>
              <w:bottom w:val="nil"/>
              <w:right w:val="nil"/>
            </w:tcBorders>
            <w:shd w:val="clear" w:color="000000" w:fill="FFFFFF"/>
            <w:noWrap/>
            <w:vAlign w:val="center"/>
            <w:hideMark/>
          </w:tcPr>
          <w:p w14:paraId="1FE6D154"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74F93737"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8.0</w:t>
            </w:r>
          </w:p>
        </w:tc>
        <w:tc>
          <w:tcPr>
            <w:tcW w:w="539" w:type="pct"/>
            <w:tcBorders>
              <w:top w:val="nil"/>
              <w:left w:val="nil"/>
              <w:bottom w:val="nil"/>
              <w:right w:val="nil"/>
            </w:tcBorders>
            <w:shd w:val="clear" w:color="000000" w:fill="E6F2FF"/>
            <w:noWrap/>
            <w:vAlign w:val="center"/>
            <w:hideMark/>
          </w:tcPr>
          <w:p w14:paraId="17C81F8F"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8.3</w:t>
            </w:r>
          </w:p>
        </w:tc>
        <w:tc>
          <w:tcPr>
            <w:tcW w:w="539" w:type="pct"/>
            <w:tcBorders>
              <w:top w:val="nil"/>
              <w:left w:val="nil"/>
              <w:bottom w:val="nil"/>
              <w:right w:val="nil"/>
            </w:tcBorders>
            <w:shd w:val="clear" w:color="000000" w:fill="FFFFFF"/>
            <w:noWrap/>
            <w:vAlign w:val="center"/>
            <w:hideMark/>
          </w:tcPr>
          <w:p w14:paraId="736F7E0C"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8.4</w:t>
            </w:r>
          </w:p>
        </w:tc>
        <w:tc>
          <w:tcPr>
            <w:tcW w:w="539" w:type="pct"/>
            <w:tcBorders>
              <w:top w:val="nil"/>
              <w:left w:val="nil"/>
              <w:bottom w:val="nil"/>
              <w:right w:val="nil"/>
            </w:tcBorders>
            <w:shd w:val="clear" w:color="000000" w:fill="FFFFFF"/>
            <w:noWrap/>
            <w:vAlign w:val="center"/>
            <w:hideMark/>
          </w:tcPr>
          <w:p w14:paraId="17438F0B"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8.2</w:t>
            </w:r>
          </w:p>
        </w:tc>
        <w:tc>
          <w:tcPr>
            <w:tcW w:w="539" w:type="pct"/>
            <w:tcBorders>
              <w:top w:val="nil"/>
              <w:left w:val="nil"/>
              <w:bottom w:val="nil"/>
              <w:right w:val="nil"/>
            </w:tcBorders>
            <w:shd w:val="clear" w:color="000000" w:fill="FFFFFF"/>
            <w:noWrap/>
            <w:vAlign w:val="center"/>
            <w:hideMark/>
          </w:tcPr>
          <w:p w14:paraId="15D35611" w14:textId="77777777" w:rsidR="00F3791E" w:rsidRPr="00864963" w:rsidRDefault="00F3791E" w:rsidP="00F3791E">
            <w:pPr>
              <w:spacing w:before="0" w:after="0" w:line="240" w:lineRule="auto"/>
              <w:jc w:val="right"/>
              <w:rPr>
                <w:rFonts w:ascii="Arial" w:hAnsi="Arial" w:cs="Arial"/>
                <w:sz w:val="16"/>
                <w:szCs w:val="16"/>
              </w:rPr>
            </w:pPr>
            <w:r w:rsidRPr="00864963">
              <w:rPr>
                <w:rFonts w:ascii="Arial" w:hAnsi="Arial" w:cs="Arial"/>
                <w:sz w:val="16"/>
                <w:szCs w:val="16"/>
              </w:rPr>
              <w:t>8.1</w:t>
            </w:r>
          </w:p>
        </w:tc>
      </w:tr>
      <w:tr w:rsidR="00864963" w:rsidRPr="00864963" w14:paraId="626BE41F" w14:textId="77777777" w:rsidTr="00F3791E">
        <w:trPr>
          <w:trHeight w:val="60"/>
        </w:trPr>
        <w:tc>
          <w:tcPr>
            <w:tcW w:w="1684" w:type="pct"/>
            <w:tcBorders>
              <w:top w:val="nil"/>
              <w:left w:val="nil"/>
              <w:bottom w:val="nil"/>
              <w:right w:val="nil"/>
            </w:tcBorders>
            <w:shd w:val="clear" w:color="000000" w:fill="FFFFFF"/>
            <w:noWrap/>
            <w:vAlign w:val="center"/>
            <w:hideMark/>
          </w:tcPr>
          <w:p w14:paraId="06ACDEE3"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547" w:type="pct"/>
            <w:tcBorders>
              <w:top w:val="nil"/>
              <w:left w:val="nil"/>
              <w:bottom w:val="nil"/>
              <w:right w:val="nil"/>
            </w:tcBorders>
            <w:shd w:val="clear" w:color="000000" w:fill="FFFFFF"/>
            <w:noWrap/>
            <w:vAlign w:val="center"/>
            <w:hideMark/>
          </w:tcPr>
          <w:p w14:paraId="30EF5BEB"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75" w:type="pct"/>
            <w:tcBorders>
              <w:top w:val="nil"/>
              <w:left w:val="nil"/>
              <w:bottom w:val="nil"/>
              <w:right w:val="nil"/>
            </w:tcBorders>
            <w:shd w:val="clear" w:color="000000" w:fill="FFFFFF"/>
            <w:noWrap/>
            <w:vAlign w:val="center"/>
            <w:hideMark/>
          </w:tcPr>
          <w:p w14:paraId="69A61BB6"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2482110D"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E6F2FF"/>
            <w:noWrap/>
            <w:vAlign w:val="center"/>
            <w:hideMark/>
          </w:tcPr>
          <w:p w14:paraId="2CD4E3D5"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7E35407C"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5BF7DAA5"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4E8BC0AF" w14:textId="77777777" w:rsidR="00F3791E" w:rsidRPr="00864963" w:rsidRDefault="00F3791E" w:rsidP="00F3791E">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3DD09D73" w14:textId="77777777" w:rsidTr="00F3791E">
        <w:trPr>
          <w:trHeight w:val="225"/>
        </w:trPr>
        <w:tc>
          <w:tcPr>
            <w:tcW w:w="1684" w:type="pct"/>
            <w:tcBorders>
              <w:top w:val="nil"/>
              <w:left w:val="nil"/>
              <w:bottom w:val="nil"/>
              <w:right w:val="nil"/>
            </w:tcBorders>
            <w:shd w:val="clear" w:color="000000" w:fill="FFFFFF"/>
            <w:noWrap/>
            <w:vAlign w:val="center"/>
            <w:hideMark/>
          </w:tcPr>
          <w:p w14:paraId="601B5E57" w14:textId="77777777" w:rsidR="00F3791E" w:rsidRPr="00864963" w:rsidRDefault="00F3791E" w:rsidP="00F3791E">
            <w:pPr>
              <w:spacing w:before="0" w:after="0" w:line="240" w:lineRule="auto"/>
              <w:rPr>
                <w:rFonts w:ascii="Arial" w:hAnsi="Arial" w:cs="Arial"/>
                <w:b/>
                <w:bCs/>
                <w:sz w:val="16"/>
                <w:szCs w:val="16"/>
                <w:highlight w:val="darkCyan"/>
              </w:rPr>
            </w:pPr>
            <w:r w:rsidRPr="00864963">
              <w:rPr>
                <w:rFonts w:ascii="Arial" w:hAnsi="Arial" w:cs="Arial"/>
                <w:b/>
                <w:bCs/>
                <w:sz w:val="16"/>
                <w:szCs w:val="16"/>
              </w:rPr>
              <w:t>Total assets</w:t>
            </w:r>
          </w:p>
        </w:tc>
        <w:tc>
          <w:tcPr>
            <w:tcW w:w="547" w:type="pct"/>
            <w:tcBorders>
              <w:top w:val="nil"/>
              <w:left w:val="nil"/>
              <w:bottom w:val="nil"/>
              <w:right w:val="nil"/>
            </w:tcBorders>
            <w:shd w:val="clear" w:color="000000" w:fill="FFFFFF"/>
            <w:noWrap/>
            <w:vAlign w:val="center"/>
            <w:hideMark/>
          </w:tcPr>
          <w:p w14:paraId="14FF0AB9"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763.6</w:t>
            </w:r>
          </w:p>
        </w:tc>
        <w:tc>
          <w:tcPr>
            <w:tcW w:w="75" w:type="pct"/>
            <w:tcBorders>
              <w:top w:val="nil"/>
              <w:left w:val="nil"/>
              <w:bottom w:val="nil"/>
              <w:right w:val="nil"/>
            </w:tcBorders>
            <w:shd w:val="clear" w:color="000000" w:fill="FFFFFF"/>
            <w:noWrap/>
            <w:vAlign w:val="center"/>
            <w:hideMark/>
          </w:tcPr>
          <w:p w14:paraId="174B09E4"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34C72986"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763.8</w:t>
            </w:r>
          </w:p>
        </w:tc>
        <w:tc>
          <w:tcPr>
            <w:tcW w:w="539" w:type="pct"/>
            <w:tcBorders>
              <w:top w:val="nil"/>
              <w:left w:val="nil"/>
              <w:bottom w:val="nil"/>
              <w:right w:val="nil"/>
            </w:tcBorders>
            <w:shd w:val="clear" w:color="000000" w:fill="E6F2FF"/>
            <w:noWrap/>
            <w:vAlign w:val="center"/>
            <w:hideMark/>
          </w:tcPr>
          <w:p w14:paraId="5790CE46"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804.2</w:t>
            </w:r>
          </w:p>
        </w:tc>
        <w:tc>
          <w:tcPr>
            <w:tcW w:w="539" w:type="pct"/>
            <w:tcBorders>
              <w:top w:val="nil"/>
              <w:left w:val="nil"/>
              <w:bottom w:val="nil"/>
              <w:right w:val="nil"/>
            </w:tcBorders>
            <w:shd w:val="clear" w:color="000000" w:fill="FFFFFF"/>
            <w:noWrap/>
            <w:vAlign w:val="center"/>
            <w:hideMark/>
          </w:tcPr>
          <w:p w14:paraId="6946300A"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817.7</w:t>
            </w:r>
          </w:p>
        </w:tc>
        <w:tc>
          <w:tcPr>
            <w:tcW w:w="539" w:type="pct"/>
            <w:tcBorders>
              <w:top w:val="nil"/>
              <w:left w:val="nil"/>
              <w:bottom w:val="nil"/>
              <w:right w:val="nil"/>
            </w:tcBorders>
            <w:shd w:val="clear" w:color="000000" w:fill="FFFFFF"/>
            <w:noWrap/>
            <w:vAlign w:val="center"/>
            <w:hideMark/>
          </w:tcPr>
          <w:p w14:paraId="44ADDCF4"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848.4</w:t>
            </w:r>
          </w:p>
        </w:tc>
        <w:tc>
          <w:tcPr>
            <w:tcW w:w="539" w:type="pct"/>
            <w:tcBorders>
              <w:top w:val="nil"/>
              <w:left w:val="nil"/>
              <w:bottom w:val="nil"/>
              <w:right w:val="nil"/>
            </w:tcBorders>
            <w:shd w:val="clear" w:color="000000" w:fill="FFFFFF"/>
            <w:noWrap/>
            <w:vAlign w:val="center"/>
            <w:hideMark/>
          </w:tcPr>
          <w:p w14:paraId="5D025701" w14:textId="77777777" w:rsidR="00F3791E" w:rsidRPr="00864963" w:rsidRDefault="00F3791E" w:rsidP="00F3791E">
            <w:pPr>
              <w:spacing w:before="0" w:after="0" w:line="240" w:lineRule="auto"/>
              <w:jc w:val="right"/>
              <w:rPr>
                <w:rFonts w:ascii="Arial" w:hAnsi="Arial" w:cs="Arial"/>
                <w:b/>
                <w:bCs/>
                <w:sz w:val="16"/>
                <w:szCs w:val="16"/>
              </w:rPr>
            </w:pPr>
            <w:r w:rsidRPr="00864963">
              <w:rPr>
                <w:rFonts w:ascii="Arial" w:hAnsi="Arial" w:cs="Arial"/>
                <w:b/>
                <w:bCs/>
                <w:sz w:val="16"/>
                <w:szCs w:val="16"/>
              </w:rPr>
              <w:t>886.7</w:t>
            </w:r>
          </w:p>
        </w:tc>
      </w:tr>
      <w:tr w:rsidR="00864963" w:rsidRPr="00864963" w14:paraId="01655D39" w14:textId="77777777" w:rsidTr="00F3791E">
        <w:trPr>
          <w:trHeight w:val="225"/>
        </w:trPr>
        <w:tc>
          <w:tcPr>
            <w:tcW w:w="1684" w:type="pct"/>
            <w:tcBorders>
              <w:top w:val="nil"/>
              <w:left w:val="nil"/>
              <w:bottom w:val="nil"/>
              <w:right w:val="nil"/>
            </w:tcBorders>
            <w:shd w:val="clear" w:color="000000" w:fill="FFFFFF"/>
            <w:noWrap/>
            <w:vAlign w:val="center"/>
            <w:hideMark/>
          </w:tcPr>
          <w:p w14:paraId="073527B0"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Per cent of GDP</w:t>
            </w:r>
          </w:p>
        </w:tc>
        <w:tc>
          <w:tcPr>
            <w:tcW w:w="547" w:type="pct"/>
            <w:tcBorders>
              <w:top w:val="nil"/>
              <w:left w:val="nil"/>
              <w:bottom w:val="nil"/>
              <w:right w:val="nil"/>
            </w:tcBorders>
            <w:shd w:val="clear" w:color="000000" w:fill="FFFFFF"/>
            <w:noWrap/>
            <w:vAlign w:val="center"/>
            <w:hideMark/>
          </w:tcPr>
          <w:p w14:paraId="1D40356D"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33.1</w:t>
            </w:r>
          </w:p>
        </w:tc>
        <w:tc>
          <w:tcPr>
            <w:tcW w:w="75" w:type="pct"/>
            <w:tcBorders>
              <w:top w:val="nil"/>
              <w:left w:val="nil"/>
              <w:bottom w:val="nil"/>
              <w:right w:val="nil"/>
            </w:tcBorders>
            <w:shd w:val="clear" w:color="000000" w:fill="FFFFFF"/>
            <w:noWrap/>
            <w:vAlign w:val="center"/>
            <w:hideMark/>
          </w:tcPr>
          <w:p w14:paraId="434E49B3"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2D6E2D39"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30.0</w:t>
            </w:r>
          </w:p>
        </w:tc>
        <w:tc>
          <w:tcPr>
            <w:tcW w:w="539" w:type="pct"/>
            <w:tcBorders>
              <w:top w:val="nil"/>
              <w:left w:val="nil"/>
              <w:bottom w:val="nil"/>
              <w:right w:val="nil"/>
            </w:tcBorders>
            <w:shd w:val="clear" w:color="000000" w:fill="E6F2FF"/>
            <w:noWrap/>
            <w:vAlign w:val="center"/>
            <w:hideMark/>
          </w:tcPr>
          <w:p w14:paraId="76C9AB56"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31.2</w:t>
            </w:r>
          </w:p>
        </w:tc>
        <w:tc>
          <w:tcPr>
            <w:tcW w:w="539" w:type="pct"/>
            <w:tcBorders>
              <w:top w:val="nil"/>
              <w:left w:val="nil"/>
              <w:bottom w:val="nil"/>
              <w:right w:val="nil"/>
            </w:tcBorders>
            <w:shd w:val="clear" w:color="000000" w:fill="FFFFFF"/>
            <w:noWrap/>
            <w:vAlign w:val="center"/>
            <w:hideMark/>
          </w:tcPr>
          <w:p w14:paraId="31BEF4F5"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31.0</w:t>
            </w:r>
          </w:p>
        </w:tc>
        <w:tc>
          <w:tcPr>
            <w:tcW w:w="539" w:type="pct"/>
            <w:tcBorders>
              <w:top w:val="nil"/>
              <w:left w:val="nil"/>
              <w:bottom w:val="nil"/>
              <w:right w:val="nil"/>
            </w:tcBorders>
            <w:shd w:val="clear" w:color="000000" w:fill="FFFFFF"/>
            <w:noWrap/>
            <w:vAlign w:val="center"/>
            <w:hideMark/>
          </w:tcPr>
          <w:p w14:paraId="05C83872"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30.6</w:t>
            </w:r>
          </w:p>
        </w:tc>
        <w:tc>
          <w:tcPr>
            <w:tcW w:w="539" w:type="pct"/>
            <w:tcBorders>
              <w:top w:val="nil"/>
              <w:left w:val="nil"/>
              <w:bottom w:val="nil"/>
              <w:right w:val="nil"/>
            </w:tcBorders>
            <w:shd w:val="clear" w:color="000000" w:fill="FFFFFF"/>
            <w:noWrap/>
            <w:vAlign w:val="center"/>
            <w:hideMark/>
          </w:tcPr>
          <w:p w14:paraId="6D2A0DEE" w14:textId="77777777" w:rsidR="00F3791E" w:rsidRPr="00864963" w:rsidRDefault="00F3791E" w:rsidP="00F3791E">
            <w:pPr>
              <w:spacing w:before="0" w:after="0" w:line="240" w:lineRule="auto"/>
              <w:jc w:val="right"/>
              <w:rPr>
                <w:rFonts w:ascii="Arial" w:hAnsi="Arial" w:cs="Arial"/>
                <w:sz w:val="16"/>
                <w:szCs w:val="16"/>
              </w:rPr>
            </w:pPr>
            <w:r w:rsidRPr="00864963">
              <w:rPr>
                <w:rFonts w:ascii="Arial" w:hAnsi="Arial" w:cs="Arial"/>
                <w:sz w:val="16"/>
                <w:szCs w:val="16"/>
              </w:rPr>
              <w:t>30.4</w:t>
            </w:r>
          </w:p>
        </w:tc>
      </w:tr>
      <w:tr w:rsidR="00864963" w:rsidRPr="00864963" w14:paraId="2C2FEDEA" w14:textId="77777777" w:rsidTr="00F3791E">
        <w:trPr>
          <w:trHeight w:val="60"/>
        </w:trPr>
        <w:tc>
          <w:tcPr>
            <w:tcW w:w="1684" w:type="pct"/>
            <w:tcBorders>
              <w:top w:val="nil"/>
              <w:left w:val="nil"/>
              <w:bottom w:val="nil"/>
              <w:right w:val="nil"/>
            </w:tcBorders>
            <w:shd w:val="clear" w:color="000000" w:fill="FFFFFF"/>
            <w:noWrap/>
            <w:vAlign w:val="center"/>
            <w:hideMark/>
          </w:tcPr>
          <w:p w14:paraId="28B60DA1" w14:textId="77777777" w:rsidR="00F3791E" w:rsidRPr="00864963" w:rsidRDefault="00F3791E" w:rsidP="00F3791E">
            <w:pPr>
              <w:spacing w:before="0" w:after="0" w:line="240" w:lineRule="auto"/>
              <w:rPr>
                <w:rFonts w:ascii="Arial" w:hAnsi="Arial" w:cs="Arial"/>
                <w:b/>
                <w:bCs/>
                <w:sz w:val="16"/>
                <w:szCs w:val="16"/>
                <w:highlight w:val="darkCyan"/>
              </w:rPr>
            </w:pPr>
            <w:r w:rsidRPr="00864963">
              <w:rPr>
                <w:rFonts w:ascii="Arial" w:hAnsi="Arial" w:cs="Arial"/>
                <w:b/>
                <w:bCs/>
                <w:sz w:val="16"/>
                <w:szCs w:val="16"/>
              </w:rPr>
              <w:t> </w:t>
            </w:r>
          </w:p>
        </w:tc>
        <w:tc>
          <w:tcPr>
            <w:tcW w:w="547" w:type="pct"/>
            <w:tcBorders>
              <w:top w:val="nil"/>
              <w:left w:val="nil"/>
              <w:bottom w:val="nil"/>
              <w:right w:val="nil"/>
            </w:tcBorders>
            <w:shd w:val="clear" w:color="000000" w:fill="FFFFFF"/>
            <w:noWrap/>
            <w:vAlign w:val="center"/>
            <w:hideMark/>
          </w:tcPr>
          <w:p w14:paraId="6B359C9F"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75" w:type="pct"/>
            <w:tcBorders>
              <w:top w:val="nil"/>
              <w:left w:val="nil"/>
              <w:bottom w:val="nil"/>
              <w:right w:val="nil"/>
            </w:tcBorders>
            <w:shd w:val="clear" w:color="000000" w:fill="FFFFFF"/>
            <w:noWrap/>
            <w:vAlign w:val="center"/>
            <w:hideMark/>
          </w:tcPr>
          <w:p w14:paraId="02C681E1"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14714538"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E6F2FF"/>
            <w:noWrap/>
            <w:vAlign w:val="center"/>
            <w:hideMark/>
          </w:tcPr>
          <w:p w14:paraId="58793CD4"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3E1F666F"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55A98CDC"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648DBA46" w14:textId="77777777" w:rsidR="00F3791E" w:rsidRPr="00864963" w:rsidRDefault="00F3791E" w:rsidP="00F3791E">
            <w:pPr>
              <w:spacing w:before="0" w:after="0" w:line="240" w:lineRule="auto"/>
              <w:jc w:val="right"/>
              <w:rPr>
                <w:rFonts w:ascii="Arial" w:hAnsi="Arial" w:cs="Arial"/>
                <w:b/>
                <w:bCs/>
                <w:sz w:val="16"/>
                <w:szCs w:val="16"/>
              </w:rPr>
            </w:pPr>
            <w:r w:rsidRPr="00864963">
              <w:rPr>
                <w:rFonts w:ascii="Arial" w:hAnsi="Arial" w:cs="Arial"/>
                <w:b/>
                <w:bCs/>
                <w:sz w:val="16"/>
                <w:szCs w:val="16"/>
              </w:rPr>
              <w:t> </w:t>
            </w:r>
          </w:p>
        </w:tc>
      </w:tr>
      <w:tr w:rsidR="00864963" w:rsidRPr="00864963" w14:paraId="51641606" w14:textId="77777777" w:rsidTr="00F3791E">
        <w:trPr>
          <w:trHeight w:val="225"/>
        </w:trPr>
        <w:tc>
          <w:tcPr>
            <w:tcW w:w="1684" w:type="pct"/>
            <w:tcBorders>
              <w:top w:val="nil"/>
              <w:left w:val="nil"/>
              <w:bottom w:val="nil"/>
              <w:right w:val="nil"/>
            </w:tcBorders>
            <w:shd w:val="clear" w:color="000000" w:fill="FFFFFF"/>
            <w:noWrap/>
            <w:vAlign w:val="center"/>
            <w:hideMark/>
          </w:tcPr>
          <w:p w14:paraId="45C705B8" w14:textId="77777777" w:rsidR="00F3791E" w:rsidRPr="00864963" w:rsidRDefault="00F3791E" w:rsidP="00F3791E">
            <w:pPr>
              <w:spacing w:before="0" w:after="0" w:line="240" w:lineRule="auto"/>
              <w:rPr>
                <w:rFonts w:ascii="Arial" w:hAnsi="Arial" w:cs="Arial"/>
                <w:b/>
                <w:bCs/>
                <w:sz w:val="16"/>
                <w:szCs w:val="16"/>
                <w:highlight w:val="darkCyan"/>
              </w:rPr>
            </w:pPr>
            <w:r w:rsidRPr="00864963">
              <w:rPr>
                <w:rFonts w:ascii="Arial" w:hAnsi="Arial" w:cs="Arial"/>
                <w:b/>
                <w:bCs/>
                <w:sz w:val="16"/>
                <w:szCs w:val="16"/>
              </w:rPr>
              <w:t>Total liabilities</w:t>
            </w:r>
          </w:p>
        </w:tc>
        <w:tc>
          <w:tcPr>
            <w:tcW w:w="547" w:type="pct"/>
            <w:tcBorders>
              <w:top w:val="nil"/>
              <w:left w:val="nil"/>
              <w:bottom w:val="nil"/>
              <w:right w:val="nil"/>
            </w:tcBorders>
            <w:shd w:val="clear" w:color="000000" w:fill="FFFFFF"/>
            <w:noWrap/>
            <w:vAlign w:val="center"/>
            <w:hideMark/>
          </w:tcPr>
          <w:p w14:paraId="7F334A44"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1,345.4</w:t>
            </w:r>
          </w:p>
        </w:tc>
        <w:tc>
          <w:tcPr>
            <w:tcW w:w="75" w:type="pct"/>
            <w:tcBorders>
              <w:top w:val="nil"/>
              <w:left w:val="nil"/>
              <w:bottom w:val="nil"/>
              <w:right w:val="nil"/>
            </w:tcBorders>
            <w:shd w:val="clear" w:color="000000" w:fill="FFFFFF"/>
            <w:noWrap/>
            <w:vAlign w:val="center"/>
            <w:hideMark/>
          </w:tcPr>
          <w:p w14:paraId="6DB51E84"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5860AC0E"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1,310.6</w:t>
            </w:r>
          </w:p>
        </w:tc>
        <w:tc>
          <w:tcPr>
            <w:tcW w:w="539" w:type="pct"/>
            <w:tcBorders>
              <w:top w:val="nil"/>
              <w:left w:val="nil"/>
              <w:bottom w:val="nil"/>
              <w:right w:val="nil"/>
            </w:tcBorders>
            <w:shd w:val="clear" w:color="000000" w:fill="E6F2FF"/>
            <w:noWrap/>
            <w:vAlign w:val="center"/>
            <w:hideMark/>
          </w:tcPr>
          <w:p w14:paraId="0FB589E7"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1,363.3</w:t>
            </w:r>
          </w:p>
        </w:tc>
        <w:tc>
          <w:tcPr>
            <w:tcW w:w="539" w:type="pct"/>
            <w:tcBorders>
              <w:top w:val="nil"/>
              <w:left w:val="nil"/>
              <w:bottom w:val="nil"/>
              <w:right w:val="nil"/>
            </w:tcBorders>
            <w:shd w:val="clear" w:color="000000" w:fill="FFFFFF"/>
            <w:noWrap/>
            <w:vAlign w:val="center"/>
            <w:hideMark/>
          </w:tcPr>
          <w:p w14:paraId="42781D36"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1,420.5</w:t>
            </w:r>
          </w:p>
        </w:tc>
        <w:tc>
          <w:tcPr>
            <w:tcW w:w="539" w:type="pct"/>
            <w:tcBorders>
              <w:top w:val="nil"/>
              <w:left w:val="nil"/>
              <w:bottom w:val="nil"/>
              <w:right w:val="nil"/>
            </w:tcBorders>
            <w:shd w:val="clear" w:color="000000" w:fill="FFFFFF"/>
            <w:noWrap/>
            <w:vAlign w:val="center"/>
            <w:hideMark/>
          </w:tcPr>
          <w:p w14:paraId="15058699"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1,487.2</w:t>
            </w:r>
          </w:p>
        </w:tc>
        <w:tc>
          <w:tcPr>
            <w:tcW w:w="539" w:type="pct"/>
            <w:tcBorders>
              <w:top w:val="nil"/>
              <w:left w:val="nil"/>
              <w:bottom w:val="nil"/>
              <w:right w:val="nil"/>
            </w:tcBorders>
            <w:shd w:val="clear" w:color="000000" w:fill="FFFFFF"/>
            <w:noWrap/>
            <w:vAlign w:val="center"/>
            <w:hideMark/>
          </w:tcPr>
          <w:p w14:paraId="1009573A" w14:textId="77777777" w:rsidR="00F3791E" w:rsidRPr="00864963" w:rsidRDefault="00F3791E" w:rsidP="00F3791E">
            <w:pPr>
              <w:spacing w:before="0" w:after="0" w:line="240" w:lineRule="auto"/>
              <w:jc w:val="right"/>
              <w:rPr>
                <w:rFonts w:ascii="Arial" w:hAnsi="Arial" w:cs="Arial"/>
                <w:b/>
                <w:bCs/>
                <w:sz w:val="16"/>
                <w:szCs w:val="16"/>
              </w:rPr>
            </w:pPr>
            <w:r w:rsidRPr="00864963">
              <w:rPr>
                <w:rFonts w:ascii="Arial" w:hAnsi="Arial" w:cs="Arial"/>
                <w:b/>
                <w:bCs/>
                <w:sz w:val="16"/>
                <w:szCs w:val="16"/>
              </w:rPr>
              <w:t>1,554.0</w:t>
            </w:r>
          </w:p>
        </w:tc>
      </w:tr>
      <w:tr w:rsidR="00864963" w:rsidRPr="00864963" w14:paraId="27E33ACF" w14:textId="77777777" w:rsidTr="00F3791E">
        <w:trPr>
          <w:trHeight w:val="225"/>
        </w:trPr>
        <w:tc>
          <w:tcPr>
            <w:tcW w:w="1684" w:type="pct"/>
            <w:tcBorders>
              <w:top w:val="nil"/>
              <w:left w:val="nil"/>
              <w:bottom w:val="nil"/>
              <w:right w:val="nil"/>
            </w:tcBorders>
            <w:shd w:val="clear" w:color="000000" w:fill="FFFFFF"/>
            <w:noWrap/>
            <w:vAlign w:val="center"/>
            <w:hideMark/>
          </w:tcPr>
          <w:p w14:paraId="07ADC8BD"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Per cent of GDP</w:t>
            </w:r>
          </w:p>
        </w:tc>
        <w:tc>
          <w:tcPr>
            <w:tcW w:w="547" w:type="pct"/>
            <w:tcBorders>
              <w:top w:val="nil"/>
              <w:left w:val="nil"/>
              <w:bottom w:val="nil"/>
              <w:right w:val="nil"/>
            </w:tcBorders>
            <w:shd w:val="clear" w:color="000000" w:fill="FFFFFF"/>
            <w:noWrap/>
            <w:vAlign w:val="center"/>
            <w:hideMark/>
          </w:tcPr>
          <w:p w14:paraId="30FAA4FF"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58.3</w:t>
            </w:r>
          </w:p>
        </w:tc>
        <w:tc>
          <w:tcPr>
            <w:tcW w:w="75" w:type="pct"/>
            <w:tcBorders>
              <w:top w:val="nil"/>
              <w:left w:val="nil"/>
              <w:bottom w:val="nil"/>
              <w:right w:val="nil"/>
            </w:tcBorders>
            <w:shd w:val="clear" w:color="000000" w:fill="FFFFFF"/>
            <w:noWrap/>
            <w:vAlign w:val="center"/>
            <w:hideMark/>
          </w:tcPr>
          <w:p w14:paraId="1A98962B"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6AC5A6B1"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51.5</w:t>
            </w:r>
          </w:p>
        </w:tc>
        <w:tc>
          <w:tcPr>
            <w:tcW w:w="539" w:type="pct"/>
            <w:tcBorders>
              <w:top w:val="nil"/>
              <w:left w:val="nil"/>
              <w:bottom w:val="nil"/>
              <w:right w:val="nil"/>
            </w:tcBorders>
            <w:shd w:val="clear" w:color="000000" w:fill="E6F2FF"/>
            <w:noWrap/>
            <w:vAlign w:val="center"/>
            <w:hideMark/>
          </w:tcPr>
          <w:p w14:paraId="3B98C18C"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52.9</w:t>
            </w:r>
          </w:p>
        </w:tc>
        <w:tc>
          <w:tcPr>
            <w:tcW w:w="539" w:type="pct"/>
            <w:tcBorders>
              <w:top w:val="nil"/>
              <w:left w:val="nil"/>
              <w:bottom w:val="nil"/>
              <w:right w:val="nil"/>
            </w:tcBorders>
            <w:shd w:val="clear" w:color="000000" w:fill="FFFFFF"/>
            <w:noWrap/>
            <w:vAlign w:val="center"/>
            <w:hideMark/>
          </w:tcPr>
          <w:p w14:paraId="6E45EB67"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53.8</w:t>
            </w:r>
          </w:p>
        </w:tc>
        <w:tc>
          <w:tcPr>
            <w:tcW w:w="539" w:type="pct"/>
            <w:tcBorders>
              <w:top w:val="nil"/>
              <w:left w:val="nil"/>
              <w:bottom w:val="nil"/>
              <w:right w:val="nil"/>
            </w:tcBorders>
            <w:shd w:val="clear" w:color="000000" w:fill="FFFFFF"/>
            <w:noWrap/>
            <w:vAlign w:val="center"/>
            <w:hideMark/>
          </w:tcPr>
          <w:p w14:paraId="0B64BC91"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53.6</w:t>
            </w:r>
          </w:p>
        </w:tc>
        <w:tc>
          <w:tcPr>
            <w:tcW w:w="539" w:type="pct"/>
            <w:tcBorders>
              <w:top w:val="nil"/>
              <w:left w:val="nil"/>
              <w:bottom w:val="nil"/>
              <w:right w:val="nil"/>
            </w:tcBorders>
            <w:shd w:val="clear" w:color="000000" w:fill="FFFFFF"/>
            <w:noWrap/>
            <w:vAlign w:val="center"/>
            <w:hideMark/>
          </w:tcPr>
          <w:p w14:paraId="32A2BAC1" w14:textId="77777777" w:rsidR="00F3791E" w:rsidRPr="00864963" w:rsidRDefault="00F3791E" w:rsidP="00F3791E">
            <w:pPr>
              <w:spacing w:before="0" w:after="0" w:line="240" w:lineRule="auto"/>
              <w:jc w:val="right"/>
              <w:rPr>
                <w:rFonts w:ascii="Arial" w:hAnsi="Arial" w:cs="Arial"/>
                <w:sz w:val="16"/>
                <w:szCs w:val="16"/>
              </w:rPr>
            </w:pPr>
            <w:r w:rsidRPr="00864963">
              <w:rPr>
                <w:rFonts w:ascii="Arial" w:hAnsi="Arial" w:cs="Arial"/>
                <w:sz w:val="16"/>
                <w:szCs w:val="16"/>
              </w:rPr>
              <w:t>53.2</w:t>
            </w:r>
          </w:p>
        </w:tc>
      </w:tr>
      <w:tr w:rsidR="00864963" w:rsidRPr="00864963" w14:paraId="2B6A2BFA" w14:textId="77777777" w:rsidTr="00F3791E">
        <w:trPr>
          <w:trHeight w:val="60"/>
        </w:trPr>
        <w:tc>
          <w:tcPr>
            <w:tcW w:w="1684" w:type="pct"/>
            <w:tcBorders>
              <w:top w:val="nil"/>
              <w:left w:val="nil"/>
              <w:bottom w:val="nil"/>
              <w:right w:val="nil"/>
            </w:tcBorders>
            <w:shd w:val="clear" w:color="000000" w:fill="FFFFFF"/>
            <w:noWrap/>
            <w:vAlign w:val="center"/>
            <w:hideMark/>
          </w:tcPr>
          <w:p w14:paraId="5353CF9F" w14:textId="77777777" w:rsidR="00F3791E" w:rsidRPr="00864963" w:rsidRDefault="00F3791E" w:rsidP="00F3791E">
            <w:pPr>
              <w:spacing w:before="0" w:after="0" w:line="240" w:lineRule="auto"/>
              <w:rPr>
                <w:rFonts w:ascii="Arial" w:hAnsi="Arial" w:cs="Arial"/>
                <w:b/>
                <w:bCs/>
                <w:sz w:val="16"/>
                <w:szCs w:val="16"/>
                <w:highlight w:val="darkCyan"/>
              </w:rPr>
            </w:pPr>
            <w:r w:rsidRPr="00864963">
              <w:rPr>
                <w:rFonts w:ascii="Arial" w:hAnsi="Arial" w:cs="Arial"/>
                <w:b/>
                <w:bCs/>
                <w:sz w:val="16"/>
                <w:szCs w:val="16"/>
              </w:rPr>
              <w:t> </w:t>
            </w:r>
          </w:p>
        </w:tc>
        <w:tc>
          <w:tcPr>
            <w:tcW w:w="547" w:type="pct"/>
            <w:tcBorders>
              <w:top w:val="nil"/>
              <w:left w:val="nil"/>
              <w:bottom w:val="nil"/>
              <w:right w:val="nil"/>
            </w:tcBorders>
            <w:shd w:val="clear" w:color="000000" w:fill="FFFFFF"/>
            <w:noWrap/>
            <w:vAlign w:val="center"/>
            <w:hideMark/>
          </w:tcPr>
          <w:p w14:paraId="5150D7FC"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75" w:type="pct"/>
            <w:tcBorders>
              <w:top w:val="nil"/>
              <w:left w:val="nil"/>
              <w:bottom w:val="nil"/>
              <w:right w:val="nil"/>
            </w:tcBorders>
            <w:shd w:val="clear" w:color="000000" w:fill="FFFFFF"/>
            <w:noWrap/>
            <w:vAlign w:val="center"/>
            <w:hideMark/>
          </w:tcPr>
          <w:p w14:paraId="257AB47E"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6F6B065C"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E6F2FF"/>
            <w:noWrap/>
            <w:vAlign w:val="center"/>
            <w:hideMark/>
          </w:tcPr>
          <w:p w14:paraId="77DFE749"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63B8E310"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46EBCD48"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5F2F0F48" w14:textId="77777777" w:rsidR="00F3791E" w:rsidRPr="00864963" w:rsidRDefault="00F3791E" w:rsidP="00F3791E">
            <w:pPr>
              <w:spacing w:before="0" w:after="0" w:line="240" w:lineRule="auto"/>
              <w:jc w:val="right"/>
              <w:rPr>
                <w:rFonts w:ascii="Arial" w:hAnsi="Arial" w:cs="Arial"/>
                <w:b/>
                <w:bCs/>
                <w:sz w:val="16"/>
                <w:szCs w:val="16"/>
              </w:rPr>
            </w:pPr>
            <w:r w:rsidRPr="00864963">
              <w:rPr>
                <w:rFonts w:ascii="Arial" w:hAnsi="Arial" w:cs="Arial"/>
                <w:b/>
                <w:bCs/>
                <w:sz w:val="16"/>
                <w:szCs w:val="16"/>
              </w:rPr>
              <w:t> </w:t>
            </w:r>
          </w:p>
        </w:tc>
      </w:tr>
      <w:tr w:rsidR="00864963" w:rsidRPr="00864963" w14:paraId="1A2F9C4E" w14:textId="77777777" w:rsidTr="00F3791E">
        <w:trPr>
          <w:trHeight w:val="225"/>
        </w:trPr>
        <w:tc>
          <w:tcPr>
            <w:tcW w:w="1684" w:type="pct"/>
            <w:tcBorders>
              <w:top w:val="nil"/>
              <w:left w:val="nil"/>
              <w:bottom w:val="nil"/>
              <w:right w:val="nil"/>
            </w:tcBorders>
            <w:shd w:val="clear" w:color="000000" w:fill="FFFFFF"/>
            <w:noWrap/>
            <w:vAlign w:val="center"/>
            <w:hideMark/>
          </w:tcPr>
          <w:p w14:paraId="2325E219" w14:textId="77777777" w:rsidR="00F3791E" w:rsidRPr="00864963" w:rsidRDefault="00F3791E" w:rsidP="00F3791E">
            <w:pPr>
              <w:spacing w:before="0" w:after="0" w:line="240" w:lineRule="auto"/>
              <w:rPr>
                <w:rFonts w:ascii="Arial" w:hAnsi="Arial" w:cs="Arial"/>
                <w:b/>
                <w:bCs/>
                <w:sz w:val="16"/>
                <w:szCs w:val="16"/>
                <w:highlight w:val="darkCyan"/>
              </w:rPr>
            </w:pPr>
            <w:r w:rsidRPr="00864963">
              <w:rPr>
                <w:rFonts w:ascii="Arial" w:hAnsi="Arial" w:cs="Arial"/>
                <w:b/>
                <w:bCs/>
                <w:sz w:val="16"/>
                <w:szCs w:val="16"/>
              </w:rPr>
              <w:t>Net worth</w:t>
            </w:r>
          </w:p>
        </w:tc>
        <w:tc>
          <w:tcPr>
            <w:tcW w:w="547" w:type="pct"/>
            <w:tcBorders>
              <w:top w:val="nil"/>
              <w:left w:val="nil"/>
              <w:bottom w:val="nil"/>
              <w:right w:val="nil"/>
            </w:tcBorders>
            <w:shd w:val="clear" w:color="000000" w:fill="FFFFFF"/>
            <w:noWrap/>
            <w:vAlign w:val="center"/>
            <w:hideMark/>
          </w:tcPr>
          <w:p w14:paraId="7F5FAF79" w14:textId="5A55A460" w:rsidR="00F3791E" w:rsidRPr="00864963" w:rsidRDefault="00594653"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noBreakHyphen/>
            </w:r>
            <w:r w:rsidR="00F3791E" w:rsidRPr="00864963">
              <w:rPr>
                <w:rFonts w:ascii="Arial" w:hAnsi="Arial" w:cs="Arial"/>
                <w:b/>
                <w:bCs/>
                <w:sz w:val="16"/>
                <w:szCs w:val="16"/>
              </w:rPr>
              <w:t>581.8</w:t>
            </w:r>
          </w:p>
        </w:tc>
        <w:tc>
          <w:tcPr>
            <w:tcW w:w="75" w:type="pct"/>
            <w:tcBorders>
              <w:top w:val="nil"/>
              <w:left w:val="nil"/>
              <w:bottom w:val="nil"/>
              <w:right w:val="nil"/>
            </w:tcBorders>
            <w:shd w:val="clear" w:color="000000" w:fill="FFFFFF"/>
            <w:noWrap/>
            <w:vAlign w:val="center"/>
            <w:hideMark/>
          </w:tcPr>
          <w:p w14:paraId="14DB9F5C"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487D3D33" w14:textId="039A15E6" w:rsidR="00F3791E" w:rsidRPr="00864963" w:rsidRDefault="00594653"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noBreakHyphen/>
            </w:r>
            <w:r w:rsidR="00F3791E" w:rsidRPr="00864963">
              <w:rPr>
                <w:rFonts w:ascii="Arial" w:hAnsi="Arial" w:cs="Arial"/>
                <w:b/>
                <w:bCs/>
                <w:sz w:val="16"/>
                <w:szCs w:val="16"/>
              </w:rPr>
              <w:t>546.9</w:t>
            </w:r>
          </w:p>
        </w:tc>
        <w:tc>
          <w:tcPr>
            <w:tcW w:w="539" w:type="pct"/>
            <w:tcBorders>
              <w:top w:val="nil"/>
              <w:left w:val="nil"/>
              <w:bottom w:val="nil"/>
              <w:right w:val="nil"/>
            </w:tcBorders>
            <w:shd w:val="clear" w:color="000000" w:fill="E6F2FF"/>
            <w:noWrap/>
            <w:vAlign w:val="center"/>
            <w:hideMark/>
          </w:tcPr>
          <w:p w14:paraId="07A1B0E3" w14:textId="3C7E3B89" w:rsidR="00F3791E" w:rsidRPr="00864963" w:rsidRDefault="00594653"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noBreakHyphen/>
            </w:r>
            <w:r w:rsidR="00F3791E" w:rsidRPr="00864963">
              <w:rPr>
                <w:rFonts w:ascii="Arial" w:hAnsi="Arial" w:cs="Arial"/>
                <w:b/>
                <w:bCs/>
                <w:sz w:val="16"/>
                <w:szCs w:val="16"/>
              </w:rPr>
              <w:t>559.1</w:t>
            </w:r>
          </w:p>
        </w:tc>
        <w:tc>
          <w:tcPr>
            <w:tcW w:w="539" w:type="pct"/>
            <w:tcBorders>
              <w:top w:val="nil"/>
              <w:left w:val="nil"/>
              <w:bottom w:val="nil"/>
              <w:right w:val="nil"/>
            </w:tcBorders>
            <w:shd w:val="clear" w:color="000000" w:fill="FFFFFF"/>
            <w:noWrap/>
            <w:vAlign w:val="center"/>
            <w:hideMark/>
          </w:tcPr>
          <w:p w14:paraId="610BA265" w14:textId="1F2DAFAB" w:rsidR="00F3791E" w:rsidRPr="00864963" w:rsidRDefault="00594653"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noBreakHyphen/>
            </w:r>
            <w:r w:rsidR="00F3791E" w:rsidRPr="00864963">
              <w:rPr>
                <w:rFonts w:ascii="Arial" w:hAnsi="Arial" w:cs="Arial"/>
                <w:b/>
                <w:bCs/>
                <w:sz w:val="16"/>
                <w:szCs w:val="16"/>
              </w:rPr>
              <w:t>602.8</w:t>
            </w:r>
          </w:p>
        </w:tc>
        <w:tc>
          <w:tcPr>
            <w:tcW w:w="539" w:type="pct"/>
            <w:tcBorders>
              <w:top w:val="nil"/>
              <w:left w:val="nil"/>
              <w:bottom w:val="nil"/>
              <w:right w:val="nil"/>
            </w:tcBorders>
            <w:shd w:val="clear" w:color="000000" w:fill="FFFFFF"/>
            <w:noWrap/>
            <w:vAlign w:val="center"/>
            <w:hideMark/>
          </w:tcPr>
          <w:p w14:paraId="1661E3CC" w14:textId="6EC0E9C2" w:rsidR="00F3791E" w:rsidRPr="00864963" w:rsidRDefault="00594653"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noBreakHyphen/>
            </w:r>
            <w:r w:rsidR="00F3791E" w:rsidRPr="00864963">
              <w:rPr>
                <w:rFonts w:ascii="Arial" w:hAnsi="Arial" w:cs="Arial"/>
                <w:b/>
                <w:bCs/>
                <w:sz w:val="16"/>
                <w:szCs w:val="16"/>
              </w:rPr>
              <w:t>638.8</w:t>
            </w:r>
          </w:p>
        </w:tc>
        <w:tc>
          <w:tcPr>
            <w:tcW w:w="539" w:type="pct"/>
            <w:tcBorders>
              <w:top w:val="nil"/>
              <w:left w:val="nil"/>
              <w:bottom w:val="nil"/>
              <w:right w:val="nil"/>
            </w:tcBorders>
            <w:shd w:val="clear" w:color="000000" w:fill="FFFFFF"/>
            <w:noWrap/>
            <w:vAlign w:val="center"/>
            <w:hideMark/>
          </w:tcPr>
          <w:p w14:paraId="446CBA30" w14:textId="7118BA0F" w:rsidR="00F3791E" w:rsidRPr="00864963" w:rsidRDefault="00594653" w:rsidP="00F3791E">
            <w:pPr>
              <w:spacing w:before="0" w:after="0" w:line="240" w:lineRule="auto"/>
              <w:jc w:val="right"/>
              <w:rPr>
                <w:rFonts w:ascii="Arial" w:hAnsi="Arial" w:cs="Arial"/>
                <w:b/>
                <w:bCs/>
                <w:sz w:val="16"/>
                <w:szCs w:val="16"/>
              </w:rPr>
            </w:pPr>
            <w:r w:rsidRPr="00864963">
              <w:rPr>
                <w:rFonts w:ascii="Arial" w:hAnsi="Arial" w:cs="Arial"/>
                <w:b/>
                <w:bCs/>
                <w:sz w:val="16"/>
                <w:szCs w:val="16"/>
              </w:rPr>
              <w:noBreakHyphen/>
            </w:r>
            <w:r w:rsidR="00F3791E" w:rsidRPr="00864963">
              <w:rPr>
                <w:rFonts w:ascii="Arial" w:hAnsi="Arial" w:cs="Arial"/>
                <w:b/>
                <w:bCs/>
                <w:sz w:val="16"/>
                <w:szCs w:val="16"/>
              </w:rPr>
              <w:t>667.3</w:t>
            </w:r>
          </w:p>
        </w:tc>
      </w:tr>
      <w:tr w:rsidR="00864963" w:rsidRPr="00864963" w14:paraId="70E6C608" w14:textId="77777777" w:rsidTr="00F3791E">
        <w:trPr>
          <w:trHeight w:val="225"/>
        </w:trPr>
        <w:tc>
          <w:tcPr>
            <w:tcW w:w="1684" w:type="pct"/>
            <w:tcBorders>
              <w:top w:val="nil"/>
              <w:left w:val="nil"/>
              <w:bottom w:val="nil"/>
              <w:right w:val="nil"/>
            </w:tcBorders>
            <w:shd w:val="clear" w:color="000000" w:fill="FFFFFF"/>
            <w:noWrap/>
            <w:vAlign w:val="center"/>
            <w:hideMark/>
          </w:tcPr>
          <w:p w14:paraId="2F8C2026"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Per cent of GDP</w:t>
            </w:r>
          </w:p>
        </w:tc>
        <w:tc>
          <w:tcPr>
            <w:tcW w:w="547" w:type="pct"/>
            <w:tcBorders>
              <w:top w:val="nil"/>
              <w:left w:val="nil"/>
              <w:bottom w:val="nil"/>
              <w:right w:val="nil"/>
            </w:tcBorders>
            <w:shd w:val="clear" w:color="000000" w:fill="FFFFFF"/>
            <w:noWrap/>
            <w:vAlign w:val="center"/>
            <w:hideMark/>
          </w:tcPr>
          <w:p w14:paraId="2DBA140B" w14:textId="07ABBB13" w:rsidR="00F3791E" w:rsidRPr="00864963" w:rsidRDefault="00594653"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F3791E" w:rsidRPr="00864963">
              <w:rPr>
                <w:rFonts w:ascii="Arial" w:hAnsi="Arial" w:cs="Arial"/>
                <w:sz w:val="16"/>
                <w:szCs w:val="16"/>
              </w:rPr>
              <w:t>25.2</w:t>
            </w:r>
          </w:p>
        </w:tc>
        <w:tc>
          <w:tcPr>
            <w:tcW w:w="75" w:type="pct"/>
            <w:tcBorders>
              <w:top w:val="nil"/>
              <w:left w:val="nil"/>
              <w:bottom w:val="nil"/>
              <w:right w:val="nil"/>
            </w:tcBorders>
            <w:shd w:val="clear" w:color="000000" w:fill="FFFFFF"/>
            <w:noWrap/>
            <w:vAlign w:val="center"/>
            <w:hideMark/>
          </w:tcPr>
          <w:p w14:paraId="569FB35A"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47B056DE" w14:textId="0FFE45FA" w:rsidR="00F3791E" w:rsidRPr="00864963" w:rsidRDefault="00594653"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F3791E" w:rsidRPr="00864963">
              <w:rPr>
                <w:rFonts w:ascii="Arial" w:hAnsi="Arial" w:cs="Arial"/>
                <w:sz w:val="16"/>
                <w:szCs w:val="16"/>
              </w:rPr>
              <w:t>21.5</w:t>
            </w:r>
          </w:p>
        </w:tc>
        <w:tc>
          <w:tcPr>
            <w:tcW w:w="539" w:type="pct"/>
            <w:tcBorders>
              <w:top w:val="nil"/>
              <w:left w:val="nil"/>
              <w:bottom w:val="nil"/>
              <w:right w:val="nil"/>
            </w:tcBorders>
            <w:shd w:val="clear" w:color="000000" w:fill="E6F2FF"/>
            <w:noWrap/>
            <w:vAlign w:val="center"/>
            <w:hideMark/>
          </w:tcPr>
          <w:p w14:paraId="53014DF3" w14:textId="32DA707F" w:rsidR="00F3791E" w:rsidRPr="00864963" w:rsidRDefault="00594653"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F3791E" w:rsidRPr="00864963">
              <w:rPr>
                <w:rFonts w:ascii="Arial" w:hAnsi="Arial" w:cs="Arial"/>
                <w:sz w:val="16"/>
                <w:szCs w:val="16"/>
              </w:rPr>
              <w:t>21.7</w:t>
            </w:r>
          </w:p>
        </w:tc>
        <w:tc>
          <w:tcPr>
            <w:tcW w:w="539" w:type="pct"/>
            <w:tcBorders>
              <w:top w:val="nil"/>
              <w:left w:val="nil"/>
              <w:bottom w:val="nil"/>
              <w:right w:val="nil"/>
            </w:tcBorders>
            <w:shd w:val="clear" w:color="000000" w:fill="FFFFFF"/>
            <w:noWrap/>
            <w:vAlign w:val="center"/>
            <w:hideMark/>
          </w:tcPr>
          <w:p w14:paraId="7418522B" w14:textId="70CCB31B" w:rsidR="00F3791E" w:rsidRPr="00864963" w:rsidRDefault="00594653"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F3791E" w:rsidRPr="00864963">
              <w:rPr>
                <w:rFonts w:ascii="Arial" w:hAnsi="Arial" w:cs="Arial"/>
                <w:sz w:val="16"/>
                <w:szCs w:val="16"/>
              </w:rPr>
              <w:t>22.8</w:t>
            </w:r>
          </w:p>
        </w:tc>
        <w:tc>
          <w:tcPr>
            <w:tcW w:w="539" w:type="pct"/>
            <w:tcBorders>
              <w:top w:val="nil"/>
              <w:left w:val="nil"/>
              <w:bottom w:val="nil"/>
              <w:right w:val="nil"/>
            </w:tcBorders>
            <w:shd w:val="clear" w:color="000000" w:fill="FFFFFF"/>
            <w:noWrap/>
            <w:vAlign w:val="center"/>
            <w:hideMark/>
          </w:tcPr>
          <w:p w14:paraId="6415353A" w14:textId="3387B297" w:rsidR="00F3791E" w:rsidRPr="00864963" w:rsidRDefault="00594653"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F3791E" w:rsidRPr="00864963">
              <w:rPr>
                <w:rFonts w:ascii="Arial" w:hAnsi="Arial" w:cs="Arial"/>
                <w:sz w:val="16"/>
                <w:szCs w:val="16"/>
              </w:rPr>
              <w:t>23.0</w:t>
            </w:r>
          </w:p>
        </w:tc>
        <w:tc>
          <w:tcPr>
            <w:tcW w:w="539" w:type="pct"/>
            <w:tcBorders>
              <w:top w:val="nil"/>
              <w:left w:val="nil"/>
              <w:bottom w:val="nil"/>
              <w:right w:val="nil"/>
            </w:tcBorders>
            <w:shd w:val="clear" w:color="000000" w:fill="FFFFFF"/>
            <w:noWrap/>
            <w:vAlign w:val="center"/>
            <w:hideMark/>
          </w:tcPr>
          <w:p w14:paraId="1CA7EAC8" w14:textId="2AF96AE9" w:rsidR="00F3791E" w:rsidRPr="00864963" w:rsidRDefault="00594653" w:rsidP="00F3791E">
            <w:pPr>
              <w:spacing w:before="0" w:after="0" w:line="240" w:lineRule="auto"/>
              <w:jc w:val="right"/>
              <w:rPr>
                <w:rFonts w:ascii="Arial" w:hAnsi="Arial" w:cs="Arial"/>
                <w:sz w:val="16"/>
                <w:szCs w:val="16"/>
              </w:rPr>
            </w:pPr>
            <w:r w:rsidRPr="00864963">
              <w:rPr>
                <w:rFonts w:ascii="Arial" w:hAnsi="Arial" w:cs="Arial"/>
                <w:sz w:val="16"/>
                <w:szCs w:val="16"/>
              </w:rPr>
              <w:noBreakHyphen/>
            </w:r>
            <w:r w:rsidR="00F3791E" w:rsidRPr="00864963">
              <w:rPr>
                <w:rFonts w:ascii="Arial" w:hAnsi="Arial" w:cs="Arial"/>
                <w:sz w:val="16"/>
                <w:szCs w:val="16"/>
              </w:rPr>
              <w:t>22.8</w:t>
            </w:r>
          </w:p>
        </w:tc>
      </w:tr>
      <w:tr w:rsidR="00864963" w:rsidRPr="00864963" w14:paraId="71225385" w14:textId="77777777" w:rsidTr="00F3791E">
        <w:trPr>
          <w:trHeight w:val="60"/>
        </w:trPr>
        <w:tc>
          <w:tcPr>
            <w:tcW w:w="1684" w:type="pct"/>
            <w:tcBorders>
              <w:top w:val="nil"/>
              <w:left w:val="nil"/>
              <w:bottom w:val="nil"/>
              <w:right w:val="nil"/>
            </w:tcBorders>
            <w:shd w:val="clear" w:color="000000" w:fill="FFFFFF"/>
            <w:noWrap/>
            <w:vAlign w:val="center"/>
            <w:hideMark/>
          </w:tcPr>
          <w:p w14:paraId="604816C4" w14:textId="77777777" w:rsidR="00F3791E" w:rsidRPr="00864963" w:rsidRDefault="00F3791E" w:rsidP="00F3791E">
            <w:pPr>
              <w:spacing w:before="0" w:after="0" w:line="240" w:lineRule="auto"/>
              <w:rPr>
                <w:rFonts w:ascii="Arial" w:hAnsi="Arial" w:cs="Arial"/>
                <w:b/>
                <w:bCs/>
                <w:sz w:val="16"/>
                <w:szCs w:val="16"/>
                <w:highlight w:val="darkCyan"/>
              </w:rPr>
            </w:pPr>
            <w:r w:rsidRPr="00864963">
              <w:rPr>
                <w:rFonts w:ascii="Arial" w:hAnsi="Arial" w:cs="Arial"/>
                <w:b/>
                <w:bCs/>
                <w:sz w:val="16"/>
                <w:szCs w:val="16"/>
              </w:rPr>
              <w:t> </w:t>
            </w:r>
          </w:p>
        </w:tc>
        <w:tc>
          <w:tcPr>
            <w:tcW w:w="547" w:type="pct"/>
            <w:tcBorders>
              <w:top w:val="nil"/>
              <w:left w:val="nil"/>
              <w:bottom w:val="nil"/>
              <w:right w:val="nil"/>
            </w:tcBorders>
            <w:shd w:val="clear" w:color="000000" w:fill="FFFFFF"/>
            <w:noWrap/>
            <w:vAlign w:val="center"/>
            <w:hideMark/>
          </w:tcPr>
          <w:p w14:paraId="489E52C4"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75" w:type="pct"/>
            <w:tcBorders>
              <w:top w:val="nil"/>
              <w:left w:val="nil"/>
              <w:bottom w:val="nil"/>
              <w:right w:val="nil"/>
            </w:tcBorders>
            <w:shd w:val="clear" w:color="000000" w:fill="FFFFFF"/>
            <w:noWrap/>
            <w:vAlign w:val="center"/>
            <w:hideMark/>
          </w:tcPr>
          <w:p w14:paraId="7CDA02D0"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52AAEF0E"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E6F2FF"/>
            <w:noWrap/>
            <w:vAlign w:val="center"/>
            <w:hideMark/>
          </w:tcPr>
          <w:p w14:paraId="02A1D1EB"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14FED215"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0ECE1B78"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140078AD" w14:textId="77777777" w:rsidR="00F3791E" w:rsidRPr="00864963" w:rsidRDefault="00F3791E" w:rsidP="00F3791E">
            <w:pPr>
              <w:spacing w:before="0" w:after="0" w:line="240" w:lineRule="auto"/>
              <w:jc w:val="right"/>
              <w:rPr>
                <w:rFonts w:ascii="Arial" w:hAnsi="Arial" w:cs="Arial"/>
                <w:b/>
                <w:bCs/>
                <w:sz w:val="16"/>
                <w:szCs w:val="16"/>
              </w:rPr>
            </w:pPr>
            <w:r w:rsidRPr="00864963">
              <w:rPr>
                <w:rFonts w:ascii="Arial" w:hAnsi="Arial" w:cs="Arial"/>
                <w:b/>
                <w:bCs/>
                <w:sz w:val="16"/>
                <w:szCs w:val="16"/>
              </w:rPr>
              <w:t> </w:t>
            </w:r>
          </w:p>
        </w:tc>
      </w:tr>
      <w:tr w:rsidR="00864963" w:rsidRPr="00864963" w14:paraId="05D0BAB4" w14:textId="77777777" w:rsidTr="00F3791E">
        <w:trPr>
          <w:trHeight w:val="225"/>
        </w:trPr>
        <w:tc>
          <w:tcPr>
            <w:tcW w:w="1684" w:type="pct"/>
            <w:tcBorders>
              <w:top w:val="nil"/>
              <w:left w:val="nil"/>
              <w:bottom w:val="nil"/>
              <w:right w:val="nil"/>
            </w:tcBorders>
            <w:shd w:val="clear" w:color="000000" w:fill="FFFFFF"/>
            <w:noWrap/>
            <w:vAlign w:val="center"/>
            <w:hideMark/>
          </w:tcPr>
          <w:p w14:paraId="4CEB0AE1" w14:textId="77777777" w:rsidR="00F3791E" w:rsidRPr="00864963" w:rsidRDefault="00F3791E" w:rsidP="00F3791E">
            <w:pPr>
              <w:spacing w:before="0" w:after="0" w:line="240" w:lineRule="auto"/>
              <w:rPr>
                <w:rFonts w:ascii="Arial" w:hAnsi="Arial" w:cs="Arial"/>
                <w:b/>
                <w:bCs/>
                <w:sz w:val="16"/>
                <w:szCs w:val="16"/>
                <w:highlight w:val="darkCyan"/>
              </w:rPr>
            </w:pPr>
            <w:r w:rsidRPr="00864963">
              <w:rPr>
                <w:rFonts w:ascii="Arial" w:hAnsi="Arial" w:cs="Arial"/>
                <w:b/>
                <w:bCs/>
                <w:sz w:val="16"/>
                <w:szCs w:val="16"/>
              </w:rPr>
              <w:t xml:space="preserve">Net financial worth(a) </w:t>
            </w:r>
          </w:p>
        </w:tc>
        <w:tc>
          <w:tcPr>
            <w:tcW w:w="547" w:type="pct"/>
            <w:tcBorders>
              <w:top w:val="nil"/>
              <w:left w:val="nil"/>
              <w:bottom w:val="nil"/>
              <w:right w:val="nil"/>
            </w:tcBorders>
            <w:shd w:val="clear" w:color="000000" w:fill="FFFFFF"/>
            <w:noWrap/>
            <w:vAlign w:val="center"/>
            <w:hideMark/>
          </w:tcPr>
          <w:p w14:paraId="700D336D" w14:textId="06327C8E" w:rsidR="00F3791E" w:rsidRPr="00864963" w:rsidRDefault="00594653"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noBreakHyphen/>
            </w:r>
            <w:r w:rsidR="00F3791E" w:rsidRPr="00864963">
              <w:rPr>
                <w:rFonts w:ascii="Arial" w:hAnsi="Arial" w:cs="Arial"/>
                <w:b/>
                <w:bCs/>
                <w:sz w:val="16"/>
                <w:szCs w:val="16"/>
              </w:rPr>
              <w:t>775.7</w:t>
            </w:r>
          </w:p>
        </w:tc>
        <w:tc>
          <w:tcPr>
            <w:tcW w:w="75" w:type="pct"/>
            <w:tcBorders>
              <w:top w:val="nil"/>
              <w:left w:val="nil"/>
              <w:bottom w:val="nil"/>
              <w:right w:val="nil"/>
            </w:tcBorders>
            <w:shd w:val="clear" w:color="000000" w:fill="FFFFFF"/>
            <w:noWrap/>
            <w:vAlign w:val="center"/>
            <w:hideMark/>
          </w:tcPr>
          <w:p w14:paraId="457AC6B2"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12257C4C" w14:textId="2945FD92" w:rsidR="00F3791E" w:rsidRPr="00864963" w:rsidRDefault="00594653"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noBreakHyphen/>
            </w:r>
            <w:r w:rsidR="00F3791E" w:rsidRPr="00864963">
              <w:rPr>
                <w:rFonts w:ascii="Arial" w:hAnsi="Arial" w:cs="Arial"/>
                <w:b/>
                <w:bCs/>
                <w:sz w:val="16"/>
                <w:szCs w:val="16"/>
              </w:rPr>
              <w:t>750.7</w:t>
            </w:r>
          </w:p>
        </w:tc>
        <w:tc>
          <w:tcPr>
            <w:tcW w:w="539" w:type="pct"/>
            <w:tcBorders>
              <w:top w:val="nil"/>
              <w:left w:val="nil"/>
              <w:bottom w:val="nil"/>
              <w:right w:val="nil"/>
            </w:tcBorders>
            <w:shd w:val="clear" w:color="000000" w:fill="E6F2FF"/>
            <w:noWrap/>
            <w:vAlign w:val="center"/>
            <w:hideMark/>
          </w:tcPr>
          <w:p w14:paraId="431E3D16" w14:textId="749AC69D" w:rsidR="00F3791E" w:rsidRPr="00864963" w:rsidRDefault="00594653"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noBreakHyphen/>
            </w:r>
            <w:r w:rsidR="00F3791E" w:rsidRPr="00864963">
              <w:rPr>
                <w:rFonts w:ascii="Arial" w:hAnsi="Arial" w:cs="Arial"/>
                <w:b/>
                <w:bCs/>
                <w:sz w:val="16"/>
                <w:szCs w:val="16"/>
              </w:rPr>
              <w:t>772.6</w:t>
            </w:r>
          </w:p>
        </w:tc>
        <w:tc>
          <w:tcPr>
            <w:tcW w:w="539" w:type="pct"/>
            <w:tcBorders>
              <w:top w:val="nil"/>
              <w:left w:val="nil"/>
              <w:bottom w:val="nil"/>
              <w:right w:val="nil"/>
            </w:tcBorders>
            <w:shd w:val="clear" w:color="000000" w:fill="FFFFFF"/>
            <w:noWrap/>
            <w:vAlign w:val="center"/>
            <w:hideMark/>
          </w:tcPr>
          <w:p w14:paraId="7A1A47C9" w14:textId="6FF2ED13" w:rsidR="00F3791E" w:rsidRPr="00864963" w:rsidRDefault="00594653"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noBreakHyphen/>
            </w:r>
            <w:r w:rsidR="00F3791E" w:rsidRPr="00864963">
              <w:rPr>
                <w:rFonts w:ascii="Arial" w:hAnsi="Arial" w:cs="Arial"/>
                <w:b/>
                <w:bCs/>
                <w:sz w:val="16"/>
                <w:szCs w:val="16"/>
              </w:rPr>
              <w:t>825.0</w:t>
            </w:r>
          </w:p>
        </w:tc>
        <w:tc>
          <w:tcPr>
            <w:tcW w:w="539" w:type="pct"/>
            <w:tcBorders>
              <w:top w:val="nil"/>
              <w:left w:val="nil"/>
              <w:bottom w:val="nil"/>
              <w:right w:val="nil"/>
            </w:tcBorders>
            <w:shd w:val="clear" w:color="000000" w:fill="FFFFFF"/>
            <w:noWrap/>
            <w:vAlign w:val="center"/>
            <w:hideMark/>
          </w:tcPr>
          <w:p w14:paraId="5D40DF35" w14:textId="5BC94709" w:rsidR="00F3791E" w:rsidRPr="00864963" w:rsidRDefault="00594653"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noBreakHyphen/>
            </w:r>
            <w:r w:rsidR="00F3791E" w:rsidRPr="00864963">
              <w:rPr>
                <w:rFonts w:ascii="Arial" w:hAnsi="Arial" w:cs="Arial"/>
                <w:b/>
                <w:bCs/>
                <w:sz w:val="16"/>
                <w:szCs w:val="16"/>
              </w:rPr>
              <w:t>865.7</w:t>
            </w:r>
          </w:p>
        </w:tc>
        <w:tc>
          <w:tcPr>
            <w:tcW w:w="539" w:type="pct"/>
            <w:tcBorders>
              <w:top w:val="nil"/>
              <w:left w:val="nil"/>
              <w:bottom w:val="nil"/>
              <w:right w:val="nil"/>
            </w:tcBorders>
            <w:shd w:val="clear" w:color="000000" w:fill="FFFFFF"/>
            <w:noWrap/>
            <w:vAlign w:val="center"/>
            <w:hideMark/>
          </w:tcPr>
          <w:p w14:paraId="1CBFD164" w14:textId="3280B8D5" w:rsidR="00F3791E" w:rsidRPr="00864963" w:rsidRDefault="00594653" w:rsidP="00F3791E">
            <w:pPr>
              <w:spacing w:before="0" w:after="0" w:line="240" w:lineRule="auto"/>
              <w:jc w:val="right"/>
              <w:rPr>
                <w:rFonts w:ascii="Arial" w:hAnsi="Arial" w:cs="Arial"/>
                <w:b/>
                <w:bCs/>
                <w:sz w:val="16"/>
                <w:szCs w:val="16"/>
              </w:rPr>
            </w:pPr>
            <w:r w:rsidRPr="00864963">
              <w:rPr>
                <w:rFonts w:ascii="Arial" w:hAnsi="Arial" w:cs="Arial"/>
                <w:b/>
                <w:bCs/>
                <w:sz w:val="16"/>
                <w:szCs w:val="16"/>
              </w:rPr>
              <w:noBreakHyphen/>
            </w:r>
            <w:r w:rsidR="00F3791E" w:rsidRPr="00864963">
              <w:rPr>
                <w:rFonts w:ascii="Arial" w:hAnsi="Arial" w:cs="Arial"/>
                <w:b/>
                <w:bCs/>
                <w:sz w:val="16"/>
                <w:szCs w:val="16"/>
              </w:rPr>
              <w:t>902.8</w:t>
            </w:r>
          </w:p>
        </w:tc>
      </w:tr>
      <w:tr w:rsidR="00864963" w:rsidRPr="00864963" w14:paraId="0B90E5F8" w14:textId="77777777" w:rsidTr="00F3791E">
        <w:trPr>
          <w:trHeight w:val="225"/>
        </w:trPr>
        <w:tc>
          <w:tcPr>
            <w:tcW w:w="1684" w:type="pct"/>
            <w:tcBorders>
              <w:top w:val="nil"/>
              <w:left w:val="nil"/>
              <w:bottom w:val="nil"/>
              <w:right w:val="nil"/>
            </w:tcBorders>
            <w:shd w:val="clear" w:color="000000" w:fill="FFFFFF"/>
            <w:noWrap/>
            <w:vAlign w:val="center"/>
            <w:hideMark/>
          </w:tcPr>
          <w:p w14:paraId="339748E8"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Per cent of GDP</w:t>
            </w:r>
          </w:p>
        </w:tc>
        <w:tc>
          <w:tcPr>
            <w:tcW w:w="547" w:type="pct"/>
            <w:tcBorders>
              <w:top w:val="nil"/>
              <w:left w:val="nil"/>
              <w:bottom w:val="nil"/>
              <w:right w:val="nil"/>
            </w:tcBorders>
            <w:shd w:val="clear" w:color="000000" w:fill="FFFFFF"/>
            <w:noWrap/>
            <w:vAlign w:val="center"/>
            <w:hideMark/>
          </w:tcPr>
          <w:p w14:paraId="4DD4CAFD" w14:textId="1254CF00" w:rsidR="00F3791E" w:rsidRPr="00864963" w:rsidRDefault="00594653"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F3791E" w:rsidRPr="00864963">
              <w:rPr>
                <w:rFonts w:ascii="Arial" w:hAnsi="Arial" w:cs="Arial"/>
                <w:sz w:val="16"/>
                <w:szCs w:val="16"/>
              </w:rPr>
              <w:t>33.6</w:t>
            </w:r>
          </w:p>
        </w:tc>
        <w:tc>
          <w:tcPr>
            <w:tcW w:w="75" w:type="pct"/>
            <w:tcBorders>
              <w:top w:val="nil"/>
              <w:left w:val="nil"/>
              <w:bottom w:val="nil"/>
              <w:right w:val="nil"/>
            </w:tcBorders>
            <w:shd w:val="clear" w:color="000000" w:fill="FFFFFF"/>
            <w:noWrap/>
            <w:vAlign w:val="center"/>
            <w:hideMark/>
          </w:tcPr>
          <w:p w14:paraId="777C3C86"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742AE11B" w14:textId="42CED278" w:rsidR="00F3791E" w:rsidRPr="00864963" w:rsidRDefault="00594653"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F3791E" w:rsidRPr="00864963">
              <w:rPr>
                <w:rFonts w:ascii="Arial" w:hAnsi="Arial" w:cs="Arial"/>
                <w:sz w:val="16"/>
                <w:szCs w:val="16"/>
              </w:rPr>
              <w:t>29.5</w:t>
            </w:r>
          </w:p>
        </w:tc>
        <w:tc>
          <w:tcPr>
            <w:tcW w:w="539" w:type="pct"/>
            <w:tcBorders>
              <w:top w:val="nil"/>
              <w:left w:val="nil"/>
              <w:bottom w:val="nil"/>
              <w:right w:val="nil"/>
            </w:tcBorders>
            <w:shd w:val="clear" w:color="000000" w:fill="E6F2FF"/>
            <w:noWrap/>
            <w:vAlign w:val="center"/>
            <w:hideMark/>
          </w:tcPr>
          <w:p w14:paraId="2C0AAF89" w14:textId="5A92AB8F" w:rsidR="00F3791E" w:rsidRPr="00864963" w:rsidRDefault="00594653"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F3791E" w:rsidRPr="00864963">
              <w:rPr>
                <w:rFonts w:ascii="Arial" w:hAnsi="Arial" w:cs="Arial"/>
                <w:sz w:val="16"/>
                <w:szCs w:val="16"/>
              </w:rPr>
              <w:t>30.0</w:t>
            </w:r>
          </w:p>
        </w:tc>
        <w:tc>
          <w:tcPr>
            <w:tcW w:w="539" w:type="pct"/>
            <w:tcBorders>
              <w:top w:val="nil"/>
              <w:left w:val="nil"/>
              <w:bottom w:val="nil"/>
              <w:right w:val="nil"/>
            </w:tcBorders>
            <w:shd w:val="clear" w:color="000000" w:fill="FFFFFF"/>
            <w:noWrap/>
            <w:vAlign w:val="center"/>
            <w:hideMark/>
          </w:tcPr>
          <w:p w14:paraId="30FCF5CF" w14:textId="07F4C088" w:rsidR="00F3791E" w:rsidRPr="00864963" w:rsidRDefault="00594653"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F3791E" w:rsidRPr="00864963">
              <w:rPr>
                <w:rFonts w:ascii="Arial" w:hAnsi="Arial" w:cs="Arial"/>
                <w:sz w:val="16"/>
                <w:szCs w:val="16"/>
              </w:rPr>
              <w:t>31.3</w:t>
            </w:r>
          </w:p>
        </w:tc>
        <w:tc>
          <w:tcPr>
            <w:tcW w:w="539" w:type="pct"/>
            <w:tcBorders>
              <w:top w:val="nil"/>
              <w:left w:val="nil"/>
              <w:bottom w:val="nil"/>
              <w:right w:val="nil"/>
            </w:tcBorders>
            <w:shd w:val="clear" w:color="000000" w:fill="FFFFFF"/>
            <w:noWrap/>
            <w:vAlign w:val="center"/>
            <w:hideMark/>
          </w:tcPr>
          <w:p w14:paraId="736ED446" w14:textId="116604A5" w:rsidR="00F3791E" w:rsidRPr="00864963" w:rsidRDefault="00594653"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F3791E" w:rsidRPr="00864963">
              <w:rPr>
                <w:rFonts w:ascii="Arial" w:hAnsi="Arial" w:cs="Arial"/>
                <w:sz w:val="16"/>
                <w:szCs w:val="16"/>
              </w:rPr>
              <w:t>31.2</w:t>
            </w:r>
          </w:p>
        </w:tc>
        <w:tc>
          <w:tcPr>
            <w:tcW w:w="539" w:type="pct"/>
            <w:tcBorders>
              <w:top w:val="nil"/>
              <w:left w:val="nil"/>
              <w:bottom w:val="nil"/>
              <w:right w:val="nil"/>
            </w:tcBorders>
            <w:shd w:val="clear" w:color="000000" w:fill="FFFFFF"/>
            <w:noWrap/>
            <w:vAlign w:val="center"/>
            <w:hideMark/>
          </w:tcPr>
          <w:p w14:paraId="7DD2659B" w14:textId="7E5A9BBC" w:rsidR="00F3791E" w:rsidRPr="00864963" w:rsidRDefault="00594653" w:rsidP="00F3791E">
            <w:pPr>
              <w:spacing w:before="0" w:after="0" w:line="240" w:lineRule="auto"/>
              <w:jc w:val="right"/>
              <w:rPr>
                <w:rFonts w:ascii="Arial" w:hAnsi="Arial" w:cs="Arial"/>
                <w:sz w:val="16"/>
                <w:szCs w:val="16"/>
              </w:rPr>
            </w:pPr>
            <w:r w:rsidRPr="00864963">
              <w:rPr>
                <w:rFonts w:ascii="Arial" w:hAnsi="Arial" w:cs="Arial"/>
                <w:sz w:val="16"/>
                <w:szCs w:val="16"/>
              </w:rPr>
              <w:noBreakHyphen/>
            </w:r>
            <w:r w:rsidR="00F3791E" w:rsidRPr="00864963">
              <w:rPr>
                <w:rFonts w:ascii="Arial" w:hAnsi="Arial" w:cs="Arial"/>
                <w:sz w:val="16"/>
                <w:szCs w:val="16"/>
              </w:rPr>
              <w:t>30.9</w:t>
            </w:r>
          </w:p>
        </w:tc>
      </w:tr>
      <w:tr w:rsidR="00864963" w:rsidRPr="00864963" w14:paraId="69395E44" w14:textId="77777777" w:rsidTr="00F3791E">
        <w:trPr>
          <w:trHeight w:val="60"/>
        </w:trPr>
        <w:tc>
          <w:tcPr>
            <w:tcW w:w="1684" w:type="pct"/>
            <w:tcBorders>
              <w:top w:val="nil"/>
              <w:left w:val="nil"/>
              <w:bottom w:val="nil"/>
              <w:right w:val="nil"/>
            </w:tcBorders>
            <w:shd w:val="clear" w:color="000000" w:fill="FFFFFF"/>
            <w:noWrap/>
            <w:vAlign w:val="center"/>
            <w:hideMark/>
          </w:tcPr>
          <w:p w14:paraId="50D31BE8" w14:textId="77777777" w:rsidR="00F3791E" w:rsidRPr="00864963" w:rsidRDefault="00F3791E" w:rsidP="00F3791E">
            <w:pPr>
              <w:spacing w:before="0" w:after="0" w:line="240" w:lineRule="auto"/>
              <w:rPr>
                <w:rFonts w:ascii="Arial" w:hAnsi="Arial" w:cs="Arial"/>
                <w:b/>
                <w:bCs/>
                <w:sz w:val="16"/>
                <w:szCs w:val="16"/>
                <w:highlight w:val="darkCyan"/>
              </w:rPr>
            </w:pPr>
            <w:r w:rsidRPr="00864963">
              <w:rPr>
                <w:rFonts w:ascii="Arial" w:hAnsi="Arial" w:cs="Arial"/>
                <w:b/>
                <w:bCs/>
                <w:sz w:val="16"/>
                <w:szCs w:val="16"/>
              </w:rPr>
              <w:t> </w:t>
            </w:r>
          </w:p>
        </w:tc>
        <w:tc>
          <w:tcPr>
            <w:tcW w:w="547" w:type="pct"/>
            <w:tcBorders>
              <w:top w:val="nil"/>
              <w:left w:val="nil"/>
              <w:bottom w:val="nil"/>
              <w:right w:val="nil"/>
            </w:tcBorders>
            <w:shd w:val="clear" w:color="000000" w:fill="FFFFFF"/>
            <w:noWrap/>
            <w:vAlign w:val="center"/>
            <w:hideMark/>
          </w:tcPr>
          <w:p w14:paraId="4DE271B1"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75" w:type="pct"/>
            <w:tcBorders>
              <w:top w:val="nil"/>
              <w:left w:val="nil"/>
              <w:bottom w:val="nil"/>
              <w:right w:val="nil"/>
            </w:tcBorders>
            <w:shd w:val="clear" w:color="000000" w:fill="FFFFFF"/>
            <w:noWrap/>
            <w:vAlign w:val="center"/>
            <w:hideMark/>
          </w:tcPr>
          <w:p w14:paraId="0330680C"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7314588B"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E6F2FF"/>
            <w:noWrap/>
            <w:vAlign w:val="center"/>
            <w:hideMark/>
          </w:tcPr>
          <w:p w14:paraId="6E95B193"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7FCA4684"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0E00285F"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37198613" w14:textId="77777777" w:rsidR="00F3791E" w:rsidRPr="00864963" w:rsidRDefault="00F3791E" w:rsidP="00F3791E">
            <w:pPr>
              <w:spacing w:before="0" w:after="0" w:line="240" w:lineRule="auto"/>
              <w:jc w:val="right"/>
              <w:rPr>
                <w:rFonts w:ascii="Arial" w:hAnsi="Arial" w:cs="Arial"/>
                <w:b/>
                <w:bCs/>
                <w:sz w:val="16"/>
                <w:szCs w:val="16"/>
              </w:rPr>
            </w:pPr>
            <w:r w:rsidRPr="00864963">
              <w:rPr>
                <w:rFonts w:ascii="Arial" w:hAnsi="Arial" w:cs="Arial"/>
                <w:b/>
                <w:bCs/>
                <w:sz w:val="16"/>
                <w:szCs w:val="16"/>
              </w:rPr>
              <w:t> </w:t>
            </w:r>
          </w:p>
        </w:tc>
      </w:tr>
      <w:tr w:rsidR="00864963" w:rsidRPr="00864963" w14:paraId="54EF2009" w14:textId="77777777" w:rsidTr="00F3791E">
        <w:trPr>
          <w:trHeight w:val="225"/>
        </w:trPr>
        <w:tc>
          <w:tcPr>
            <w:tcW w:w="1684" w:type="pct"/>
            <w:tcBorders>
              <w:top w:val="nil"/>
              <w:left w:val="nil"/>
              <w:bottom w:val="nil"/>
              <w:right w:val="nil"/>
            </w:tcBorders>
            <w:shd w:val="clear" w:color="000000" w:fill="FFFFFF"/>
            <w:noWrap/>
            <w:vAlign w:val="center"/>
            <w:hideMark/>
          </w:tcPr>
          <w:p w14:paraId="58E24EF6" w14:textId="77777777" w:rsidR="00F3791E" w:rsidRPr="00864963" w:rsidRDefault="00F3791E" w:rsidP="00F3791E">
            <w:pPr>
              <w:spacing w:before="0" w:after="0" w:line="240" w:lineRule="auto"/>
              <w:rPr>
                <w:rFonts w:ascii="Arial" w:hAnsi="Arial" w:cs="Arial"/>
                <w:b/>
                <w:bCs/>
                <w:sz w:val="16"/>
                <w:szCs w:val="16"/>
                <w:highlight w:val="darkCyan"/>
              </w:rPr>
            </w:pPr>
            <w:r w:rsidRPr="00864963">
              <w:rPr>
                <w:rFonts w:ascii="Arial" w:hAnsi="Arial" w:cs="Arial"/>
                <w:b/>
                <w:bCs/>
                <w:sz w:val="16"/>
                <w:szCs w:val="16"/>
              </w:rPr>
              <w:t>Gross debt(b)</w:t>
            </w:r>
          </w:p>
        </w:tc>
        <w:tc>
          <w:tcPr>
            <w:tcW w:w="547" w:type="pct"/>
            <w:tcBorders>
              <w:top w:val="nil"/>
              <w:left w:val="nil"/>
              <w:bottom w:val="nil"/>
              <w:right w:val="nil"/>
            </w:tcBorders>
            <w:shd w:val="clear" w:color="000000" w:fill="FFFFFF"/>
            <w:noWrap/>
            <w:vAlign w:val="center"/>
            <w:hideMark/>
          </w:tcPr>
          <w:p w14:paraId="7CFC21A9"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895.3</w:t>
            </w:r>
          </w:p>
        </w:tc>
        <w:tc>
          <w:tcPr>
            <w:tcW w:w="75" w:type="pct"/>
            <w:tcBorders>
              <w:top w:val="nil"/>
              <w:left w:val="nil"/>
              <w:bottom w:val="nil"/>
              <w:right w:val="nil"/>
            </w:tcBorders>
            <w:shd w:val="clear" w:color="000000" w:fill="FFFFFF"/>
            <w:noWrap/>
            <w:vAlign w:val="center"/>
            <w:hideMark/>
          </w:tcPr>
          <w:p w14:paraId="6FA4389E"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0A1CF8B7"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887.0</w:t>
            </w:r>
          </w:p>
        </w:tc>
        <w:tc>
          <w:tcPr>
            <w:tcW w:w="539" w:type="pct"/>
            <w:tcBorders>
              <w:top w:val="nil"/>
              <w:left w:val="nil"/>
              <w:bottom w:val="nil"/>
              <w:right w:val="nil"/>
            </w:tcBorders>
            <w:shd w:val="clear" w:color="000000" w:fill="E6F2FF"/>
            <w:noWrap/>
            <w:vAlign w:val="center"/>
            <w:hideMark/>
          </w:tcPr>
          <w:p w14:paraId="147E4CF0"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923.0</w:t>
            </w:r>
          </w:p>
        </w:tc>
        <w:tc>
          <w:tcPr>
            <w:tcW w:w="539" w:type="pct"/>
            <w:tcBorders>
              <w:top w:val="nil"/>
              <w:left w:val="nil"/>
              <w:bottom w:val="nil"/>
              <w:right w:val="nil"/>
            </w:tcBorders>
            <w:shd w:val="clear" w:color="000000" w:fill="FFFFFF"/>
            <w:noWrap/>
            <w:vAlign w:val="center"/>
            <w:hideMark/>
          </w:tcPr>
          <w:p w14:paraId="4C5A5F77"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958.0</w:t>
            </w:r>
          </w:p>
        </w:tc>
        <w:tc>
          <w:tcPr>
            <w:tcW w:w="539" w:type="pct"/>
            <w:tcBorders>
              <w:top w:val="nil"/>
              <w:left w:val="nil"/>
              <w:bottom w:val="nil"/>
              <w:right w:val="nil"/>
            </w:tcBorders>
            <w:shd w:val="clear" w:color="000000" w:fill="FFFFFF"/>
            <w:noWrap/>
            <w:vAlign w:val="center"/>
            <w:hideMark/>
          </w:tcPr>
          <w:p w14:paraId="420D2E9F"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1,015.0</w:t>
            </w:r>
          </w:p>
        </w:tc>
        <w:tc>
          <w:tcPr>
            <w:tcW w:w="539" w:type="pct"/>
            <w:tcBorders>
              <w:top w:val="nil"/>
              <w:left w:val="nil"/>
              <w:bottom w:val="nil"/>
              <w:right w:val="nil"/>
            </w:tcBorders>
            <w:shd w:val="clear" w:color="000000" w:fill="FFFFFF"/>
            <w:noWrap/>
            <w:vAlign w:val="center"/>
            <w:hideMark/>
          </w:tcPr>
          <w:p w14:paraId="0EC2742A" w14:textId="77777777" w:rsidR="00F3791E" w:rsidRPr="00864963" w:rsidRDefault="00F3791E" w:rsidP="00F3791E">
            <w:pPr>
              <w:spacing w:before="0" w:after="0" w:line="240" w:lineRule="auto"/>
              <w:jc w:val="right"/>
              <w:rPr>
                <w:rFonts w:ascii="Arial" w:hAnsi="Arial" w:cs="Arial"/>
                <w:b/>
                <w:bCs/>
                <w:sz w:val="16"/>
                <w:szCs w:val="16"/>
              </w:rPr>
            </w:pPr>
            <w:r w:rsidRPr="00864963">
              <w:rPr>
                <w:rFonts w:ascii="Arial" w:hAnsi="Arial" w:cs="Arial"/>
                <w:b/>
                <w:bCs/>
                <w:sz w:val="16"/>
                <w:szCs w:val="16"/>
              </w:rPr>
              <w:t>1,067.0</w:t>
            </w:r>
          </w:p>
        </w:tc>
      </w:tr>
      <w:tr w:rsidR="00864963" w:rsidRPr="00864963" w14:paraId="7AC1E982" w14:textId="77777777" w:rsidTr="00F3791E">
        <w:trPr>
          <w:trHeight w:val="225"/>
        </w:trPr>
        <w:tc>
          <w:tcPr>
            <w:tcW w:w="1684" w:type="pct"/>
            <w:tcBorders>
              <w:top w:val="nil"/>
              <w:left w:val="nil"/>
              <w:bottom w:val="nil"/>
              <w:right w:val="nil"/>
            </w:tcBorders>
            <w:shd w:val="clear" w:color="000000" w:fill="FFFFFF"/>
            <w:noWrap/>
            <w:vAlign w:val="center"/>
            <w:hideMark/>
          </w:tcPr>
          <w:p w14:paraId="74ACDC9F"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Per cent of GDP</w:t>
            </w:r>
          </w:p>
        </w:tc>
        <w:tc>
          <w:tcPr>
            <w:tcW w:w="547" w:type="pct"/>
            <w:tcBorders>
              <w:top w:val="nil"/>
              <w:left w:val="nil"/>
              <w:bottom w:val="nil"/>
              <w:right w:val="nil"/>
            </w:tcBorders>
            <w:shd w:val="clear" w:color="000000" w:fill="FFFFFF"/>
            <w:noWrap/>
            <w:vAlign w:val="center"/>
            <w:hideMark/>
          </w:tcPr>
          <w:p w14:paraId="2698BA6C"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38.8</w:t>
            </w:r>
          </w:p>
        </w:tc>
        <w:tc>
          <w:tcPr>
            <w:tcW w:w="75" w:type="pct"/>
            <w:tcBorders>
              <w:top w:val="nil"/>
              <w:left w:val="nil"/>
              <w:bottom w:val="nil"/>
              <w:right w:val="nil"/>
            </w:tcBorders>
            <w:shd w:val="clear" w:color="000000" w:fill="FFFFFF"/>
            <w:noWrap/>
            <w:vAlign w:val="center"/>
            <w:hideMark/>
          </w:tcPr>
          <w:p w14:paraId="4C34820C"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156DE4C6"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34.9</w:t>
            </w:r>
          </w:p>
        </w:tc>
        <w:tc>
          <w:tcPr>
            <w:tcW w:w="539" w:type="pct"/>
            <w:tcBorders>
              <w:top w:val="nil"/>
              <w:left w:val="nil"/>
              <w:bottom w:val="nil"/>
              <w:right w:val="nil"/>
            </w:tcBorders>
            <w:shd w:val="clear" w:color="000000" w:fill="E6F2FF"/>
            <w:noWrap/>
            <w:vAlign w:val="center"/>
            <w:hideMark/>
          </w:tcPr>
          <w:p w14:paraId="33EE2E50"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35.8</w:t>
            </w:r>
          </w:p>
        </w:tc>
        <w:tc>
          <w:tcPr>
            <w:tcW w:w="539" w:type="pct"/>
            <w:tcBorders>
              <w:top w:val="nil"/>
              <w:left w:val="nil"/>
              <w:bottom w:val="nil"/>
              <w:right w:val="nil"/>
            </w:tcBorders>
            <w:shd w:val="clear" w:color="000000" w:fill="FFFFFF"/>
            <w:noWrap/>
            <w:vAlign w:val="center"/>
            <w:hideMark/>
          </w:tcPr>
          <w:p w14:paraId="5373773F"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36.3</w:t>
            </w:r>
          </w:p>
        </w:tc>
        <w:tc>
          <w:tcPr>
            <w:tcW w:w="539" w:type="pct"/>
            <w:tcBorders>
              <w:top w:val="nil"/>
              <w:left w:val="nil"/>
              <w:bottom w:val="nil"/>
              <w:right w:val="nil"/>
            </w:tcBorders>
            <w:shd w:val="clear" w:color="000000" w:fill="FFFFFF"/>
            <w:noWrap/>
            <w:vAlign w:val="center"/>
            <w:hideMark/>
          </w:tcPr>
          <w:p w14:paraId="0FB290F8"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36.5</w:t>
            </w:r>
          </w:p>
        </w:tc>
        <w:tc>
          <w:tcPr>
            <w:tcW w:w="539" w:type="pct"/>
            <w:tcBorders>
              <w:top w:val="nil"/>
              <w:left w:val="nil"/>
              <w:bottom w:val="nil"/>
              <w:right w:val="nil"/>
            </w:tcBorders>
            <w:shd w:val="clear" w:color="000000" w:fill="FFFFFF"/>
            <w:noWrap/>
            <w:vAlign w:val="center"/>
            <w:hideMark/>
          </w:tcPr>
          <w:p w14:paraId="50702ED8" w14:textId="77777777" w:rsidR="00F3791E" w:rsidRPr="00864963" w:rsidRDefault="00F3791E" w:rsidP="00F3791E">
            <w:pPr>
              <w:spacing w:before="0" w:after="0" w:line="240" w:lineRule="auto"/>
              <w:jc w:val="right"/>
              <w:rPr>
                <w:rFonts w:ascii="Arial" w:hAnsi="Arial" w:cs="Arial"/>
                <w:sz w:val="16"/>
                <w:szCs w:val="16"/>
              </w:rPr>
            </w:pPr>
            <w:r w:rsidRPr="00864963">
              <w:rPr>
                <w:rFonts w:ascii="Arial" w:hAnsi="Arial" w:cs="Arial"/>
                <w:sz w:val="16"/>
                <w:szCs w:val="16"/>
              </w:rPr>
              <w:t>36.5</w:t>
            </w:r>
          </w:p>
        </w:tc>
      </w:tr>
      <w:tr w:rsidR="00864963" w:rsidRPr="00864963" w14:paraId="7180E506" w14:textId="77777777" w:rsidTr="00F3791E">
        <w:trPr>
          <w:trHeight w:val="60"/>
        </w:trPr>
        <w:tc>
          <w:tcPr>
            <w:tcW w:w="1684" w:type="pct"/>
            <w:tcBorders>
              <w:top w:val="nil"/>
              <w:left w:val="nil"/>
              <w:bottom w:val="nil"/>
              <w:right w:val="nil"/>
            </w:tcBorders>
            <w:shd w:val="clear" w:color="000000" w:fill="FFFFFF"/>
            <w:noWrap/>
            <w:vAlign w:val="center"/>
            <w:hideMark/>
          </w:tcPr>
          <w:p w14:paraId="7C2826A5" w14:textId="77777777" w:rsidR="00F3791E" w:rsidRPr="00864963" w:rsidRDefault="00F3791E" w:rsidP="00F3791E">
            <w:pPr>
              <w:spacing w:before="0" w:after="0" w:line="240" w:lineRule="auto"/>
              <w:rPr>
                <w:rFonts w:ascii="Arial" w:hAnsi="Arial" w:cs="Arial"/>
                <w:b/>
                <w:bCs/>
                <w:sz w:val="16"/>
                <w:szCs w:val="16"/>
                <w:highlight w:val="darkCyan"/>
              </w:rPr>
            </w:pPr>
            <w:r w:rsidRPr="00864963">
              <w:rPr>
                <w:rFonts w:ascii="Arial" w:hAnsi="Arial" w:cs="Arial"/>
                <w:b/>
                <w:bCs/>
                <w:sz w:val="16"/>
                <w:szCs w:val="16"/>
              </w:rPr>
              <w:t> </w:t>
            </w:r>
          </w:p>
        </w:tc>
        <w:tc>
          <w:tcPr>
            <w:tcW w:w="547" w:type="pct"/>
            <w:tcBorders>
              <w:top w:val="nil"/>
              <w:left w:val="nil"/>
              <w:bottom w:val="nil"/>
              <w:right w:val="nil"/>
            </w:tcBorders>
            <w:shd w:val="clear" w:color="000000" w:fill="FFFFFF"/>
            <w:noWrap/>
            <w:vAlign w:val="center"/>
            <w:hideMark/>
          </w:tcPr>
          <w:p w14:paraId="2B5F830D"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75" w:type="pct"/>
            <w:tcBorders>
              <w:top w:val="nil"/>
              <w:left w:val="nil"/>
              <w:bottom w:val="nil"/>
              <w:right w:val="nil"/>
            </w:tcBorders>
            <w:shd w:val="clear" w:color="000000" w:fill="FFFFFF"/>
            <w:noWrap/>
            <w:vAlign w:val="center"/>
            <w:hideMark/>
          </w:tcPr>
          <w:p w14:paraId="0A334DFC"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6D43823A"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E6F2FF"/>
            <w:noWrap/>
            <w:vAlign w:val="center"/>
            <w:hideMark/>
          </w:tcPr>
          <w:p w14:paraId="51E7E86D"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48CC7317"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66681CDC"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43280627" w14:textId="77777777" w:rsidR="00F3791E" w:rsidRPr="00864963" w:rsidRDefault="00F3791E" w:rsidP="00F3791E">
            <w:pPr>
              <w:spacing w:before="0" w:after="0" w:line="240" w:lineRule="auto"/>
              <w:jc w:val="right"/>
              <w:rPr>
                <w:rFonts w:ascii="Arial" w:hAnsi="Arial" w:cs="Arial"/>
                <w:b/>
                <w:bCs/>
                <w:sz w:val="16"/>
                <w:szCs w:val="16"/>
              </w:rPr>
            </w:pPr>
            <w:r w:rsidRPr="00864963">
              <w:rPr>
                <w:rFonts w:ascii="Arial" w:hAnsi="Arial" w:cs="Arial"/>
                <w:b/>
                <w:bCs/>
                <w:sz w:val="16"/>
                <w:szCs w:val="16"/>
              </w:rPr>
              <w:t> </w:t>
            </w:r>
          </w:p>
        </w:tc>
      </w:tr>
      <w:tr w:rsidR="00864963" w:rsidRPr="00864963" w14:paraId="101D4198" w14:textId="77777777" w:rsidTr="00F3791E">
        <w:trPr>
          <w:trHeight w:val="225"/>
        </w:trPr>
        <w:tc>
          <w:tcPr>
            <w:tcW w:w="1684" w:type="pct"/>
            <w:tcBorders>
              <w:top w:val="nil"/>
              <w:left w:val="nil"/>
              <w:bottom w:val="nil"/>
              <w:right w:val="nil"/>
            </w:tcBorders>
            <w:shd w:val="clear" w:color="000000" w:fill="FFFFFF"/>
            <w:noWrap/>
            <w:vAlign w:val="center"/>
            <w:hideMark/>
          </w:tcPr>
          <w:p w14:paraId="78DF15BB" w14:textId="77777777" w:rsidR="00F3791E" w:rsidRPr="00864963" w:rsidRDefault="00F3791E" w:rsidP="00F3791E">
            <w:pPr>
              <w:spacing w:before="0" w:after="0" w:line="240" w:lineRule="auto"/>
              <w:rPr>
                <w:rFonts w:ascii="Arial" w:hAnsi="Arial" w:cs="Arial"/>
                <w:b/>
                <w:bCs/>
                <w:sz w:val="16"/>
                <w:szCs w:val="16"/>
                <w:highlight w:val="darkCyan"/>
              </w:rPr>
            </w:pPr>
            <w:r w:rsidRPr="00864963">
              <w:rPr>
                <w:rFonts w:ascii="Arial" w:hAnsi="Arial" w:cs="Arial"/>
                <w:b/>
                <w:bCs/>
                <w:sz w:val="16"/>
                <w:szCs w:val="16"/>
              </w:rPr>
              <w:t>Net debt(c)</w:t>
            </w:r>
          </w:p>
        </w:tc>
        <w:tc>
          <w:tcPr>
            <w:tcW w:w="547" w:type="pct"/>
            <w:tcBorders>
              <w:top w:val="nil"/>
              <w:left w:val="nil"/>
              <w:bottom w:val="nil"/>
              <w:right w:val="nil"/>
            </w:tcBorders>
            <w:shd w:val="clear" w:color="000000" w:fill="FFFFFF"/>
            <w:noWrap/>
            <w:vAlign w:val="center"/>
            <w:hideMark/>
          </w:tcPr>
          <w:p w14:paraId="21519F32"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515.6</w:t>
            </w:r>
          </w:p>
        </w:tc>
        <w:tc>
          <w:tcPr>
            <w:tcW w:w="75" w:type="pct"/>
            <w:tcBorders>
              <w:top w:val="nil"/>
              <w:left w:val="nil"/>
              <w:bottom w:val="nil"/>
              <w:right w:val="nil"/>
            </w:tcBorders>
            <w:shd w:val="clear" w:color="000000" w:fill="FFFFFF"/>
            <w:noWrap/>
            <w:vAlign w:val="center"/>
            <w:hideMark/>
          </w:tcPr>
          <w:p w14:paraId="5355092B"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004DA5D2"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548.6</w:t>
            </w:r>
          </w:p>
        </w:tc>
        <w:tc>
          <w:tcPr>
            <w:tcW w:w="539" w:type="pct"/>
            <w:tcBorders>
              <w:top w:val="nil"/>
              <w:left w:val="nil"/>
              <w:bottom w:val="nil"/>
              <w:right w:val="nil"/>
            </w:tcBorders>
            <w:shd w:val="clear" w:color="000000" w:fill="E6F2FF"/>
            <w:noWrap/>
            <w:vAlign w:val="center"/>
            <w:hideMark/>
          </w:tcPr>
          <w:p w14:paraId="3DDF0BAE"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574.9</w:t>
            </w:r>
          </w:p>
        </w:tc>
        <w:tc>
          <w:tcPr>
            <w:tcW w:w="539" w:type="pct"/>
            <w:tcBorders>
              <w:top w:val="nil"/>
              <w:left w:val="nil"/>
              <w:bottom w:val="nil"/>
              <w:right w:val="nil"/>
            </w:tcBorders>
            <w:shd w:val="clear" w:color="000000" w:fill="FFFFFF"/>
            <w:noWrap/>
            <w:vAlign w:val="center"/>
            <w:hideMark/>
          </w:tcPr>
          <w:p w14:paraId="30CFFA5D"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620.6</w:t>
            </w:r>
          </w:p>
        </w:tc>
        <w:tc>
          <w:tcPr>
            <w:tcW w:w="539" w:type="pct"/>
            <w:tcBorders>
              <w:top w:val="nil"/>
              <w:left w:val="nil"/>
              <w:bottom w:val="nil"/>
              <w:right w:val="nil"/>
            </w:tcBorders>
            <w:shd w:val="clear" w:color="000000" w:fill="FFFFFF"/>
            <w:noWrap/>
            <w:vAlign w:val="center"/>
            <w:hideMark/>
          </w:tcPr>
          <w:p w14:paraId="35C49615"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665.2</w:t>
            </w:r>
          </w:p>
        </w:tc>
        <w:tc>
          <w:tcPr>
            <w:tcW w:w="539" w:type="pct"/>
            <w:tcBorders>
              <w:top w:val="nil"/>
              <w:left w:val="nil"/>
              <w:bottom w:val="nil"/>
              <w:right w:val="nil"/>
            </w:tcBorders>
            <w:shd w:val="clear" w:color="000000" w:fill="FFFFFF"/>
            <w:noWrap/>
            <w:vAlign w:val="center"/>
            <w:hideMark/>
          </w:tcPr>
          <w:p w14:paraId="51BE645E" w14:textId="77777777" w:rsidR="00F3791E" w:rsidRPr="00864963" w:rsidRDefault="00F3791E" w:rsidP="00F3791E">
            <w:pPr>
              <w:spacing w:before="0" w:after="0" w:line="240" w:lineRule="auto"/>
              <w:jc w:val="right"/>
              <w:rPr>
                <w:rFonts w:ascii="Arial" w:hAnsi="Arial" w:cs="Arial"/>
                <w:b/>
                <w:bCs/>
                <w:sz w:val="16"/>
                <w:szCs w:val="16"/>
              </w:rPr>
            </w:pPr>
            <w:r w:rsidRPr="00864963">
              <w:rPr>
                <w:rFonts w:ascii="Arial" w:hAnsi="Arial" w:cs="Arial"/>
                <w:b/>
                <w:bCs/>
                <w:sz w:val="16"/>
                <w:szCs w:val="16"/>
              </w:rPr>
              <w:t>702.9</w:t>
            </w:r>
          </w:p>
        </w:tc>
      </w:tr>
      <w:tr w:rsidR="00864963" w:rsidRPr="00864963" w14:paraId="39D95792" w14:textId="77777777" w:rsidTr="00F3791E">
        <w:trPr>
          <w:trHeight w:val="225"/>
        </w:trPr>
        <w:tc>
          <w:tcPr>
            <w:tcW w:w="1684" w:type="pct"/>
            <w:tcBorders>
              <w:top w:val="nil"/>
              <w:left w:val="nil"/>
              <w:bottom w:val="nil"/>
              <w:right w:val="nil"/>
            </w:tcBorders>
            <w:shd w:val="clear" w:color="000000" w:fill="FFFFFF"/>
            <w:noWrap/>
            <w:vAlign w:val="center"/>
            <w:hideMark/>
          </w:tcPr>
          <w:p w14:paraId="4D6A16B8"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Per cent of GDP</w:t>
            </w:r>
          </w:p>
        </w:tc>
        <w:tc>
          <w:tcPr>
            <w:tcW w:w="547" w:type="pct"/>
            <w:tcBorders>
              <w:top w:val="nil"/>
              <w:left w:val="nil"/>
              <w:bottom w:val="nil"/>
              <w:right w:val="nil"/>
            </w:tcBorders>
            <w:shd w:val="clear" w:color="000000" w:fill="FFFFFF"/>
            <w:noWrap/>
            <w:vAlign w:val="center"/>
            <w:hideMark/>
          </w:tcPr>
          <w:p w14:paraId="79F67B04"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22.3</w:t>
            </w:r>
          </w:p>
        </w:tc>
        <w:tc>
          <w:tcPr>
            <w:tcW w:w="75" w:type="pct"/>
            <w:tcBorders>
              <w:top w:val="nil"/>
              <w:left w:val="nil"/>
              <w:bottom w:val="nil"/>
              <w:right w:val="nil"/>
            </w:tcBorders>
            <w:shd w:val="clear" w:color="000000" w:fill="FFFFFF"/>
            <w:noWrap/>
            <w:vAlign w:val="center"/>
            <w:hideMark/>
          </w:tcPr>
          <w:p w14:paraId="7FDA310D"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7098AF70"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21.6</w:t>
            </w:r>
          </w:p>
        </w:tc>
        <w:tc>
          <w:tcPr>
            <w:tcW w:w="539" w:type="pct"/>
            <w:tcBorders>
              <w:top w:val="nil"/>
              <w:left w:val="nil"/>
              <w:bottom w:val="nil"/>
              <w:right w:val="nil"/>
            </w:tcBorders>
            <w:shd w:val="clear" w:color="000000" w:fill="E6F2FF"/>
            <w:noWrap/>
            <w:vAlign w:val="center"/>
            <w:hideMark/>
          </w:tcPr>
          <w:p w14:paraId="2C8F554C"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22.3</w:t>
            </w:r>
          </w:p>
        </w:tc>
        <w:tc>
          <w:tcPr>
            <w:tcW w:w="539" w:type="pct"/>
            <w:tcBorders>
              <w:top w:val="nil"/>
              <w:left w:val="nil"/>
              <w:bottom w:val="nil"/>
              <w:right w:val="nil"/>
            </w:tcBorders>
            <w:shd w:val="clear" w:color="000000" w:fill="FFFFFF"/>
            <w:noWrap/>
            <w:vAlign w:val="center"/>
            <w:hideMark/>
          </w:tcPr>
          <w:p w14:paraId="11C816F5"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23.5</w:t>
            </w:r>
          </w:p>
        </w:tc>
        <w:tc>
          <w:tcPr>
            <w:tcW w:w="539" w:type="pct"/>
            <w:tcBorders>
              <w:top w:val="nil"/>
              <w:left w:val="nil"/>
              <w:bottom w:val="nil"/>
              <w:right w:val="nil"/>
            </w:tcBorders>
            <w:shd w:val="clear" w:color="000000" w:fill="FFFFFF"/>
            <w:noWrap/>
            <w:vAlign w:val="center"/>
            <w:hideMark/>
          </w:tcPr>
          <w:p w14:paraId="44258062"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24.0</w:t>
            </w:r>
          </w:p>
        </w:tc>
        <w:tc>
          <w:tcPr>
            <w:tcW w:w="539" w:type="pct"/>
            <w:tcBorders>
              <w:top w:val="nil"/>
              <w:left w:val="nil"/>
              <w:bottom w:val="nil"/>
              <w:right w:val="nil"/>
            </w:tcBorders>
            <w:shd w:val="clear" w:color="000000" w:fill="FFFFFF"/>
            <w:noWrap/>
            <w:vAlign w:val="center"/>
            <w:hideMark/>
          </w:tcPr>
          <w:p w14:paraId="6DBAFF19" w14:textId="77777777" w:rsidR="00F3791E" w:rsidRPr="00864963" w:rsidRDefault="00F3791E" w:rsidP="00F3791E">
            <w:pPr>
              <w:spacing w:before="0" w:after="0" w:line="240" w:lineRule="auto"/>
              <w:jc w:val="right"/>
              <w:rPr>
                <w:rFonts w:ascii="Arial" w:hAnsi="Arial" w:cs="Arial"/>
                <w:sz w:val="16"/>
                <w:szCs w:val="16"/>
              </w:rPr>
            </w:pPr>
            <w:r w:rsidRPr="00864963">
              <w:rPr>
                <w:rFonts w:ascii="Arial" w:hAnsi="Arial" w:cs="Arial"/>
                <w:sz w:val="16"/>
                <w:szCs w:val="16"/>
              </w:rPr>
              <w:t>24.1</w:t>
            </w:r>
          </w:p>
        </w:tc>
      </w:tr>
      <w:tr w:rsidR="00864963" w:rsidRPr="00864963" w14:paraId="054A25FE" w14:textId="77777777" w:rsidTr="00F3791E">
        <w:trPr>
          <w:trHeight w:val="60"/>
        </w:trPr>
        <w:tc>
          <w:tcPr>
            <w:tcW w:w="1684" w:type="pct"/>
            <w:tcBorders>
              <w:top w:val="nil"/>
              <w:left w:val="nil"/>
              <w:bottom w:val="nil"/>
              <w:right w:val="nil"/>
            </w:tcBorders>
            <w:shd w:val="clear" w:color="000000" w:fill="FFFFFF"/>
            <w:noWrap/>
            <w:vAlign w:val="center"/>
            <w:hideMark/>
          </w:tcPr>
          <w:p w14:paraId="62014EAF"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547" w:type="pct"/>
            <w:tcBorders>
              <w:top w:val="nil"/>
              <w:left w:val="nil"/>
              <w:bottom w:val="nil"/>
              <w:right w:val="nil"/>
            </w:tcBorders>
            <w:shd w:val="clear" w:color="000000" w:fill="FFFFFF"/>
            <w:noWrap/>
            <w:vAlign w:val="center"/>
            <w:hideMark/>
          </w:tcPr>
          <w:p w14:paraId="673476D3"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75" w:type="pct"/>
            <w:tcBorders>
              <w:top w:val="nil"/>
              <w:left w:val="nil"/>
              <w:bottom w:val="nil"/>
              <w:right w:val="nil"/>
            </w:tcBorders>
            <w:shd w:val="clear" w:color="000000" w:fill="FFFFFF"/>
            <w:noWrap/>
            <w:vAlign w:val="center"/>
            <w:hideMark/>
          </w:tcPr>
          <w:p w14:paraId="62BF6207"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63209D87"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E6F2FF"/>
            <w:noWrap/>
            <w:vAlign w:val="center"/>
            <w:hideMark/>
          </w:tcPr>
          <w:p w14:paraId="75482EF6"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6D3E9B49"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15D82C8B"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21318F10" w14:textId="77777777" w:rsidR="00F3791E" w:rsidRPr="00864963" w:rsidRDefault="00F3791E" w:rsidP="00F3791E">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7EBF3BDF" w14:textId="77777777" w:rsidTr="00F3791E">
        <w:trPr>
          <w:trHeight w:val="225"/>
        </w:trPr>
        <w:tc>
          <w:tcPr>
            <w:tcW w:w="1684" w:type="pct"/>
            <w:tcBorders>
              <w:top w:val="nil"/>
              <w:left w:val="nil"/>
              <w:bottom w:val="nil"/>
              <w:right w:val="nil"/>
            </w:tcBorders>
            <w:shd w:val="clear" w:color="000000" w:fill="FFFFFF"/>
            <w:noWrap/>
            <w:vAlign w:val="center"/>
            <w:hideMark/>
          </w:tcPr>
          <w:p w14:paraId="08A03833" w14:textId="77777777" w:rsidR="00F3791E" w:rsidRPr="00864963" w:rsidRDefault="00F3791E" w:rsidP="00F3791E">
            <w:pPr>
              <w:spacing w:before="0" w:after="0" w:line="240" w:lineRule="auto"/>
              <w:rPr>
                <w:rFonts w:ascii="Arial" w:hAnsi="Arial" w:cs="Arial"/>
                <w:b/>
                <w:bCs/>
                <w:sz w:val="16"/>
                <w:szCs w:val="16"/>
                <w:highlight w:val="darkCyan"/>
              </w:rPr>
            </w:pPr>
            <w:r w:rsidRPr="00864963">
              <w:rPr>
                <w:rFonts w:ascii="Arial" w:hAnsi="Arial" w:cs="Arial"/>
                <w:b/>
                <w:bCs/>
                <w:sz w:val="16"/>
                <w:szCs w:val="16"/>
              </w:rPr>
              <w:t>Total interest payments</w:t>
            </w:r>
          </w:p>
        </w:tc>
        <w:tc>
          <w:tcPr>
            <w:tcW w:w="547" w:type="pct"/>
            <w:tcBorders>
              <w:top w:val="nil"/>
              <w:left w:val="nil"/>
              <w:bottom w:val="nil"/>
              <w:right w:val="nil"/>
            </w:tcBorders>
            <w:shd w:val="clear" w:color="000000" w:fill="FFFFFF"/>
            <w:noWrap/>
            <w:vAlign w:val="center"/>
            <w:hideMark/>
          </w:tcPr>
          <w:p w14:paraId="0598B57A"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17.4</w:t>
            </w:r>
          </w:p>
        </w:tc>
        <w:tc>
          <w:tcPr>
            <w:tcW w:w="75" w:type="pct"/>
            <w:tcBorders>
              <w:top w:val="nil"/>
              <w:left w:val="nil"/>
              <w:bottom w:val="nil"/>
              <w:right w:val="nil"/>
            </w:tcBorders>
            <w:shd w:val="clear" w:color="000000" w:fill="FFFFFF"/>
            <w:noWrap/>
            <w:vAlign w:val="center"/>
            <w:hideMark/>
          </w:tcPr>
          <w:p w14:paraId="4E76BE98"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bottom w:val="nil"/>
              <w:right w:val="nil"/>
            </w:tcBorders>
            <w:shd w:val="clear" w:color="000000" w:fill="FFFFFF"/>
            <w:noWrap/>
            <w:vAlign w:val="center"/>
            <w:hideMark/>
          </w:tcPr>
          <w:p w14:paraId="3C7AACAE"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18.8</w:t>
            </w:r>
          </w:p>
        </w:tc>
        <w:tc>
          <w:tcPr>
            <w:tcW w:w="539" w:type="pct"/>
            <w:tcBorders>
              <w:top w:val="nil"/>
              <w:left w:val="nil"/>
              <w:bottom w:val="nil"/>
              <w:right w:val="nil"/>
            </w:tcBorders>
            <w:shd w:val="clear" w:color="000000" w:fill="E6F2FF"/>
            <w:noWrap/>
            <w:vAlign w:val="center"/>
            <w:hideMark/>
          </w:tcPr>
          <w:p w14:paraId="493F526C"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21.1</w:t>
            </w:r>
          </w:p>
        </w:tc>
        <w:tc>
          <w:tcPr>
            <w:tcW w:w="539" w:type="pct"/>
            <w:tcBorders>
              <w:top w:val="nil"/>
              <w:left w:val="nil"/>
              <w:bottom w:val="nil"/>
              <w:right w:val="nil"/>
            </w:tcBorders>
            <w:shd w:val="clear" w:color="000000" w:fill="FFFFFF"/>
            <w:noWrap/>
            <w:vAlign w:val="center"/>
            <w:hideMark/>
          </w:tcPr>
          <w:p w14:paraId="1D49D074"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22.4</w:t>
            </w:r>
          </w:p>
        </w:tc>
        <w:tc>
          <w:tcPr>
            <w:tcW w:w="539" w:type="pct"/>
            <w:tcBorders>
              <w:top w:val="nil"/>
              <w:left w:val="nil"/>
              <w:bottom w:val="nil"/>
              <w:right w:val="nil"/>
            </w:tcBorders>
            <w:shd w:val="clear" w:color="000000" w:fill="FFFFFF"/>
            <w:noWrap/>
            <w:vAlign w:val="center"/>
            <w:hideMark/>
          </w:tcPr>
          <w:p w14:paraId="33CEB61A"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28.2</w:t>
            </w:r>
          </w:p>
        </w:tc>
        <w:tc>
          <w:tcPr>
            <w:tcW w:w="539" w:type="pct"/>
            <w:tcBorders>
              <w:top w:val="nil"/>
              <w:left w:val="nil"/>
              <w:bottom w:val="nil"/>
              <w:right w:val="nil"/>
            </w:tcBorders>
            <w:shd w:val="clear" w:color="000000" w:fill="FFFFFF"/>
            <w:noWrap/>
            <w:vAlign w:val="center"/>
            <w:hideMark/>
          </w:tcPr>
          <w:p w14:paraId="1C2CD39F" w14:textId="77777777" w:rsidR="00F3791E" w:rsidRPr="00864963" w:rsidRDefault="00F3791E" w:rsidP="00F3791E">
            <w:pPr>
              <w:spacing w:before="0" w:after="0" w:line="240" w:lineRule="auto"/>
              <w:jc w:val="right"/>
              <w:rPr>
                <w:rFonts w:ascii="Arial" w:hAnsi="Arial" w:cs="Arial"/>
                <w:b/>
                <w:bCs/>
                <w:sz w:val="16"/>
                <w:szCs w:val="16"/>
              </w:rPr>
            </w:pPr>
            <w:r w:rsidRPr="00864963">
              <w:rPr>
                <w:rFonts w:ascii="Arial" w:hAnsi="Arial" w:cs="Arial"/>
                <w:b/>
                <w:bCs/>
                <w:sz w:val="16"/>
                <w:szCs w:val="16"/>
              </w:rPr>
              <w:t>27.1</w:t>
            </w:r>
          </w:p>
        </w:tc>
      </w:tr>
      <w:tr w:rsidR="00864963" w:rsidRPr="00864963" w14:paraId="592F5681" w14:textId="77777777" w:rsidTr="00F3791E">
        <w:trPr>
          <w:trHeight w:val="225"/>
        </w:trPr>
        <w:tc>
          <w:tcPr>
            <w:tcW w:w="1684" w:type="pct"/>
            <w:tcBorders>
              <w:top w:val="nil"/>
              <w:left w:val="nil"/>
              <w:bottom w:val="nil"/>
              <w:right w:val="nil"/>
            </w:tcBorders>
            <w:shd w:val="clear" w:color="000000" w:fill="FFFFFF"/>
            <w:noWrap/>
            <w:vAlign w:val="center"/>
            <w:hideMark/>
          </w:tcPr>
          <w:p w14:paraId="0968D44C"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Per cent of GDP</w:t>
            </w:r>
          </w:p>
        </w:tc>
        <w:tc>
          <w:tcPr>
            <w:tcW w:w="547" w:type="pct"/>
            <w:tcBorders>
              <w:top w:val="nil"/>
              <w:left w:val="nil"/>
              <w:bottom w:val="nil"/>
              <w:right w:val="nil"/>
            </w:tcBorders>
            <w:shd w:val="clear" w:color="000000" w:fill="FFFFFF"/>
            <w:noWrap/>
            <w:vAlign w:val="center"/>
            <w:hideMark/>
          </w:tcPr>
          <w:p w14:paraId="15A52BDF"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0.8</w:t>
            </w:r>
          </w:p>
        </w:tc>
        <w:tc>
          <w:tcPr>
            <w:tcW w:w="75" w:type="pct"/>
            <w:tcBorders>
              <w:top w:val="nil"/>
              <w:left w:val="nil"/>
              <w:bottom w:val="nil"/>
              <w:right w:val="nil"/>
            </w:tcBorders>
            <w:shd w:val="clear" w:color="000000" w:fill="FFFFFF"/>
            <w:noWrap/>
            <w:vAlign w:val="center"/>
            <w:hideMark/>
          </w:tcPr>
          <w:p w14:paraId="7C90CFB1"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5A7CB6A8"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0.7</w:t>
            </w:r>
          </w:p>
        </w:tc>
        <w:tc>
          <w:tcPr>
            <w:tcW w:w="539" w:type="pct"/>
            <w:tcBorders>
              <w:top w:val="nil"/>
              <w:left w:val="nil"/>
              <w:bottom w:val="nil"/>
              <w:right w:val="nil"/>
            </w:tcBorders>
            <w:shd w:val="clear" w:color="000000" w:fill="E6F2FF"/>
            <w:noWrap/>
            <w:vAlign w:val="center"/>
            <w:hideMark/>
          </w:tcPr>
          <w:p w14:paraId="7D782085"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0.8</w:t>
            </w:r>
          </w:p>
        </w:tc>
        <w:tc>
          <w:tcPr>
            <w:tcW w:w="539" w:type="pct"/>
            <w:tcBorders>
              <w:top w:val="nil"/>
              <w:left w:val="nil"/>
              <w:bottom w:val="nil"/>
              <w:right w:val="nil"/>
            </w:tcBorders>
            <w:shd w:val="clear" w:color="000000" w:fill="FFFFFF"/>
            <w:noWrap/>
            <w:vAlign w:val="center"/>
            <w:hideMark/>
          </w:tcPr>
          <w:p w14:paraId="04849830"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0.8</w:t>
            </w:r>
          </w:p>
        </w:tc>
        <w:tc>
          <w:tcPr>
            <w:tcW w:w="539" w:type="pct"/>
            <w:tcBorders>
              <w:top w:val="nil"/>
              <w:left w:val="nil"/>
              <w:bottom w:val="nil"/>
              <w:right w:val="nil"/>
            </w:tcBorders>
            <w:shd w:val="clear" w:color="000000" w:fill="FFFFFF"/>
            <w:noWrap/>
            <w:vAlign w:val="center"/>
            <w:hideMark/>
          </w:tcPr>
          <w:p w14:paraId="6DCF254E"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1.0</w:t>
            </w:r>
          </w:p>
        </w:tc>
        <w:tc>
          <w:tcPr>
            <w:tcW w:w="539" w:type="pct"/>
            <w:tcBorders>
              <w:top w:val="nil"/>
              <w:left w:val="nil"/>
              <w:bottom w:val="nil"/>
              <w:right w:val="nil"/>
            </w:tcBorders>
            <w:shd w:val="clear" w:color="000000" w:fill="FFFFFF"/>
            <w:noWrap/>
            <w:vAlign w:val="center"/>
            <w:hideMark/>
          </w:tcPr>
          <w:p w14:paraId="3ED70032" w14:textId="77777777" w:rsidR="00F3791E" w:rsidRPr="00864963" w:rsidRDefault="00F3791E" w:rsidP="00F3791E">
            <w:pPr>
              <w:spacing w:before="0" w:after="0" w:line="240" w:lineRule="auto"/>
              <w:jc w:val="right"/>
              <w:rPr>
                <w:rFonts w:ascii="Arial" w:hAnsi="Arial" w:cs="Arial"/>
                <w:sz w:val="16"/>
                <w:szCs w:val="16"/>
              </w:rPr>
            </w:pPr>
            <w:r w:rsidRPr="00864963">
              <w:rPr>
                <w:rFonts w:ascii="Arial" w:hAnsi="Arial" w:cs="Arial"/>
                <w:sz w:val="16"/>
                <w:szCs w:val="16"/>
              </w:rPr>
              <w:t>0.9</w:t>
            </w:r>
          </w:p>
        </w:tc>
      </w:tr>
      <w:tr w:rsidR="00864963" w:rsidRPr="00864963" w14:paraId="0B1BEBA9" w14:textId="77777777" w:rsidTr="00F3791E">
        <w:trPr>
          <w:trHeight w:val="60"/>
        </w:trPr>
        <w:tc>
          <w:tcPr>
            <w:tcW w:w="1684" w:type="pct"/>
            <w:tcBorders>
              <w:top w:val="nil"/>
              <w:left w:val="nil"/>
              <w:bottom w:val="nil"/>
              <w:right w:val="nil"/>
            </w:tcBorders>
            <w:shd w:val="clear" w:color="000000" w:fill="FFFFFF"/>
            <w:noWrap/>
            <w:vAlign w:val="center"/>
            <w:hideMark/>
          </w:tcPr>
          <w:p w14:paraId="081672A0"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547" w:type="pct"/>
            <w:tcBorders>
              <w:top w:val="nil"/>
              <w:left w:val="nil"/>
              <w:bottom w:val="nil"/>
              <w:right w:val="nil"/>
            </w:tcBorders>
            <w:shd w:val="clear" w:color="000000" w:fill="FFFFFF"/>
            <w:noWrap/>
            <w:vAlign w:val="center"/>
            <w:hideMark/>
          </w:tcPr>
          <w:p w14:paraId="60381CD8"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75" w:type="pct"/>
            <w:tcBorders>
              <w:top w:val="nil"/>
              <w:left w:val="nil"/>
              <w:bottom w:val="nil"/>
              <w:right w:val="nil"/>
            </w:tcBorders>
            <w:shd w:val="clear" w:color="000000" w:fill="FFFFFF"/>
            <w:noWrap/>
            <w:vAlign w:val="center"/>
            <w:hideMark/>
          </w:tcPr>
          <w:p w14:paraId="63B77790"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1072BB23"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E6F2FF"/>
            <w:noWrap/>
            <w:vAlign w:val="center"/>
            <w:hideMark/>
          </w:tcPr>
          <w:p w14:paraId="1C81EFCE"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3FD96D41"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13413207"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nil"/>
              <w:right w:val="nil"/>
            </w:tcBorders>
            <w:shd w:val="clear" w:color="000000" w:fill="FFFFFF"/>
            <w:noWrap/>
            <w:vAlign w:val="center"/>
            <w:hideMark/>
          </w:tcPr>
          <w:p w14:paraId="47290119" w14:textId="77777777" w:rsidR="00F3791E" w:rsidRPr="00864963" w:rsidRDefault="00F3791E" w:rsidP="00F3791E">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15BF9427" w14:textId="77777777" w:rsidTr="00E56ABB">
        <w:trPr>
          <w:trHeight w:val="225"/>
        </w:trPr>
        <w:tc>
          <w:tcPr>
            <w:tcW w:w="1684" w:type="pct"/>
            <w:tcBorders>
              <w:top w:val="nil"/>
              <w:left w:val="nil"/>
              <w:bottom w:val="nil"/>
              <w:right w:val="nil"/>
            </w:tcBorders>
            <w:shd w:val="clear" w:color="000000" w:fill="FFFFFF"/>
            <w:noWrap/>
            <w:vAlign w:val="center"/>
            <w:hideMark/>
          </w:tcPr>
          <w:p w14:paraId="492C6220" w14:textId="77777777" w:rsidR="00F3791E" w:rsidRPr="00864963" w:rsidRDefault="00F3791E" w:rsidP="00F3791E">
            <w:pPr>
              <w:spacing w:before="0" w:after="0" w:line="240" w:lineRule="auto"/>
              <w:rPr>
                <w:rFonts w:ascii="Arial" w:hAnsi="Arial" w:cs="Arial"/>
                <w:b/>
                <w:bCs/>
                <w:sz w:val="16"/>
                <w:szCs w:val="16"/>
                <w:highlight w:val="darkCyan"/>
              </w:rPr>
            </w:pPr>
            <w:r w:rsidRPr="00864963">
              <w:rPr>
                <w:rFonts w:ascii="Arial" w:hAnsi="Arial" w:cs="Arial"/>
                <w:b/>
                <w:bCs/>
                <w:sz w:val="16"/>
                <w:szCs w:val="16"/>
              </w:rPr>
              <w:t>Net interest payments(d)</w:t>
            </w:r>
          </w:p>
        </w:tc>
        <w:tc>
          <w:tcPr>
            <w:tcW w:w="547" w:type="pct"/>
            <w:tcBorders>
              <w:top w:val="nil"/>
              <w:left w:val="nil"/>
              <w:right w:val="nil"/>
            </w:tcBorders>
            <w:shd w:val="clear" w:color="000000" w:fill="FFFFFF"/>
            <w:noWrap/>
            <w:vAlign w:val="center"/>
            <w:hideMark/>
          </w:tcPr>
          <w:p w14:paraId="46BD3426"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15.0</w:t>
            </w:r>
          </w:p>
        </w:tc>
        <w:tc>
          <w:tcPr>
            <w:tcW w:w="75" w:type="pct"/>
            <w:tcBorders>
              <w:top w:val="nil"/>
              <w:left w:val="nil"/>
              <w:right w:val="nil"/>
            </w:tcBorders>
            <w:shd w:val="clear" w:color="000000" w:fill="FFFFFF"/>
            <w:noWrap/>
            <w:vAlign w:val="center"/>
            <w:hideMark/>
          </w:tcPr>
          <w:p w14:paraId="63867D6E"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539" w:type="pct"/>
            <w:tcBorders>
              <w:top w:val="nil"/>
              <w:left w:val="nil"/>
              <w:right w:val="nil"/>
            </w:tcBorders>
            <w:shd w:val="clear" w:color="000000" w:fill="FFFFFF"/>
            <w:noWrap/>
            <w:vAlign w:val="center"/>
            <w:hideMark/>
          </w:tcPr>
          <w:p w14:paraId="3986C6D1"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12.7</w:t>
            </w:r>
          </w:p>
        </w:tc>
        <w:tc>
          <w:tcPr>
            <w:tcW w:w="539" w:type="pct"/>
            <w:tcBorders>
              <w:top w:val="nil"/>
              <w:left w:val="nil"/>
              <w:bottom w:val="nil"/>
              <w:right w:val="nil"/>
            </w:tcBorders>
            <w:shd w:val="clear" w:color="000000" w:fill="E6F2FF"/>
            <w:noWrap/>
            <w:vAlign w:val="center"/>
            <w:hideMark/>
          </w:tcPr>
          <w:p w14:paraId="02862250"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13.4</w:t>
            </w:r>
          </w:p>
        </w:tc>
        <w:tc>
          <w:tcPr>
            <w:tcW w:w="539" w:type="pct"/>
            <w:tcBorders>
              <w:top w:val="nil"/>
              <w:left w:val="nil"/>
              <w:bottom w:val="nil"/>
              <w:right w:val="nil"/>
            </w:tcBorders>
            <w:shd w:val="clear" w:color="000000" w:fill="FFFFFF"/>
            <w:noWrap/>
            <w:vAlign w:val="center"/>
            <w:hideMark/>
          </w:tcPr>
          <w:p w14:paraId="6EDEF721"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15.2</w:t>
            </w:r>
          </w:p>
        </w:tc>
        <w:tc>
          <w:tcPr>
            <w:tcW w:w="539" w:type="pct"/>
            <w:tcBorders>
              <w:top w:val="nil"/>
              <w:left w:val="nil"/>
              <w:bottom w:val="nil"/>
              <w:right w:val="nil"/>
            </w:tcBorders>
            <w:shd w:val="clear" w:color="000000" w:fill="FFFFFF"/>
            <w:noWrap/>
            <w:vAlign w:val="center"/>
            <w:hideMark/>
          </w:tcPr>
          <w:p w14:paraId="7ABBA34D"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21.3</w:t>
            </w:r>
          </w:p>
        </w:tc>
        <w:tc>
          <w:tcPr>
            <w:tcW w:w="539" w:type="pct"/>
            <w:tcBorders>
              <w:top w:val="nil"/>
              <w:left w:val="nil"/>
              <w:bottom w:val="nil"/>
              <w:right w:val="nil"/>
            </w:tcBorders>
            <w:shd w:val="clear" w:color="000000" w:fill="FFFFFF"/>
            <w:noWrap/>
            <w:vAlign w:val="center"/>
            <w:hideMark/>
          </w:tcPr>
          <w:p w14:paraId="0B74AA8D" w14:textId="77777777" w:rsidR="00F3791E" w:rsidRPr="00864963" w:rsidRDefault="00F3791E" w:rsidP="00F3791E">
            <w:pPr>
              <w:spacing w:before="0" w:after="0" w:line="240" w:lineRule="auto"/>
              <w:jc w:val="right"/>
              <w:rPr>
                <w:rFonts w:ascii="Arial" w:hAnsi="Arial" w:cs="Arial"/>
                <w:b/>
                <w:bCs/>
                <w:sz w:val="16"/>
                <w:szCs w:val="16"/>
              </w:rPr>
            </w:pPr>
            <w:r w:rsidRPr="00864963">
              <w:rPr>
                <w:rFonts w:ascii="Arial" w:hAnsi="Arial" w:cs="Arial"/>
                <w:b/>
                <w:bCs/>
                <w:sz w:val="16"/>
                <w:szCs w:val="16"/>
              </w:rPr>
              <w:t>20.0</w:t>
            </w:r>
          </w:p>
        </w:tc>
      </w:tr>
      <w:tr w:rsidR="00864963" w:rsidRPr="00864963" w14:paraId="20F9CA12" w14:textId="77777777" w:rsidTr="00E56ABB">
        <w:trPr>
          <w:trHeight w:val="225"/>
        </w:trPr>
        <w:tc>
          <w:tcPr>
            <w:tcW w:w="1684" w:type="pct"/>
            <w:tcBorders>
              <w:top w:val="nil"/>
              <w:left w:val="nil"/>
              <w:bottom w:val="single" w:sz="4" w:space="0" w:color="000000"/>
              <w:right w:val="nil"/>
            </w:tcBorders>
            <w:shd w:val="clear" w:color="000000" w:fill="FFFFFF"/>
            <w:noWrap/>
            <w:vAlign w:val="center"/>
            <w:hideMark/>
          </w:tcPr>
          <w:p w14:paraId="71A36718"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Per cent of GDP</w:t>
            </w:r>
          </w:p>
        </w:tc>
        <w:tc>
          <w:tcPr>
            <w:tcW w:w="547" w:type="pct"/>
            <w:tcBorders>
              <w:top w:val="nil"/>
              <w:left w:val="nil"/>
              <w:bottom w:val="single" w:sz="4" w:space="0" w:color="auto"/>
              <w:right w:val="nil"/>
            </w:tcBorders>
            <w:shd w:val="clear" w:color="000000" w:fill="FFFFFF"/>
            <w:noWrap/>
            <w:vAlign w:val="center"/>
            <w:hideMark/>
          </w:tcPr>
          <w:p w14:paraId="24B6F623"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0.6</w:t>
            </w:r>
          </w:p>
        </w:tc>
        <w:tc>
          <w:tcPr>
            <w:tcW w:w="75" w:type="pct"/>
            <w:tcBorders>
              <w:top w:val="nil"/>
              <w:left w:val="nil"/>
              <w:bottom w:val="single" w:sz="4" w:space="0" w:color="auto"/>
              <w:right w:val="nil"/>
            </w:tcBorders>
            <w:shd w:val="clear" w:color="000000" w:fill="FFFFFF"/>
            <w:noWrap/>
            <w:vAlign w:val="center"/>
            <w:hideMark/>
          </w:tcPr>
          <w:p w14:paraId="1A0D5E48"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539" w:type="pct"/>
            <w:tcBorders>
              <w:top w:val="nil"/>
              <w:left w:val="nil"/>
              <w:bottom w:val="single" w:sz="4" w:space="0" w:color="auto"/>
              <w:right w:val="nil"/>
            </w:tcBorders>
            <w:shd w:val="clear" w:color="000000" w:fill="FFFFFF"/>
            <w:noWrap/>
            <w:vAlign w:val="center"/>
            <w:hideMark/>
          </w:tcPr>
          <w:p w14:paraId="0DE6A12A"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0.5</w:t>
            </w:r>
          </w:p>
        </w:tc>
        <w:tc>
          <w:tcPr>
            <w:tcW w:w="539" w:type="pct"/>
            <w:tcBorders>
              <w:top w:val="nil"/>
              <w:left w:val="nil"/>
              <w:bottom w:val="single" w:sz="4" w:space="0" w:color="000000"/>
              <w:right w:val="nil"/>
            </w:tcBorders>
            <w:shd w:val="clear" w:color="000000" w:fill="E6F2FF"/>
            <w:noWrap/>
            <w:vAlign w:val="center"/>
            <w:hideMark/>
          </w:tcPr>
          <w:p w14:paraId="63C173CA"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0.5</w:t>
            </w:r>
          </w:p>
        </w:tc>
        <w:tc>
          <w:tcPr>
            <w:tcW w:w="539" w:type="pct"/>
            <w:tcBorders>
              <w:top w:val="nil"/>
              <w:left w:val="nil"/>
              <w:bottom w:val="single" w:sz="4" w:space="0" w:color="000000"/>
              <w:right w:val="nil"/>
            </w:tcBorders>
            <w:shd w:val="clear" w:color="000000" w:fill="FFFFFF"/>
            <w:noWrap/>
            <w:vAlign w:val="center"/>
            <w:hideMark/>
          </w:tcPr>
          <w:p w14:paraId="0F83FAAE"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0.6</w:t>
            </w:r>
          </w:p>
        </w:tc>
        <w:tc>
          <w:tcPr>
            <w:tcW w:w="539" w:type="pct"/>
            <w:tcBorders>
              <w:top w:val="nil"/>
              <w:left w:val="nil"/>
              <w:bottom w:val="single" w:sz="4" w:space="0" w:color="000000"/>
              <w:right w:val="nil"/>
            </w:tcBorders>
            <w:shd w:val="clear" w:color="000000" w:fill="FFFFFF"/>
            <w:noWrap/>
            <w:vAlign w:val="center"/>
            <w:hideMark/>
          </w:tcPr>
          <w:p w14:paraId="5534A712"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0.8</w:t>
            </w:r>
          </w:p>
        </w:tc>
        <w:tc>
          <w:tcPr>
            <w:tcW w:w="539" w:type="pct"/>
            <w:tcBorders>
              <w:top w:val="nil"/>
              <w:left w:val="nil"/>
              <w:bottom w:val="single" w:sz="4" w:space="0" w:color="000000"/>
              <w:right w:val="nil"/>
            </w:tcBorders>
            <w:shd w:val="clear" w:color="000000" w:fill="FFFFFF"/>
            <w:noWrap/>
            <w:vAlign w:val="center"/>
            <w:hideMark/>
          </w:tcPr>
          <w:p w14:paraId="5FFA50C7" w14:textId="77777777" w:rsidR="00F3791E" w:rsidRPr="00864963" w:rsidRDefault="00F3791E" w:rsidP="00F3791E">
            <w:pPr>
              <w:spacing w:before="0" w:after="0" w:line="240" w:lineRule="auto"/>
              <w:jc w:val="right"/>
              <w:rPr>
                <w:rFonts w:ascii="Arial" w:hAnsi="Arial" w:cs="Arial"/>
                <w:sz w:val="16"/>
                <w:szCs w:val="16"/>
              </w:rPr>
            </w:pPr>
            <w:r w:rsidRPr="00864963">
              <w:rPr>
                <w:rFonts w:ascii="Arial" w:hAnsi="Arial" w:cs="Arial"/>
                <w:sz w:val="16"/>
                <w:szCs w:val="16"/>
              </w:rPr>
              <w:t>0.7</w:t>
            </w:r>
          </w:p>
        </w:tc>
      </w:tr>
    </w:tbl>
    <w:p w14:paraId="18A600CA" w14:textId="26EA78F1" w:rsidR="00C00330" w:rsidRPr="004E1159" w:rsidRDefault="00C00330" w:rsidP="00D57DA8">
      <w:pPr>
        <w:pStyle w:val="ChartandTableFootnoteAlpha"/>
        <w:numPr>
          <w:ilvl w:val="0"/>
          <w:numId w:val="12"/>
        </w:numPr>
        <w:rPr>
          <w:noProof/>
          <w:color w:val="auto"/>
        </w:rPr>
      </w:pPr>
      <w:r w:rsidRPr="004E1159">
        <w:rPr>
          <w:noProof/>
          <w:color w:val="auto"/>
        </w:rPr>
        <w:t>Net financial worth equals total financial assets minus total liabilities.</w:t>
      </w:r>
      <w:r w:rsidR="00ED3B28" w:rsidRPr="004E1159">
        <w:rPr>
          <w:rFonts w:ascii="Calibri" w:hAnsi="Calibri" w:cs="Calibri"/>
          <w:color w:val="auto"/>
          <w:sz w:val="22"/>
          <w:szCs w:val="22"/>
        </w:rPr>
        <w:t xml:space="preserve"> </w:t>
      </w:r>
    </w:p>
    <w:p w14:paraId="33790539" w14:textId="69532010" w:rsidR="00C00330" w:rsidRPr="004E1159" w:rsidRDefault="00C00330" w:rsidP="00D57DA8">
      <w:pPr>
        <w:pStyle w:val="ChartandTableFootnoteAlpha"/>
        <w:numPr>
          <w:ilvl w:val="0"/>
          <w:numId w:val="12"/>
        </w:numPr>
        <w:rPr>
          <w:noProof/>
          <w:color w:val="auto"/>
        </w:rPr>
      </w:pPr>
      <w:r w:rsidRPr="004E1159">
        <w:rPr>
          <w:noProof/>
          <w:color w:val="auto"/>
        </w:rPr>
        <w:t>Gross debt measures the face value of Australian Government Securities (AGS) on issue.</w:t>
      </w:r>
      <w:r w:rsidR="00E56ABB" w:rsidRPr="004E1159">
        <w:rPr>
          <w:color w:val="auto"/>
        </w:rPr>
        <w:t xml:space="preserve"> </w:t>
      </w:r>
      <w:r w:rsidR="00ED3B28">
        <w:rPr>
          <w:noProof/>
        </w:rPr>
        <w:t xml:space="preserve"> </w:t>
      </w:r>
    </w:p>
    <w:p w14:paraId="6779A95A" w14:textId="00D4CE8C" w:rsidR="00C00330" w:rsidRPr="004E1159" w:rsidRDefault="00C00330" w:rsidP="00D57DA8">
      <w:pPr>
        <w:pStyle w:val="ChartandTableFootnoteAlpha"/>
        <w:numPr>
          <w:ilvl w:val="0"/>
          <w:numId w:val="12"/>
        </w:numPr>
        <w:rPr>
          <w:noProof/>
          <w:color w:val="auto"/>
        </w:rPr>
      </w:pPr>
      <w:r w:rsidRPr="004E1159">
        <w:rPr>
          <w:noProof/>
          <w:color w:val="auto"/>
        </w:rPr>
        <w:t>Net debt is the sum of interest bearing liabilities (which includes AGS on issue measured at market value) less the sum of selected financial assets (cash and deposits, advances paid and investments, loans and placements).</w:t>
      </w:r>
      <w:r w:rsidR="00ED3B28" w:rsidRPr="004E1159">
        <w:rPr>
          <w:rFonts w:ascii="Calibri" w:hAnsi="Calibri" w:cs="Calibri"/>
          <w:color w:val="auto"/>
          <w:sz w:val="22"/>
          <w:szCs w:val="22"/>
        </w:rPr>
        <w:t xml:space="preserve"> </w:t>
      </w:r>
      <w:r w:rsidR="00E56ABB">
        <w:rPr>
          <w:rFonts w:ascii="Calibri" w:hAnsi="Calibri" w:cs="Calibri"/>
          <w:sz w:val="22"/>
          <w:szCs w:val="22"/>
        </w:rPr>
        <w:t xml:space="preserve"> </w:t>
      </w:r>
    </w:p>
    <w:p w14:paraId="6C2BA338" w14:textId="5EB16ABD" w:rsidR="00D01E96" w:rsidRDefault="00C00330" w:rsidP="00D57DA8">
      <w:pPr>
        <w:pStyle w:val="ChartandTableFootnoteAlpha"/>
      </w:pPr>
      <w:r w:rsidRPr="004E1159">
        <w:rPr>
          <w:noProof/>
          <w:color w:val="auto"/>
        </w:rPr>
        <w:t>Net interest payments are equal to the difference between interest payments and interest receipts. The</w:t>
      </w:r>
      <w:r w:rsidR="003A2B54" w:rsidRPr="004E1159">
        <w:rPr>
          <w:noProof/>
          <w:color w:val="auto"/>
        </w:rPr>
        <w:t> </w:t>
      </w:r>
      <w:r w:rsidRPr="004E1159">
        <w:rPr>
          <w:noProof/>
          <w:color w:val="auto"/>
        </w:rPr>
        <w:t xml:space="preserve">increase in 2025–26 primarily reflects a Treasury Indexed Bond maturing in that year (details can be found in Statement </w:t>
      </w:r>
      <w:r w:rsidR="00420511" w:rsidRPr="004E1159">
        <w:rPr>
          <w:noProof/>
          <w:color w:val="auto"/>
        </w:rPr>
        <w:t>7</w:t>
      </w:r>
      <w:r w:rsidRPr="004E1159">
        <w:rPr>
          <w:noProof/>
          <w:color w:val="auto"/>
        </w:rPr>
        <w:t xml:space="preserve">: Debt Statement). </w:t>
      </w:r>
    </w:p>
    <w:p w14:paraId="1320B96D" w14:textId="77777777" w:rsidR="00834C36" w:rsidRPr="00EA288B" w:rsidRDefault="00834C36" w:rsidP="00834C36">
      <w:pPr>
        <w:pStyle w:val="ChartLine"/>
      </w:pPr>
    </w:p>
    <w:p w14:paraId="61219088" w14:textId="77777777" w:rsidR="00D01E96" w:rsidRPr="00EA288B" w:rsidRDefault="00D01E96" w:rsidP="00DD41C2">
      <w:pPr>
        <w:rPr>
          <w:rFonts w:ascii="Symbol" w:hAnsi="Symbol"/>
          <w:sz w:val="26"/>
        </w:rPr>
      </w:pPr>
      <w:r w:rsidRPr="00EA288B">
        <w:br w:type="page"/>
      </w:r>
    </w:p>
    <w:p w14:paraId="5FB28E8A" w14:textId="16B4880C" w:rsidR="00D01E96" w:rsidRPr="00EA288B" w:rsidRDefault="00D01E96" w:rsidP="00D01E96">
      <w:pPr>
        <w:pStyle w:val="Heading2"/>
      </w:pPr>
      <w:bookmarkStart w:id="32" w:name="_Toc117356567"/>
      <w:bookmarkStart w:id="33" w:name="_Toc134321299"/>
      <w:r w:rsidRPr="00EA288B">
        <w:lastRenderedPageBreak/>
        <w:t>Fiscal impacts of climate change</w:t>
      </w:r>
      <w:bookmarkEnd w:id="32"/>
      <w:bookmarkEnd w:id="33"/>
    </w:p>
    <w:p w14:paraId="59686292" w14:textId="4D4156F2" w:rsidR="00540775" w:rsidRPr="004E1159" w:rsidRDefault="00540775" w:rsidP="00540775">
      <w:r w:rsidRPr="004E1159">
        <w:t>Climate change presents significant risks and opportunities for Australia</w:t>
      </w:r>
      <w:r w:rsidR="00594653" w:rsidRPr="004E1159">
        <w:t>’</w:t>
      </w:r>
      <w:r w:rsidRPr="004E1159">
        <w:t>s economy, regions, industries, and communities. Achieving Australia</w:t>
      </w:r>
      <w:r w:rsidR="00594653" w:rsidRPr="004E1159">
        <w:t>’</w:t>
      </w:r>
      <w:r w:rsidRPr="004E1159">
        <w:t xml:space="preserve">s emissions reduction commitments and realising the opportunities that accompany the transition will require significant investment by governments and the private sector. Uncertainty around the magnitude and timing of the physical impacts of climate change and the global transition to net zero emissions translates to uncertainty about the fiscal impacts of climate change. </w:t>
      </w:r>
    </w:p>
    <w:p w14:paraId="149A65AA" w14:textId="4C53F8FF" w:rsidR="00540775" w:rsidRPr="004E1159" w:rsidRDefault="00540775" w:rsidP="00540775">
      <w:r w:rsidRPr="004E1159">
        <w:rPr>
          <w:rFonts w:eastAsia="Calibri"/>
        </w:rPr>
        <w:t>The economic and climatic changes brought about by climate change will have fiscal impacts. For example, t</w:t>
      </w:r>
      <w:r w:rsidRPr="004E1159">
        <w:t>he new industries and jobs emerging from the net zero transformation will impact the structure of the economy and, in turn, the tax base. Extreme weather events are also expected to occur with increased severity and frequency, which will increase demand for disaster relief payment</w:t>
      </w:r>
      <w:r w:rsidR="00D23AA7" w:rsidRPr="004E1159">
        <w:t>s</w:t>
      </w:r>
      <w:r w:rsidRPr="004E1159">
        <w:t xml:space="preserve"> and infrastructure repairs, as discussed in Box 3.</w:t>
      </w:r>
      <w:r w:rsidR="002D6484" w:rsidRPr="004E1159">
        <w:t>6</w:t>
      </w:r>
      <w:r w:rsidRPr="004E1159">
        <w:t>. Statement 3 of the 2022</w:t>
      </w:r>
      <w:r w:rsidR="00594653" w:rsidRPr="004E1159">
        <w:noBreakHyphen/>
      </w:r>
      <w:r w:rsidRPr="004E1159">
        <w:t>23 October Budget outlined the drivers and nature of these fiscal impacts in detail</w:t>
      </w:r>
      <w:r w:rsidR="00FD483F" w:rsidRPr="004E1159">
        <w:t>, as well as the climate</w:t>
      </w:r>
      <w:r w:rsidR="00594653" w:rsidRPr="004E1159">
        <w:noBreakHyphen/>
      </w:r>
      <w:r w:rsidR="00FD483F" w:rsidRPr="004E1159">
        <w:t>related spending being undertaken by the Australian Government to respond to climate change</w:t>
      </w:r>
      <w:r w:rsidRPr="004E1159">
        <w:t xml:space="preserve">. </w:t>
      </w:r>
    </w:p>
    <w:p w14:paraId="023AF072" w14:textId="0396DA4C" w:rsidR="00540775" w:rsidRDefault="00540775" w:rsidP="00540775">
      <w:pPr>
        <w:rPr>
          <w:rFonts w:eastAsia="Calibri"/>
        </w:rPr>
      </w:pPr>
      <w:r w:rsidRPr="004E1159">
        <w:rPr>
          <w:rFonts w:eastAsia="Calibri"/>
        </w:rPr>
        <w:t>The 2023</w:t>
      </w:r>
      <w:r w:rsidR="00235899" w:rsidRPr="004E1159">
        <w:rPr>
          <w:rFonts w:eastAsia="Calibri"/>
        </w:rPr>
        <w:t>–</w:t>
      </w:r>
      <w:r w:rsidRPr="004E1159">
        <w:rPr>
          <w:rFonts w:eastAsia="Calibri"/>
        </w:rPr>
        <w:t>24 Budget continues this practice by transparently reporting $</w:t>
      </w:r>
      <w:r w:rsidR="003C73FB" w:rsidRPr="004E1159">
        <w:rPr>
          <w:rFonts w:eastAsia="Calibri"/>
        </w:rPr>
        <w:t>4.6</w:t>
      </w:r>
      <w:r w:rsidRPr="004E1159">
        <w:rPr>
          <w:rFonts w:eastAsia="Calibri"/>
        </w:rPr>
        <w:t xml:space="preserve"> </w:t>
      </w:r>
      <w:r w:rsidR="007553C8" w:rsidRPr="004E1159">
        <w:rPr>
          <w:rFonts w:eastAsia="Calibri"/>
        </w:rPr>
        <w:t>billion</w:t>
      </w:r>
      <w:r w:rsidRPr="004E1159">
        <w:rPr>
          <w:rFonts w:eastAsia="Calibri"/>
        </w:rPr>
        <w:t xml:space="preserve"> in new climate</w:t>
      </w:r>
      <w:r w:rsidR="00594653" w:rsidRPr="004E1159">
        <w:rPr>
          <w:rFonts w:eastAsia="Calibri"/>
        </w:rPr>
        <w:noBreakHyphen/>
      </w:r>
      <w:r w:rsidRPr="004E1159">
        <w:rPr>
          <w:rFonts w:eastAsia="Calibri"/>
        </w:rPr>
        <w:t xml:space="preserve">related expenditure. This </w:t>
      </w:r>
      <w:r w:rsidR="003A49FA" w:rsidRPr="004E1159">
        <w:rPr>
          <w:rFonts w:eastAsia="Calibri"/>
        </w:rPr>
        <w:t>is further to</w:t>
      </w:r>
      <w:r w:rsidRPr="004E1159">
        <w:rPr>
          <w:rFonts w:eastAsia="Calibri"/>
        </w:rPr>
        <w:t xml:space="preserve"> the historic $24</w:t>
      </w:r>
      <w:r w:rsidR="003A49FA" w:rsidRPr="004E1159">
        <w:rPr>
          <w:rFonts w:eastAsia="Calibri"/>
        </w:rPr>
        <w:t>.9</w:t>
      </w:r>
      <w:r w:rsidR="007553C8" w:rsidRPr="004E1159">
        <w:rPr>
          <w:rFonts w:eastAsia="Calibri"/>
        </w:rPr>
        <w:t xml:space="preserve"> billion</w:t>
      </w:r>
      <w:r w:rsidRPr="004E1159">
        <w:rPr>
          <w:rFonts w:eastAsia="Calibri"/>
        </w:rPr>
        <w:t xml:space="preserve"> in new climate</w:t>
      </w:r>
      <w:r w:rsidR="00594653" w:rsidRPr="004E1159">
        <w:rPr>
          <w:rFonts w:eastAsia="Calibri"/>
        </w:rPr>
        <w:noBreakHyphen/>
      </w:r>
      <w:r w:rsidRPr="004E1159">
        <w:rPr>
          <w:rFonts w:eastAsia="Calibri"/>
        </w:rPr>
        <w:t xml:space="preserve">related spending </w:t>
      </w:r>
      <w:r w:rsidR="003A49FA" w:rsidRPr="004E1159">
        <w:rPr>
          <w:rFonts w:eastAsia="Calibri"/>
        </w:rPr>
        <w:t>announced</w:t>
      </w:r>
      <w:r w:rsidRPr="004E1159">
        <w:rPr>
          <w:rFonts w:eastAsia="Calibri"/>
        </w:rPr>
        <w:t xml:space="preserve"> in the October 2022</w:t>
      </w:r>
      <w:r w:rsidR="00235899" w:rsidRPr="004E1159">
        <w:rPr>
          <w:rFonts w:eastAsia="Calibri"/>
        </w:rPr>
        <w:t>–</w:t>
      </w:r>
      <w:r w:rsidRPr="004E1159">
        <w:rPr>
          <w:rFonts w:eastAsia="Calibri"/>
        </w:rPr>
        <w:t>23 Budget and is additional to ongoing climate</w:t>
      </w:r>
      <w:r w:rsidR="00594653" w:rsidRPr="004E1159">
        <w:rPr>
          <w:rFonts w:eastAsia="Calibri"/>
        </w:rPr>
        <w:noBreakHyphen/>
      </w:r>
      <w:r w:rsidRPr="004E1159">
        <w:rPr>
          <w:rFonts w:eastAsia="Calibri"/>
        </w:rPr>
        <w:t>related expenditure initiated prior to these budgets. The Government</w:t>
      </w:r>
      <w:r w:rsidR="00594653" w:rsidRPr="004E1159">
        <w:rPr>
          <w:rFonts w:eastAsia="Calibri"/>
        </w:rPr>
        <w:t>’</w:t>
      </w:r>
      <w:r w:rsidR="00FC1677" w:rsidRPr="004E1159">
        <w:rPr>
          <w:rFonts w:eastAsia="Calibri"/>
        </w:rPr>
        <w:t>s approach to reporting climate</w:t>
      </w:r>
      <w:r w:rsidR="00594653" w:rsidRPr="004E1159">
        <w:rPr>
          <w:rFonts w:eastAsia="Calibri"/>
        </w:rPr>
        <w:noBreakHyphen/>
      </w:r>
      <w:r w:rsidR="00FC1677" w:rsidRPr="004E1159">
        <w:rPr>
          <w:rFonts w:eastAsia="Calibri"/>
        </w:rPr>
        <w:t xml:space="preserve">related spending is informed by </w:t>
      </w:r>
      <w:r w:rsidRPr="004E1159">
        <w:rPr>
          <w:rFonts w:eastAsia="Calibri"/>
        </w:rPr>
        <w:t>the climate</w:t>
      </w:r>
      <w:r w:rsidR="00594653" w:rsidRPr="004E1159">
        <w:rPr>
          <w:rFonts w:eastAsia="Calibri"/>
        </w:rPr>
        <w:noBreakHyphen/>
      </w:r>
      <w:r w:rsidRPr="004E1159">
        <w:rPr>
          <w:rFonts w:eastAsia="Calibri"/>
        </w:rPr>
        <w:t xml:space="preserve">reporting practices of international peers and </w:t>
      </w:r>
      <w:r w:rsidR="00133574" w:rsidRPr="004E1159">
        <w:rPr>
          <w:rFonts w:eastAsia="Calibri"/>
        </w:rPr>
        <w:t>is</w:t>
      </w:r>
      <w:r w:rsidRPr="004E1159">
        <w:rPr>
          <w:rFonts w:eastAsia="Calibri"/>
        </w:rPr>
        <w:t xml:space="preserve"> present</w:t>
      </w:r>
      <w:r w:rsidR="00133574" w:rsidRPr="004E1159">
        <w:rPr>
          <w:rFonts w:eastAsia="Calibri"/>
        </w:rPr>
        <w:t>ed</w:t>
      </w:r>
      <w:r w:rsidRPr="004E1159">
        <w:rPr>
          <w:rFonts w:eastAsia="Calibri"/>
        </w:rPr>
        <w:t xml:space="preserve"> </w:t>
      </w:r>
      <w:r w:rsidR="00133574" w:rsidRPr="004E1159">
        <w:rPr>
          <w:rFonts w:eastAsia="Calibri"/>
        </w:rPr>
        <w:t>within</w:t>
      </w:r>
      <w:r w:rsidRPr="004E1159">
        <w:rPr>
          <w:rFonts w:eastAsia="Calibri"/>
        </w:rPr>
        <w:t xml:space="preserve"> the context of international best practice</w:t>
      </w:r>
      <w:r w:rsidR="00133574" w:rsidRPr="004E1159">
        <w:rPr>
          <w:rFonts w:eastAsia="Calibri"/>
        </w:rPr>
        <w:t>, as well as contributing to</w:t>
      </w:r>
      <w:r w:rsidRPr="004E1159">
        <w:rPr>
          <w:rFonts w:eastAsia="Calibri"/>
        </w:rPr>
        <w:t xml:space="preserve"> work underway to strengthen transparency in future budgets. </w:t>
      </w:r>
    </w:p>
    <w:p w14:paraId="767F8661" w14:textId="6A1EB92B" w:rsidR="003A2B54" w:rsidRDefault="003A2B54">
      <w:pPr>
        <w:spacing w:before="0" w:after="160" w:line="259" w:lineRule="auto"/>
        <w:rPr>
          <w:rFonts w:eastAsia="Calibri"/>
        </w:rPr>
      </w:pPr>
      <w:r>
        <w:rPr>
          <w:rFonts w:eastAsia="Calibri"/>
        </w:rPr>
        <w:br w:type="page"/>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CF1B0D" w:rsidRPr="00EA288B" w14:paraId="13D0F58C" w14:textId="77777777" w:rsidTr="00EE1420">
        <w:trPr>
          <w:cantSplit/>
          <w:trHeight w:val="142"/>
        </w:trPr>
        <w:tc>
          <w:tcPr>
            <w:tcW w:w="5000" w:type="pct"/>
            <w:shd w:val="clear" w:color="auto" w:fill="E6F2FF"/>
          </w:tcPr>
          <w:p w14:paraId="32BE7637" w14:textId="616F132F" w:rsidR="00CF1B0D" w:rsidRPr="00BC3413" w:rsidRDefault="00CF1B0D" w:rsidP="007861FD">
            <w:pPr>
              <w:pStyle w:val="BoxHeading"/>
            </w:pPr>
            <w:r w:rsidRPr="00BC3413">
              <w:lastRenderedPageBreak/>
              <w:t>Box 3.</w:t>
            </w:r>
            <w:r w:rsidR="002D6484">
              <w:t>6</w:t>
            </w:r>
            <w:r w:rsidRPr="00BC3413">
              <w:t>: Physical Impact</w:t>
            </w:r>
            <w:r w:rsidR="005A50E8" w:rsidRPr="00BC3413">
              <w:t>s</w:t>
            </w:r>
            <w:r w:rsidRPr="00BC3413">
              <w:t xml:space="preserve"> of Climate </w:t>
            </w:r>
            <w:r w:rsidRPr="007861FD">
              <w:t>Change</w:t>
            </w:r>
          </w:p>
          <w:p w14:paraId="0FCEAAF6" w14:textId="12954578" w:rsidR="000C1070" w:rsidRPr="004E1159" w:rsidRDefault="00CF1B0D" w:rsidP="007861FD">
            <w:pPr>
              <w:pStyle w:val="BoxText"/>
              <w:rPr>
                <w:rFonts w:eastAsia="Calibri"/>
              </w:rPr>
            </w:pPr>
            <w:r w:rsidRPr="004E1159">
              <w:rPr>
                <w:rFonts w:eastAsia="Calibri"/>
              </w:rPr>
              <w:t xml:space="preserve">Global </w:t>
            </w:r>
            <w:r w:rsidR="00056407" w:rsidRPr="004E1159">
              <w:rPr>
                <w:rFonts w:eastAsia="Calibri"/>
              </w:rPr>
              <w:t>warming</w:t>
            </w:r>
            <w:r w:rsidRPr="004E1159">
              <w:rPr>
                <w:rFonts w:eastAsia="Calibri"/>
              </w:rPr>
              <w:t xml:space="preserve"> continues to </w:t>
            </w:r>
            <w:r w:rsidR="00CB5A10" w:rsidRPr="004E1159">
              <w:rPr>
                <w:rFonts w:eastAsia="Calibri"/>
              </w:rPr>
              <w:t>change</w:t>
            </w:r>
            <w:r w:rsidRPr="004E1159">
              <w:rPr>
                <w:rFonts w:eastAsia="Calibri"/>
              </w:rPr>
              <w:t xml:space="preserve"> Australia</w:t>
            </w:r>
            <w:r w:rsidR="00594653" w:rsidRPr="004E1159">
              <w:rPr>
                <w:rFonts w:eastAsia="Calibri"/>
              </w:rPr>
              <w:t>’</w:t>
            </w:r>
            <w:r w:rsidRPr="004E1159">
              <w:rPr>
                <w:rFonts w:eastAsia="Calibri"/>
              </w:rPr>
              <w:t xml:space="preserve">s </w:t>
            </w:r>
            <w:r w:rsidR="000C7F5C" w:rsidRPr="004E1159">
              <w:rPr>
                <w:rFonts w:eastAsia="Calibri"/>
              </w:rPr>
              <w:t>weather</w:t>
            </w:r>
            <w:r w:rsidRPr="004E1159">
              <w:rPr>
                <w:rFonts w:eastAsia="Calibri"/>
              </w:rPr>
              <w:t xml:space="preserve"> and climate</w:t>
            </w:r>
            <w:r w:rsidR="00CB5A10" w:rsidRPr="004E1159">
              <w:rPr>
                <w:rFonts w:eastAsia="Calibri"/>
              </w:rPr>
              <w:t>, and</w:t>
            </w:r>
            <w:r w:rsidRPr="004E1159">
              <w:rPr>
                <w:rFonts w:eastAsia="Calibri"/>
              </w:rPr>
              <w:t xml:space="preserve"> </w:t>
            </w:r>
            <w:r w:rsidR="00CB5A10" w:rsidRPr="004E1159">
              <w:rPr>
                <w:rFonts w:eastAsia="Calibri"/>
              </w:rPr>
              <w:t>o</w:t>
            </w:r>
            <w:r w:rsidR="4CD3687F" w:rsidRPr="004E1159">
              <w:rPr>
                <w:rFonts w:eastAsia="Calibri"/>
              </w:rPr>
              <w:t>ver the course of this century t</w:t>
            </w:r>
            <w:r w:rsidR="13F00B5D" w:rsidRPr="004E1159">
              <w:rPr>
                <w:rFonts w:eastAsia="Calibri"/>
              </w:rPr>
              <w:t xml:space="preserve">hese trends will </w:t>
            </w:r>
            <w:r w:rsidR="40DE6570" w:rsidRPr="004E1159">
              <w:rPr>
                <w:rFonts w:eastAsia="Calibri"/>
              </w:rPr>
              <w:t xml:space="preserve">all </w:t>
            </w:r>
            <w:r w:rsidR="6A5AE832" w:rsidRPr="004E1159">
              <w:rPr>
                <w:rFonts w:eastAsia="Calibri"/>
              </w:rPr>
              <w:t>drive</w:t>
            </w:r>
            <w:r w:rsidR="005C2BCC" w:rsidRPr="004E1159">
              <w:rPr>
                <w:rFonts w:eastAsia="Calibri"/>
              </w:rPr>
              <w:t xml:space="preserve"> changes </w:t>
            </w:r>
            <w:r w:rsidR="64068CFF" w:rsidRPr="004E1159">
              <w:rPr>
                <w:rFonts w:eastAsia="Calibri"/>
              </w:rPr>
              <w:t>in</w:t>
            </w:r>
            <w:r w:rsidR="005E2D49" w:rsidRPr="004E1159">
              <w:rPr>
                <w:rFonts w:eastAsia="Calibri"/>
              </w:rPr>
              <w:t xml:space="preserve"> </w:t>
            </w:r>
            <w:r w:rsidR="2AB02103" w:rsidRPr="004E1159">
              <w:rPr>
                <w:rFonts w:eastAsia="Calibri"/>
              </w:rPr>
              <w:t>Australia</w:t>
            </w:r>
            <w:r w:rsidR="00594653" w:rsidRPr="004E1159">
              <w:rPr>
                <w:rFonts w:eastAsia="Calibri"/>
              </w:rPr>
              <w:t>’</w:t>
            </w:r>
            <w:r w:rsidR="2AB02103" w:rsidRPr="004E1159">
              <w:rPr>
                <w:rFonts w:eastAsia="Calibri"/>
              </w:rPr>
              <w:t>s</w:t>
            </w:r>
            <w:r w:rsidR="00270D2F" w:rsidRPr="004E1159">
              <w:rPr>
                <w:rFonts w:eastAsia="Calibri"/>
              </w:rPr>
              <w:t xml:space="preserve"> economy</w:t>
            </w:r>
            <w:r w:rsidR="005C2BCC" w:rsidRPr="004E1159">
              <w:rPr>
                <w:rFonts w:eastAsia="Calibri"/>
              </w:rPr>
              <w:t xml:space="preserve"> </w:t>
            </w:r>
            <w:r w:rsidR="755CF075" w:rsidRPr="004E1159">
              <w:rPr>
                <w:rFonts w:eastAsia="Calibri"/>
              </w:rPr>
              <w:t xml:space="preserve">– </w:t>
            </w:r>
            <w:r w:rsidR="2765F2D7" w:rsidRPr="004E1159">
              <w:rPr>
                <w:rFonts w:eastAsia="Calibri"/>
              </w:rPr>
              <w:t xml:space="preserve">with respect to both </w:t>
            </w:r>
            <w:r w:rsidR="755CF075" w:rsidRPr="004E1159">
              <w:rPr>
                <w:rFonts w:eastAsia="Calibri"/>
              </w:rPr>
              <w:t>its size and structure</w:t>
            </w:r>
            <w:r w:rsidR="00270D2F" w:rsidRPr="004E1159">
              <w:rPr>
                <w:rFonts w:eastAsia="Calibri"/>
              </w:rPr>
              <w:t>.</w:t>
            </w:r>
            <w:r w:rsidR="000C1070" w:rsidRPr="004E1159">
              <w:rPr>
                <w:rFonts w:eastAsia="Calibri"/>
              </w:rPr>
              <w:t xml:space="preserve"> This includes</w:t>
            </w:r>
            <w:r w:rsidR="005E2D49" w:rsidRPr="004E1159">
              <w:rPr>
                <w:rFonts w:eastAsia="Calibri"/>
              </w:rPr>
              <w:t xml:space="preserve"> impacts on</w:t>
            </w:r>
            <w:r w:rsidR="000C1070" w:rsidRPr="004E1159">
              <w:rPr>
                <w:rFonts w:eastAsia="Calibri"/>
              </w:rPr>
              <w:t xml:space="preserve"> human health, biodiversity, the location and movement of populations, the types of structures we live in, </w:t>
            </w:r>
            <w:r w:rsidR="00E34F6C" w:rsidRPr="004E1159">
              <w:rPr>
                <w:rFonts w:eastAsia="Calibri"/>
              </w:rPr>
              <w:t xml:space="preserve">and </w:t>
            </w:r>
            <w:r w:rsidR="000C1070" w:rsidRPr="004E1159">
              <w:rPr>
                <w:rFonts w:eastAsia="Calibri"/>
              </w:rPr>
              <w:t>the ability of individuals to work</w:t>
            </w:r>
            <w:r w:rsidR="00612C9F" w:rsidRPr="004E1159">
              <w:rPr>
                <w:rFonts w:eastAsia="Calibri"/>
              </w:rPr>
              <w:t>.</w:t>
            </w:r>
            <w:r w:rsidR="00B561F3" w:rsidRPr="004E1159">
              <w:rPr>
                <w:rFonts w:eastAsia="Calibri"/>
              </w:rPr>
              <w:t xml:space="preserve"> </w:t>
            </w:r>
          </w:p>
          <w:p w14:paraId="0ED5B061" w14:textId="2E4B1C9C" w:rsidR="00CF1B0D" w:rsidRPr="002367C9" w:rsidRDefault="00842FBB" w:rsidP="00CF1B0D">
            <w:pPr>
              <w:pStyle w:val="BoxText"/>
              <w:rPr>
                <w:rFonts w:eastAsia="Calibri"/>
              </w:rPr>
            </w:pPr>
            <w:r w:rsidRPr="004E1159">
              <w:rPr>
                <w:rFonts w:eastAsia="Calibri"/>
              </w:rPr>
              <w:t>For instance,</w:t>
            </w:r>
            <w:r w:rsidR="003D6367" w:rsidRPr="004E1159">
              <w:rPr>
                <w:rFonts w:eastAsia="Calibri"/>
              </w:rPr>
              <w:t xml:space="preserve"> </w:t>
            </w:r>
            <w:r w:rsidR="00D84F44" w:rsidRPr="004E1159">
              <w:rPr>
                <w:rFonts w:eastAsia="Calibri"/>
              </w:rPr>
              <w:t>labour</w:t>
            </w:r>
            <w:r w:rsidR="00CF1B0D" w:rsidRPr="004E1159">
              <w:rPr>
                <w:rFonts w:eastAsia="Calibri"/>
              </w:rPr>
              <w:t xml:space="preserve"> productivity and hours worked are expected to decline as temperatures increase, particularly for employees who work outdoors such as </w:t>
            </w:r>
            <w:r w:rsidR="00A157EB" w:rsidRPr="004E1159">
              <w:rPr>
                <w:rFonts w:eastAsia="Calibri"/>
              </w:rPr>
              <w:t xml:space="preserve">in </w:t>
            </w:r>
            <w:r w:rsidR="00CF1B0D" w:rsidRPr="004E1159">
              <w:rPr>
                <w:rFonts w:eastAsia="Calibri"/>
              </w:rPr>
              <w:t>agriculture, construction and manufacturing</w:t>
            </w:r>
            <w:r w:rsidR="00D84F44" w:rsidRPr="004E1159">
              <w:rPr>
                <w:rFonts w:eastAsia="Calibri"/>
              </w:rPr>
              <w:t>.</w:t>
            </w:r>
            <w:r w:rsidR="00CF1B0D" w:rsidRPr="004E1159">
              <w:rPr>
                <w:rFonts w:eastAsia="Calibri"/>
              </w:rPr>
              <w:t xml:space="preserve"> Agricultural yields are </w:t>
            </w:r>
            <w:r w:rsidR="00595D90" w:rsidRPr="004E1159">
              <w:rPr>
                <w:rFonts w:eastAsia="Calibri"/>
              </w:rPr>
              <w:t>expected</w:t>
            </w:r>
            <w:r w:rsidR="00CF1B0D" w:rsidRPr="004E1159">
              <w:rPr>
                <w:rFonts w:eastAsia="Calibri"/>
              </w:rPr>
              <w:t xml:space="preserve"> to decline </w:t>
            </w:r>
            <w:r w:rsidR="009E520C" w:rsidRPr="004E1159">
              <w:rPr>
                <w:rFonts w:eastAsia="Calibri"/>
              </w:rPr>
              <w:t>with</w:t>
            </w:r>
            <w:r w:rsidR="00CF1B0D" w:rsidRPr="004E1159">
              <w:rPr>
                <w:rFonts w:eastAsia="Calibri"/>
              </w:rPr>
              <w:t xml:space="preserve"> climate</w:t>
            </w:r>
            <w:r w:rsidR="000A691E" w:rsidRPr="004E1159">
              <w:rPr>
                <w:rFonts w:eastAsia="Calibri"/>
              </w:rPr>
              <w:t xml:space="preserve"> </w:t>
            </w:r>
            <w:r w:rsidR="008558BB" w:rsidRPr="004E1159">
              <w:rPr>
                <w:rFonts w:eastAsia="Calibri"/>
              </w:rPr>
              <w:t>change.</w:t>
            </w:r>
            <w:r w:rsidR="00CF1B0D" w:rsidRPr="004E1159">
              <w:rPr>
                <w:rFonts w:eastAsia="Calibri"/>
              </w:rPr>
              <w:t xml:space="preserve"> The increased frequency and severity of natural disasters will also lead to reductions in output through disruptions to economic activity</w:t>
            </w:r>
            <w:r w:rsidR="00CB31F8" w:rsidRPr="004E1159">
              <w:rPr>
                <w:rFonts w:eastAsia="Calibri"/>
              </w:rPr>
              <w:t xml:space="preserve"> and destruction </w:t>
            </w:r>
            <w:r w:rsidR="004336F3" w:rsidRPr="004E1159">
              <w:rPr>
                <w:rFonts w:eastAsia="Calibri"/>
              </w:rPr>
              <w:t>of property and infrastructure</w:t>
            </w:r>
            <w:r w:rsidR="00CF1B0D" w:rsidRPr="004E1159">
              <w:rPr>
                <w:rFonts w:eastAsia="Calibri"/>
              </w:rPr>
              <w:t>.</w:t>
            </w:r>
            <w:r w:rsidR="00FC2C81" w:rsidRPr="004E1159">
              <w:rPr>
                <w:rFonts w:eastAsia="Calibri"/>
              </w:rPr>
              <w:t xml:space="preserve"> </w:t>
            </w:r>
          </w:p>
          <w:p w14:paraId="4E060BBD" w14:textId="1DFA819D" w:rsidR="00E8238F" w:rsidRDefault="006A69D0" w:rsidP="00CF1B0D">
            <w:pPr>
              <w:pStyle w:val="BoxText"/>
              <w:rPr>
                <w:rFonts w:eastAsia="Calibri"/>
              </w:rPr>
            </w:pPr>
            <w:r w:rsidRPr="004E1159">
              <w:rPr>
                <w:rFonts w:eastAsia="Calibri"/>
              </w:rPr>
              <w:t>Insurance claims from the flood events of February</w:t>
            </w:r>
            <w:r w:rsidR="00235899" w:rsidRPr="004E1159">
              <w:rPr>
                <w:rFonts w:eastAsia="Calibri"/>
              </w:rPr>
              <w:t>–</w:t>
            </w:r>
            <w:r w:rsidRPr="004E1159">
              <w:rPr>
                <w:rFonts w:eastAsia="Calibri"/>
              </w:rPr>
              <w:t xml:space="preserve">March 2022 were the highest in history </w:t>
            </w:r>
            <w:r w:rsidR="00A80D6C" w:rsidRPr="004E1159">
              <w:rPr>
                <w:rFonts w:eastAsia="Calibri"/>
              </w:rPr>
              <w:t>due to a natural disaster,</w:t>
            </w:r>
            <w:r w:rsidRPr="004E1159">
              <w:rPr>
                <w:rFonts w:eastAsia="Calibri"/>
              </w:rPr>
              <w:t xml:space="preserve"> </w:t>
            </w:r>
            <w:r w:rsidR="008F1360" w:rsidRPr="004E1159">
              <w:rPr>
                <w:rFonts w:eastAsia="Calibri"/>
              </w:rPr>
              <w:t xml:space="preserve">causing </w:t>
            </w:r>
            <w:r w:rsidR="00562EBB" w:rsidRPr="004E1159">
              <w:rPr>
                <w:rFonts w:eastAsia="Calibri"/>
              </w:rPr>
              <w:t>$5.</w:t>
            </w:r>
            <w:r w:rsidR="00DD38E6" w:rsidRPr="004E1159">
              <w:rPr>
                <w:rFonts w:eastAsia="Calibri"/>
              </w:rPr>
              <w:t>9</w:t>
            </w:r>
            <w:r w:rsidR="00562EBB" w:rsidRPr="004E1159">
              <w:rPr>
                <w:rFonts w:eastAsia="Calibri"/>
              </w:rPr>
              <w:t xml:space="preserve"> billion in insured damages as</w:t>
            </w:r>
            <w:r w:rsidR="00437235" w:rsidRPr="004E1159">
              <w:rPr>
                <w:rFonts w:eastAsia="Calibri"/>
              </w:rPr>
              <w:t xml:space="preserve"> of </w:t>
            </w:r>
            <w:r w:rsidR="007E68F2" w:rsidRPr="004E1159">
              <w:rPr>
                <w:rFonts w:eastAsia="Calibri"/>
              </w:rPr>
              <w:t>April</w:t>
            </w:r>
            <w:r w:rsidR="00224BB3" w:rsidRPr="004E1159">
              <w:rPr>
                <w:rFonts w:eastAsia="Calibri"/>
              </w:rPr>
              <w:t> </w:t>
            </w:r>
            <w:r w:rsidR="00437235" w:rsidRPr="004E1159">
              <w:rPr>
                <w:rFonts w:eastAsia="Calibri"/>
              </w:rPr>
              <w:t>2023</w:t>
            </w:r>
            <w:r w:rsidR="00D572AB" w:rsidRPr="004E1159">
              <w:rPr>
                <w:rFonts w:eastAsia="Calibri"/>
              </w:rPr>
              <w:t xml:space="preserve"> according to the Insurance Council of Australia</w:t>
            </w:r>
            <w:r w:rsidR="00562EBB" w:rsidRPr="004E1159">
              <w:rPr>
                <w:rFonts w:eastAsia="Calibri"/>
              </w:rPr>
              <w:t>.</w:t>
            </w:r>
            <w:r w:rsidR="00CF1B0D" w:rsidRPr="004E1159">
              <w:rPr>
                <w:rFonts w:eastAsia="Calibri"/>
              </w:rPr>
              <w:t xml:space="preserve"> </w:t>
            </w:r>
            <w:r w:rsidR="00A80D6C" w:rsidRPr="004E1159">
              <w:rPr>
                <w:rFonts w:eastAsia="Calibri"/>
              </w:rPr>
              <w:t>The ABS shows high non</w:t>
            </w:r>
            <w:r w:rsidR="00594653" w:rsidRPr="004E1159">
              <w:rPr>
                <w:rFonts w:eastAsia="Calibri"/>
              </w:rPr>
              <w:noBreakHyphen/>
            </w:r>
            <w:r w:rsidR="00A80D6C" w:rsidRPr="004E1159">
              <w:rPr>
                <w:rFonts w:eastAsia="Calibri"/>
              </w:rPr>
              <w:t>life insurance claims due to natural disaster events (Chart 3.</w:t>
            </w:r>
            <w:r w:rsidR="00C2696C" w:rsidRPr="004E1159">
              <w:rPr>
                <w:rFonts w:eastAsia="Calibri"/>
              </w:rPr>
              <w:t>1</w:t>
            </w:r>
            <w:r w:rsidR="004861B7" w:rsidRPr="004E1159">
              <w:rPr>
                <w:rFonts w:eastAsia="Calibri"/>
              </w:rPr>
              <w:t>8</w:t>
            </w:r>
            <w:r w:rsidR="00A80D6C" w:rsidRPr="004E1159">
              <w:rPr>
                <w:rFonts w:eastAsia="Calibri"/>
              </w:rPr>
              <w:t>)</w:t>
            </w:r>
            <w:r w:rsidR="00980C2C" w:rsidRPr="004E1159">
              <w:rPr>
                <w:rFonts w:eastAsia="Calibri"/>
              </w:rPr>
              <w:t>.</w:t>
            </w:r>
            <w:r w:rsidR="00CF1B0D" w:rsidRPr="004E1159">
              <w:rPr>
                <w:rFonts w:eastAsia="Calibri"/>
              </w:rPr>
              <w:t xml:space="preserve"> </w:t>
            </w:r>
          </w:p>
          <w:p w14:paraId="597E6E4A" w14:textId="5FA69B37" w:rsidR="006A2575" w:rsidRPr="000A691E" w:rsidRDefault="00980C2C" w:rsidP="00CF1B0D">
            <w:pPr>
              <w:pStyle w:val="BoxText"/>
              <w:rPr>
                <w:rFonts w:eastAsia="Calibri"/>
              </w:rPr>
            </w:pPr>
            <w:r w:rsidRPr="004E1159">
              <w:rPr>
                <w:rFonts w:eastAsia="Calibri"/>
              </w:rPr>
              <w:t>S</w:t>
            </w:r>
            <w:r w:rsidR="00D8196F" w:rsidRPr="004E1159">
              <w:rPr>
                <w:rFonts w:eastAsia="Calibri"/>
              </w:rPr>
              <w:t>ince</w:t>
            </w:r>
            <w:r w:rsidR="008075B1" w:rsidRPr="004E1159">
              <w:rPr>
                <w:rFonts w:eastAsia="Calibri"/>
              </w:rPr>
              <w:t> July </w:t>
            </w:r>
            <w:r w:rsidR="00C3605A" w:rsidRPr="004E1159">
              <w:rPr>
                <w:rFonts w:eastAsia="Calibri"/>
              </w:rPr>
              <w:t>2022, the Government has provided $1.</w:t>
            </w:r>
            <w:r w:rsidR="00565538" w:rsidRPr="004E1159">
              <w:rPr>
                <w:rFonts w:eastAsia="Calibri"/>
              </w:rPr>
              <w:t>5</w:t>
            </w:r>
            <w:r w:rsidR="00F634C3" w:rsidRPr="004E1159">
              <w:rPr>
                <w:rFonts w:eastAsia="Calibri"/>
              </w:rPr>
              <w:t> billion</w:t>
            </w:r>
            <w:r w:rsidR="00C3605A" w:rsidRPr="004E1159">
              <w:rPr>
                <w:rFonts w:eastAsia="Calibri"/>
              </w:rPr>
              <w:t xml:space="preserve"> to individuals through the Australian Government Disaster Recovery Payment and Disaster Recovery Allowance</w:t>
            </w:r>
            <w:r w:rsidR="00D8196F" w:rsidRPr="004E1159">
              <w:rPr>
                <w:rFonts w:eastAsia="Calibri"/>
              </w:rPr>
              <w:t xml:space="preserve">. </w:t>
            </w:r>
            <w:r w:rsidR="00552589" w:rsidRPr="004E1159">
              <w:rPr>
                <w:rFonts w:eastAsia="Calibri"/>
              </w:rPr>
              <w:t>From 202</w:t>
            </w:r>
            <w:r w:rsidR="005373E8" w:rsidRPr="004E1159">
              <w:rPr>
                <w:rFonts w:eastAsia="Calibri"/>
              </w:rPr>
              <w:t>3</w:t>
            </w:r>
            <w:r w:rsidR="00235899" w:rsidRPr="004E1159">
              <w:rPr>
                <w:rFonts w:eastAsia="Calibri"/>
              </w:rPr>
              <w:t>–</w:t>
            </w:r>
            <w:r w:rsidR="00552589" w:rsidRPr="004E1159">
              <w:rPr>
                <w:rFonts w:eastAsia="Calibri"/>
              </w:rPr>
              <w:t>2</w:t>
            </w:r>
            <w:r w:rsidR="005373E8" w:rsidRPr="004E1159">
              <w:rPr>
                <w:rFonts w:eastAsia="Calibri"/>
              </w:rPr>
              <w:t>4</w:t>
            </w:r>
            <w:r w:rsidR="00552589" w:rsidRPr="004E1159">
              <w:rPr>
                <w:rFonts w:eastAsia="Calibri"/>
              </w:rPr>
              <w:t>, t</w:t>
            </w:r>
            <w:r w:rsidR="00CA7434" w:rsidRPr="004E1159">
              <w:rPr>
                <w:rFonts w:eastAsia="Calibri"/>
              </w:rPr>
              <w:t xml:space="preserve">he Government </w:t>
            </w:r>
            <w:r w:rsidR="00552589" w:rsidRPr="004E1159">
              <w:rPr>
                <w:rFonts w:eastAsia="Calibri"/>
              </w:rPr>
              <w:t>is provid</w:t>
            </w:r>
            <w:r w:rsidR="005373E8" w:rsidRPr="004E1159">
              <w:rPr>
                <w:rFonts w:eastAsia="Calibri"/>
              </w:rPr>
              <w:t>ing</w:t>
            </w:r>
            <w:r w:rsidR="00552589" w:rsidRPr="004E1159">
              <w:rPr>
                <w:rFonts w:eastAsia="Calibri"/>
              </w:rPr>
              <w:t xml:space="preserve"> up to $200 million a year over the next 5 years </w:t>
            </w:r>
            <w:r w:rsidR="008F363A" w:rsidRPr="004E1159">
              <w:rPr>
                <w:rFonts w:eastAsia="Calibri"/>
              </w:rPr>
              <w:t>through</w:t>
            </w:r>
            <w:r w:rsidR="00CA7434" w:rsidRPr="004E1159">
              <w:rPr>
                <w:rFonts w:eastAsia="Calibri"/>
              </w:rPr>
              <w:t xml:space="preserve"> the Disaster Ready Fund to support communities</w:t>
            </w:r>
            <w:r w:rsidR="00401795" w:rsidRPr="004E1159">
              <w:t xml:space="preserve"> to </w:t>
            </w:r>
            <w:r w:rsidR="00401795" w:rsidRPr="004E1159">
              <w:rPr>
                <w:rFonts w:eastAsia="Calibri"/>
              </w:rPr>
              <w:t>strengthen their resilience against natural disasters</w:t>
            </w:r>
            <w:r w:rsidR="00161F99" w:rsidRPr="004E1159">
              <w:rPr>
                <w:rFonts w:eastAsia="Calibri"/>
              </w:rPr>
              <w:t>.</w:t>
            </w:r>
            <w:r w:rsidR="00A94797" w:rsidRPr="004E1159">
              <w:rPr>
                <w:rFonts w:eastAsia="Calibri"/>
              </w:rPr>
              <w:t xml:space="preserve"> </w:t>
            </w:r>
          </w:p>
          <w:p w14:paraId="039093C8" w14:textId="6EC78A7B" w:rsidR="00CF1B0D" w:rsidRPr="00BC3413" w:rsidRDefault="00E21765" w:rsidP="00AB4D24">
            <w:pPr>
              <w:pStyle w:val="ChartMainHeading"/>
              <w:rPr>
                <w:rFonts w:eastAsia="Calibri"/>
              </w:rPr>
            </w:pPr>
            <w:r w:rsidRPr="004E1159">
              <w:t>Chart </w:t>
            </w:r>
            <w:r w:rsidR="006A2575" w:rsidRPr="004E1159">
              <w:t>3.</w:t>
            </w:r>
            <w:r w:rsidR="00855416" w:rsidRPr="004E1159">
              <w:t>1</w:t>
            </w:r>
            <w:r w:rsidR="004861B7" w:rsidRPr="004E1159">
              <w:t>8</w:t>
            </w:r>
            <w:r w:rsidR="006A2575" w:rsidRPr="004E1159">
              <w:t>: Non</w:t>
            </w:r>
            <w:r w:rsidR="00594653" w:rsidRPr="004E1159">
              <w:noBreakHyphen/>
            </w:r>
            <w:r w:rsidR="006A2575" w:rsidRPr="004E1159">
              <w:t>life insurance claims over time</w:t>
            </w:r>
            <w:r w:rsidR="00F0792E" w:rsidRPr="004E1159">
              <w:rPr>
                <w:rFonts w:eastAsia="Calibri"/>
              </w:rPr>
              <w:t xml:space="preserve"> </w:t>
            </w:r>
          </w:p>
          <w:p w14:paraId="160F8103" w14:textId="3242FBC4" w:rsidR="005F02F2" w:rsidRPr="003A2B54" w:rsidRDefault="0094269C" w:rsidP="003A2B54">
            <w:pPr>
              <w:pStyle w:val="ChartGraphic"/>
              <w:rPr>
                <w:rFonts w:eastAsia="Calibri"/>
              </w:rPr>
            </w:pPr>
            <w:r>
              <w:rPr>
                <w:rFonts w:eastAsia="Calibri"/>
              </w:rPr>
              <w:pict w14:anchorId="3C254F45">
                <v:shape id="_x0000_i1041" type="#_x0000_t75" alt="This chart shows non-life insurance claim data from the ABS' National Accounts data release. Data labels have been placed over relative peaks in the series noting the natural disaster that occurred at that time which contributed to the increase in claims. " style="width:354.4pt;height:197.3pt">
                  <v:imagedata r:id="rId35" o:title=""/>
                </v:shape>
              </w:pict>
            </w:r>
          </w:p>
          <w:p w14:paraId="47C27334" w14:textId="1B6BC3A6" w:rsidR="00DD41C2" w:rsidRPr="00957885" w:rsidRDefault="004F128D" w:rsidP="003A2B54">
            <w:pPr>
              <w:pStyle w:val="ChartandTableFootnote"/>
            </w:pPr>
            <w:r w:rsidRPr="00957885">
              <w:t xml:space="preserve">Source: </w:t>
            </w:r>
            <w:r w:rsidRPr="00957885">
              <w:tab/>
              <w:t xml:space="preserve">ABS Australian </w:t>
            </w:r>
            <w:r w:rsidRPr="003A2B54">
              <w:t>National</w:t>
            </w:r>
            <w:r w:rsidRPr="00957885">
              <w:t xml:space="preserve"> Accounts: National Income, Expenditure and Product, December 2022.</w:t>
            </w:r>
          </w:p>
          <w:p w14:paraId="74126868" w14:textId="77777777" w:rsidR="00CF1B0D" w:rsidRDefault="00CF1B0D" w:rsidP="00FF3EF8">
            <w:pPr>
              <w:pStyle w:val="ChartLine"/>
            </w:pPr>
          </w:p>
          <w:p w14:paraId="5F492302" w14:textId="2880E65E" w:rsidR="007861FD" w:rsidRPr="00EA288B" w:rsidRDefault="007861FD" w:rsidP="007861FD">
            <w:pPr>
              <w:pStyle w:val="GhostLine"/>
            </w:pPr>
          </w:p>
        </w:tc>
      </w:tr>
    </w:tbl>
    <w:p w14:paraId="53F2C96F" w14:textId="77777777" w:rsidR="003A2B54" w:rsidRPr="003A2B54" w:rsidRDefault="003A2B54" w:rsidP="003A2B54">
      <w:bookmarkStart w:id="34" w:name="_Toc117356571"/>
      <w:r w:rsidRPr="003A2B54">
        <w:br w:type="page"/>
      </w:r>
    </w:p>
    <w:p w14:paraId="6AB48A6B" w14:textId="2FD9DCA7" w:rsidR="0056240A" w:rsidRPr="00C10D53" w:rsidRDefault="0056240A" w:rsidP="0056240A">
      <w:pPr>
        <w:pStyle w:val="Heading3"/>
      </w:pPr>
      <w:bookmarkStart w:id="35" w:name="_Toc134321300"/>
      <w:r w:rsidRPr="00C10D53">
        <w:lastRenderedPageBreak/>
        <w:t>Climate spending</w:t>
      </w:r>
      <w:bookmarkEnd w:id="35"/>
    </w:p>
    <w:p w14:paraId="755E32FB" w14:textId="6C37521A" w:rsidR="003C5252" w:rsidRPr="004E1159" w:rsidRDefault="003C5252" w:rsidP="003A2B54">
      <w:r w:rsidRPr="004E1159">
        <w:t>The Government is committed to improving the transparency of public money committed to climate action. It recognises the importance of identifying, disclosing, and tracking climate spending in improving Australia</w:t>
      </w:r>
      <w:r w:rsidR="00594653" w:rsidRPr="004E1159">
        <w:t>’</w:t>
      </w:r>
      <w:r w:rsidRPr="004E1159">
        <w:t xml:space="preserve">s response to climate change and aligning with international efforts. </w:t>
      </w:r>
    </w:p>
    <w:p w14:paraId="39D6CFB4" w14:textId="1D074531" w:rsidR="003C5252" w:rsidRPr="004E1159" w:rsidRDefault="003C5252" w:rsidP="003C5252">
      <w:r w:rsidRPr="004E1159">
        <w:t>Accounting for climate related spending comprehensively is challenging as it cuts across many portfolios, ranging from energy to health. Existing budget systems also do not readily facilitate reporting climate</w:t>
      </w:r>
      <w:r w:rsidR="00594653" w:rsidRPr="004E1159">
        <w:noBreakHyphen/>
      </w:r>
      <w:r w:rsidRPr="004E1159">
        <w:t>related spending on established programs. The Government is currently improving budget processes to facilitate more comprehensive reporting of climate</w:t>
      </w:r>
      <w:r w:rsidR="00594653" w:rsidRPr="004E1159">
        <w:noBreakHyphen/>
      </w:r>
      <w:r w:rsidRPr="004E1159">
        <w:t>related spending, including existing measures</w:t>
      </w:r>
      <w:r w:rsidR="001E491F" w:rsidRPr="004E1159">
        <w:t xml:space="preserve">. </w:t>
      </w:r>
    </w:p>
    <w:p w14:paraId="6A4F6B85" w14:textId="4DA47E35" w:rsidR="000024D3" w:rsidRPr="004E1159" w:rsidRDefault="000024D3" w:rsidP="003A2B54">
      <w:r w:rsidRPr="004E1159">
        <w:t>This Budget continues the approach published in the October 2022</w:t>
      </w:r>
      <w:r w:rsidR="00784625" w:rsidRPr="004E1159">
        <w:t>–</w:t>
      </w:r>
      <w:r w:rsidR="005756F8" w:rsidRPr="004E1159">
        <w:t>23</w:t>
      </w:r>
      <w:r w:rsidRPr="004E1159">
        <w:t xml:space="preserve"> Budget, and updates on the further work underway to support improvements in future budgets. In particular, it analyses international best practices for defining what spending is climate spending, and clarifies how Australia</w:t>
      </w:r>
      <w:r w:rsidR="00594653" w:rsidRPr="004E1159">
        <w:t>’</w:t>
      </w:r>
      <w:r w:rsidRPr="004E1159">
        <w:t xml:space="preserve">s approach will be </w:t>
      </w:r>
      <w:r w:rsidR="00313CEF" w:rsidRPr="004E1159">
        <w:t>consistent with the framework used to support the Governments</w:t>
      </w:r>
      <w:r w:rsidR="00594653" w:rsidRPr="004E1159">
        <w:t>’</w:t>
      </w:r>
      <w:r w:rsidR="00313CEF" w:rsidRPr="004E1159">
        <w:t xml:space="preserve"> issuance </w:t>
      </w:r>
      <w:r w:rsidR="00B17157" w:rsidRPr="004E1159">
        <w:t>of</w:t>
      </w:r>
      <w:r w:rsidR="00313CEF" w:rsidRPr="004E1159">
        <w:t xml:space="preserve"> Green Bonds.</w:t>
      </w:r>
      <w:r w:rsidRPr="004E1159">
        <w:t xml:space="preserve"> This approach will evolve over time as the Government works with and learns from reporting entities and partners around the world.</w:t>
      </w:r>
    </w:p>
    <w:p w14:paraId="4EF2B67D" w14:textId="4B35DB9F" w:rsidR="000024D3" w:rsidRPr="00566CF5" w:rsidRDefault="000024D3" w:rsidP="003A2B54">
      <w:pPr>
        <w:rPr>
          <w:b/>
        </w:rPr>
      </w:pPr>
      <w:r w:rsidRPr="004E1159">
        <w:t>The climate</w:t>
      </w:r>
      <w:r w:rsidR="00594653" w:rsidRPr="004E1159">
        <w:rPr>
          <w:b/>
        </w:rPr>
        <w:noBreakHyphen/>
      </w:r>
      <w:r w:rsidRPr="004E1159">
        <w:t>related spending approach in this Statement also complements the Government</w:t>
      </w:r>
      <w:r w:rsidR="00594653" w:rsidRPr="004E1159">
        <w:rPr>
          <w:b/>
        </w:rPr>
        <w:t>’</w:t>
      </w:r>
      <w:r w:rsidRPr="004E1159">
        <w:t>s reporting of its expenditure on related endeavours, such as the over $40</w:t>
      </w:r>
      <w:r w:rsidR="00822E51" w:rsidRPr="004E1159">
        <w:t> </w:t>
      </w:r>
      <w:r w:rsidRPr="004E1159">
        <w:t xml:space="preserve">billion commitment on transforming Australia into a renewable energy superpower, as presented in </w:t>
      </w:r>
      <w:r w:rsidRPr="004E1159">
        <w:rPr>
          <w:i/>
        </w:rPr>
        <w:t>Budget Statement 1</w:t>
      </w:r>
      <w:r w:rsidRPr="004E1159">
        <w:t xml:space="preserve"> Box </w:t>
      </w:r>
      <w:r w:rsidR="00120195" w:rsidRPr="004E1159">
        <w:t>1.1.</w:t>
      </w:r>
      <w:r w:rsidRPr="00566CF5">
        <w:t xml:space="preserve"> </w:t>
      </w:r>
    </w:p>
    <w:p w14:paraId="13259A5E" w14:textId="0FE13D20" w:rsidR="000024D3" w:rsidRPr="00C10D53" w:rsidRDefault="000024D3" w:rsidP="003A2B54">
      <w:pPr>
        <w:pStyle w:val="Heading3"/>
      </w:pPr>
      <w:bookmarkStart w:id="36" w:name="_Toc134321301"/>
      <w:r w:rsidRPr="00C10D53">
        <w:t xml:space="preserve">International frameworks </w:t>
      </w:r>
      <w:r w:rsidRPr="003A2B54">
        <w:t>and</w:t>
      </w:r>
      <w:r w:rsidRPr="00C10D53">
        <w:t xml:space="preserve"> approaches</w:t>
      </w:r>
      <w:bookmarkEnd w:id="36"/>
    </w:p>
    <w:p w14:paraId="520170CB" w14:textId="4B710E13" w:rsidR="000024D3" w:rsidRPr="004E1159" w:rsidRDefault="000024D3" w:rsidP="000024D3">
      <w:r w:rsidRPr="004E1159">
        <w:t>International organisations and countries have been working to develop green budgeting – an approach to fiscal management that aims to improve the alignment between policymaking and climate and environmental objectives</w:t>
      </w:r>
      <w:r w:rsidR="00E25A17" w:rsidRPr="004E1159">
        <w:t xml:space="preserve"> (Box 3.</w:t>
      </w:r>
      <w:r w:rsidR="002D6484" w:rsidRPr="004E1159">
        <w:t>7</w:t>
      </w:r>
      <w:r w:rsidR="00E25A17" w:rsidRPr="004E1159">
        <w:t>)</w:t>
      </w:r>
      <w:r w:rsidR="008A38EC" w:rsidRPr="004E1159">
        <w:t>.</w:t>
      </w:r>
      <w:r w:rsidRPr="004E1159">
        <w:t xml:space="preserve"> Australia</w:t>
      </w:r>
      <w:r w:rsidR="00594653" w:rsidRPr="004E1159">
        <w:t>’</w:t>
      </w:r>
      <w:r w:rsidRPr="004E1159">
        <w:t>s approach to reporting climate</w:t>
      </w:r>
      <w:r w:rsidR="00594653" w:rsidRPr="004E1159">
        <w:noBreakHyphen/>
      </w:r>
      <w:r w:rsidRPr="004E1159">
        <w:t>related spending aims to align with and progress that work, and demonstrates Australia</w:t>
      </w:r>
      <w:r w:rsidR="00594653" w:rsidRPr="004E1159">
        <w:t>’</w:t>
      </w:r>
      <w:r w:rsidRPr="004E1159">
        <w:t xml:space="preserve">s commitment to international climate leadership. </w:t>
      </w:r>
    </w:p>
    <w:p w14:paraId="20C52597" w14:textId="43DE8A6B" w:rsidR="000024D3" w:rsidRPr="00C10D53" w:rsidRDefault="000024D3" w:rsidP="007861FD">
      <w:r w:rsidRPr="004E1159">
        <w:t>The OECD, IMF and European Commission have jointly proposed the Green Budgeting Framework. Consistent and comprehensive reporting of green expenditure is a core building block of</w:t>
      </w:r>
      <w:r w:rsidRPr="004E1159" w:rsidDel="000269AB">
        <w:t xml:space="preserve"> </w:t>
      </w:r>
      <w:r w:rsidRPr="004E1159">
        <w:t>the framework, as it underpins accountability and strategic decision making. The Framework proposes classifying budget measures according to their</w:t>
      </w:r>
      <w:r w:rsidRPr="004E1159" w:rsidDel="00E7701A">
        <w:t xml:space="preserve"> </w:t>
      </w:r>
      <w:r w:rsidRPr="004E1159">
        <w:t>green (climate and environmental) impacts, and assessing their connection to meeting relevant policy goals, such as countries</w:t>
      </w:r>
      <w:r w:rsidR="00594653" w:rsidRPr="004E1159">
        <w:t>’</w:t>
      </w:r>
      <w:r w:rsidRPr="004E1159">
        <w:t xml:space="preserve"> Nationally Determined Contributions (NDCs) to emissions reduction</w:t>
      </w:r>
      <w:r w:rsidR="008A38EC" w:rsidRPr="004E1159">
        <w:t>.</w:t>
      </w:r>
      <w:r w:rsidR="00A90E41">
        <w:t xml:space="preserve"> </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0024D3" w:rsidRPr="00286258" w14:paraId="72F1FAE4" w14:textId="77777777">
        <w:trPr>
          <w:cantSplit/>
        </w:trPr>
        <w:tc>
          <w:tcPr>
            <w:tcW w:w="5000" w:type="pct"/>
            <w:shd w:val="clear" w:color="auto" w:fill="E6F2FF"/>
          </w:tcPr>
          <w:p w14:paraId="463FD391" w14:textId="6F69E5A8" w:rsidR="000024D3" w:rsidRPr="0093683C" w:rsidRDefault="000024D3" w:rsidP="00C66B50">
            <w:pPr>
              <w:pStyle w:val="BoxHeading"/>
            </w:pPr>
            <w:r w:rsidRPr="0093683C">
              <w:lastRenderedPageBreak/>
              <w:t>Box 3.</w:t>
            </w:r>
            <w:r w:rsidR="002D6484">
              <w:t>7</w:t>
            </w:r>
            <w:r>
              <w:t>:</w:t>
            </w:r>
            <w:r w:rsidRPr="0093683C">
              <w:t xml:space="preserve"> </w:t>
            </w:r>
            <w:r>
              <w:rPr>
                <w:rStyle w:val="Heading4Char"/>
              </w:rPr>
              <w:t xml:space="preserve">International approaches to </w:t>
            </w:r>
            <w:r w:rsidRPr="00C66B50">
              <w:rPr>
                <w:rStyle w:val="Heading4Char"/>
                <w:rFonts w:ascii="Arial" w:hAnsi="Arial"/>
                <w:b/>
              </w:rPr>
              <w:t>green</w:t>
            </w:r>
            <w:r>
              <w:rPr>
                <w:rStyle w:val="Heading4Char"/>
              </w:rPr>
              <w:t xml:space="preserve"> classification</w:t>
            </w:r>
          </w:p>
          <w:p w14:paraId="76262DA0" w14:textId="6887FC14" w:rsidR="000024D3" w:rsidRPr="004E1159" w:rsidRDefault="000024D3" w:rsidP="002C6D5B">
            <w:pPr>
              <w:pStyle w:val="BoxText"/>
            </w:pPr>
            <w:r w:rsidRPr="004E1159">
              <w:t>Several countries and organisations have developed approaches, each with different scopes and levels of detail.</w:t>
            </w:r>
          </w:p>
          <w:p w14:paraId="31B15BA5" w14:textId="73FA5220" w:rsidR="000024D3" w:rsidRPr="004E1159" w:rsidRDefault="000024D3" w:rsidP="002C6D5B">
            <w:pPr>
              <w:pStyle w:val="BoxText"/>
            </w:pPr>
            <w:r w:rsidRPr="004E1159">
              <w:t>New Zealand has established a Climate Emergency Response Fund (CERF), which allocates spending towards initiatives that support its climate objectives. Their Budget reports CERF expenditure, disaggregated by sector over a four</w:t>
            </w:r>
            <w:r w:rsidR="00594653" w:rsidRPr="004E1159">
              <w:noBreakHyphen/>
            </w:r>
            <w:r w:rsidRPr="004E1159">
              <w:t xml:space="preserve">year outlook period. </w:t>
            </w:r>
            <w:r w:rsidR="00D11537" w:rsidRPr="004E1159">
              <w:t xml:space="preserve">The approach separates pre </w:t>
            </w:r>
            <w:r w:rsidRPr="004E1159">
              <w:t xml:space="preserve">committed spending and new spending and operating and capital expenditure. </w:t>
            </w:r>
          </w:p>
          <w:p w14:paraId="7C15A0FB" w14:textId="1F024CF9" w:rsidR="000024D3" w:rsidRPr="004E1159" w:rsidRDefault="000024D3" w:rsidP="002C6D5B">
            <w:pPr>
              <w:pStyle w:val="BoxText"/>
            </w:pPr>
            <w:r w:rsidRPr="004E1159">
              <w:t>Canada reports climate and environment spending in its budget for the current and four</w:t>
            </w:r>
            <w:r w:rsidR="00594653" w:rsidRPr="004E1159">
              <w:noBreakHyphen/>
            </w:r>
            <w:r w:rsidRPr="004E1159">
              <w:t xml:space="preserve">year forward estimates. It provides aggregate climate spending under its 2030 Emissions Reduction Plan and divides its climate and environment spending into four categories across climate mitigation, energy, nature and building capability. </w:t>
            </w:r>
          </w:p>
          <w:p w14:paraId="64CDA76E" w14:textId="156281CB" w:rsidR="000024D3" w:rsidRPr="004E1159" w:rsidRDefault="000024D3" w:rsidP="002C6D5B">
            <w:pPr>
              <w:pStyle w:val="BoxText"/>
            </w:pPr>
            <w:r w:rsidRPr="004E1159">
              <w:t xml:space="preserve">The European Commission has developed the European Union (EU) taxonomy for sustainable activities. EU member states and private entities use the framework to identify whether an economic activity is sustainable and meets the </w:t>
            </w:r>
            <w:r w:rsidR="00594653" w:rsidRPr="004E1159">
              <w:t>‘</w:t>
            </w:r>
            <w:r w:rsidRPr="004E1159">
              <w:t>do no significant harm</w:t>
            </w:r>
            <w:r w:rsidR="00594653" w:rsidRPr="004E1159">
              <w:t>’</w:t>
            </w:r>
            <w:r w:rsidRPr="004E1159">
              <w:t xml:space="preserve"> principles.</w:t>
            </w:r>
          </w:p>
          <w:p w14:paraId="2BFBB8EC" w14:textId="3275B405" w:rsidR="000024D3" w:rsidRPr="0093683C" w:rsidRDefault="000024D3" w:rsidP="002C6D5B">
            <w:pPr>
              <w:pStyle w:val="BoxText"/>
            </w:pPr>
            <w:r w:rsidRPr="004E1159">
              <w:t>International progress on green budgeting is also occurring alongside work in sustainable finance, classifying green spending in the private sector. The International Capital Market Association (ICMA) has developed the Green Bond Principles framework. It aims to support bond issuers and investors by setting out the required transparency, accuracy and integrity of information disclosed at a high</w:t>
            </w:r>
            <w:r w:rsidR="003A2B54" w:rsidRPr="004E1159">
              <w:t> </w:t>
            </w:r>
            <w:r w:rsidRPr="004E1159">
              <w:t>level</w:t>
            </w:r>
            <w:r w:rsidR="00D11537" w:rsidRPr="004E1159">
              <w:t>.</w:t>
            </w:r>
          </w:p>
        </w:tc>
      </w:tr>
    </w:tbl>
    <w:p w14:paraId="37AB4729" w14:textId="77777777" w:rsidR="007861FD" w:rsidRDefault="007861FD" w:rsidP="007861FD">
      <w:pPr>
        <w:pStyle w:val="SingleParagraph"/>
      </w:pPr>
    </w:p>
    <w:p w14:paraId="4832EFC5" w14:textId="234FA3FC" w:rsidR="0056240A" w:rsidRDefault="0056240A" w:rsidP="0056240A">
      <w:pPr>
        <w:pStyle w:val="Heading3"/>
        <w:rPr>
          <w:b w:val="0"/>
        </w:rPr>
      </w:pPr>
      <w:bookmarkStart w:id="37" w:name="_Toc134321302"/>
      <w:r>
        <w:rPr>
          <w:b w:val="0"/>
        </w:rPr>
        <w:t>Australia</w:t>
      </w:r>
      <w:r w:rsidR="00594653">
        <w:rPr>
          <w:b w:val="0"/>
        </w:rPr>
        <w:t>’</w:t>
      </w:r>
      <w:r>
        <w:rPr>
          <w:b w:val="0"/>
        </w:rPr>
        <w:t>s c</w:t>
      </w:r>
      <w:r w:rsidRPr="00054A9E">
        <w:rPr>
          <w:b w:val="0"/>
        </w:rPr>
        <w:t>lassification</w:t>
      </w:r>
      <w:r>
        <w:rPr>
          <w:b w:val="0"/>
        </w:rPr>
        <w:t xml:space="preserve"> approach</w:t>
      </w:r>
      <w:bookmarkEnd w:id="37"/>
    </w:p>
    <w:p w14:paraId="0E54AF41" w14:textId="2E8B562C" w:rsidR="000024D3" w:rsidRPr="004E1159" w:rsidRDefault="000024D3" w:rsidP="000024D3">
      <w:r w:rsidRPr="004E1159">
        <w:t>Australia</w:t>
      </w:r>
      <w:r w:rsidR="00594653" w:rsidRPr="004E1159">
        <w:t>’</w:t>
      </w:r>
      <w:r w:rsidRPr="004E1159">
        <w:t>s initial approach builds on international best practice and will evolve over time as Australia and other countries</w:t>
      </w:r>
      <w:r w:rsidR="00594653" w:rsidRPr="004E1159">
        <w:t>’</w:t>
      </w:r>
      <w:r w:rsidRPr="004E1159">
        <w:t xml:space="preserve"> contributions to green classifications mature. Australia </w:t>
      </w:r>
      <w:r w:rsidR="003A2B54" w:rsidRPr="004E1159">
        <w:t> </w:t>
      </w:r>
      <w:r w:rsidRPr="004E1159">
        <w:t>has started with a focus on climate spending; similar to the approach taken by New</w:t>
      </w:r>
      <w:r w:rsidR="003A2B54" w:rsidRPr="004E1159">
        <w:t> </w:t>
      </w:r>
      <w:r w:rsidRPr="004E1159">
        <w:t>Zealand. Broader environmental or sustainability spending is not within scope at this</w:t>
      </w:r>
      <w:r w:rsidR="003A2B54" w:rsidRPr="004E1159">
        <w:t> </w:t>
      </w:r>
      <w:r w:rsidRPr="004E1159">
        <w:t>stage.</w:t>
      </w:r>
    </w:p>
    <w:p w14:paraId="5CFAA93F" w14:textId="591FA860" w:rsidR="000024D3" w:rsidRDefault="000024D3" w:rsidP="000024D3">
      <w:r w:rsidRPr="004E1159">
        <w:t>The framework used in this Budget has four core categories, which clarify the types of expenditure which qualify for inclusion (Box 3.</w:t>
      </w:r>
      <w:r w:rsidR="002D6484" w:rsidRPr="004E1159">
        <w:t>8</w:t>
      </w:r>
      <w:r w:rsidR="003558F5" w:rsidRPr="004E1159">
        <w:t>).</w:t>
      </w:r>
      <w:r w:rsidRPr="004E1159">
        <w:t xml:space="preserve"> In assessing whether spending qualifies as climate</w:t>
      </w:r>
      <w:r w:rsidR="00594653" w:rsidRPr="004E1159">
        <w:noBreakHyphen/>
      </w:r>
      <w:r w:rsidRPr="004E1159">
        <w:t>related, Australia adopts the relevant climate</w:t>
      </w:r>
      <w:r w:rsidR="00594653" w:rsidRPr="004E1159">
        <w:noBreakHyphen/>
      </w:r>
      <w:r w:rsidRPr="004E1159">
        <w:t>related elements of the International Capital Market Association</w:t>
      </w:r>
      <w:r w:rsidR="00594653" w:rsidRPr="004E1159">
        <w:t>’</w:t>
      </w:r>
      <w:r w:rsidRPr="004E1159">
        <w:t>s (ICMA) Green Bond Principles framework. The</w:t>
      </w:r>
      <w:r w:rsidR="003A2B54" w:rsidRPr="004E1159">
        <w:t> </w:t>
      </w:r>
      <w:r w:rsidRPr="004E1159">
        <w:t>reporting of climate</w:t>
      </w:r>
      <w:r w:rsidR="00594653" w:rsidRPr="004E1159">
        <w:noBreakHyphen/>
      </w:r>
      <w:r w:rsidRPr="004E1159">
        <w:t xml:space="preserve">related spending in the budget process will be complementary with the </w:t>
      </w:r>
      <w:r w:rsidR="003558F5" w:rsidRPr="004E1159">
        <w:t>framework</w:t>
      </w:r>
      <w:r w:rsidRPr="004E1159">
        <w:t xml:space="preserve"> accompanying the future release of Australian green bonds</w:t>
      </w:r>
      <w:r w:rsidR="003558F5" w:rsidRPr="004E1159">
        <w:t>.</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0024D3" w:rsidRPr="00286258" w14:paraId="563CF3A3" w14:textId="77777777">
        <w:trPr>
          <w:cantSplit/>
        </w:trPr>
        <w:tc>
          <w:tcPr>
            <w:tcW w:w="5000" w:type="pct"/>
            <w:shd w:val="clear" w:color="auto" w:fill="E6F2FF"/>
          </w:tcPr>
          <w:p w14:paraId="173BCCA7" w14:textId="2CB82B2D" w:rsidR="000024D3" w:rsidRPr="00D04DBB" w:rsidRDefault="000024D3" w:rsidP="00C66B50">
            <w:pPr>
              <w:pStyle w:val="BoxHeading"/>
            </w:pPr>
            <w:r w:rsidRPr="00D04DBB">
              <w:lastRenderedPageBreak/>
              <w:t>Box 3.</w:t>
            </w:r>
            <w:r w:rsidR="002D6484" w:rsidRPr="00D04DBB">
              <w:t>8</w:t>
            </w:r>
            <w:r w:rsidRPr="00D04DBB">
              <w:t xml:space="preserve">: </w:t>
            </w:r>
            <w:r w:rsidRPr="00D04DBB">
              <w:rPr>
                <w:rStyle w:val="Heading4Char"/>
                <w:rFonts w:ascii="Arial" w:hAnsi="Arial"/>
                <w:b/>
                <w:szCs w:val="22"/>
              </w:rPr>
              <w:t xml:space="preserve">Defining and categorising climate </w:t>
            </w:r>
            <w:r w:rsidRPr="00C66B50">
              <w:rPr>
                <w:rStyle w:val="Heading4Char"/>
                <w:rFonts w:ascii="Arial" w:hAnsi="Arial"/>
                <w:b/>
              </w:rPr>
              <w:t>spending</w:t>
            </w:r>
          </w:p>
          <w:p w14:paraId="2E0A36E4" w14:textId="0FBCCD60" w:rsidR="000024D3" w:rsidRPr="004E1159" w:rsidRDefault="000024D3" w:rsidP="007861FD">
            <w:pPr>
              <w:pStyle w:val="BoxText"/>
            </w:pPr>
            <w:r w:rsidRPr="004E1159">
              <w:t>Climate action is used as the broadest term to describe anything the Government does to address climate change. Climate action is currently divided into four sub</w:t>
            </w:r>
            <w:r w:rsidR="00594653" w:rsidRPr="004E1159">
              <w:noBreakHyphen/>
            </w:r>
            <w:r w:rsidRPr="004E1159">
              <w:t>categories for spending that is contributing towards:</w:t>
            </w:r>
          </w:p>
          <w:p w14:paraId="58E8A583" w14:textId="20F4882C" w:rsidR="000024D3" w:rsidRPr="004E1159" w:rsidRDefault="000024D3" w:rsidP="007861FD">
            <w:pPr>
              <w:pStyle w:val="BoxBullet"/>
            </w:pPr>
            <w:r w:rsidRPr="004E1159">
              <w:t>Reducing emissions in Australia</w:t>
            </w:r>
            <w:r w:rsidR="00594653" w:rsidRPr="004E1159">
              <w:t>’</w:t>
            </w:r>
            <w:r w:rsidRPr="004E1159">
              <w:t>s energy system and broader economy.</w:t>
            </w:r>
          </w:p>
          <w:p w14:paraId="702286E0" w14:textId="6B795ECB" w:rsidR="000024D3" w:rsidRPr="004E1159" w:rsidRDefault="000024D3" w:rsidP="007861FD">
            <w:pPr>
              <w:pStyle w:val="BoxBullet"/>
            </w:pPr>
            <w:r w:rsidRPr="004E1159">
              <w:t>Adapting to climate impacts and building climate and disaster resilience, spending to support Australia manage the physical impacts of climate change.</w:t>
            </w:r>
          </w:p>
          <w:p w14:paraId="779D3BFA" w14:textId="27A88385" w:rsidR="000024D3" w:rsidRPr="004E1159" w:rsidRDefault="000024D3" w:rsidP="007861FD">
            <w:pPr>
              <w:pStyle w:val="BoxBullet"/>
            </w:pPr>
            <w:r w:rsidRPr="004E1159">
              <w:t xml:space="preserve">International climate engagement, spending to support how we engage through international fora and with other jurisdictions. </w:t>
            </w:r>
          </w:p>
          <w:p w14:paraId="6612E8B8" w14:textId="06F95E6F" w:rsidR="000024D3" w:rsidRPr="004E1159" w:rsidRDefault="000024D3" w:rsidP="007861FD">
            <w:pPr>
              <w:pStyle w:val="BoxBullet"/>
            </w:pPr>
            <w:r w:rsidRPr="004E1159">
              <w:t xml:space="preserve">Governance and institutions, investing in the capabilities of Government to ensure it effectively delivers on its objectives and enable a national approach on climate change. </w:t>
            </w:r>
          </w:p>
          <w:p w14:paraId="7E76C144" w14:textId="3306454C" w:rsidR="000024D3" w:rsidRPr="004E1159" w:rsidRDefault="000024D3" w:rsidP="007861FD">
            <w:pPr>
              <w:pStyle w:val="BoxText"/>
            </w:pPr>
            <w:r w:rsidRPr="004E1159">
              <w:t>These categories provide a simple to understand framework for why each measure has been classified as contributing to climate action.</w:t>
            </w:r>
            <w:r w:rsidRPr="004E1159" w:rsidDel="00EF3143">
              <w:t xml:space="preserve"> </w:t>
            </w:r>
            <w:r w:rsidRPr="004E1159">
              <w:t>These categories are expected to evolve over time as Australia</w:t>
            </w:r>
            <w:r w:rsidR="00594653" w:rsidRPr="004E1159">
              <w:t>’</w:t>
            </w:r>
            <w:r w:rsidRPr="004E1159">
              <w:t>s approach to climate spending transparency matures. Policies may contribute to multiple climate or non</w:t>
            </w:r>
            <w:r w:rsidR="00594653" w:rsidRPr="004E1159">
              <w:noBreakHyphen/>
            </w:r>
            <w:r w:rsidRPr="004E1159">
              <w:t>climate objectives; spending is classified into the most appropriate category based on its primary purpose. Some policies may contribute indirectly to climate objectives; these have not been included in the current approach</w:t>
            </w:r>
            <w:r w:rsidRPr="004E1159" w:rsidDel="00095FCF">
              <w:t>.</w:t>
            </w:r>
          </w:p>
          <w:p w14:paraId="2CE15985" w14:textId="77777777" w:rsidR="000024D3" w:rsidRPr="004E1159" w:rsidRDefault="000024D3" w:rsidP="007861FD">
            <w:pPr>
              <w:pStyle w:val="BoxSubHeading"/>
            </w:pPr>
            <w:r w:rsidRPr="004E1159">
              <w:t>Indirect benefit example</w:t>
            </w:r>
          </w:p>
          <w:p w14:paraId="5C341B0E" w14:textId="6A22D107" w:rsidR="000024D3" w:rsidRPr="004E1159" w:rsidRDefault="000024D3">
            <w:pPr>
              <w:pStyle w:val="BoxText"/>
            </w:pPr>
            <w:r w:rsidRPr="004E1159">
              <w:t>Health system funding supports responses to the health effects of climate change, such as more extreme heat days. It also supports services for existing health conditions. There are different ways the spending could be classified, the whole amount, none, or a proportion could be classified as climate</w:t>
            </w:r>
            <w:r w:rsidR="00594653" w:rsidRPr="004E1159">
              <w:noBreakHyphen/>
            </w:r>
            <w:r w:rsidRPr="004E1159">
              <w:t xml:space="preserve">related expenditure. </w:t>
            </w:r>
          </w:p>
          <w:p w14:paraId="2F6524AE" w14:textId="0DBC66B4" w:rsidR="000024D3" w:rsidRPr="0093683C" w:rsidRDefault="000024D3">
            <w:pPr>
              <w:pStyle w:val="BoxText"/>
            </w:pPr>
            <w:r w:rsidRPr="004E1159">
              <w:t>In this Budget, spending with only an indirect contribution to climate action is excluded. If there is a specific program in health related to climate impacts, that would be counted (for example the October 2022</w:t>
            </w:r>
            <w:r w:rsidR="00235899" w:rsidRPr="004E1159">
              <w:t>–</w:t>
            </w:r>
            <w:r w:rsidRPr="004E1159">
              <w:t>23 Budget measure: National Health and Climate Strategy</w:t>
            </w:r>
            <w:r w:rsidR="00AA53AC" w:rsidRPr="004E1159">
              <w:t>).</w:t>
            </w:r>
          </w:p>
        </w:tc>
      </w:tr>
    </w:tbl>
    <w:p w14:paraId="03F7EEA8" w14:textId="77777777" w:rsidR="00C63B21" w:rsidRDefault="00C63B21" w:rsidP="000024D3">
      <w:pPr>
        <w:spacing w:before="0" w:after="160" w:line="259" w:lineRule="auto"/>
      </w:pPr>
      <w:r>
        <w:br w:type="page"/>
      </w:r>
    </w:p>
    <w:p w14:paraId="4080D4CF" w14:textId="564AC6E0" w:rsidR="00CF1E19" w:rsidRPr="004E1159" w:rsidRDefault="00C04542" w:rsidP="00BE03C6">
      <w:pPr>
        <w:pStyle w:val="TableHeading"/>
      </w:pPr>
      <w:r w:rsidRPr="004E1159">
        <w:lastRenderedPageBreak/>
        <w:t>Table 3</w:t>
      </w:r>
      <w:r w:rsidR="00CF1E19" w:rsidRPr="004E1159">
        <w:t>.</w:t>
      </w:r>
      <w:r w:rsidR="00C00330" w:rsidRPr="004E1159">
        <w:t>6</w:t>
      </w:r>
      <w:r w:rsidR="00CF1E19" w:rsidRPr="004E1159">
        <w:t>:</w:t>
      </w:r>
      <w:r w:rsidRPr="004E1159">
        <w:t xml:space="preserve"> </w:t>
      </w:r>
      <w:r w:rsidR="00FF2C5B" w:rsidRPr="004E1159">
        <w:rPr>
          <w:rFonts w:asciiTheme="majorHAnsi" w:hAnsiTheme="majorHAnsi" w:cstheme="majorHAnsi"/>
        </w:rPr>
        <w:t>Australia</w:t>
      </w:r>
      <w:r w:rsidR="00594653" w:rsidRPr="004E1159">
        <w:rPr>
          <w:rFonts w:asciiTheme="majorHAnsi" w:hAnsiTheme="majorHAnsi" w:cstheme="majorHAnsi"/>
        </w:rPr>
        <w:t>’</w:t>
      </w:r>
      <w:r w:rsidR="006D2E68" w:rsidRPr="004E1159">
        <w:rPr>
          <w:rFonts w:asciiTheme="majorHAnsi" w:hAnsiTheme="majorHAnsi" w:cstheme="majorHAnsi"/>
        </w:rPr>
        <w:t>s</w:t>
      </w:r>
      <w:r w:rsidR="00FF2C5B" w:rsidRPr="004E1159">
        <w:rPr>
          <w:rFonts w:asciiTheme="majorHAnsi" w:hAnsiTheme="majorHAnsi" w:cstheme="majorHAnsi"/>
        </w:rPr>
        <w:t xml:space="preserve"> </w:t>
      </w:r>
      <w:r w:rsidR="00931A4E" w:rsidRPr="004E1159">
        <w:t>c</w:t>
      </w:r>
      <w:r w:rsidRPr="004E1159">
        <w:t xml:space="preserve">limate </w:t>
      </w:r>
      <w:r w:rsidR="00931A4E" w:rsidRPr="004E1159">
        <w:t>r</w:t>
      </w:r>
      <w:r w:rsidRPr="004E1159">
        <w:t xml:space="preserve">eporting </w:t>
      </w:r>
      <w:r w:rsidR="00931A4E" w:rsidRPr="004E1159">
        <w:t>f</w:t>
      </w:r>
      <w:r w:rsidRPr="004E1159">
        <w:t>ramework</w:t>
      </w:r>
    </w:p>
    <w:tbl>
      <w:tblPr>
        <w:tblStyle w:val="TableGrid"/>
        <w:tblW w:w="5000" w:type="pct"/>
        <w:tblLook w:val="04A0" w:firstRow="1" w:lastRow="0" w:firstColumn="1" w:lastColumn="0" w:noHBand="0" w:noVBand="1"/>
      </w:tblPr>
      <w:tblGrid>
        <w:gridCol w:w="1696"/>
        <w:gridCol w:w="6004"/>
      </w:tblGrid>
      <w:tr w:rsidR="00CF1E19" w:rsidRPr="00B55974" w14:paraId="6EF85CC5" w14:textId="77777777" w:rsidTr="00233D53">
        <w:trPr>
          <w:trHeight w:val="505"/>
          <w:tblHeader/>
        </w:trPr>
        <w:tc>
          <w:tcPr>
            <w:tcW w:w="1101" w:type="pct"/>
            <w:tcBorders>
              <w:top w:val="single" w:sz="4" w:space="0" w:color="auto"/>
              <w:left w:val="single" w:sz="4" w:space="0" w:color="auto"/>
              <w:bottom w:val="single" w:sz="4" w:space="0" w:color="auto"/>
              <w:right w:val="single" w:sz="4" w:space="0" w:color="auto"/>
            </w:tcBorders>
            <w:hideMark/>
          </w:tcPr>
          <w:p w14:paraId="2970E510" w14:textId="77777777" w:rsidR="00CF1E19" w:rsidRPr="00B55974" w:rsidRDefault="00CF1E19" w:rsidP="00233D53">
            <w:pPr>
              <w:pStyle w:val="TableColumnHeadingLeft"/>
              <w:rPr>
                <w:highlight w:val="magenta"/>
              </w:rPr>
            </w:pPr>
            <w:r w:rsidRPr="004E1159">
              <w:t>Australian Climate Action Category</w:t>
            </w:r>
          </w:p>
        </w:tc>
        <w:tc>
          <w:tcPr>
            <w:tcW w:w="3899" w:type="pct"/>
            <w:tcBorders>
              <w:top w:val="single" w:sz="4" w:space="0" w:color="auto"/>
              <w:left w:val="single" w:sz="4" w:space="0" w:color="auto"/>
              <w:bottom w:val="single" w:sz="4" w:space="0" w:color="auto"/>
              <w:right w:val="single" w:sz="4" w:space="0" w:color="auto"/>
            </w:tcBorders>
            <w:hideMark/>
          </w:tcPr>
          <w:p w14:paraId="6B1064D0" w14:textId="77777777" w:rsidR="00CF1E19" w:rsidRPr="004E1159" w:rsidRDefault="00CF1E19" w:rsidP="00991F41">
            <w:pPr>
              <w:pStyle w:val="TableColumnHeadingLeft"/>
            </w:pPr>
            <w:r w:rsidRPr="004E1159">
              <w:t>Australian Definition</w:t>
            </w:r>
          </w:p>
        </w:tc>
      </w:tr>
      <w:tr w:rsidR="00CF1E19" w:rsidRPr="00B55974" w14:paraId="14E20B69" w14:textId="77777777" w:rsidTr="00233D53">
        <w:tc>
          <w:tcPr>
            <w:tcW w:w="1101" w:type="pct"/>
            <w:tcBorders>
              <w:top w:val="single" w:sz="4" w:space="0" w:color="auto"/>
              <w:left w:val="single" w:sz="4" w:space="0" w:color="auto"/>
              <w:bottom w:val="single" w:sz="4" w:space="0" w:color="auto"/>
              <w:right w:val="single" w:sz="4" w:space="0" w:color="auto"/>
            </w:tcBorders>
            <w:hideMark/>
          </w:tcPr>
          <w:p w14:paraId="490BF045" w14:textId="090F7281" w:rsidR="00CF1E19" w:rsidRPr="00B55974" w:rsidRDefault="0062372A" w:rsidP="00991F41">
            <w:pPr>
              <w:pStyle w:val="TableColumnHeadingLeft"/>
              <w:rPr>
                <w:highlight w:val="magenta"/>
              </w:rPr>
            </w:pPr>
            <w:r w:rsidRPr="004E1159">
              <w:t>Reducing emissions in Australia</w:t>
            </w:r>
            <w:r w:rsidR="00594653" w:rsidRPr="004E1159">
              <w:t>’</w:t>
            </w:r>
            <w:r w:rsidRPr="004E1159">
              <w:t>s energy system and broader economy.</w:t>
            </w:r>
          </w:p>
        </w:tc>
        <w:tc>
          <w:tcPr>
            <w:tcW w:w="3899" w:type="pct"/>
            <w:tcBorders>
              <w:top w:val="single" w:sz="4" w:space="0" w:color="auto"/>
              <w:left w:val="single" w:sz="4" w:space="0" w:color="auto"/>
              <w:bottom w:val="single" w:sz="4" w:space="0" w:color="auto"/>
              <w:right w:val="single" w:sz="4" w:space="0" w:color="auto"/>
            </w:tcBorders>
            <w:hideMark/>
          </w:tcPr>
          <w:p w14:paraId="6A0D66E6" w14:textId="77777777" w:rsidR="00CF1E19" w:rsidRPr="004E1159" w:rsidRDefault="00CF1E19" w:rsidP="00233D53">
            <w:pPr>
              <w:pStyle w:val="TableTextLeft"/>
              <w:spacing w:after="120"/>
              <w:rPr>
                <w:rStyle w:val="Emphasis"/>
              </w:rPr>
            </w:pPr>
            <w:r w:rsidRPr="004E1159">
              <w:rPr>
                <w:rStyle w:val="Emphasis"/>
              </w:rPr>
              <w:t>Spending that supports emissions reduction and climate driven economic transition within Australia.</w:t>
            </w:r>
          </w:p>
          <w:p w14:paraId="1F316B9C" w14:textId="77777777" w:rsidR="00CF1E19" w:rsidRPr="004E1159" w:rsidRDefault="00CF1E19" w:rsidP="00233D53">
            <w:pPr>
              <w:pStyle w:val="TableColumnHeadingLeft"/>
              <w:spacing w:after="120"/>
              <w:rPr>
                <w:u w:val="single"/>
              </w:rPr>
            </w:pPr>
            <w:r w:rsidRPr="004E1159">
              <w:rPr>
                <w:u w:val="single"/>
              </w:rPr>
              <w:t>Aligned elements in ICMA framework:</w:t>
            </w:r>
          </w:p>
          <w:p w14:paraId="45FA0248" w14:textId="77777777" w:rsidR="00CF1E19" w:rsidRPr="004E1159" w:rsidRDefault="00CF1E19" w:rsidP="00233D53">
            <w:pPr>
              <w:pStyle w:val="TableTextLeft"/>
              <w:spacing w:after="120"/>
            </w:pPr>
            <w:r w:rsidRPr="004E1159">
              <w:rPr>
                <w:b/>
              </w:rPr>
              <w:t>Renewable energy</w:t>
            </w:r>
            <w:r w:rsidRPr="004E1159">
              <w:t xml:space="preserve"> – Including production, transmission, and manufacturing renewable products.</w:t>
            </w:r>
          </w:p>
          <w:p w14:paraId="2336705B" w14:textId="77777777" w:rsidR="00CF1E19" w:rsidRPr="004E1159" w:rsidRDefault="00CF1E19" w:rsidP="00233D53">
            <w:pPr>
              <w:pStyle w:val="TableTextLeft"/>
              <w:spacing w:after="120"/>
            </w:pPr>
            <w:r w:rsidRPr="004E1159">
              <w:rPr>
                <w:b/>
              </w:rPr>
              <w:t>Energy efficiency</w:t>
            </w:r>
            <w:r w:rsidRPr="004E1159">
              <w:t xml:space="preserve"> – Including buildings, energy storage, smart grids, and products.</w:t>
            </w:r>
          </w:p>
          <w:p w14:paraId="7A81119F" w14:textId="77777777" w:rsidR="00CF1E19" w:rsidRPr="004E1159" w:rsidRDefault="00CF1E19" w:rsidP="00233D53">
            <w:pPr>
              <w:pStyle w:val="TableTextLeft"/>
              <w:spacing w:after="120"/>
            </w:pPr>
            <w:r w:rsidRPr="004E1159">
              <w:rPr>
                <w:b/>
              </w:rPr>
              <w:t>Pollution prevention and control</w:t>
            </w:r>
            <w:r w:rsidRPr="004E1159">
              <w:t xml:space="preserve"> – Including emissions control, and waste to energy.</w:t>
            </w:r>
          </w:p>
          <w:p w14:paraId="448DF44D" w14:textId="7C9252DC" w:rsidR="00CF1E19" w:rsidRPr="004E1159" w:rsidRDefault="00CF1E19" w:rsidP="00233D53">
            <w:pPr>
              <w:pStyle w:val="TableTextLeft"/>
            </w:pPr>
            <w:r w:rsidRPr="004E1159">
              <w:rPr>
                <w:b/>
              </w:rPr>
              <w:t>Clean transportation</w:t>
            </w:r>
            <w:r w:rsidRPr="004E1159">
              <w:t xml:space="preserve"> – Including electric, hybrid, public, rail, non</w:t>
            </w:r>
            <w:r w:rsidR="00594653" w:rsidRPr="004E1159">
              <w:noBreakHyphen/>
            </w:r>
            <w:r w:rsidRPr="004E1159">
              <w:t>motorised, multi modal transportation, and infrastructure for clean vehicles.</w:t>
            </w:r>
          </w:p>
        </w:tc>
      </w:tr>
      <w:tr w:rsidR="00CF1E19" w:rsidRPr="00B55974" w14:paraId="3F844488" w14:textId="77777777" w:rsidTr="00233D53">
        <w:tc>
          <w:tcPr>
            <w:tcW w:w="1101" w:type="pct"/>
            <w:tcBorders>
              <w:top w:val="single" w:sz="4" w:space="0" w:color="auto"/>
              <w:left w:val="single" w:sz="4" w:space="0" w:color="auto"/>
              <w:bottom w:val="single" w:sz="4" w:space="0" w:color="auto"/>
              <w:right w:val="single" w:sz="4" w:space="0" w:color="auto"/>
            </w:tcBorders>
            <w:hideMark/>
          </w:tcPr>
          <w:p w14:paraId="3EDC8207" w14:textId="77777777" w:rsidR="00CF1E19" w:rsidRPr="00B55974" w:rsidRDefault="00CF1E19" w:rsidP="00991F41">
            <w:pPr>
              <w:pStyle w:val="TableColumnHeadingLeft"/>
              <w:rPr>
                <w:highlight w:val="magenta"/>
              </w:rPr>
            </w:pPr>
            <w:r w:rsidRPr="004E1159">
              <w:t>Adapting to climate change and improving climate and disaster resilience</w:t>
            </w:r>
          </w:p>
        </w:tc>
        <w:tc>
          <w:tcPr>
            <w:tcW w:w="3899" w:type="pct"/>
            <w:tcBorders>
              <w:top w:val="single" w:sz="4" w:space="0" w:color="auto"/>
              <w:left w:val="single" w:sz="4" w:space="0" w:color="auto"/>
              <w:bottom w:val="single" w:sz="4" w:space="0" w:color="auto"/>
              <w:right w:val="single" w:sz="4" w:space="0" w:color="auto"/>
            </w:tcBorders>
            <w:hideMark/>
          </w:tcPr>
          <w:p w14:paraId="2C7519F1" w14:textId="77777777" w:rsidR="00CF1E19" w:rsidRPr="004E1159" w:rsidRDefault="00CF1E19" w:rsidP="00233D53">
            <w:pPr>
              <w:pStyle w:val="TableTextLeft"/>
              <w:spacing w:after="120"/>
            </w:pPr>
            <w:r w:rsidRPr="004E1159">
              <w:rPr>
                <w:rStyle w:val="Emphasis"/>
              </w:rPr>
              <w:t>Spending that supports better management of the physical impacts of climate change including adaptation, improving climate resilience, and reducing our vulnerability.</w:t>
            </w:r>
            <w:r w:rsidRPr="004E1159">
              <w:rPr>
                <w:vertAlign w:val="superscript"/>
              </w:rPr>
              <w:footnoteReference w:id="2"/>
            </w:r>
          </w:p>
          <w:p w14:paraId="2370EC66" w14:textId="77777777" w:rsidR="00CF1E19" w:rsidRPr="004E1159" w:rsidRDefault="00CF1E19" w:rsidP="00233D53">
            <w:pPr>
              <w:pStyle w:val="TableColumnHeadingLeft"/>
              <w:spacing w:after="120"/>
              <w:rPr>
                <w:u w:val="single"/>
              </w:rPr>
            </w:pPr>
            <w:r w:rsidRPr="004E1159">
              <w:rPr>
                <w:u w:val="single"/>
              </w:rPr>
              <w:t>Aligned elements in ICMA framework:</w:t>
            </w:r>
          </w:p>
          <w:p w14:paraId="3E29C139" w14:textId="06238EFF" w:rsidR="00CF1E19" w:rsidRPr="004E1159" w:rsidRDefault="00CF1E19" w:rsidP="00233D53">
            <w:pPr>
              <w:pStyle w:val="TableTextLeft"/>
              <w:spacing w:after="120"/>
            </w:pPr>
            <w:r w:rsidRPr="004E1159">
              <w:rPr>
                <w:b/>
              </w:rPr>
              <w:t xml:space="preserve">Creating Climate Resilience – </w:t>
            </w:r>
            <w:r w:rsidRPr="004E1159">
              <w:t>Including adapting to and building resilience against the physical impacts of climate change, such as improving infrastructure to handle increased severe weather.</w:t>
            </w:r>
          </w:p>
          <w:p w14:paraId="62E67C13" w14:textId="4ED65068" w:rsidR="00CF1E19" w:rsidRPr="004E1159" w:rsidRDefault="00CF1E19" w:rsidP="00233D53">
            <w:pPr>
              <w:pStyle w:val="TableTextLeft"/>
              <w:spacing w:after="120"/>
            </w:pPr>
            <w:r w:rsidRPr="004E1159">
              <w:rPr>
                <w:rStyle w:val="Strong"/>
              </w:rPr>
              <w:t>Sustainable management of living natural resources</w:t>
            </w:r>
            <w:r w:rsidRPr="004E1159">
              <w:t xml:space="preserve"> – Including sustainable agriculture, fishery, aquaculture, forestry, and climate smart farm inputs such as biological crop protection or drip</w:t>
            </w:r>
            <w:r w:rsidR="00594653" w:rsidRPr="004E1159">
              <w:noBreakHyphen/>
            </w:r>
            <w:r w:rsidRPr="004E1159">
              <w:t>irrigation.</w:t>
            </w:r>
          </w:p>
          <w:p w14:paraId="3F32D2F9" w14:textId="77777777" w:rsidR="00CF1E19" w:rsidRPr="004E1159" w:rsidRDefault="00CF1E19" w:rsidP="00233D53">
            <w:pPr>
              <w:pStyle w:val="TableTextLeft"/>
              <w:spacing w:after="120"/>
            </w:pPr>
            <w:r w:rsidRPr="004E1159">
              <w:rPr>
                <w:b/>
              </w:rPr>
              <w:t>Sustainable Water Management</w:t>
            </w:r>
            <w:r w:rsidRPr="004E1159">
              <w:t xml:space="preserve"> – Including sustainable infrastructure, sustainable urban drainage systems and other forms of flooding mitigation.</w:t>
            </w:r>
          </w:p>
          <w:p w14:paraId="1BD46DC8" w14:textId="0EBF0DB4" w:rsidR="00CF1E19" w:rsidRPr="004E1159" w:rsidRDefault="00CF1E19" w:rsidP="00233D53">
            <w:pPr>
              <w:pStyle w:val="TableTextLeft"/>
            </w:pPr>
            <w:r w:rsidRPr="004E1159">
              <w:rPr>
                <w:b/>
              </w:rPr>
              <w:t xml:space="preserve">Climate Change </w:t>
            </w:r>
            <w:r w:rsidRPr="004E1159">
              <w:t>Information – Including information support systems, such as climate observation and early warning systems.</w:t>
            </w:r>
          </w:p>
        </w:tc>
      </w:tr>
      <w:tr w:rsidR="00CF1E19" w:rsidRPr="00B55974" w14:paraId="6268A3A4" w14:textId="77777777" w:rsidTr="00233D53">
        <w:tc>
          <w:tcPr>
            <w:tcW w:w="1101" w:type="pct"/>
            <w:tcBorders>
              <w:top w:val="single" w:sz="4" w:space="0" w:color="auto"/>
              <w:left w:val="single" w:sz="4" w:space="0" w:color="auto"/>
              <w:bottom w:val="single" w:sz="4" w:space="0" w:color="auto"/>
              <w:right w:val="single" w:sz="4" w:space="0" w:color="auto"/>
            </w:tcBorders>
            <w:hideMark/>
          </w:tcPr>
          <w:p w14:paraId="5045FC0F" w14:textId="77777777" w:rsidR="00CF1E19" w:rsidRPr="00B55974" w:rsidRDefault="00CF1E19" w:rsidP="00991F41">
            <w:pPr>
              <w:pStyle w:val="TableColumnHeadingLeft"/>
              <w:rPr>
                <w:highlight w:val="magenta"/>
              </w:rPr>
            </w:pPr>
            <w:r w:rsidRPr="004E1159">
              <w:t>International climate leadership</w:t>
            </w:r>
          </w:p>
        </w:tc>
        <w:tc>
          <w:tcPr>
            <w:tcW w:w="3899" w:type="pct"/>
            <w:tcBorders>
              <w:top w:val="single" w:sz="4" w:space="0" w:color="auto"/>
              <w:left w:val="single" w:sz="4" w:space="0" w:color="auto"/>
              <w:bottom w:val="single" w:sz="4" w:space="0" w:color="auto"/>
              <w:right w:val="single" w:sz="4" w:space="0" w:color="auto"/>
            </w:tcBorders>
            <w:hideMark/>
          </w:tcPr>
          <w:p w14:paraId="27E39F72" w14:textId="77777777" w:rsidR="00CF1E19" w:rsidRPr="004E1159" w:rsidRDefault="00CF1E19" w:rsidP="00233D53">
            <w:pPr>
              <w:pStyle w:val="TableTextLeft"/>
            </w:pPr>
            <w:r w:rsidRPr="004E1159">
              <w:rPr>
                <w:rStyle w:val="Emphasis"/>
              </w:rPr>
              <w:t>Spending that fits into the above transformation and adaption categories but is primarily targeted overseas. Including international partnerships and involvement in forums and initiatives</w:t>
            </w:r>
            <w:r w:rsidRPr="004E1159">
              <w:rPr>
                <w:vertAlign w:val="superscript"/>
              </w:rPr>
              <w:footnoteReference w:id="3"/>
            </w:r>
            <w:r w:rsidRPr="004E1159">
              <w:t>.</w:t>
            </w:r>
          </w:p>
        </w:tc>
      </w:tr>
      <w:tr w:rsidR="00CF1E19" w:rsidRPr="00B55974" w14:paraId="01ED6756" w14:textId="77777777" w:rsidTr="00233D53">
        <w:tc>
          <w:tcPr>
            <w:tcW w:w="1101" w:type="pct"/>
            <w:tcBorders>
              <w:top w:val="single" w:sz="4" w:space="0" w:color="auto"/>
              <w:left w:val="single" w:sz="4" w:space="0" w:color="auto"/>
              <w:bottom w:val="single" w:sz="4" w:space="0" w:color="auto"/>
              <w:right w:val="single" w:sz="4" w:space="0" w:color="auto"/>
            </w:tcBorders>
            <w:hideMark/>
          </w:tcPr>
          <w:p w14:paraId="635AB280" w14:textId="77777777" w:rsidR="00CF1E19" w:rsidRPr="00B55974" w:rsidRDefault="00CF1E19" w:rsidP="00991F41">
            <w:pPr>
              <w:pStyle w:val="TableColumnHeadingLeft"/>
              <w:rPr>
                <w:highlight w:val="magenta"/>
              </w:rPr>
            </w:pPr>
            <w:r w:rsidRPr="004E1159">
              <w:t>Building Australian Government climate capability</w:t>
            </w:r>
          </w:p>
        </w:tc>
        <w:tc>
          <w:tcPr>
            <w:tcW w:w="3899" w:type="pct"/>
            <w:tcBorders>
              <w:top w:val="single" w:sz="4" w:space="0" w:color="auto"/>
              <w:left w:val="single" w:sz="4" w:space="0" w:color="auto"/>
              <w:bottom w:val="single" w:sz="4" w:space="0" w:color="auto"/>
              <w:right w:val="single" w:sz="4" w:space="0" w:color="auto"/>
            </w:tcBorders>
            <w:hideMark/>
          </w:tcPr>
          <w:p w14:paraId="297ED63B" w14:textId="77777777" w:rsidR="00CF1E19" w:rsidRPr="004E1159" w:rsidRDefault="00CF1E19" w:rsidP="00233D53">
            <w:pPr>
              <w:pStyle w:val="TableTextLeft"/>
              <w:spacing w:after="120"/>
              <w:rPr>
                <w:rStyle w:val="Emphasis"/>
              </w:rPr>
            </w:pPr>
            <w:r w:rsidRPr="004E1159">
              <w:rPr>
                <w:rStyle w:val="Emphasis"/>
              </w:rPr>
              <w:t>Spending that enables the Government to better act on climate change, supporting the categories above.</w:t>
            </w:r>
          </w:p>
        </w:tc>
      </w:tr>
    </w:tbl>
    <w:p w14:paraId="53A7B183" w14:textId="1A269C66" w:rsidR="00233D53" w:rsidRPr="00233D53" w:rsidRDefault="00233D53" w:rsidP="003A2B54">
      <w:r w:rsidRPr="00233D53">
        <w:br w:type="page"/>
      </w:r>
    </w:p>
    <w:p w14:paraId="4E3635DC" w14:textId="77ECD4AC" w:rsidR="008E1DD9" w:rsidRPr="00BD211D" w:rsidRDefault="008E1DD9" w:rsidP="00BD211D">
      <w:pPr>
        <w:pStyle w:val="Heading4"/>
        <w:rPr>
          <w:rStyle w:val="SubtleEmphasis"/>
          <w:i w:val="0"/>
          <w:iCs w:val="0"/>
          <w:color w:val="auto"/>
        </w:rPr>
      </w:pPr>
      <w:r w:rsidRPr="009C27DF">
        <w:lastRenderedPageBreak/>
        <w:t>New climate spending measures</w:t>
      </w:r>
    </w:p>
    <w:p w14:paraId="5902742E" w14:textId="58539922" w:rsidR="00C56E24" w:rsidRPr="004E1159" w:rsidRDefault="00C56E24" w:rsidP="00C56E24">
      <w:pPr>
        <w:rPr>
          <w:szCs w:val="16"/>
        </w:rPr>
      </w:pPr>
      <w:r w:rsidRPr="004E1159">
        <w:t>Table 3.</w:t>
      </w:r>
      <w:r w:rsidR="00BC6546" w:rsidRPr="004E1159">
        <w:t>7</w:t>
      </w:r>
      <w:r w:rsidRPr="004E1159">
        <w:t xml:space="preserve"> sets out $</w:t>
      </w:r>
      <w:r w:rsidR="00B207D5" w:rsidRPr="004E1159">
        <w:t>4.6</w:t>
      </w:r>
      <w:r w:rsidRPr="004E1159">
        <w:t xml:space="preserve"> billion in climate</w:t>
      </w:r>
      <w:r w:rsidR="00594653" w:rsidRPr="004E1159">
        <w:noBreakHyphen/>
      </w:r>
      <w:r w:rsidRPr="004E1159">
        <w:t>related spending commitments in this Budget to climate action out to 30 June 2030. This is further to the $24.9 billion of climate</w:t>
      </w:r>
      <w:r w:rsidR="00594653" w:rsidRPr="004E1159">
        <w:noBreakHyphen/>
      </w:r>
      <w:r w:rsidRPr="004E1159">
        <w:t>related spending committed in the October 2022</w:t>
      </w:r>
      <w:r w:rsidR="00235899" w:rsidRPr="004E1159">
        <w:t>–</w:t>
      </w:r>
      <w:r w:rsidRPr="004E1159">
        <w:t xml:space="preserve">23 Budget. Classification of spending is informed by </w:t>
      </w:r>
      <w:r w:rsidR="001C6EAC" w:rsidRPr="004E1159">
        <w:t>the climate</w:t>
      </w:r>
      <w:r w:rsidRPr="004E1159">
        <w:t xml:space="preserve"> </w:t>
      </w:r>
      <w:r w:rsidR="00931A4E" w:rsidRPr="004E1159">
        <w:t>r</w:t>
      </w:r>
      <w:r w:rsidRPr="004E1159">
        <w:t xml:space="preserve">eporting </w:t>
      </w:r>
      <w:r w:rsidR="00931A4E" w:rsidRPr="004E1159">
        <w:t>f</w:t>
      </w:r>
      <w:r w:rsidRPr="004E1159">
        <w:t>ramework defined in Table 3.</w:t>
      </w:r>
      <w:r w:rsidR="005756F8" w:rsidRPr="004E1159">
        <w:t>6</w:t>
      </w:r>
      <w:r w:rsidRPr="004E1159">
        <w:t xml:space="preserve"> above. The total commitment outlines spending, balance sheet and tax expenditure measures and therefore presents a broader view than the impact on the underlying cash balance</w:t>
      </w:r>
      <w:r w:rsidRPr="004E1159">
        <w:rPr>
          <w:szCs w:val="16"/>
        </w:rPr>
        <w:t>.</w:t>
      </w:r>
      <w:r w:rsidRPr="004E1159">
        <w:rPr>
          <w:rStyle w:val="FootnoteReference"/>
          <w:szCs w:val="16"/>
        </w:rPr>
        <w:footnoteReference w:id="4"/>
      </w:r>
      <w:r w:rsidRPr="004E1159" w:rsidDel="003A67E0">
        <w:rPr>
          <w:szCs w:val="16"/>
        </w:rPr>
        <w:t xml:space="preserve"> </w:t>
      </w:r>
    </w:p>
    <w:p w14:paraId="320C02C8" w14:textId="69E5AA73" w:rsidR="00E42C03" w:rsidRPr="004E1159" w:rsidRDefault="00E42C03" w:rsidP="00E42C03">
      <w:r w:rsidRPr="004E1159">
        <w:t>Climate spending overlaps with the Government</w:t>
      </w:r>
      <w:r w:rsidR="00594653" w:rsidRPr="004E1159">
        <w:t>’</w:t>
      </w:r>
      <w:r w:rsidRPr="004E1159">
        <w:t>s investment of over $40 billion in Australia</w:t>
      </w:r>
      <w:r w:rsidR="00594653" w:rsidRPr="004E1159">
        <w:t>’</w:t>
      </w:r>
      <w:r w:rsidRPr="004E1159">
        <w:t xml:space="preserve">s plan to become a renewable energy superpower, outlined in </w:t>
      </w:r>
      <w:r w:rsidRPr="004E1159">
        <w:rPr>
          <w:i/>
        </w:rPr>
        <w:t>Budget Statement</w:t>
      </w:r>
      <w:r w:rsidR="00F36FF8" w:rsidRPr="004E1159">
        <w:rPr>
          <w:i/>
        </w:rPr>
        <w:t> </w:t>
      </w:r>
      <w:r w:rsidRPr="004E1159">
        <w:rPr>
          <w:i/>
        </w:rPr>
        <w:t>1</w:t>
      </w:r>
      <w:r w:rsidRPr="004E1159">
        <w:t xml:space="preserve">: Box </w:t>
      </w:r>
      <w:r w:rsidR="008F449B" w:rsidRPr="004E1159">
        <w:t>1</w:t>
      </w:r>
      <w:r w:rsidRPr="004E1159">
        <w:t>.</w:t>
      </w:r>
      <w:r w:rsidR="008F449B" w:rsidRPr="004E1159">
        <w:t>1</w:t>
      </w:r>
      <w:r w:rsidRPr="004E1159">
        <w:t>. However, these figures relate to a different scope of activities.</w:t>
      </w:r>
    </w:p>
    <w:p w14:paraId="7D1166E8" w14:textId="327A9F2D" w:rsidR="00DB2D98" w:rsidRPr="004E1159" w:rsidRDefault="00DB2D98" w:rsidP="00DB2D98">
      <w:r w:rsidRPr="004E1159">
        <w:t>Climate related budget commitments include measures that build Australia</w:t>
      </w:r>
      <w:r w:rsidR="00594653" w:rsidRPr="004E1159">
        <w:t>’</w:t>
      </w:r>
      <w:r w:rsidRPr="004E1159">
        <w:t>s economy, such as investments in renewable energy, as well as those that support adaptation, such as flood warning infrastructure. Of the four categories in Australia</w:t>
      </w:r>
      <w:r w:rsidR="00594653" w:rsidRPr="004E1159">
        <w:t>’</w:t>
      </w:r>
      <w:r w:rsidRPr="004E1159">
        <w:t>s climate reporting framework, the emissions reduction category and selected items from the government capability and international categories of Table 3.7 contribute to the estimate of Australia</w:t>
      </w:r>
      <w:r w:rsidR="00594653" w:rsidRPr="004E1159">
        <w:t>’</w:t>
      </w:r>
      <w:r w:rsidRPr="004E1159">
        <w:t xml:space="preserve">s investment in becoming a renewable energy superpower. Spending on adaption is not included. </w:t>
      </w:r>
    </w:p>
    <w:p w14:paraId="761D6C66" w14:textId="228EE794" w:rsidR="00F8136C" w:rsidRPr="004E1159" w:rsidRDefault="00F8136C" w:rsidP="00F8136C">
      <w:r w:rsidRPr="004E1159">
        <w:t>In addition to these components, the Government</w:t>
      </w:r>
      <w:r w:rsidR="00594653" w:rsidRPr="004E1159">
        <w:t>’</w:t>
      </w:r>
      <w:r w:rsidRPr="004E1159">
        <w:t xml:space="preserve">s investment in becoming a renewable energy superpower also includes broader investments in the net zero economic transformation, such as investments in critical minerals. </w:t>
      </w:r>
    </w:p>
    <w:p w14:paraId="22B7F69A" w14:textId="7FC00E9A" w:rsidR="000024D3" w:rsidRPr="004E1159" w:rsidRDefault="00AE39FD" w:rsidP="000024D3">
      <w:r w:rsidRPr="004E1159">
        <w:t xml:space="preserve">Reporting new </w:t>
      </w:r>
      <w:r w:rsidR="000024D3" w:rsidRPr="004E1159">
        <w:t>climate spending measures supports transparency around the fiscal impacts of climate change</w:t>
      </w:r>
      <w:r w:rsidR="00604E51" w:rsidRPr="004E1159">
        <w:t xml:space="preserve">. However, it </w:t>
      </w:r>
      <w:r w:rsidR="000024D3" w:rsidRPr="004E1159">
        <w:t xml:space="preserve">does not provide a complete summary of climate action. </w:t>
      </w:r>
    </w:p>
    <w:p w14:paraId="067C359C" w14:textId="22D7FC0E" w:rsidR="006C21C7" w:rsidRPr="004E1159" w:rsidRDefault="006C21C7" w:rsidP="006C21C7">
      <w:r w:rsidRPr="004E1159">
        <w:t>Non</w:t>
      </w:r>
      <w:r w:rsidR="00594653" w:rsidRPr="004E1159">
        <w:noBreakHyphen/>
      </w:r>
      <w:r w:rsidRPr="004E1159">
        <w:t xml:space="preserve">financial measures such as reforms to the Safeguard Mechanism are not captured. Measures that may contribute to climate action but have a different primary purpose (or indirect benefit) are not included. </w:t>
      </w:r>
    </w:p>
    <w:p w14:paraId="662155F8" w14:textId="249D81E1" w:rsidR="006C21C7" w:rsidRPr="004E1159" w:rsidRDefault="006C21C7" w:rsidP="006C21C7">
      <w:r w:rsidRPr="004E1159">
        <w:t>Australia</w:t>
      </w:r>
      <w:r w:rsidR="00594653" w:rsidRPr="004E1159">
        <w:t>’</w:t>
      </w:r>
      <w:r w:rsidRPr="004E1159">
        <w:t xml:space="preserve">s approach to reporting climate action commitments is a separate and independent framework to the established functional expense tables in </w:t>
      </w:r>
      <w:r w:rsidRPr="004E1159">
        <w:rPr>
          <w:i/>
        </w:rPr>
        <w:t>Budget Statement 6: Expenses</w:t>
      </w:r>
      <w:r w:rsidRPr="004E1159">
        <w:t>, which aligns with international standards. These cannot be combined for analysis of government spending.</w:t>
      </w:r>
    </w:p>
    <w:p w14:paraId="45C0B58A" w14:textId="01FCBFB8" w:rsidR="00BD211D" w:rsidRDefault="00BA1C6D" w:rsidP="000024D3">
      <w:pPr>
        <w:spacing w:before="0" w:after="160" w:line="259" w:lineRule="auto"/>
      </w:pPr>
      <w:r w:rsidRPr="004E1159">
        <w:t>This summary focuses specifically on new climate</w:t>
      </w:r>
      <w:r w:rsidR="00594653" w:rsidRPr="004E1159">
        <w:noBreakHyphen/>
      </w:r>
      <w:r w:rsidRPr="004E1159">
        <w:t xml:space="preserve">related commitments in this </w:t>
      </w:r>
      <w:r w:rsidR="00084F02" w:rsidRPr="004E1159">
        <w:t>B</w:t>
      </w:r>
      <w:r w:rsidRPr="004E1159">
        <w:t>udget.</w:t>
      </w:r>
      <w:r w:rsidR="0056240A" w:rsidRPr="004E1159">
        <w:t xml:space="preserve"> The Government is developing an approach to presenting transparent spending information on existing spending commitments. This will provide a more holistic view of the total amount of Government spending, not just what is new in each </w:t>
      </w:r>
      <w:r w:rsidR="000024D3" w:rsidRPr="004E1159">
        <w:t>budget</w:t>
      </w:r>
      <w:r w:rsidR="00C04E8B" w:rsidRPr="00566CF5">
        <w:t>.</w:t>
      </w:r>
      <w:r w:rsidR="00C04E8B">
        <w:t xml:space="preserve"> </w:t>
      </w:r>
    </w:p>
    <w:p w14:paraId="1C6F1C4F" w14:textId="7DC9E770" w:rsidR="000024D3" w:rsidRDefault="000024D3" w:rsidP="000024D3">
      <w:pPr>
        <w:spacing w:before="0" w:after="160" w:line="259" w:lineRule="auto"/>
        <w:rPr>
          <w:szCs w:val="16"/>
        </w:rPr>
      </w:pPr>
      <w:r>
        <w:rPr>
          <w:szCs w:val="16"/>
        </w:rPr>
        <w:br w:type="page"/>
      </w:r>
    </w:p>
    <w:p w14:paraId="1BFDC5F2" w14:textId="1461AB7E" w:rsidR="008631A5" w:rsidRDefault="000024D3" w:rsidP="008631A5">
      <w:pPr>
        <w:pStyle w:val="TableHeading"/>
        <w:rPr>
          <w:rFonts w:asciiTheme="minorHAnsi" w:eastAsiaTheme="minorHAnsi" w:hAnsiTheme="minorHAnsi" w:cstheme="minorBidi"/>
          <w:sz w:val="22"/>
          <w:szCs w:val="22"/>
          <w:lang w:eastAsia="en-US"/>
        </w:rPr>
      </w:pPr>
      <w:r w:rsidRPr="004E1159">
        <w:lastRenderedPageBreak/>
        <w:t>Table 3.</w:t>
      </w:r>
      <w:r w:rsidR="00C00330" w:rsidRPr="004E1159">
        <w:t>7</w:t>
      </w:r>
      <w:r w:rsidRPr="004E1159">
        <w:t>: Key climate</w:t>
      </w:r>
      <w:r w:rsidR="00594653" w:rsidRPr="004E1159">
        <w:noBreakHyphen/>
      </w:r>
      <w:r w:rsidRPr="004E1159">
        <w:t>related spending measures</w:t>
      </w:r>
      <w:r w:rsidR="001E491F" w:rsidRPr="004E1159">
        <w:t xml:space="preserve"> – </w:t>
      </w:r>
      <w:r w:rsidRPr="004E1159">
        <w:t>2022–23 to 2029–30</w:t>
      </w:r>
      <w:r w:rsidR="004A166F" w:rsidRPr="004E1159">
        <w:t xml:space="preserve"> </w:t>
      </w:r>
    </w:p>
    <w:tbl>
      <w:tblPr>
        <w:tblW w:w="5000" w:type="pct"/>
        <w:tblCellMar>
          <w:left w:w="0" w:type="dxa"/>
          <w:right w:w="28" w:type="dxa"/>
        </w:tblCellMar>
        <w:tblLook w:val="04A0" w:firstRow="1" w:lastRow="0" w:firstColumn="1" w:lastColumn="0" w:noHBand="0" w:noVBand="1"/>
      </w:tblPr>
      <w:tblGrid>
        <w:gridCol w:w="7014"/>
        <w:gridCol w:w="696"/>
      </w:tblGrid>
      <w:tr w:rsidR="00864963" w:rsidRPr="00864963" w14:paraId="5E743753" w14:textId="77777777" w:rsidTr="008631A5">
        <w:trPr>
          <w:trHeight w:hRule="exact" w:val="225"/>
        </w:trPr>
        <w:tc>
          <w:tcPr>
            <w:tcW w:w="3416" w:type="pct"/>
            <w:tcBorders>
              <w:top w:val="single" w:sz="4" w:space="0" w:color="000000"/>
              <w:left w:val="nil"/>
              <w:bottom w:val="nil"/>
              <w:right w:val="nil"/>
            </w:tcBorders>
            <w:shd w:val="clear" w:color="auto" w:fill="auto"/>
            <w:noWrap/>
            <w:vAlign w:val="bottom"/>
            <w:hideMark/>
          </w:tcPr>
          <w:p w14:paraId="628E11E2" w14:textId="126DDE81" w:rsidR="008631A5" w:rsidRPr="00864963" w:rsidRDefault="008631A5" w:rsidP="008631A5">
            <w:pPr>
              <w:spacing w:before="0" w:after="0" w:line="240" w:lineRule="auto"/>
              <w:rPr>
                <w:rFonts w:ascii="Arial" w:hAnsi="Arial" w:cs="Arial"/>
                <w:b/>
                <w:bCs/>
                <w:sz w:val="16"/>
                <w:szCs w:val="16"/>
              </w:rPr>
            </w:pPr>
            <w:r w:rsidRPr="00864963">
              <w:rPr>
                <w:rFonts w:ascii="Arial" w:hAnsi="Arial" w:cs="Arial"/>
                <w:b/>
                <w:bCs/>
                <w:sz w:val="16"/>
                <w:szCs w:val="16"/>
              </w:rPr>
              <w:t> </w:t>
            </w:r>
          </w:p>
        </w:tc>
        <w:tc>
          <w:tcPr>
            <w:tcW w:w="1584" w:type="pct"/>
            <w:tcBorders>
              <w:top w:val="single" w:sz="4" w:space="0" w:color="000000"/>
              <w:left w:val="nil"/>
              <w:bottom w:val="nil"/>
              <w:right w:val="nil"/>
            </w:tcBorders>
            <w:shd w:val="clear" w:color="auto" w:fill="auto"/>
            <w:noWrap/>
            <w:vAlign w:val="bottom"/>
            <w:hideMark/>
          </w:tcPr>
          <w:p w14:paraId="7F50EBD5" w14:textId="77777777" w:rsidR="008631A5" w:rsidRPr="00864963" w:rsidRDefault="008631A5" w:rsidP="008631A5">
            <w:pPr>
              <w:spacing w:before="0" w:after="0" w:line="240" w:lineRule="auto"/>
              <w:jc w:val="right"/>
              <w:rPr>
                <w:rFonts w:ascii="Arial" w:hAnsi="Arial" w:cs="Arial"/>
                <w:b/>
                <w:bCs/>
                <w:sz w:val="16"/>
                <w:szCs w:val="16"/>
              </w:rPr>
            </w:pPr>
            <w:r w:rsidRPr="00864963">
              <w:rPr>
                <w:rFonts w:ascii="Arial" w:hAnsi="Arial" w:cs="Arial"/>
                <w:b/>
                <w:bCs/>
                <w:sz w:val="16"/>
                <w:szCs w:val="16"/>
              </w:rPr>
              <w:t>($m)</w:t>
            </w:r>
          </w:p>
        </w:tc>
      </w:tr>
      <w:tr w:rsidR="00864963" w:rsidRPr="00864963" w14:paraId="0A76682F" w14:textId="77777777" w:rsidTr="008631A5">
        <w:trPr>
          <w:trHeight w:hRule="exact" w:val="225"/>
        </w:trPr>
        <w:tc>
          <w:tcPr>
            <w:tcW w:w="3416" w:type="pct"/>
            <w:tcBorders>
              <w:top w:val="nil"/>
              <w:left w:val="nil"/>
              <w:bottom w:val="nil"/>
              <w:right w:val="nil"/>
            </w:tcBorders>
            <w:shd w:val="clear" w:color="auto" w:fill="auto"/>
            <w:noWrap/>
            <w:vAlign w:val="center"/>
            <w:hideMark/>
          </w:tcPr>
          <w:p w14:paraId="2B7B4930" w14:textId="77777777" w:rsidR="008631A5" w:rsidRPr="00864963" w:rsidRDefault="008631A5" w:rsidP="008631A5">
            <w:pPr>
              <w:spacing w:before="0" w:after="0" w:line="240" w:lineRule="auto"/>
              <w:rPr>
                <w:rFonts w:ascii="Arial" w:hAnsi="Arial" w:cs="Arial"/>
                <w:b/>
                <w:bCs/>
                <w:sz w:val="16"/>
                <w:szCs w:val="16"/>
              </w:rPr>
            </w:pPr>
            <w:r w:rsidRPr="00864963">
              <w:rPr>
                <w:rFonts w:ascii="Arial" w:hAnsi="Arial" w:cs="Arial"/>
                <w:b/>
                <w:bCs/>
                <w:sz w:val="16"/>
                <w:szCs w:val="16"/>
              </w:rPr>
              <w:t>Total</w:t>
            </w:r>
            <w:r w:rsidRPr="00864963">
              <w:rPr>
                <w:rFonts w:ascii="Arial" w:hAnsi="Arial" w:cs="Arial"/>
                <w:b/>
                <w:bCs/>
                <w:sz w:val="16"/>
                <w:szCs w:val="16"/>
                <w:vertAlign w:val="superscript"/>
              </w:rPr>
              <w:t>(a)</w:t>
            </w:r>
          </w:p>
        </w:tc>
        <w:tc>
          <w:tcPr>
            <w:tcW w:w="1584" w:type="pct"/>
            <w:tcBorders>
              <w:top w:val="nil"/>
              <w:left w:val="nil"/>
              <w:bottom w:val="nil"/>
              <w:right w:val="nil"/>
            </w:tcBorders>
            <w:shd w:val="clear" w:color="auto" w:fill="auto"/>
            <w:noWrap/>
            <w:vAlign w:val="center"/>
            <w:hideMark/>
          </w:tcPr>
          <w:p w14:paraId="33B38EB4" w14:textId="77777777" w:rsidR="008631A5" w:rsidRPr="00864963" w:rsidRDefault="008631A5" w:rsidP="008631A5">
            <w:pPr>
              <w:spacing w:before="0" w:after="0" w:line="240" w:lineRule="auto"/>
              <w:jc w:val="right"/>
              <w:rPr>
                <w:rFonts w:ascii="Arial" w:hAnsi="Arial" w:cs="Arial"/>
                <w:b/>
                <w:bCs/>
                <w:sz w:val="16"/>
                <w:szCs w:val="16"/>
              </w:rPr>
            </w:pPr>
            <w:r w:rsidRPr="00864963">
              <w:rPr>
                <w:rFonts w:ascii="Arial" w:hAnsi="Arial" w:cs="Arial"/>
                <w:b/>
                <w:bCs/>
                <w:sz w:val="16"/>
                <w:szCs w:val="16"/>
              </w:rPr>
              <w:t>4,552.2</w:t>
            </w:r>
          </w:p>
        </w:tc>
      </w:tr>
      <w:tr w:rsidR="00864963" w:rsidRPr="00864963" w14:paraId="5E27FEFD" w14:textId="77777777" w:rsidTr="008631A5">
        <w:trPr>
          <w:trHeight w:hRule="exact" w:val="225"/>
        </w:trPr>
        <w:tc>
          <w:tcPr>
            <w:tcW w:w="3416" w:type="pct"/>
            <w:tcBorders>
              <w:top w:val="single" w:sz="4" w:space="0" w:color="auto"/>
              <w:left w:val="nil"/>
              <w:bottom w:val="nil"/>
              <w:right w:val="nil"/>
            </w:tcBorders>
            <w:shd w:val="clear" w:color="auto" w:fill="auto"/>
            <w:noWrap/>
            <w:vAlign w:val="bottom"/>
            <w:hideMark/>
          </w:tcPr>
          <w:p w14:paraId="7B878FEA" w14:textId="77777777" w:rsidR="008631A5" w:rsidRPr="00864963" w:rsidRDefault="008631A5" w:rsidP="008631A5">
            <w:pPr>
              <w:spacing w:before="0" w:after="0" w:line="240" w:lineRule="auto"/>
              <w:rPr>
                <w:rFonts w:ascii="Arial" w:hAnsi="Arial" w:cs="Arial"/>
                <w:b/>
                <w:bCs/>
                <w:sz w:val="16"/>
                <w:szCs w:val="16"/>
              </w:rPr>
            </w:pPr>
            <w:r w:rsidRPr="00864963">
              <w:rPr>
                <w:rFonts w:ascii="Arial" w:hAnsi="Arial" w:cs="Arial"/>
                <w:b/>
                <w:bCs/>
                <w:sz w:val="16"/>
                <w:szCs w:val="16"/>
              </w:rPr>
              <w:t>Reducing emissions in Australia’s energy system and broader economy</w:t>
            </w:r>
          </w:p>
        </w:tc>
        <w:tc>
          <w:tcPr>
            <w:tcW w:w="1584" w:type="pct"/>
            <w:tcBorders>
              <w:top w:val="single" w:sz="4" w:space="0" w:color="auto"/>
              <w:left w:val="nil"/>
              <w:bottom w:val="nil"/>
              <w:right w:val="nil"/>
            </w:tcBorders>
            <w:shd w:val="clear" w:color="auto" w:fill="auto"/>
            <w:noWrap/>
            <w:vAlign w:val="bottom"/>
            <w:hideMark/>
          </w:tcPr>
          <w:p w14:paraId="1AA8F0BB" w14:textId="77777777" w:rsidR="008631A5" w:rsidRPr="00864963" w:rsidRDefault="008631A5" w:rsidP="008631A5">
            <w:pPr>
              <w:spacing w:before="0" w:after="0" w:line="240" w:lineRule="auto"/>
              <w:jc w:val="right"/>
              <w:rPr>
                <w:rFonts w:ascii="Arial" w:hAnsi="Arial" w:cs="Arial"/>
                <w:b/>
                <w:bCs/>
                <w:sz w:val="16"/>
                <w:szCs w:val="16"/>
              </w:rPr>
            </w:pPr>
            <w:r w:rsidRPr="00864963">
              <w:rPr>
                <w:rFonts w:ascii="Arial" w:hAnsi="Arial" w:cs="Arial"/>
                <w:b/>
                <w:bCs/>
                <w:sz w:val="16"/>
                <w:szCs w:val="16"/>
              </w:rPr>
              <w:t>3,968.4</w:t>
            </w:r>
          </w:p>
        </w:tc>
      </w:tr>
      <w:tr w:rsidR="00864963" w:rsidRPr="00864963" w14:paraId="5EB40D0C" w14:textId="77777777" w:rsidTr="008631A5">
        <w:trPr>
          <w:trHeight w:hRule="exact" w:val="60"/>
        </w:trPr>
        <w:tc>
          <w:tcPr>
            <w:tcW w:w="3416" w:type="pct"/>
            <w:tcBorders>
              <w:top w:val="nil"/>
              <w:left w:val="nil"/>
              <w:bottom w:val="nil"/>
              <w:right w:val="nil"/>
            </w:tcBorders>
            <w:shd w:val="clear" w:color="auto" w:fill="auto"/>
            <w:noWrap/>
            <w:vAlign w:val="bottom"/>
            <w:hideMark/>
          </w:tcPr>
          <w:p w14:paraId="3F6E0D92" w14:textId="77777777" w:rsidR="008631A5" w:rsidRPr="00864963" w:rsidRDefault="008631A5" w:rsidP="008631A5">
            <w:pPr>
              <w:spacing w:before="0" w:after="0" w:line="240" w:lineRule="auto"/>
              <w:jc w:val="right"/>
              <w:rPr>
                <w:rFonts w:ascii="Arial" w:hAnsi="Arial" w:cs="Arial"/>
                <w:b/>
                <w:bCs/>
                <w:sz w:val="16"/>
                <w:szCs w:val="16"/>
              </w:rPr>
            </w:pPr>
          </w:p>
        </w:tc>
        <w:tc>
          <w:tcPr>
            <w:tcW w:w="1584" w:type="pct"/>
            <w:tcBorders>
              <w:top w:val="nil"/>
              <w:left w:val="nil"/>
              <w:bottom w:val="nil"/>
              <w:right w:val="nil"/>
            </w:tcBorders>
            <w:shd w:val="clear" w:color="auto" w:fill="auto"/>
            <w:noWrap/>
            <w:vAlign w:val="bottom"/>
            <w:hideMark/>
          </w:tcPr>
          <w:p w14:paraId="7C0B75D3" w14:textId="77777777" w:rsidR="008631A5" w:rsidRPr="00864963" w:rsidRDefault="008631A5" w:rsidP="008631A5">
            <w:pPr>
              <w:spacing w:before="0" w:after="0" w:line="240" w:lineRule="auto"/>
              <w:rPr>
                <w:rFonts w:ascii="Times New Roman" w:hAnsi="Times New Roman"/>
                <w:sz w:val="20"/>
              </w:rPr>
            </w:pPr>
          </w:p>
        </w:tc>
      </w:tr>
      <w:tr w:rsidR="00864963" w:rsidRPr="00864963" w14:paraId="32434FFC" w14:textId="77777777" w:rsidTr="008631A5">
        <w:trPr>
          <w:trHeight w:hRule="exact" w:val="225"/>
        </w:trPr>
        <w:tc>
          <w:tcPr>
            <w:tcW w:w="3416" w:type="pct"/>
            <w:tcBorders>
              <w:top w:val="nil"/>
              <w:left w:val="nil"/>
              <w:bottom w:val="nil"/>
              <w:right w:val="nil"/>
            </w:tcBorders>
            <w:shd w:val="clear" w:color="auto" w:fill="auto"/>
            <w:vAlign w:val="bottom"/>
            <w:hideMark/>
          </w:tcPr>
          <w:p w14:paraId="3C6566B1" w14:textId="77777777" w:rsidR="008631A5" w:rsidRPr="00864963" w:rsidRDefault="008631A5" w:rsidP="008631A5">
            <w:pPr>
              <w:spacing w:before="0" w:after="0" w:line="240" w:lineRule="auto"/>
              <w:ind w:left="170"/>
              <w:rPr>
                <w:rFonts w:ascii="Arial" w:hAnsi="Arial" w:cs="Arial"/>
                <w:sz w:val="16"/>
                <w:szCs w:val="16"/>
              </w:rPr>
            </w:pPr>
            <w:r w:rsidRPr="00864963">
              <w:rPr>
                <w:rFonts w:ascii="Arial" w:hAnsi="Arial" w:cs="Arial"/>
                <w:sz w:val="16"/>
                <w:szCs w:val="16"/>
              </w:rPr>
              <w:t>Hydrogen Headstart</w:t>
            </w:r>
            <w:r w:rsidRPr="00864963">
              <w:rPr>
                <w:rFonts w:ascii="Arial" w:hAnsi="Arial" w:cs="Arial"/>
                <w:sz w:val="16"/>
                <w:szCs w:val="16"/>
                <w:vertAlign w:val="superscript"/>
              </w:rPr>
              <w:t>(b)</w:t>
            </w:r>
          </w:p>
        </w:tc>
        <w:tc>
          <w:tcPr>
            <w:tcW w:w="1584" w:type="pct"/>
            <w:tcBorders>
              <w:top w:val="nil"/>
              <w:left w:val="nil"/>
              <w:bottom w:val="nil"/>
              <w:right w:val="nil"/>
            </w:tcBorders>
            <w:shd w:val="clear" w:color="auto" w:fill="auto"/>
            <w:noWrap/>
            <w:vAlign w:val="bottom"/>
            <w:hideMark/>
          </w:tcPr>
          <w:p w14:paraId="19216C45" w14:textId="77777777" w:rsidR="008631A5" w:rsidRPr="00864963" w:rsidRDefault="008631A5" w:rsidP="008631A5">
            <w:pPr>
              <w:spacing w:before="0" w:after="0" w:line="240" w:lineRule="auto"/>
              <w:jc w:val="right"/>
              <w:rPr>
                <w:rFonts w:ascii="Arial" w:hAnsi="Arial" w:cs="Arial"/>
                <w:sz w:val="16"/>
                <w:szCs w:val="16"/>
              </w:rPr>
            </w:pPr>
            <w:r w:rsidRPr="00864963">
              <w:rPr>
                <w:rFonts w:ascii="Arial" w:hAnsi="Arial" w:cs="Arial"/>
                <w:sz w:val="16"/>
                <w:szCs w:val="16"/>
              </w:rPr>
              <w:t>2,007.6</w:t>
            </w:r>
          </w:p>
        </w:tc>
      </w:tr>
      <w:tr w:rsidR="00864963" w:rsidRPr="00864963" w14:paraId="28BAADDE" w14:textId="77777777" w:rsidTr="008631A5">
        <w:trPr>
          <w:trHeight w:hRule="exact" w:val="225"/>
        </w:trPr>
        <w:tc>
          <w:tcPr>
            <w:tcW w:w="3416" w:type="pct"/>
            <w:tcBorders>
              <w:top w:val="nil"/>
              <w:left w:val="nil"/>
              <w:bottom w:val="nil"/>
              <w:right w:val="nil"/>
            </w:tcBorders>
            <w:shd w:val="clear" w:color="auto" w:fill="auto"/>
            <w:vAlign w:val="bottom"/>
            <w:hideMark/>
          </w:tcPr>
          <w:p w14:paraId="5B6043DF" w14:textId="77777777" w:rsidR="008631A5" w:rsidRPr="00864963" w:rsidRDefault="008631A5" w:rsidP="008631A5">
            <w:pPr>
              <w:spacing w:before="0" w:after="0" w:line="240" w:lineRule="auto"/>
              <w:ind w:left="170"/>
              <w:rPr>
                <w:rFonts w:ascii="Arial" w:hAnsi="Arial" w:cs="Arial"/>
                <w:sz w:val="16"/>
                <w:szCs w:val="16"/>
              </w:rPr>
            </w:pPr>
            <w:r w:rsidRPr="00864963">
              <w:rPr>
                <w:rFonts w:ascii="Arial" w:hAnsi="Arial" w:cs="Arial"/>
                <w:sz w:val="16"/>
                <w:szCs w:val="16"/>
              </w:rPr>
              <w:t>Household Energy Upgrades Fund - establishment</w:t>
            </w:r>
            <w:r w:rsidRPr="00864963">
              <w:rPr>
                <w:rFonts w:ascii="Arial" w:hAnsi="Arial" w:cs="Arial"/>
                <w:sz w:val="16"/>
                <w:szCs w:val="16"/>
                <w:vertAlign w:val="superscript"/>
              </w:rPr>
              <w:t>(c)</w:t>
            </w:r>
          </w:p>
        </w:tc>
        <w:tc>
          <w:tcPr>
            <w:tcW w:w="1584" w:type="pct"/>
            <w:tcBorders>
              <w:top w:val="nil"/>
              <w:left w:val="nil"/>
              <w:bottom w:val="nil"/>
              <w:right w:val="nil"/>
            </w:tcBorders>
            <w:shd w:val="clear" w:color="auto" w:fill="auto"/>
            <w:noWrap/>
            <w:vAlign w:val="bottom"/>
            <w:hideMark/>
          </w:tcPr>
          <w:p w14:paraId="1718AD3D" w14:textId="77777777" w:rsidR="008631A5" w:rsidRPr="00864963" w:rsidRDefault="008631A5" w:rsidP="008631A5">
            <w:pPr>
              <w:spacing w:before="0" w:after="0" w:line="240" w:lineRule="auto"/>
              <w:jc w:val="right"/>
              <w:rPr>
                <w:rFonts w:ascii="Arial" w:hAnsi="Arial" w:cs="Arial"/>
                <w:sz w:val="16"/>
                <w:szCs w:val="16"/>
              </w:rPr>
            </w:pPr>
            <w:r w:rsidRPr="00864963">
              <w:rPr>
                <w:rFonts w:ascii="Arial" w:hAnsi="Arial" w:cs="Arial"/>
                <w:sz w:val="16"/>
                <w:szCs w:val="16"/>
              </w:rPr>
              <w:t>1,343.1</w:t>
            </w:r>
          </w:p>
        </w:tc>
      </w:tr>
      <w:tr w:rsidR="00864963" w:rsidRPr="00864963" w14:paraId="3C236F48" w14:textId="77777777" w:rsidTr="008631A5">
        <w:trPr>
          <w:trHeight w:hRule="exact" w:val="225"/>
        </w:trPr>
        <w:tc>
          <w:tcPr>
            <w:tcW w:w="3416" w:type="pct"/>
            <w:tcBorders>
              <w:top w:val="nil"/>
              <w:left w:val="nil"/>
              <w:bottom w:val="nil"/>
              <w:right w:val="nil"/>
            </w:tcBorders>
            <w:shd w:val="clear" w:color="auto" w:fill="auto"/>
            <w:noWrap/>
            <w:vAlign w:val="bottom"/>
            <w:hideMark/>
          </w:tcPr>
          <w:p w14:paraId="1CACD3AD" w14:textId="77777777" w:rsidR="008631A5" w:rsidRPr="00864963" w:rsidRDefault="008631A5" w:rsidP="008631A5">
            <w:pPr>
              <w:spacing w:before="0" w:after="0" w:line="240" w:lineRule="auto"/>
              <w:ind w:left="170"/>
              <w:rPr>
                <w:rFonts w:ascii="Arial" w:hAnsi="Arial" w:cs="Arial"/>
                <w:sz w:val="16"/>
                <w:szCs w:val="16"/>
              </w:rPr>
            </w:pPr>
            <w:r w:rsidRPr="00864963">
              <w:rPr>
                <w:rFonts w:ascii="Arial" w:hAnsi="Arial" w:cs="Arial"/>
                <w:sz w:val="16"/>
                <w:szCs w:val="16"/>
              </w:rPr>
              <w:t>Small Business Support – Small Business Energy Incentive</w:t>
            </w:r>
            <w:r w:rsidRPr="00864963">
              <w:rPr>
                <w:rFonts w:ascii="Arial" w:hAnsi="Arial" w:cs="Arial"/>
                <w:sz w:val="16"/>
                <w:szCs w:val="16"/>
                <w:vertAlign w:val="superscript"/>
              </w:rPr>
              <w:t>(d)</w:t>
            </w:r>
          </w:p>
        </w:tc>
        <w:tc>
          <w:tcPr>
            <w:tcW w:w="1584" w:type="pct"/>
            <w:tcBorders>
              <w:top w:val="nil"/>
              <w:left w:val="nil"/>
              <w:bottom w:val="nil"/>
              <w:right w:val="nil"/>
            </w:tcBorders>
            <w:shd w:val="clear" w:color="auto" w:fill="auto"/>
            <w:noWrap/>
            <w:vAlign w:val="bottom"/>
            <w:hideMark/>
          </w:tcPr>
          <w:p w14:paraId="2D4145E7" w14:textId="77777777" w:rsidR="008631A5" w:rsidRPr="00864963" w:rsidRDefault="008631A5" w:rsidP="008631A5">
            <w:pPr>
              <w:spacing w:before="0" w:after="0" w:line="240" w:lineRule="auto"/>
              <w:jc w:val="right"/>
              <w:rPr>
                <w:rFonts w:ascii="Arial" w:hAnsi="Arial" w:cs="Arial"/>
                <w:sz w:val="16"/>
                <w:szCs w:val="16"/>
              </w:rPr>
            </w:pPr>
            <w:r w:rsidRPr="00864963">
              <w:rPr>
                <w:rFonts w:ascii="Arial" w:hAnsi="Arial" w:cs="Arial"/>
                <w:sz w:val="16"/>
                <w:szCs w:val="16"/>
              </w:rPr>
              <w:t>314.2</w:t>
            </w:r>
          </w:p>
        </w:tc>
      </w:tr>
      <w:tr w:rsidR="00864963" w:rsidRPr="00864963" w14:paraId="3441F273" w14:textId="77777777" w:rsidTr="008631A5">
        <w:trPr>
          <w:trHeight w:hRule="exact" w:val="225"/>
        </w:trPr>
        <w:tc>
          <w:tcPr>
            <w:tcW w:w="3416" w:type="pct"/>
            <w:tcBorders>
              <w:top w:val="nil"/>
              <w:left w:val="nil"/>
              <w:bottom w:val="nil"/>
              <w:right w:val="nil"/>
            </w:tcBorders>
            <w:shd w:val="clear" w:color="auto" w:fill="auto"/>
            <w:noWrap/>
            <w:vAlign w:val="bottom"/>
            <w:hideMark/>
          </w:tcPr>
          <w:p w14:paraId="3670F81F" w14:textId="77777777" w:rsidR="008631A5" w:rsidRPr="00864963" w:rsidRDefault="008631A5" w:rsidP="008631A5">
            <w:pPr>
              <w:spacing w:before="0" w:after="0" w:line="240" w:lineRule="auto"/>
              <w:ind w:left="170"/>
              <w:rPr>
                <w:rFonts w:ascii="Arial" w:hAnsi="Arial" w:cs="Arial"/>
                <w:sz w:val="16"/>
                <w:szCs w:val="16"/>
              </w:rPr>
            </w:pPr>
            <w:r w:rsidRPr="00864963">
              <w:rPr>
                <w:rFonts w:ascii="Arial" w:hAnsi="Arial" w:cs="Arial"/>
                <w:sz w:val="16"/>
                <w:szCs w:val="16"/>
              </w:rPr>
              <w:t xml:space="preserve">National Net Zero Authority </w:t>
            </w:r>
          </w:p>
        </w:tc>
        <w:tc>
          <w:tcPr>
            <w:tcW w:w="1584" w:type="pct"/>
            <w:tcBorders>
              <w:top w:val="nil"/>
              <w:left w:val="nil"/>
              <w:bottom w:val="nil"/>
              <w:right w:val="nil"/>
            </w:tcBorders>
            <w:shd w:val="clear" w:color="auto" w:fill="auto"/>
            <w:noWrap/>
            <w:vAlign w:val="bottom"/>
            <w:hideMark/>
          </w:tcPr>
          <w:p w14:paraId="26EB845F" w14:textId="77777777" w:rsidR="008631A5" w:rsidRPr="00864963" w:rsidRDefault="008631A5" w:rsidP="008631A5">
            <w:pPr>
              <w:spacing w:before="0" w:after="0" w:line="240" w:lineRule="auto"/>
              <w:jc w:val="right"/>
              <w:rPr>
                <w:rFonts w:ascii="Arial" w:hAnsi="Arial" w:cs="Arial"/>
                <w:sz w:val="16"/>
                <w:szCs w:val="16"/>
              </w:rPr>
            </w:pPr>
            <w:r w:rsidRPr="00864963">
              <w:rPr>
                <w:rFonts w:ascii="Arial" w:hAnsi="Arial" w:cs="Arial"/>
                <w:sz w:val="16"/>
                <w:szCs w:val="16"/>
              </w:rPr>
              <w:t>83.2</w:t>
            </w:r>
          </w:p>
        </w:tc>
      </w:tr>
      <w:tr w:rsidR="00864963" w:rsidRPr="00864963" w14:paraId="17A3CEAE" w14:textId="77777777" w:rsidTr="008631A5">
        <w:trPr>
          <w:trHeight w:hRule="exact" w:val="225"/>
        </w:trPr>
        <w:tc>
          <w:tcPr>
            <w:tcW w:w="3416" w:type="pct"/>
            <w:tcBorders>
              <w:top w:val="nil"/>
              <w:left w:val="nil"/>
              <w:bottom w:val="nil"/>
              <w:right w:val="nil"/>
            </w:tcBorders>
            <w:shd w:val="clear" w:color="auto" w:fill="auto"/>
            <w:noWrap/>
            <w:vAlign w:val="bottom"/>
            <w:hideMark/>
          </w:tcPr>
          <w:p w14:paraId="60FEF99F" w14:textId="77777777" w:rsidR="008631A5" w:rsidRPr="00864963" w:rsidRDefault="008631A5" w:rsidP="008631A5">
            <w:pPr>
              <w:spacing w:before="0" w:after="0" w:line="240" w:lineRule="auto"/>
              <w:ind w:left="170"/>
              <w:rPr>
                <w:rFonts w:ascii="Arial" w:hAnsi="Arial" w:cs="Arial"/>
                <w:sz w:val="16"/>
                <w:szCs w:val="16"/>
              </w:rPr>
            </w:pPr>
            <w:r w:rsidRPr="00864963">
              <w:rPr>
                <w:rFonts w:ascii="Arial" w:hAnsi="Arial" w:cs="Arial"/>
                <w:sz w:val="16"/>
                <w:szCs w:val="16"/>
              </w:rPr>
              <w:t xml:space="preserve">Supporting a Stronger and More Sustainable Agriculture Sector </w:t>
            </w:r>
          </w:p>
        </w:tc>
        <w:tc>
          <w:tcPr>
            <w:tcW w:w="1584" w:type="pct"/>
            <w:tcBorders>
              <w:top w:val="nil"/>
              <w:left w:val="nil"/>
              <w:bottom w:val="nil"/>
              <w:right w:val="nil"/>
            </w:tcBorders>
            <w:shd w:val="clear" w:color="auto" w:fill="auto"/>
            <w:noWrap/>
            <w:vAlign w:val="bottom"/>
            <w:hideMark/>
          </w:tcPr>
          <w:p w14:paraId="30BB2C6B" w14:textId="77777777" w:rsidR="008631A5" w:rsidRPr="00864963" w:rsidRDefault="008631A5" w:rsidP="008631A5">
            <w:pPr>
              <w:spacing w:before="0" w:after="0" w:line="240" w:lineRule="auto"/>
              <w:jc w:val="right"/>
              <w:rPr>
                <w:rFonts w:ascii="Arial" w:hAnsi="Arial" w:cs="Arial"/>
                <w:sz w:val="16"/>
                <w:szCs w:val="16"/>
              </w:rPr>
            </w:pPr>
            <w:r w:rsidRPr="00864963">
              <w:rPr>
                <w:rFonts w:ascii="Arial" w:hAnsi="Arial" w:cs="Arial"/>
                <w:sz w:val="16"/>
                <w:szCs w:val="16"/>
              </w:rPr>
              <w:t>61.7</w:t>
            </w:r>
          </w:p>
        </w:tc>
      </w:tr>
      <w:tr w:rsidR="00864963" w:rsidRPr="00864963" w14:paraId="2895B9C4" w14:textId="77777777" w:rsidTr="008631A5">
        <w:trPr>
          <w:trHeight w:hRule="exact" w:val="225"/>
        </w:trPr>
        <w:tc>
          <w:tcPr>
            <w:tcW w:w="3416" w:type="pct"/>
            <w:tcBorders>
              <w:top w:val="nil"/>
              <w:left w:val="nil"/>
              <w:bottom w:val="nil"/>
              <w:right w:val="nil"/>
            </w:tcBorders>
            <w:shd w:val="clear" w:color="auto" w:fill="auto"/>
            <w:noWrap/>
            <w:vAlign w:val="bottom"/>
            <w:hideMark/>
          </w:tcPr>
          <w:p w14:paraId="023C9978" w14:textId="77777777" w:rsidR="008631A5" w:rsidRPr="00864963" w:rsidRDefault="008631A5" w:rsidP="008631A5">
            <w:pPr>
              <w:spacing w:before="0" w:after="0" w:line="240" w:lineRule="auto"/>
              <w:ind w:left="170"/>
              <w:rPr>
                <w:rFonts w:ascii="Arial" w:hAnsi="Arial" w:cs="Arial"/>
                <w:sz w:val="16"/>
                <w:szCs w:val="16"/>
              </w:rPr>
            </w:pPr>
            <w:r w:rsidRPr="00864963">
              <w:rPr>
                <w:rFonts w:ascii="Arial" w:hAnsi="Arial" w:cs="Arial"/>
                <w:sz w:val="16"/>
                <w:szCs w:val="16"/>
              </w:rPr>
              <w:t>Guarantee of Origin</w:t>
            </w:r>
            <w:r w:rsidRPr="00864963">
              <w:rPr>
                <w:rFonts w:ascii="Arial" w:hAnsi="Arial" w:cs="Arial"/>
                <w:sz w:val="16"/>
                <w:szCs w:val="16"/>
                <w:vertAlign w:val="superscript"/>
              </w:rPr>
              <w:t>(e)</w:t>
            </w:r>
          </w:p>
        </w:tc>
        <w:tc>
          <w:tcPr>
            <w:tcW w:w="1584" w:type="pct"/>
            <w:tcBorders>
              <w:top w:val="nil"/>
              <w:left w:val="nil"/>
              <w:bottom w:val="nil"/>
              <w:right w:val="nil"/>
            </w:tcBorders>
            <w:shd w:val="clear" w:color="auto" w:fill="auto"/>
            <w:noWrap/>
            <w:vAlign w:val="bottom"/>
            <w:hideMark/>
          </w:tcPr>
          <w:p w14:paraId="69D8432B" w14:textId="77777777" w:rsidR="008631A5" w:rsidRPr="00864963" w:rsidRDefault="008631A5" w:rsidP="008631A5">
            <w:pPr>
              <w:spacing w:before="0" w:after="0" w:line="240" w:lineRule="auto"/>
              <w:jc w:val="right"/>
              <w:rPr>
                <w:rFonts w:ascii="Arial" w:hAnsi="Arial" w:cs="Arial"/>
                <w:sz w:val="16"/>
                <w:szCs w:val="16"/>
              </w:rPr>
            </w:pPr>
            <w:r w:rsidRPr="00864963">
              <w:rPr>
                <w:rFonts w:ascii="Arial" w:hAnsi="Arial" w:cs="Arial"/>
                <w:sz w:val="16"/>
                <w:szCs w:val="16"/>
              </w:rPr>
              <w:t>58.0</w:t>
            </w:r>
          </w:p>
        </w:tc>
      </w:tr>
      <w:tr w:rsidR="00864963" w:rsidRPr="00864963" w14:paraId="376E0366" w14:textId="77777777" w:rsidTr="008631A5">
        <w:trPr>
          <w:trHeight w:hRule="exact" w:val="225"/>
        </w:trPr>
        <w:tc>
          <w:tcPr>
            <w:tcW w:w="3416" w:type="pct"/>
            <w:tcBorders>
              <w:top w:val="nil"/>
              <w:left w:val="nil"/>
              <w:bottom w:val="nil"/>
              <w:right w:val="nil"/>
            </w:tcBorders>
            <w:shd w:val="clear" w:color="auto" w:fill="auto"/>
            <w:noWrap/>
            <w:vAlign w:val="bottom"/>
            <w:hideMark/>
          </w:tcPr>
          <w:p w14:paraId="13046953" w14:textId="77777777" w:rsidR="008631A5" w:rsidRPr="00864963" w:rsidRDefault="008631A5" w:rsidP="008631A5">
            <w:pPr>
              <w:spacing w:before="0" w:after="0" w:line="240" w:lineRule="auto"/>
              <w:ind w:left="170"/>
              <w:rPr>
                <w:rFonts w:ascii="Arial" w:hAnsi="Arial" w:cs="Arial"/>
                <w:sz w:val="16"/>
                <w:szCs w:val="16"/>
              </w:rPr>
            </w:pPr>
            <w:r w:rsidRPr="00864963">
              <w:rPr>
                <w:rFonts w:ascii="Arial" w:hAnsi="Arial" w:cs="Arial"/>
                <w:sz w:val="16"/>
                <w:szCs w:val="16"/>
              </w:rPr>
              <w:t>Working with the Australian Resources Industry on the Pathway to Net Zero</w:t>
            </w:r>
            <w:r w:rsidRPr="00864963">
              <w:rPr>
                <w:rFonts w:ascii="Arial" w:hAnsi="Arial" w:cs="Arial"/>
                <w:sz w:val="16"/>
                <w:szCs w:val="16"/>
                <w:vertAlign w:val="superscript"/>
              </w:rPr>
              <w:t>(f)</w:t>
            </w:r>
          </w:p>
        </w:tc>
        <w:tc>
          <w:tcPr>
            <w:tcW w:w="1584" w:type="pct"/>
            <w:tcBorders>
              <w:top w:val="nil"/>
              <w:left w:val="nil"/>
              <w:bottom w:val="nil"/>
              <w:right w:val="nil"/>
            </w:tcBorders>
            <w:shd w:val="clear" w:color="auto" w:fill="auto"/>
            <w:noWrap/>
            <w:vAlign w:val="bottom"/>
            <w:hideMark/>
          </w:tcPr>
          <w:p w14:paraId="2B4955D1" w14:textId="77777777" w:rsidR="008631A5" w:rsidRPr="00864963" w:rsidRDefault="008631A5" w:rsidP="008631A5">
            <w:pPr>
              <w:spacing w:before="0" w:after="0" w:line="240" w:lineRule="auto"/>
              <w:jc w:val="right"/>
              <w:rPr>
                <w:rFonts w:ascii="Arial" w:hAnsi="Arial" w:cs="Arial"/>
                <w:sz w:val="16"/>
                <w:szCs w:val="16"/>
              </w:rPr>
            </w:pPr>
            <w:r w:rsidRPr="00864963">
              <w:rPr>
                <w:rFonts w:ascii="Arial" w:hAnsi="Arial" w:cs="Arial"/>
                <w:sz w:val="16"/>
                <w:szCs w:val="16"/>
              </w:rPr>
              <w:t>26.3</w:t>
            </w:r>
          </w:p>
        </w:tc>
      </w:tr>
      <w:tr w:rsidR="00864963" w:rsidRPr="00864963" w14:paraId="7E957214" w14:textId="77777777" w:rsidTr="008631A5">
        <w:trPr>
          <w:trHeight w:hRule="exact" w:val="225"/>
        </w:trPr>
        <w:tc>
          <w:tcPr>
            <w:tcW w:w="3416" w:type="pct"/>
            <w:tcBorders>
              <w:top w:val="nil"/>
              <w:left w:val="nil"/>
              <w:bottom w:val="nil"/>
              <w:right w:val="nil"/>
            </w:tcBorders>
            <w:shd w:val="clear" w:color="auto" w:fill="auto"/>
            <w:hideMark/>
          </w:tcPr>
          <w:p w14:paraId="12853D0B" w14:textId="77777777" w:rsidR="008631A5" w:rsidRPr="00864963" w:rsidRDefault="008631A5" w:rsidP="008631A5">
            <w:pPr>
              <w:spacing w:before="0" w:after="0" w:line="240" w:lineRule="auto"/>
              <w:ind w:left="170"/>
              <w:rPr>
                <w:rFonts w:ascii="Arial" w:hAnsi="Arial" w:cs="Arial"/>
                <w:sz w:val="16"/>
                <w:szCs w:val="16"/>
              </w:rPr>
            </w:pPr>
            <w:r w:rsidRPr="00864963">
              <w:rPr>
                <w:rFonts w:ascii="Arial" w:hAnsi="Arial" w:cs="Arial"/>
                <w:sz w:val="16"/>
                <w:szCs w:val="16"/>
              </w:rPr>
              <w:t>Ensuring the Supply of Reliable, Secure and Affordable Energy</w:t>
            </w:r>
            <w:r w:rsidRPr="00864963">
              <w:rPr>
                <w:rFonts w:ascii="Arial" w:hAnsi="Arial" w:cs="Arial"/>
                <w:sz w:val="16"/>
                <w:szCs w:val="16"/>
                <w:vertAlign w:val="superscript"/>
              </w:rPr>
              <w:t>(g)</w:t>
            </w:r>
          </w:p>
        </w:tc>
        <w:tc>
          <w:tcPr>
            <w:tcW w:w="1584" w:type="pct"/>
            <w:tcBorders>
              <w:top w:val="nil"/>
              <w:left w:val="nil"/>
              <w:bottom w:val="nil"/>
              <w:right w:val="nil"/>
            </w:tcBorders>
            <w:shd w:val="clear" w:color="auto" w:fill="auto"/>
            <w:noWrap/>
            <w:vAlign w:val="bottom"/>
            <w:hideMark/>
          </w:tcPr>
          <w:p w14:paraId="1C83926F" w14:textId="77777777" w:rsidR="008631A5" w:rsidRPr="00864963" w:rsidRDefault="008631A5" w:rsidP="008631A5">
            <w:pPr>
              <w:spacing w:before="0" w:after="0" w:line="240" w:lineRule="auto"/>
              <w:jc w:val="right"/>
              <w:rPr>
                <w:rFonts w:ascii="Arial" w:hAnsi="Arial" w:cs="Arial"/>
                <w:sz w:val="16"/>
                <w:szCs w:val="16"/>
              </w:rPr>
            </w:pPr>
            <w:r w:rsidRPr="00864963">
              <w:rPr>
                <w:rFonts w:ascii="Arial" w:hAnsi="Arial" w:cs="Arial"/>
                <w:sz w:val="16"/>
                <w:szCs w:val="16"/>
              </w:rPr>
              <w:t>18.1</w:t>
            </w:r>
          </w:p>
        </w:tc>
      </w:tr>
      <w:tr w:rsidR="00864963" w:rsidRPr="00864963" w14:paraId="38A973D2" w14:textId="77777777" w:rsidTr="008631A5">
        <w:trPr>
          <w:trHeight w:hRule="exact" w:val="225"/>
        </w:trPr>
        <w:tc>
          <w:tcPr>
            <w:tcW w:w="3416" w:type="pct"/>
            <w:tcBorders>
              <w:top w:val="nil"/>
              <w:left w:val="nil"/>
              <w:bottom w:val="nil"/>
              <w:right w:val="nil"/>
            </w:tcBorders>
            <w:shd w:val="clear" w:color="auto" w:fill="auto"/>
            <w:noWrap/>
            <w:vAlign w:val="bottom"/>
            <w:hideMark/>
          </w:tcPr>
          <w:p w14:paraId="46466D97" w14:textId="77777777" w:rsidR="008631A5" w:rsidRPr="00864963" w:rsidRDefault="008631A5" w:rsidP="008631A5">
            <w:pPr>
              <w:spacing w:before="0" w:after="0" w:line="240" w:lineRule="auto"/>
              <w:ind w:left="170"/>
              <w:rPr>
                <w:rFonts w:ascii="Arial" w:hAnsi="Arial" w:cs="Arial"/>
                <w:sz w:val="16"/>
                <w:szCs w:val="16"/>
              </w:rPr>
            </w:pPr>
            <w:r w:rsidRPr="00864963">
              <w:rPr>
                <w:rFonts w:ascii="Arial" w:hAnsi="Arial" w:cs="Arial"/>
                <w:sz w:val="16"/>
                <w:szCs w:val="16"/>
              </w:rPr>
              <w:t xml:space="preserve">Independent Review of Australian Carbon Credit Units – initial response </w:t>
            </w:r>
          </w:p>
        </w:tc>
        <w:tc>
          <w:tcPr>
            <w:tcW w:w="1584" w:type="pct"/>
            <w:tcBorders>
              <w:top w:val="nil"/>
              <w:left w:val="nil"/>
              <w:bottom w:val="nil"/>
              <w:right w:val="nil"/>
            </w:tcBorders>
            <w:shd w:val="clear" w:color="auto" w:fill="auto"/>
            <w:noWrap/>
            <w:vAlign w:val="bottom"/>
            <w:hideMark/>
          </w:tcPr>
          <w:p w14:paraId="16E70B4E" w14:textId="77777777" w:rsidR="008631A5" w:rsidRPr="00864963" w:rsidRDefault="008631A5" w:rsidP="008631A5">
            <w:pPr>
              <w:spacing w:before="0" w:after="0" w:line="240" w:lineRule="auto"/>
              <w:jc w:val="right"/>
              <w:rPr>
                <w:rFonts w:ascii="Arial" w:hAnsi="Arial" w:cs="Arial"/>
                <w:sz w:val="16"/>
                <w:szCs w:val="16"/>
              </w:rPr>
            </w:pPr>
            <w:r w:rsidRPr="00864963">
              <w:rPr>
                <w:rFonts w:ascii="Arial" w:hAnsi="Arial" w:cs="Arial"/>
                <w:sz w:val="16"/>
                <w:szCs w:val="16"/>
              </w:rPr>
              <w:t>18.1</w:t>
            </w:r>
          </w:p>
        </w:tc>
      </w:tr>
      <w:tr w:rsidR="00864963" w:rsidRPr="00864963" w14:paraId="64C9C7B0" w14:textId="77777777" w:rsidTr="008631A5">
        <w:trPr>
          <w:trHeight w:hRule="exact" w:val="225"/>
        </w:trPr>
        <w:tc>
          <w:tcPr>
            <w:tcW w:w="3416" w:type="pct"/>
            <w:tcBorders>
              <w:top w:val="nil"/>
              <w:left w:val="nil"/>
              <w:bottom w:val="nil"/>
              <w:right w:val="nil"/>
            </w:tcBorders>
            <w:shd w:val="clear" w:color="auto" w:fill="auto"/>
            <w:noWrap/>
            <w:vAlign w:val="bottom"/>
            <w:hideMark/>
          </w:tcPr>
          <w:p w14:paraId="57CD19E0" w14:textId="77777777" w:rsidR="008631A5" w:rsidRPr="00864963" w:rsidRDefault="008631A5" w:rsidP="008631A5">
            <w:pPr>
              <w:spacing w:before="0" w:after="0" w:line="240" w:lineRule="auto"/>
              <w:ind w:left="170"/>
              <w:rPr>
                <w:rFonts w:ascii="Arial" w:hAnsi="Arial" w:cs="Arial"/>
                <w:sz w:val="16"/>
                <w:szCs w:val="16"/>
              </w:rPr>
            </w:pPr>
            <w:r w:rsidRPr="00864963">
              <w:rPr>
                <w:rFonts w:ascii="Arial" w:hAnsi="Arial" w:cs="Arial"/>
                <w:sz w:val="16"/>
                <w:szCs w:val="16"/>
              </w:rPr>
              <w:t>Reducing Transport Emissions</w:t>
            </w:r>
            <w:r w:rsidRPr="00864963">
              <w:rPr>
                <w:rFonts w:ascii="Arial" w:hAnsi="Arial" w:cs="Arial"/>
                <w:sz w:val="16"/>
                <w:szCs w:val="16"/>
                <w:vertAlign w:val="superscript"/>
              </w:rPr>
              <w:t>(h)</w:t>
            </w:r>
          </w:p>
        </w:tc>
        <w:tc>
          <w:tcPr>
            <w:tcW w:w="1584" w:type="pct"/>
            <w:tcBorders>
              <w:top w:val="nil"/>
              <w:left w:val="nil"/>
              <w:bottom w:val="nil"/>
              <w:right w:val="nil"/>
            </w:tcBorders>
            <w:shd w:val="clear" w:color="auto" w:fill="auto"/>
            <w:noWrap/>
            <w:vAlign w:val="bottom"/>
            <w:hideMark/>
          </w:tcPr>
          <w:p w14:paraId="7266975D" w14:textId="77777777" w:rsidR="008631A5" w:rsidRPr="00864963" w:rsidRDefault="008631A5" w:rsidP="008631A5">
            <w:pPr>
              <w:spacing w:before="0" w:after="0" w:line="240" w:lineRule="auto"/>
              <w:jc w:val="right"/>
              <w:rPr>
                <w:rFonts w:ascii="Arial" w:hAnsi="Arial" w:cs="Arial"/>
                <w:sz w:val="16"/>
                <w:szCs w:val="16"/>
              </w:rPr>
            </w:pPr>
            <w:r w:rsidRPr="00864963">
              <w:rPr>
                <w:rFonts w:ascii="Arial" w:hAnsi="Arial" w:cs="Arial"/>
                <w:sz w:val="16"/>
                <w:szCs w:val="16"/>
              </w:rPr>
              <w:t>15.7</w:t>
            </w:r>
          </w:p>
        </w:tc>
      </w:tr>
      <w:tr w:rsidR="00864963" w:rsidRPr="00864963" w14:paraId="7C637B82" w14:textId="77777777" w:rsidTr="008631A5">
        <w:trPr>
          <w:trHeight w:hRule="exact" w:val="225"/>
        </w:trPr>
        <w:tc>
          <w:tcPr>
            <w:tcW w:w="3416" w:type="pct"/>
            <w:tcBorders>
              <w:top w:val="nil"/>
              <w:left w:val="nil"/>
              <w:bottom w:val="nil"/>
              <w:right w:val="nil"/>
            </w:tcBorders>
            <w:shd w:val="clear" w:color="auto" w:fill="auto"/>
            <w:noWrap/>
            <w:vAlign w:val="bottom"/>
            <w:hideMark/>
          </w:tcPr>
          <w:p w14:paraId="2BFEA359" w14:textId="77777777" w:rsidR="008631A5" w:rsidRPr="00864963" w:rsidRDefault="008631A5" w:rsidP="008631A5">
            <w:pPr>
              <w:spacing w:before="0" w:after="0" w:line="240" w:lineRule="auto"/>
              <w:ind w:left="170"/>
              <w:rPr>
                <w:rFonts w:ascii="Arial" w:hAnsi="Arial" w:cs="Arial"/>
                <w:sz w:val="16"/>
                <w:szCs w:val="16"/>
              </w:rPr>
            </w:pPr>
            <w:r w:rsidRPr="00864963">
              <w:rPr>
                <w:rFonts w:ascii="Arial" w:hAnsi="Arial" w:cs="Arial"/>
                <w:sz w:val="16"/>
                <w:szCs w:val="16"/>
              </w:rPr>
              <w:t>Growing Australia's Critical Technologies Industries - Powering Australia Industry Growth Centre</w:t>
            </w:r>
          </w:p>
        </w:tc>
        <w:tc>
          <w:tcPr>
            <w:tcW w:w="1584" w:type="pct"/>
            <w:tcBorders>
              <w:top w:val="nil"/>
              <w:left w:val="nil"/>
              <w:bottom w:val="nil"/>
              <w:right w:val="nil"/>
            </w:tcBorders>
            <w:shd w:val="clear" w:color="auto" w:fill="auto"/>
            <w:noWrap/>
            <w:vAlign w:val="bottom"/>
            <w:hideMark/>
          </w:tcPr>
          <w:p w14:paraId="62CD6333" w14:textId="77777777" w:rsidR="008631A5" w:rsidRPr="00864963" w:rsidRDefault="008631A5" w:rsidP="008631A5">
            <w:pPr>
              <w:spacing w:before="0" w:after="0" w:line="240" w:lineRule="auto"/>
              <w:jc w:val="right"/>
              <w:rPr>
                <w:rFonts w:ascii="Arial" w:hAnsi="Arial" w:cs="Arial"/>
                <w:sz w:val="16"/>
                <w:szCs w:val="16"/>
              </w:rPr>
            </w:pPr>
            <w:r w:rsidRPr="00864963">
              <w:rPr>
                <w:rFonts w:ascii="Arial" w:hAnsi="Arial" w:cs="Arial"/>
                <w:sz w:val="16"/>
                <w:szCs w:val="16"/>
              </w:rPr>
              <w:t>14.8</w:t>
            </w:r>
          </w:p>
        </w:tc>
      </w:tr>
      <w:tr w:rsidR="00864963" w:rsidRPr="00864963" w14:paraId="2ABBA711" w14:textId="77777777" w:rsidTr="008631A5">
        <w:trPr>
          <w:trHeight w:hRule="exact" w:val="225"/>
        </w:trPr>
        <w:tc>
          <w:tcPr>
            <w:tcW w:w="3416" w:type="pct"/>
            <w:tcBorders>
              <w:top w:val="nil"/>
              <w:left w:val="nil"/>
              <w:bottom w:val="nil"/>
              <w:right w:val="nil"/>
            </w:tcBorders>
            <w:shd w:val="clear" w:color="auto" w:fill="auto"/>
            <w:noWrap/>
            <w:vAlign w:val="bottom"/>
            <w:hideMark/>
          </w:tcPr>
          <w:p w14:paraId="0F861E38" w14:textId="77777777" w:rsidR="008631A5" w:rsidRPr="00864963" w:rsidRDefault="008631A5" w:rsidP="008631A5">
            <w:pPr>
              <w:spacing w:before="0" w:after="0" w:line="240" w:lineRule="auto"/>
              <w:ind w:left="170"/>
              <w:rPr>
                <w:rFonts w:ascii="Arial" w:hAnsi="Arial" w:cs="Arial"/>
                <w:sz w:val="16"/>
                <w:szCs w:val="16"/>
              </w:rPr>
            </w:pPr>
            <w:r w:rsidRPr="00864963">
              <w:rPr>
                <w:rFonts w:ascii="Arial" w:hAnsi="Arial" w:cs="Arial"/>
                <w:sz w:val="16"/>
                <w:szCs w:val="16"/>
              </w:rPr>
              <w:t>ACT Sustainable Household Scheme</w:t>
            </w:r>
          </w:p>
        </w:tc>
        <w:tc>
          <w:tcPr>
            <w:tcW w:w="1584" w:type="pct"/>
            <w:tcBorders>
              <w:top w:val="nil"/>
              <w:left w:val="nil"/>
              <w:bottom w:val="nil"/>
              <w:right w:val="nil"/>
            </w:tcBorders>
            <w:shd w:val="clear" w:color="auto" w:fill="auto"/>
            <w:noWrap/>
            <w:vAlign w:val="bottom"/>
            <w:hideMark/>
          </w:tcPr>
          <w:p w14:paraId="274204B7" w14:textId="77777777" w:rsidR="008631A5" w:rsidRPr="00864963" w:rsidRDefault="008631A5" w:rsidP="008631A5">
            <w:pPr>
              <w:spacing w:before="0" w:after="0" w:line="240" w:lineRule="auto"/>
              <w:jc w:val="right"/>
              <w:rPr>
                <w:rFonts w:ascii="Arial" w:hAnsi="Arial" w:cs="Arial"/>
                <w:sz w:val="16"/>
                <w:szCs w:val="16"/>
              </w:rPr>
            </w:pPr>
            <w:r w:rsidRPr="00864963">
              <w:rPr>
                <w:rFonts w:ascii="Arial" w:hAnsi="Arial" w:cs="Arial"/>
                <w:sz w:val="16"/>
                <w:szCs w:val="16"/>
              </w:rPr>
              <w:t>7.5</w:t>
            </w:r>
          </w:p>
        </w:tc>
      </w:tr>
      <w:tr w:rsidR="00864963" w:rsidRPr="00864963" w14:paraId="6F616B17" w14:textId="77777777" w:rsidTr="008631A5">
        <w:trPr>
          <w:trHeight w:hRule="exact" w:val="225"/>
        </w:trPr>
        <w:tc>
          <w:tcPr>
            <w:tcW w:w="3416" w:type="pct"/>
            <w:tcBorders>
              <w:top w:val="nil"/>
              <w:left w:val="nil"/>
              <w:bottom w:val="nil"/>
              <w:right w:val="nil"/>
            </w:tcBorders>
            <w:shd w:val="clear" w:color="auto" w:fill="auto"/>
            <w:noWrap/>
            <w:vAlign w:val="bottom"/>
            <w:hideMark/>
          </w:tcPr>
          <w:p w14:paraId="7C04EEB2" w14:textId="77777777" w:rsidR="008631A5" w:rsidRPr="00864963" w:rsidRDefault="008631A5" w:rsidP="008631A5">
            <w:pPr>
              <w:spacing w:before="0" w:after="0" w:line="240" w:lineRule="auto"/>
              <w:ind w:left="170"/>
              <w:rPr>
                <w:rFonts w:ascii="Arial" w:hAnsi="Arial" w:cs="Arial"/>
                <w:sz w:val="16"/>
                <w:szCs w:val="16"/>
              </w:rPr>
            </w:pPr>
            <w:r w:rsidRPr="00864963">
              <w:rPr>
                <w:rFonts w:ascii="Arial" w:hAnsi="Arial" w:cs="Arial"/>
                <w:sz w:val="16"/>
                <w:szCs w:val="16"/>
              </w:rPr>
              <w:t>Powering the Regions Fund - final design</w:t>
            </w:r>
            <w:r w:rsidRPr="00864963">
              <w:rPr>
                <w:rFonts w:ascii="Arial" w:hAnsi="Arial" w:cs="Arial"/>
                <w:sz w:val="16"/>
                <w:szCs w:val="16"/>
                <w:vertAlign w:val="superscript"/>
              </w:rPr>
              <w:t>(i)</w:t>
            </w:r>
          </w:p>
        </w:tc>
        <w:tc>
          <w:tcPr>
            <w:tcW w:w="1584" w:type="pct"/>
            <w:tcBorders>
              <w:top w:val="nil"/>
              <w:left w:val="nil"/>
              <w:bottom w:val="nil"/>
              <w:right w:val="nil"/>
            </w:tcBorders>
            <w:shd w:val="clear" w:color="auto" w:fill="auto"/>
            <w:noWrap/>
            <w:vAlign w:val="bottom"/>
            <w:hideMark/>
          </w:tcPr>
          <w:p w14:paraId="6446135B" w14:textId="77777777" w:rsidR="008631A5" w:rsidRPr="00864963" w:rsidRDefault="008631A5" w:rsidP="008631A5">
            <w:pPr>
              <w:spacing w:before="0" w:after="0" w:line="240" w:lineRule="auto"/>
              <w:jc w:val="right"/>
              <w:rPr>
                <w:rFonts w:ascii="Arial" w:hAnsi="Arial" w:cs="Arial"/>
                <w:sz w:val="16"/>
                <w:szCs w:val="16"/>
              </w:rPr>
            </w:pPr>
            <w:r w:rsidRPr="00864963">
              <w:rPr>
                <w:rFonts w:ascii="Arial" w:hAnsi="Arial" w:cs="Arial"/>
                <w:sz w:val="16"/>
                <w:szCs w:val="16"/>
              </w:rPr>
              <w:t>0.0</w:t>
            </w:r>
          </w:p>
        </w:tc>
      </w:tr>
      <w:tr w:rsidR="00864963" w:rsidRPr="00864963" w14:paraId="7455B24C" w14:textId="77777777" w:rsidTr="008631A5">
        <w:trPr>
          <w:trHeight w:hRule="exact" w:val="225"/>
        </w:trPr>
        <w:tc>
          <w:tcPr>
            <w:tcW w:w="3416" w:type="pct"/>
            <w:tcBorders>
              <w:top w:val="nil"/>
              <w:left w:val="nil"/>
              <w:bottom w:val="nil"/>
              <w:right w:val="nil"/>
            </w:tcBorders>
            <w:shd w:val="clear" w:color="auto" w:fill="auto"/>
            <w:noWrap/>
            <w:vAlign w:val="bottom"/>
            <w:hideMark/>
          </w:tcPr>
          <w:p w14:paraId="075633D1" w14:textId="77777777" w:rsidR="008631A5" w:rsidRPr="00864963" w:rsidRDefault="008631A5" w:rsidP="008631A5">
            <w:pPr>
              <w:spacing w:before="0" w:after="0" w:line="240" w:lineRule="auto"/>
              <w:ind w:left="170"/>
              <w:rPr>
                <w:rFonts w:ascii="Arial" w:hAnsi="Arial" w:cs="Arial"/>
                <w:sz w:val="16"/>
                <w:szCs w:val="16"/>
              </w:rPr>
            </w:pPr>
            <w:r w:rsidRPr="00864963">
              <w:rPr>
                <w:rFonts w:ascii="Arial" w:hAnsi="Arial" w:cs="Arial"/>
                <w:sz w:val="16"/>
                <w:szCs w:val="16"/>
              </w:rPr>
              <w:t>Capacity Investment Scheme</w:t>
            </w:r>
          </w:p>
        </w:tc>
        <w:tc>
          <w:tcPr>
            <w:tcW w:w="1584" w:type="pct"/>
            <w:tcBorders>
              <w:top w:val="nil"/>
              <w:left w:val="nil"/>
              <w:bottom w:val="nil"/>
              <w:right w:val="nil"/>
            </w:tcBorders>
            <w:shd w:val="clear" w:color="auto" w:fill="auto"/>
            <w:noWrap/>
            <w:vAlign w:val="bottom"/>
            <w:hideMark/>
          </w:tcPr>
          <w:p w14:paraId="110E801E" w14:textId="77777777" w:rsidR="008631A5" w:rsidRPr="00864963" w:rsidRDefault="008631A5" w:rsidP="008631A5">
            <w:pPr>
              <w:spacing w:before="0" w:after="0" w:line="240" w:lineRule="auto"/>
              <w:jc w:val="right"/>
              <w:rPr>
                <w:rFonts w:ascii="Arial" w:hAnsi="Arial" w:cs="Arial"/>
                <w:sz w:val="16"/>
                <w:szCs w:val="16"/>
              </w:rPr>
            </w:pPr>
            <w:r w:rsidRPr="00864963">
              <w:rPr>
                <w:rFonts w:ascii="Arial" w:hAnsi="Arial" w:cs="Arial"/>
                <w:sz w:val="16"/>
                <w:szCs w:val="16"/>
              </w:rPr>
              <w:t>nfp</w:t>
            </w:r>
          </w:p>
        </w:tc>
      </w:tr>
      <w:tr w:rsidR="00864963" w:rsidRPr="00864963" w14:paraId="110B4725" w14:textId="77777777" w:rsidTr="008631A5">
        <w:trPr>
          <w:trHeight w:hRule="exact" w:val="225"/>
        </w:trPr>
        <w:tc>
          <w:tcPr>
            <w:tcW w:w="3416" w:type="pct"/>
            <w:tcBorders>
              <w:top w:val="nil"/>
              <w:left w:val="nil"/>
              <w:bottom w:val="nil"/>
              <w:right w:val="nil"/>
            </w:tcBorders>
            <w:shd w:val="clear" w:color="auto" w:fill="auto"/>
            <w:noWrap/>
            <w:vAlign w:val="bottom"/>
            <w:hideMark/>
          </w:tcPr>
          <w:p w14:paraId="16A5FEAE" w14:textId="77777777" w:rsidR="008631A5" w:rsidRPr="00864963" w:rsidRDefault="008631A5" w:rsidP="008631A5">
            <w:pPr>
              <w:spacing w:before="0" w:after="0" w:line="240" w:lineRule="auto"/>
              <w:ind w:left="170"/>
              <w:rPr>
                <w:rFonts w:ascii="Arial" w:hAnsi="Arial" w:cs="Arial"/>
                <w:sz w:val="16"/>
                <w:szCs w:val="16"/>
              </w:rPr>
            </w:pPr>
            <w:r w:rsidRPr="00864963">
              <w:rPr>
                <w:rFonts w:ascii="Arial" w:hAnsi="Arial" w:cs="Arial"/>
                <w:sz w:val="16"/>
                <w:szCs w:val="16"/>
              </w:rPr>
              <w:t>Extending the clean building managed investment trust withholding tax concession</w:t>
            </w:r>
            <w:r w:rsidRPr="00864963">
              <w:rPr>
                <w:rFonts w:ascii="Arial" w:hAnsi="Arial" w:cs="Arial"/>
                <w:sz w:val="16"/>
                <w:szCs w:val="16"/>
                <w:vertAlign w:val="superscript"/>
              </w:rPr>
              <w:t>(j)</w:t>
            </w:r>
          </w:p>
        </w:tc>
        <w:tc>
          <w:tcPr>
            <w:tcW w:w="1584" w:type="pct"/>
            <w:tcBorders>
              <w:top w:val="nil"/>
              <w:left w:val="nil"/>
              <w:bottom w:val="nil"/>
              <w:right w:val="nil"/>
            </w:tcBorders>
            <w:shd w:val="clear" w:color="auto" w:fill="auto"/>
            <w:noWrap/>
            <w:vAlign w:val="bottom"/>
            <w:hideMark/>
          </w:tcPr>
          <w:p w14:paraId="7928106E" w14:textId="77777777" w:rsidR="008631A5" w:rsidRPr="00864963" w:rsidRDefault="008631A5" w:rsidP="008631A5">
            <w:pPr>
              <w:spacing w:before="0" w:after="0" w:line="240" w:lineRule="auto"/>
              <w:jc w:val="right"/>
              <w:rPr>
                <w:rFonts w:ascii="Arial" w:hAnsi="Arial" w:cs="Arial"/>
                <w:sz w:val="16"/>
                <w:szCs w:val="16"/>
              </w:rPr>
            </w:pPr>
            <w:r w:rsidRPr="00864963">
              <w:rPr>
                <w:rFonts w:ascii="Arial" w:hAnsi="Arial" w:cs="Arial"/>
                <w:sz w:val="16"/>
                <w:szCs w:val="16"/>
              </w:rPr>
              <w:t>*</w:t>
            </w:r>
          </w:p>
        </w:tc>
      </w:tr>
      <w:tr w:rsidR="00864963" w:rsidRPr="00864963" w14:paraId="608B8AFC" w14:textId="77777777" w:rsidTr="008631A5">
        <w:trPr>
          <w:trHeight w:hRule="exact" w:val="60"/>
        </w:trPr>
        <w:tc>
          <w:tcPr>
            <w:tcW w:w="3416" w:type="pct"/>
            <w:tcBorders>
              <w:top w:val="nil"/>
              <w:left w:val="nil"/>
              <w:bottom w:val="nil"/>
              <w:right w:val="nil"/>
            </w:tcBorders>
            <w:shd w:val="clear" w:color="auto" w:fill="auto"/>
            <w:noWrap/>
            <w:vAlign w:val="center"/>
            <w:hideMark/>
          </w:tcPr>
          <w:p w14:paraId="78B52197" w14:textId="77777777" w:rsidR="008631A5" w:rsidRPr="00864963" w:rsidRDefault="008631A5" w:rsidP="008631A5">
            <w:pPr>
              <w:spacing w:before="0" w:after="0" w:line="240" w:lineRule="auto"/>
              <w:ind w:left="170"/>
              <w:rPr>
                <w:rFonts w:ascii="Arial" w:hAnsi="Arial" w:cs="Arial"/>
                <w:sz w:val="16"/>
                <w:szCs w:val="16"/>
              </w:rPr>
            </w:pPr>
          </w:p>
        </w:tc>
        <w:tc>
          <w:tcPr>
            <w:tcW w:w="1584" w:type="pct"/>
            <w:tcBorders>
              <w:top w:val="nil"/>
              <w:left w:val="nil"/>
              <w:bottom w:val="nil"/>
              <w:right w:val="nil"/>
            </w:tcBorders>
            <w:shd w:val="clear" w:color="auto" w:fill="auto"/>
            <w:noWrap/>
            <w:vAlign w:val="bottom"/>
            <w:hideMark/>
          </w:tcPr>
          <w:p w14:paraId="57D6A52D" w14:textId="77777777" w:rsidR="008631A5" w:rsidRPr="00864963" w:rsidRDefault="008631A5" w:rsidP="008631A5">
            <w:pPr>
              <w:spacing w:before="0" w:after="0" w:line="240" w:lineRule="auto"/>
              <w:ind w:firstLineChars="100" w:firstLine="200"/>
              <w:rPr>
                <w:rFonts w:ascii="Times New Roman" w:hAnsi="Times New Roman"/>
                <w:sz w:val="20"/>
              </w:rPr>
            </w:pPr>
          </w:p>
        </w:tc>
      </w:tr>
      <w:tr w:rsidR="00864963" w:rsidRPr="00864963" w14:paraId="5DCBEE67" w14:textId="77777777" w:rsidTr="008631A5">
        <w:trPr>
          <w:trHeight w:hRule="exact" w:val="225"/>
        </w:trPr>
        <w:tc>
          <w:tcPr>
            <w:tcW w:w="3416" w:type="pct"/>
            <w:tcBorders>
              <w:top w:val="single" w:sz="4" w:space="0" w:color="auto"/>
              <w:left w:val="nil"/>
              <w:bottom w:val="nil"/>
              <w:right w:val="nil"/>
            </w:tcBorders>
            <w:shd w:val="clear" w:color="auto" w:fill="auto"/>
            <w:noWrap/>
            <w:vAlign w:val="bottom"/>
            <w:hideMark/>
          </w:tcPr>
          <w:p w14:paraId="645FC501" w14:textId="77777777" w:rsidR="008631A5" w:rsidRPr="00864963" w:rsidRDefault="008631A5" w:rsidP="008631A5">
            <w:pPr>
              <w:spacing w:before="0" w:after="0" w:line="240" w:lineRule="auto"/>
              <w:rPr>
                <w:rFonts w:ascii="Arial" w:hAnsi="Arial" w:cs="Arial"/>
                <w:b/>
                <w:bCs/>
                <w:sz w:val="16"/>
                <w:szCs w:val="16"/>
              </w:rPr>
            </w:pPr>
            <w:r w:rsidRPr="00864963">
              <w:rPr>
                <w:rFonts w:ascii="Arial" w:hAnsi="Arial" w:cs="Arial"/>
                <w:b/>
                <w:bCs/>
                <w:sz w:val="16"/>
                <w:szCs w:val="16"/>
              </w:rPr>
              <w:t>Adapting to climate change and improving climate resilience</w:t>
            </w:r>
          </w:p>
        </w:tc>
        <w:tc>
          <w:tcPr>
            <w:tcW w:w="1584" w:type="pct"/>
            <w:tcBorders>
              <w:top w:val="single" w:sz="4" w:space="0" w:color="auto"/>
              <w:left w:val="nil"/>
              <w:bottom w:val="nil"/>
              <w:right w:val="nil"/>
            </w:tcBorders>
            <w:shd w:val="clear" w:color="auto" w:fill="auto"/>
            <w:noWrap/>
            <w:vAlign w:val="bottom"/>
            <w:hideMark/>
          </w:tcPr>
          <w:p w14:paraId="4915A0F0" w14:textId="77777777" w:rsidR="008631A5" w:rsidRPr="00864963" w:rsidRDefault="008631A5" w:rsidP="008631A5">
            <w:pPr>
              <w:spacing w:before="0" w:after="0" w:line="240" w:lineRule="auto"/>
              <w:jc w:val="right"/>
              <w:rPr>
                <w:rFonts w:ascii="Arial" w:hAnsi="Arial" w:cs="Arial"/>
                <w:b/>
                <w:bCs/>
                <w:sz w:val="16"/>
                <w:szCs w:val="16"/>
              </w:rPr>
            </w:pPr>
            <w:r w:rsidRPr="00864963">
              <w:rPr>
                <w:rFonts w:ascii="Arial" w:hAnsi="Arial" w:cs="Arial"/>
                <w:b/>
                <w:bCs/>
                <w:sz w:val="16"/>
                <w:szCs w:val="16"/>
              </w:rPr>
              <w:t>544.2</w:t>
            </w:r>
          </w:p>
        </w:tc>
      </w:tr>
      <w:tr w:rsidR="00864963" w:rsidRPr="00864963" w14:paraId="08CC71CB" w14:textId="77777777" w:rsidTr="008631A5">
        <w:trPr>
          <w:trHeight w:hRule="exact" w:val="100"/>
        </w:trPr>
        <w:tc>
          <w:tcPr>
            <w:tcW w:w="3416" w:type="pct"/>
            <w:tcBorders>
              <w:top w:val="nil"/>
              <w:left w:val="nil"/>
              <w:bottom w:val="nil"/>
              <w:right w:val="nil"/>
            </w:tcBorders>
            <w:shd w:val="clear" w:color="auto" w:fill="auto"/>
            <w:noWrap/>
            <w:vAlign w:val="bottom"/>
            <w:hideMark/>
          </w:tcPr>
          <w:p w14:paraId="7385CFBD" w14:textId="77777777" w:rsidR="008631A5" w:rsidRPr="00864963" w:rsidRDefault="008631A5" w:rsidP="008631A5">
            <w:pPr>
              <w:spacing w:before="0" w:after="0" w:line="240" w:lineRule="auto"/>
              <w:jc w:val="right"/>
              <w:rPr>
                <w:rFonts w:ascii="Arial" w:hAnsi="Arial" w:cs="Arial"/>
                <w:b/>
                <w:bCs/>
                <w:sz w:val="16"/>
                <w:szCs w:val="16"/>
              </w:rPr>
            </w:pPr>
          </w:p>
        </w:tc>
        <w:tc>
          <w:tcPr>
            <w:tcW w:w="1584" w:type="pct"/>
            <w:tcBorders>
              <w:top w:val="nil"/>
              <w:left w:val="nil"/>
              <w:bottom w:val="nil"/>
              <w:right w:val="nil"/>
            </w:tcBorders>
            <w:shd w:val="clear" w:color="auto" w:fill="auto"/>
            <w:noWrap/>
            <w:vAlign w:val="bottom"/>
            <w:hideMark/>
          </w:tcPr>
          <w:p w14:paraId="6F7F7C32" w14:textId="77777777" w:rsidR="008631A5" w:rsidRPr="00864963" w:rsidRDefault="008631A5" w:rsidP="008631A5">
            <w:pPr>
              <w:spacing w:before="0" w:after="0" w:line="240" w:lineRule="auto"/>
              <w:rPr>
                <w:rFonts w:ascii="Times New Roman" w:hAnsi="Times New Roman"/>
                <w:sz w:val="20"/>
              </w:rPr>
            </w:pPr>
          </w:p>
        </w:tc>
      </w:tr>
      <w:tr w:rsidR="00864963" w:rsidRPr="00864963" w14:paraId="763F06D1" w14:textId="77777777" w:rsidTr="008631A5">
        <w:trPr>
          <w:trHeight w:hRule="exact" w:val="225"/>
        </w:trPr>
        <w:tc>
          <w:tcPr>
            <w:tcW w:w="3416" w:type="pct"/>
            <w:tcBorders>
              <w:top w:val="nil"/>
              <w:left w:val="nil"/>
              <w:bottom w:val="nil"/>
              <w:right w:val="nil"/>
            </w:tcBorders>
            <w:shd w:val="clear" w:color="auto" w:fill="auto"/>
            <w:noWrap/>
            <w:vAlign w:val="bottom"/>
            <w:hideMark/>
          </w:tcPr>
          <w:p w14:paraId="26363451" w14:textId="77777777" w:rsidR="008631A5" w:rsidRPr="00864963" w:rsidRDefault="008631A5" w:rsidP="008631A5">
            <w:pPr>
              <w:spacing w:before="0" w:after="0" w:line="240" w:lineRule="auto"/>
              <w:ind w:left="170"/>
              <w:rPr>
                <w:rFonts w:ascii="Arial" w:hAnsi="Arial" w:cs="Arial"/>
                <w:sz w:val="16"/>
                <w:szCs w:val="16"/>
              </w:rPr>
            </w:pPr>
            <w:r w:rsidRPr="00864963">
              <w:rPr>
                <w:rFonts w:ascii="Arial" w:hAnsi="Arial" w:cs="Arial"/>
                <w:sz w:val="16"/>
                <w:szCs w:val="16"/>
              </w:rPr>
              <w:t>Natural Heritage Trust – project funding – Climate-Smart Agriculture</w:t>
            </w:r>
            <w:r w:rsidRPr="00864963">
              <w:rPr>
                <w:rFonts w:ascii="Arial" w:hAnsi="Arial" w:cs="Arial"/>
                <w:sz w:val="16"/>
                <w:szCs w:val="16"/>
                <w:vertAlign w:val="superscript"/>
              </w:rPr>
              <w:t>(k)</w:t>
            </w:r>
          </w:p>
        </w:tc>
        <w:tc>
          <w:tcPr>
            <w:tcW w:w="1584" w:type="pct"/>
            <w:tcBorders>
              <w:top w:val="nil"/>
              <w:left w:val="nil"/>
              <w:bottom w:val="nil"/>
              <w:right w:val="nil"/>
            </w:tcBorders>
            <w:shd w:val="clear" w:color="auto" w:fill="auto"/>
            <w:noWrap/>
            <w:vAlign w:val="bottom"/>
            <w:hideMark/>
          </w:tcPr>
          <w:p w14:paraId="0881CA6A" w14:textId="77777777" w:rsidR="008631A5" w:rsidRPr="00864963" w:rsidRDefault="008631A5" w:rsidP="008631A5">
            <w:pPr>
              <w:spacing w:before="0" w:after="0" w:line="240" w:lineRule="auto"/>
              <w:jc w:val="right"/>
              <w:rPr>
                <w:rFonts w:ascii="Arial" w:hAnsi="Arial" w:cs="Arial"/>
                <w:sz w:val="16"/>
                <w:szCs w:val="16"/>
              </w:rPr>
            </w:pPr>
            <w:r w:rsidRPr="00864963">
              <w:rPr>
                <w:rFonts w:ascii="Arial" w:hAnsi="Arial" w:cs="Arial"/>
                <w:sz w:val="16"/>
                <w:szCs w:val="16"/>
              </w:rPr>
              <w:t>302.1</w:t>
            </w:r>
          </w:p>
        </w:tc>
      </w:tr>
      <w:tr w:rsidR="00864963" w:rsidRPr="00864963" w14:paraId="18DEFBBF" w14:textId="77777777" w:rsidTr="008631A5">
        <w:trPr>
          <w:trHeight w:hRule="exact" w:val="225"/>
        </w:trPr>
        <w:tc>
          <w:tcPr>
            <w:tcW w:w="3416" w:type="pct"/>
            <w:tcBorders>
              <w:top w:val="nil"/>
              <w:left w:val="nil"/>
              <w:bottom w:val="nil"/>
              <w:right w:val="nil"/>
            </w:tcBorders>
            <w:shd w:val="clear" w:color="auto" w:fill="auto"/>
            <w:noWrap/>
            <w:vAlign w:val="bottom"/>
            <w:hideMark/>
          </w:tcPr>
          <w:p w14:paraId="6AF5769C" w14:textId="77777777" w:rsidR="008631A5" w:rsidRPr="00864963" w:rsidRDefault="008631A5" w:rsidP="008631A5">
            <w:pPr>
              <w:spacing w:before="0" w:after="0" w:line="240" w:lineRule="auto"/>
              <w:ind w:left="170"/>
              <w:rPr>
                <w:rFonts w:ascii="Arial" w:hAnsi="Arial" w:cs="Arial"/>
                <w:sz w:val="16"/>
                <w:szCs w:val="16"/>
              </w:rPr>
            </w:pPr>
            <w:r w:rsidRPr="00864963">
              <w:rPr>
                <w:rFonts w:ascii="Arial" w:hAnsi="Arial" w:cs="Arial"/>
                <w:sz w:val="16"/>
                <w:szCs w:val="16"/>
              </w:rPr>
              <w:t>Flood Warning Infrastructure Network Remediation</w:t>
            </w:r>
            <w:r w:rsidRPr="00864963">
              <w:rPr>
                <w:rFonts w:ascii="Arial" w:hAnsi="Arial" w:cs="Arial"/>
                <w:sz w:val="16"/>
                <w:szCs w:val="16"/>
                <w:vertAlign w:val="superscript"/>
              </w:rPr>
              <w:t>(l)</w:t>
            </w:r>
          </w:p>
        </w:tc>
        <w:tc>
          <w:tcPr>
            <w:tcW w:w="1584" w:type="pct"/>
            <w:tcBorders>
              <w:top w:val="nil"/>
              <w:left w:val="nil"/>
              <w:bottom w:val="nil"/>
              <w:right w:val="nil"/>
            </w:tcBorders>
            <w:shd w:val="clear" w:color="auto" w:fill="auto"/>
            <w:noWrap/>
            <w:vAlign w:val="bottom"/>
            <w:hideMark/>
          </w:tcPr>
          <w:p w14:paraId="65D43415" w14:textId="77777777" w:rsidR="008631A5" w:rsidRPr="00864963" w:rsidRDefault="008631A5" w:rsidP="008631A5">
            <w:pPr>
              <w:spacing w:before="0" w:after="0" w:line="240" w:lineRule="auto"/>
              <w:jc w:val="right"/>
              <w:rPr>
                <w:rFonts w:ascii="Arial" w:hAnsi="Arial" w:cs="Arial"/>
                <w:sz w:val="16"/>
                <w:szCs w:val="16"/>
              </w:rPr>
            </w:pPr>
            <w:r w:rsidRPr="00864963">
              <w:rPr>
                <w:rFonts w:ascii="Arial" w:hAnsi="Arial" w:cs="Arial"/>
                <w:sz w:val="16"/>
                <w:szCs w:val="16"/>
              </w:rPr>
              <w:t>194.1</w:t>
            </w:r>
          </w:p>
        </w:tc>
      </w:tr>
      <w:tr w:rsidR="00864963" w:rsidRPr="00864963" w14:paraId="3CBAEEA4" w14:textId="77777777" w:rsidTr="008631A5">
        <w:trPr>
          <w:trHeight w:hRule="exact" w:val="225"/>
        </w:trPr>
        <w:tc>
          <w:tcPr>
            <w:tcW w:w="3416" w:type="pct"/>
            <w:tcBorders>
              <w:top w:val="nil"/>
              <w:left w:val="nil"/>
              <w:bottom w:val="nil"/>
              <w:right w:val="nil"/>
            </w:tcBorders>
            <w:shd w:val="clear" w:color="auto" w:fill="auto"/>
            <w:noWrap/>
            <w:vAlign w:val="bottom"/>
            <w:hideMark/>
          </w:tcPr>
          <w:p w14:paraId="3D6C9A5D" w14:textId="77777777" w:rsidR="008631A5" w:rsidRPr="00864963" w:rsidRDefault="008631A5" w:rsidP="008631A5">
            <w:pPr>
              <w:spacing w:before="0" w:after="0" w:line="240" w:lineRule="auto"/>
              <w:ind w:left="170"/>
              <w:rPr>
                <w:rFonts w:ascii="Arial" w:hAnsi="Arial" w:cs="Arial"/>
                <w:sz w:val="16"/>
                <w:szCs w:val="16"/>
              </w:rPr>
            </w:pPr>
            <w:r w:rsidRPr="00864963">
              <w:rPr>
                <w:rFonts w:ascii="Arial" w:hAnsi="Arial" w:cs="Arial"/>
                <w:sz w:val="16"/>
                <w:szCs w:val="16"/>
              </w:rPr>
              <w:t>National Climate Adaptation and Risk Program</w:t>
            </w:r>
          </w:p>
        </w:tc>
        <w:tc>
          <w:tcPr>
            <w:tcW w:w="1584" w:type="pct"/>
            <w:tcBorders>
              <w:top w:val="nil"/>
              <w:left w:val="nil"/>
              <w:bottom w:val="nil"/>
              <w:right w:val="nil"/>
            </w:tcBorders>
            <w:shd w:val="clear" w:color="auto" w:fill="auto"/>
            <w:noWrap/>
            <w:vAlign w:val="bottom"/>
            <w:hideMark/>
          </w:tcPr>
          <w:p w14:paraId="0A6AC2AC" w14:textId="77777777" w:rsidR="008631A5" w:rsidRPr="00864963" w:rsidRDefault="008631A5" w:rsidP="008631A5">
            <w:pPr>
              <w:spacing w:before="0" w:after="0" w:line="240" w:lineRule="auto"/>
              <w:jc w:val="right"/>
              <w:rPr>
                <w:rFonts w:ascii="Arial" w:hAnsi="Arial" w:cs="Arial"/>
                <w:sz w:val="16"/>
                <w:szCs w:val="16"/>
              </w:rPr>
            </w:pPr>
            <w:r w:rsidRPr="00864963">
              <w:rPr>
                <w:rFonts w:ascii="Arial" w:hAnsi="Arial" w:cs="Arial"/>
                <w:sz w:val="16"/>
                <w:szCs w:val="16"/>
              </w:rPr>
              <w:t>28.0</w:t>
            </w:r>
          </w:p>
        </w:tc>
      </w:tr>
      <w:tr w:rsidR="00864963" w:rsidRPr="00864963" w14:paraId="4603F102" w14:textId="77777777" w:rsidTr="008631A5">
        <w:trPr>
          <w:trHeight w:hRule="exact" w:val="225"/>
        </w:trPr>
        <w:tc>
          <w:tcPr>
            <w:tcW w:w="3416" w:type="pct"/>
            <w:tcBorders>
              <w:top w:val="nil"/>
              <w:left w:val="nil"/>
              <w:bottom w:val="nil"/>
              <w:right w:val="nil"/>
            </w:tcBorders>
            <w:shd w:val="clear" w:color="auto" w:fill="auto"/>
            <w:noWrap/>
            <w:vAlign w:val="bottom"/>
            <w:hideMark/>
          </w:tcPr>
          <w:p w14:paraId="6A61DF38" w14:textId="77777777" w:rsidR="008631A5" w:rsidRPr="00864963" w:rsidRDefault="008631A5" w:rsidP="008631A5">
            <w:pPr>
              <w:spacing w:before="0" w:after="0" w:line="240" w:lineRule="auto"/>
              <w:ind w:left="170"/>
              <w:rPr>
                <w:rFonts w:ascii="Arial" w:hAnsi="Arial" w:cs="Arial"/>
                <w:sz w:val="16"/>
                <w:szCs w:val="16"/>
              </w:rPr>
            </w:pPr>
            <w:r w:rsidRPr="00864963">
              <w:rPr>
                <w:rFonts w:ascii="Arial" w:hAnsi="Arial" w:cs="Arial"/>
                <w:sz w:val="16"/>
                <w:szCs w:val="16"/>
              </w:rPr>
              <w:t>Partnering to Implement the National Soil Action Plan</w:t>
            </w:r>
          </w:p>
        </w:tc>
        <w:tc>
          <w:tcPr>
            <w:tcW w:w="1584" w:type="pct"/>
            <w:tcBorders>
              <w:top w:val="nil"/>
              <w:left w:val="nil"/>
              <w:bottom w:val="nil"/>
              <w:right w:val="nil"/>
            </w:tcBorders>
            <w:shd w:val="clear" w:color="auto" w:fill="auto"/>
            <w:noWrap/>
            <w:vAlign w:val="bottom"/>
            <w:hideMark/>
          </w:tcPr>
          <w:p w14:paraId="47BD58C9" w14:textId="77777777" w:rsidR="008631A5" w:rsidRPr="00864963" w:rsidRDefault="008631A5" w:rsidP="008631A5">
            <w:pPr>
              <w:spacing w:before="0" w:after="0" w:line="240" w:lineRule="auto"/>
              <w:jc w:val="right"/>
              <w:rPr>
                <w:rFonts w:ascii="Arial" w:hAnsi="Arial" w:cs="Arial"/>
                <w:sz w:val="16"/>
                <w:szCs w:val="16"/>
              </w:rPr>
            </w:pPr>
            <w:r w:rsidRPr="00864963">
              <w:rPr>
                <w:rFonts w:ascii="Arial" w:hAnsi="Arial" w:cs="Arial"/>
                <w:sz w:val="16"/>
                <w:szCs w:val="16"/>
              </w:rPr>
              <w:t>20.0</w:t>
            </w:r>
          </w:p>
        </w:tc>
      </w:tr>
      <w:tr w:rsidR="00864963" w:rsidRPr="00864963" w14:paraId="2459704E" w14:textId="77777777" w:rsidTr="008631A5">
        <w:trPr>
          <w:trHeight w:hRule="exact" w:val="60"/>
        </w:trPr>
        <w:tc>
          <w:tcPr>
            <w:tcW w:w="3416" w:type="pct"/>
            <w:tcBorders>
              <w:top w:val="nil"/>
              <w:left w:val="nil"/>
              <w:bottom w:val="nil"/>
              <w:right w:val="nil"/>
            </w:tcBorders>
            <w:shd w:val="clear" w:color="auto" w:fill="auto"/>
            <w:noWrap/>
            <w:vAlign w:val="bottom"/>
            <w:hideMark/>
          </w:tcPr>
          <w:p w14:paraId="2041B956" w14:textId="77777777" w:rsidR="008631A5" w:rsidRPr="00864963" w:rsidRDefault="008631A5" w:rsidP="008631A5">
            <w:pPr>
              <w:spacing w:before="0" w:after="0" w:line="240" w:lineRule="auto"/>
              <w:jc w:val="right"/>
              <w:rPr>
                <w:rFonts w:ascii="Arial" w:hAnsi="Arial" w:cs="Arial"/>
                <w:sz w:val="16"/>
                <w:szCs w:val="16"/>
              </w:rPr>
            </w:pPr>
          </w:p>
        </w:tc>
        <w:tc>
          <w:tcPr>
            <w:tcW w:w="1584" w:type="pct"/>
            <w:tcBorders>
              <w:top w:val="nil"/>
              <w:left w:val="nil"/>
              <w:bottom w:val="nil"/>
              <w:right w:val="nil"/>
            </w:tcBorders>
            <w:shd w:val="clear" w:color="auto" w:fill="auto"/>
            <w:noWrap/>
            <w:vAlign w:val="bottom"/>
            <w:hideMark/>
          </w:tcPr>
          <w:p w14:paraId="146FE964" w14:textId="77777777" w:rsidR="008631A5" w:rsidRPr="00864963" w:rsidRDefault="008631A5" w:rsidP="008631A5">
            <w:pPr>
              <w:spacing w:before="0" w:after="0" w:line="240" w:lineRule="auto"/>
              <w:rPr>
                <w:rFonts w:ascii="Times New Roman" w:hAnsi="Times New Roman"/>
                <w:sz w:val="20"/>
              </w:rPr>
            </w:pPr>
          </w:p>
        </w:tc>
      </w:tr>
      <w:tr w:rsidR="00864963" w:rsidRPr="00864963" w14:paraId="1E5DCE0B" w14:textId="77777777" w:rsidTr="008631A5">
        <w:trPr>
          <w:trHeight w:hRule="exact" w:val="225"/>
        </w:trPr>
        <w:tc>
          <w:tcPr>
            <w:tcW w:w="3416" w:type="pct"/>
            <w:tcBorders>
              <w:top w:val="single" w:sz="4" w:space="0" w:color="auto"/>
              <w:left w:val="nil"/>
              <w:bottom w:val="nil"/>
              <w:right w:val="nil"/>
            </w:tcBorders>
            <w:shd w:val="clear" w:color="auto" w:fill="auto"/>
            <w:noWrap/>
            <w:vAlign w:val="bottom"/>
            <w:hideMark/>
          </w:tcPr>
          <w:p w14:paraId="1636250C" w14:textId="77777777" w:rsidR="008631A5" w:rsidRPr="00864963" w:rsidRDefault="008631A5" w:rsidP="008631A5">
            <w:pPr>
              <w:spacing w:before="0" w:after="0" w:line="240" w:lineRule="auto"/>
              <w:rPr>
                <w:rFonts w:ascii="Arial" w:hAnsi="Arial" w:cs="Arial"/>
                <w:b/>
                <w:bCs/>
                <w:sz w:val="16"/>
                <w:szCs w:val="16"/>
              </w:rPr>
            </w:pPr>
            <w:r w:rsidRPr="00864963">
              <w:rPr>
                <w:rFonts w:ascii="Arial" w:hAnsi="Arial" w:cs="Arial"/>
                <w:b/>
                <w:bCs/>
                <w:sz w:val="16"/>
                <w:szCs w:val="16"/>
              </w:rPr>
              <w:t xml:space="preserve">Re-establishing our international climate leadership </w:t>
            </w:r>
          </w:p>
        </w:tc>
        <w:tc>
          <w:tcPr>
            <w:tcW w:w="1584" w:type="pct"/>
            <w:tcBorders>
              <w:top w:val="single" w:sz="4" w:space="0" w:color="auto"/>
              <w:left w:val="nil"/>
              <w:bottom w:val="nil"/>
              <w:right w:val="nil"/>
            </w:tcBorders>
            <w:shd w:val="clear" w:color="auto" w:fill="auto"/>
            <w:noWrap/>
            <w:vAlign w:val="bottom"/>
            <w:hideMark/>
          </w:tcPr>
          <w:p w14:paraId="3638067E" w14:textId="77777777" w:rsidR="008631A5" w:rsidRPr="00864963" w:rsidRDefault="008631A5" w:rsidP="008631A5">
            <w:pPr>
              <w:spacing w:before="0" w:after="0" w:line="240" w:lineRule="auto"/>
              <w:jc w:val="right"/>
              <w:rPr>
                <w:rFonts w:ascii="Arial" w:hAnsi="Arial" w:cs="Arial"/>
                <w:b/>
                <w:bCs/>
                <w:sz w:val="16"/>
                <w:szCs w:val="16"/>
              </w:rPr>
            </w:pPr>
            <w:r w:rsidRPr="00864963">
              <w:rPr>
                <w:rFonts w:ascii="Arial" w:hAnsi="Arial" w:cs="Arial"/>
                <w:b/>
                <w:bCs/>
                <w:sz w:val="16"/>
                <w:szCs w:val="16"/>
              </w:rPr>
              <w:t>17.9</w:t>
            </w:r>
          </w:p>
        </w:tc>
      </w:tr>
      <w:tr w:rsidR="00864963" w:rsidRPr="00864963" w14:paraId="7739290C" w14:textId="77777777" w:rsidTr="008631A5">
        <w:trPr>
          <w:trHeight w:hRule="exact" w:val="60"/>
        </w:trPr>
        <w:tc>
          <w:tcPr>
            <w:tcW w:w="3416" w:type="pct"/>
            <w:tcBorders>
              <w:top w:val="nil"/>
              <w:left w:val="nil"/>
              <w:bottom w:val="nil"/>
              <w:right w:val="nil"/>
            </w:tcBorders>
            <w:shd w:val="clear" w:color="auto" w:fill="auto"/>
            <w:noWrap/>
            <w:vAlign w:val="bottom"/>
            <w:hideMark/>
          </w:tcPr>
          <w:p w14:paraId="0FB62D4D" w14:textId="77777777" w:rsidR="008631A5" w:rsidRPr="00864963" w:rsidRDefault="008631A5" w:rsidP="008631A5">
            <w:pPr>
              <w:spacing w:before="0" w:after="0" w:line="240" w:lineRule="auto"/>
              <w:jc w:val="right"/>
              <w:rPr>
                <w:rFonts w:ascii="Arial" w:hAnsi="Arial" w:cs="Arial"/>
                <w:b/>
                <w:bCs/>
                <w:sz w:val="16"/>
                <w:szCs w:val="16"/>
              </w:rPr>
            </w:pPr>
          </w:p>
        </w:tc>
        <w:tc>
          <w:tcPr>
            <w:tcW w:w="1584" w:type="pct"/>
            <w:tcBorders>
              <w:top w:val="nil"/>
              <w:left w:val="nil"/>
              <w:bottom w:val="nil"/>
              <w:right w:val="nil"/>
            </w:tcBorders>
            <w:shd w:val="clear" w:color="auto" w:fill="auto"/>
            <w:noWrap/>
            <w:vAlign w:val="bottom"/>
            <w:hideMark/>
          </w:tcPr>
          <w:p w14:paraId="5AF4AA61" w14:textId="77777777" w:rsidR="008631A5" w:rsidRPr="00864963" w:rsidRDefault="008631A5" w:rsidP="008631A5">
            <w:pPr>
              <w:spacing w:before="0" w:after="0" w:line="240" w:lineRule="auto"/>
              <w:rPr>
                <w:rFonts w:ascii="Times New Roman" w:hAnsi="Times New Roman"/>
                <w:sz w:val="20"/>
              </w:rPr>
            </w:pPr>
          </w:p>
        </w:tc>
      </w:tr>
      <w:tr w:rsidR="00864963" w:rsidRPr="00864963" w14:paraId="7D8E0F9B" w14:textId="77777777" w:rsidTr="008631A5">
        <w:trPr>
          <w:trHeight w:hRule="exact" w:val="225"/>
        </w:trPr>
        <w:tc>
          <w:tcPr>
            <w:tcW w:w="3416" w:type="pct"/>
            <w:tcBorders>
              <w:top w:val="nil"/>
              <w:left w:val="nil"/>
              <w:bottom w:val="nil"/>
              <w:right w:val="nil"/>
            </w:tcBorders>
            <w:shd w:val="clear" w:color="auto" w:fill="auto"/>
            <w:noWrap/>
            <w:vAlign w:val="bottom"/>
            <w:hideMark/>
          </w:tcPr>
          <w:p w14:paraId="66E89B15" w14:textId="77777777" w:rsidR="008631A5" w:rsidRPr="00864963" w:rsidRDefault="008631A5" w:rsidP="008631A5">
            <w:pPr>
              <w:spacing w:before="0" w:after="0" w:line="240" w:lineRule="auto"/>
              <w:ind w:left="170"/>
              <w:rPr>
                <w:rFonts w:ascii="Arial" w:hAnsi="Arial" w:cs="Arial"/>
                <w:sz w:val="16"/>
                <w:szCs w:val="16"/>
              </w:rPr>
            </w:pPr>
            <w:r w:rsidRPr="00864963">
              <w:rPr>
                <w:rFonts w:ascii="Arial" w:hAnsi="Arial" w:cs="Arial"/>
                <w:sz w:val="16"/>
                <w:szCs w:val="16"/>
              </w:rPr>
              <w:t>Comprehensive Sustainable Finance Agenda</w:t>
            </w:r>
          </w:p>
        </w:tc>
        <w:tc>
          <w:tcPr>
            <w:tcW w:w="1584" w:type="pct"/>
            <w:tcBorders>
              <w:top w:val="nil"/>
              <w:left w:val="nil"/>
              <w:bottom w:val="nil"/>
              <w:right w:val="nil"/>
            </w:tcBorders>
            <w:shd w:val="clear" w:color="auto" w:fill="auto"/>
            <w:noWrap/>
            <w:vAlign w:val="bottom"/>
            <w:hideMark/>
          </w:tcPr>
          <w:p w14:paraId="049259DC" w14:textId="77777777" w:rsidR="008631A5" w:rsidRPr="00864963" w:rsidRDefault="008631A5" w:rsidP="008631A5">
            <w:pPr>
              <w:spacing w:before="0" w:after="0" w:line="240" w:lineRule="auto"/>
              <w:jc w:val="right"/>
              <w:rPr>
                <w:rFonts w:ascii="Arial" w:hAnsi="Arial" w:cs="Arial"/>
                <w:sz w:val="16"/>
                <w:szCs w:val="16"/>
              </w:rPr>
            </w:pPr>
            <w:r w:rsidRPr="00864963">
              <w:rPr>
                <w:rFonts w:ascii="Arial" w:hAnsi="Arial" w:cs="Arial"/>
                <w:sz w:val="16"/>
                <w:szCs w:val="16"/>
              </w:rPr>
              <w:t>17.9</w:t>
            </w:r>
          </w:p>
        </w:tc>
      </w:tr>
      <w:tr w:rsidR="00864963" w:rsidRPr="00864963" w14:paraId="73DB669F" w14:textId="77777777" w:rsidTr="008631A5">
        <w:trPr>
          <w:trHeight w:hRule="exact" w:val="60"/>
        </w:trPr>
        <w:tc>
          <w:tcPr>
            <w:tcW w:w="3416" w:type="pct"/>
            <w:tcBorders>
              <w:top w:val="nil"/>
              <w:left w:val="nil"/>
              <w:bottom w:val="nil"/>
              <w:right w:val="nil"/>
            </w:tcBorders>
            <w:shd w:val="clear" w:color="auto" w:fill="auto"/>
            <w:noWrap/>
            <w:vAlign w:val="bottom"/>
            <w:hideMark/>
          </w:tcPr>
          <w:p w14:paraId="4DF9A079" w14:textId="77777777" w:rsidR="008631A5" w:rsidRPr="00864963" w:rsidRDefault="008631A5" w:rsidP="008631A5">
            <w:pPr>
              <w:spacing w:before="0" w:after="0" w:line="240" w:lineRule="auto"/>
              <w:jc w:val="right"/>
              <w:rPr>
                <w:rFonts w:ascii="Arial" w:hAnsi="Arial" w:cs="Arial"/>
                <w:sz w:val="16"/>
                <w:szCs w:val="16"/>
              </w:rPr>
            </w:pPr>
          </w:p>
        </w:tc>
        <w:tc>
          <w:tcPr>
            <w:tcW w:w="1584" w:type="pct"/>
            <w:tcBorders>
              <w:top w:val="nil"/>
              <w:left w:val="nil"/>
              <w:bottom w:val="nil"/>
              <w:right w:val="nil"/>
            </w:tcBorders>
            <w:shd w:val="clear" w:color="auto" w:fill="auto"/>
            <w:noWrap/>
            <w:vAlign w:val="bottom"/>
            <w:hideMark/>
          </w:tcPr>
          <w:p w14:paraId="7C8E22D6" w14:textId="77777777" w:rsidR="008631A5" w:rsidRPr="00864963" w:rsidRDefault="008631A5" w:rsidP="008631A5">
            <w:pPr>
              <w:spacing w:before="0" w:after="0" w:line="240" w:lineRule="auto"/>
              <w:rPr>
                <w:rFonts w:ascii="Times New Roman" w:hAnsi="Times New Roman"/>
                <w:sz w:val="20"/>
              </w:rPr>
            </w:pPr>
          </w:p>
        </w:tc>
      </w:tr>
      <w:tr w:rsidR="00864963" w:rsidRPr="00864963" w14:paraId="6C1A08CC" w14:textId="77777777" w:rsidTr="008631A5">
        <w:trPr>
          <w:trHeight w:hRule="exact" w:val="225"/>
        </w:trPr>
        <w:tc>
          <w:tcPr>
            <w:tcW w:w="3416" w:type="pct"/>
            <w:tcBorders>
              <w:top w:val="single" w:sz="4" w:space="0" w:color="auto"/>
              <w:left w:val="nil"/>
              <w:bottom w:val="nil"/>
              <w:right w:val="nil"/>
            </w:tcBorders>
            <w:shd w:val="clear" w:color="auto" w:fill="auto"/>
            <w:noWrap/>
            <w:vAlign w:val="bottom"/>
            <w:hideMark/>
          </w:tcPr>
          <w:p w14:paraId="42FCDDC5" w14:textId="77777777" w:rsidR="008631A5" w:rsidRPr="00864963" w:rsidRDefault="008631A5" w:rsidP="008631A5">
            <w:pPr>
              <w:spacing w:before="0" w:after="0" w:line="240" w:lineRule="auto"/>
              <w:rPr>
                <w:rFonts w:ascii="Arial" w:hAnsi="Arial" w:cs="Arial"/>
                <w:b/>
                <w:bCs/>
                <w:sz w:val="16"/>
                <w:szCs w:val="16"/>
              </w:rPr>
            </w:pPr>
            <w:r w:rsidRPr="00864963">
              <w:rPr>
                <w:rFonts w:ascii="Arial" w:hAnsi="Arial" w:cs="Arial"/>
                <w:b/>
                <w:bCs/>
                <w:sz w:val="16"/>
                <w:szCs w:val="16"/>
              </w:rPr>
              <w:t xml:space="preserve">Building Australian Government climate capability </w:t>
            </w:r>
          </w:p>
        </w:tc>
        <w:tc>
          <w:tcPr>
            <w:tcW w:w="1584" w:type="pct"/>
            <w:tcBorders>
              <w:top w:val="single" w:sz="4" w:space="0" w:color="auto"/>
              <w:left w:val="nil"/>
              <w:bottom w:val="nil"/>
              <w:right w:val="nil"/>
            </w:tcBorders>
            <w:shd w:val="clear" w:color="auto" w:fill="auto"/>
            <w:noWrap/>
            <w:vAlign w:val="bottom"/>
            <w:hideMark/>
          </w:tcPr>
          <w:p w14:paraId="79D499B7" w14:textId="77777777" w:rsidR="008631A5" w:rsidRPr="00864963" w:rsidRDefault="008631A5" w:rsidP="008631A5">
            <w:pPr>
              <w:spacing w:before="0" w:after="0" w:line="240" w:lineRule="auto"/>
              <w:jc w:val="right"/>
              <w:rPr>
                <w:rFonts w:ascii="Arial" w:hAnsi="Arial" w:cs="Arial"/>
                <w:b/>
                <w:bCs/>
                <w:sz w:val="16"/>
                <w:szCs w:val="16"/>
              </w:rPr>
            </w:pPr>
            <w:r w:rsidRPr="00864963">
              <w:rPr>
                <w:rFonts w:ascii="Arial" w:hAnsi="Arial" w:cs="Arial"/>
                <w:b/>
                <w:bCs/>
                <w:sz w:val="16"/>
                <w:szCs w:val="16"/>
              </w:rPr>
              <w:t>21.8</w:t>
            </w:r>
          </w:p>
        </w:tc>
      </w:tr>
      <w:tr w:rsidR="00864963" w:rsidRPr="00864963" w14:paraId="711E72EE" w14:textId="77777777" w:rsidTr="008631A5">
        <w:trPr>
          <w:trHeight w:hRule="exact" w:val="60"/>
        </w:trPr>
        <w:tc>
          <w:tcPr>
            <w:tcW w:w="3416" w:type="pct"/>
            <w:tcBorders>
              <w:top w:val="nil"/>
              <w:left w:val="nil"/>
              <w:bottom w:val="nil"/>
              <w:right w:val="nil"/>
            </w:tcBorders>
            <w:shd w:val="clear" w:color="auto" w:fill="auto"/>
            <w:noWrap/>
            <w:vAlign w:val="bottom"/>
            <w:hideMark/>
          </w:tcPr>
          <w:p w14:paraId="3DD07C1C" w14:textId="77777777" w:rsidR="008631A5" w:rsidRPr="00864963" w:rsidRDefault="008631A5" w:rsidP="008631A5">
            <w:pPr>
              <w:spacing w:before="0" w:after="0" w:line="240" w:lineRule="auto"/>
              <w:jc w:val="right"/>
              <w:rPr>
                <w:rFonts w:ascii="Arial" w:hAnsi="Arial" w:cs="Arial"/>
                <w:b/>
                <w:bCs/>
                <w:sz w:val="16"/>
                <w:szCs w:val="16"/>
              </w:rPr>
            </w:pPr>
          </w:p>
        </w:tc>
        <w:tc>
          <w:tcPr>
            <w:tcW w:w="1584" w:type="pct"/>
            <w:tcBorders>
              <w:top w:val="nil"/>
              <w:left w:val="nil"/>
              <w:bottom w:val="nil"/>
              <w:right w:val="nil"/>
            </w:tcBorders>
            <w:shd w:val="clear" w:color="auto" w:fill="auto"/>
            <w:noWrap/>
            <w:vAlign w:val="bottom"/>
            <w:hideMark/>
          </w:tcPr>
          <w:p w14:paraId="02361DB6" w14:textId="77777777" w:rsidR="008631A5" w:rsidRPr="00864963" w:rsidRDefault="008631A5" w:rsidP="008631A5">
            <w:pPr>
              <w:spacing w:before="0" w:after="0" w:line="240" w:lineRule="auto"/>
              <w:rPr>
                <w:rFonts w:ascii="Times New Roman" w:hAnsi="Times New Roman"/>
                <w:sz w:val="20"/>
              </w:rPr>
            </w:pPr>
          </w:p>
        </w:tc>
      </w:tr>
      <w:tr w:rsidR="00864963" w:rsidRPr="00864963" w14:paraId="7739867C" w14:textId="77777777" w:rsidTr="008631A5">
        <w:trPr>
          <w:trHeight w:hRule="exact" w:val="225"/>
        </w:trPr>
        <w:tc>
          <w:tcPr>
            <w:tcW w:w="3416" w:type="pct"/>
            <w:tcBorders>
              <w:top w:val="nil"/>
              <w:left w:val="nil"/>
              <w:bottom w:val="single" w:sz="4" w:space="0" w:color="000000"/>
              <w:right w:val="nil"/>
            </w:tcBorders>
            <w:shd w:val="clear" w:color="auto" w:fill="auto"/>
            <w:noWrap/>
            <w:vAlign w:val="bottom"/>
            <w:hideMark/>
          </w:tcPr>
          <w:p w14:paraId="382C0DEC" w14:textId="77777777" w:rsidR="008631A5" w:rsidRPr="00864963" w:rsidRDefault="008631A5" w:rsidP="008631A5">
            <w:pPr>
              <w:spacing w:before="0" w:after="0" w:line="240" w:lineRule="auto"/>
              <w:ind w:left="170"/>
              <w:rPr>
                <w:rFonts w:ascii="Arial" w:hAnsi="Arial" w:cs="Arial"/>
                <w:sz w:val="16"/>
                <w:szCs w:val="16"/>
              </w:rPr>
            </w:pPr>
            <w:r w:rsidRPr="00864963">
              <w:rPr>
                <w:rFonts w:ascii="Arial" w:hAnsi="Arial" w:cs="Arial"/>
                <w:sz w:val="16"/>
                <w:szCs w:val="16"/>
              </w:rPr>
              <w:t>Capturing Australia's Emissions Reduction Data – additional funding</w:t>
            </w:r>
          </w:p>
        </w:tc>
        <w:tc>
          <w:tcPr>
            <w:tcW w:w="1584" w:type="pct"/>
            <w:tcBorders>
              <w:top w:val="nil"/>
              <w:left w:val="nil"/>
              <w:bottom w:val="single" w:sz="4" w:space="0" w:color="000000"/>
              <w:right w:val="nil"/>
            </w:tcBorders>
            <w:shd w:val="clear" w:color="auto" w:fill="auto"/>
            <w:noWrap/>
            <w:vAlign w:val="bottom"/>
            <w:hideMark/>
          </w:tcPr>
          <w:p w14:paraId="0D1EF213" w14:textId="77777777" w:rsidR="008631A5" w:rsidRPr="00864963" w:rsidRDefault="008631A5" w:rsidP="008631A5">
            <w:pPr>
              <w:spacing w:before="0" w:after="0" w:line="240" w:lineRule="auto"/>
              <w:jc w:val="right"/>
              <w:rPr>
                <w:rFonts w:ascii="Arial" w:hAnsi="Arial" w:cs="Arial"/>
                <w:sz w:val="16"/>
                <w:szCs w:val="16"/>
              </w:rPr>
            </w:pPr>
            <w:r w:rsidRPr="00864963">
              <w:rPr>
                <w:rFonts w:ascii="Arial" w:hAnsi="Arial" w:cs="Arial"/>
                <w:sz w:val="16"/>
                <w:szCs w:val="16"/>
              </w:rPr>
              <w:t>21.8</w:t>
            </w:r>
          </w:p>
        </w:tc>
      </w:tr>
    </w:tbl>
    <w:p w14:paraId="531AFDC6" w14:textId="5C8A569F" w:rsidR="003030BF" w:rsidRPr="004E1159" w:rsidRDefault="003030BF" w:rsidP="00D57DA8">
      <w:pPr>
        <w:pStyle w:val="ChartandTableFootnoteAlpha"/>
        <w:numPr>
          <w:ilvl w:val="0"/>
          <w:numId w:val="13"/>
        </w:numPr>
        <w:rPr>
          <w:color w:val="auto"/>
        </w:rPr>
      </w:pPr>
      <w:r w:rsidRPr="004E1159">
        <w:rPr>
          <w:color w:val="auto"/>
        </w:rPr>
        <w:t>This table summarises the Government</w:t>
      </w:r>
      <w:r w:rsidR="00594653" w:rsidRPr="004E1159">
        <w:rPr>
          <w:color w:val="auto"/>
        </w:rPr>
        <w:t>’</w:t>
      </w:r>
      <w:r w:rsidRPr="004E1159">
        <w:rPr>
          <w:color w:val="auto"/>
        </w:rPr>
        <w:t>s key climate</w:t>
      </w:r>
      <w:r w:rsidR="00594653" w:rsidRPr="004E1159">
        <w:rPr>
          <w:color w:val="auto"/>
        </w:rPr>
        <w:noBreakHyphen/>
      </w:r>
      <w:r w:rsidRPr="004E1159">
        <w:rPr>
          <w:color w:val="auto"/>
        </w:rPr>
        <w:t xml:space="preserve">related spending commitments in this Budget to 30 June 2030, this presents a broader view than the impact on the underlying cash balance. Some measures extend beyond 30 June 2030 or include both initial and ongoing funding to 30 June 2030. This means the spending commitment presented in this table may differ from the measure set out in Budget Paper No. 2, Budget Measures 2023–24. Measures may not add due to rounding. </w:t>
      </w:r>
    </w:p>
    <w:p w14:paraId="4D8669AC" w14:textId="0095C437" w:rsidR="00570D41" w:rsidRPr="004E1159" w:rsidRDefault="00570D41" w:rsidP="00D57DA8">
      <w:pPr>
        <w:pStyle w:val="ChartandTableFootnoteAlpha"/>
        <w:rPr>
          <w:color w:val="auto"/>
        </w:rPr>
      </w:pPr>
      <w:r w:rsidRPr="004E1159">
        <w:rPr>
          <w:color w:val="auto"/>
        </w:rPr>
        <w:t xml:space="preserve">The figure for this measure includes funding beyond 2030, this represents the total funding commitment as the time period is </w:t>
      </w:r>
      <w:r w:rsidR="00230E5E" w:rsidRPr="004E1159">
        <w:rPr>
          <w:color w:val="auto"/>
        </w:rPr>
        <w:t>not for publication</w:t>
      </w:r>
      <w:r w:rsidR="00A06843" w:rsidRPr="004E1159">
        <w:rPr>
          <w:color w:val="auto"/>
        </w:rPr>
        <w:t>.</w:t>
      </w:r>
    </w:p>
    <w:p w14:paraId="3890D608" w14:textId="5EE4F8E1" w:rsidR="00570D41" w:rsidRPr="004E1159" w:rsidRDefault="00570D41" w:rsidP="00D57DA8">
      <w:pPr>
        <w:pStyle w:val="ChartandTableFootnoteAlpha"/>
        <w:rPr>
          <w:color w:val="auto"/>
        </w:rPr>
      </w:pPr>
      <w:r w:rsidRPr="004E1159">
        <w:rPr>
          <w:color w:val="auto"/>
        </w:rPr>
        <w:t xml:space="preserve">This measure contains $1.0 billion in </w:t>
      </w:r>
      <w:r w:rsidR="00C60E80" w:rsidRPr="004E1159">
        <w:rPr>
          <w:color w:val="auto"/>
        </w:rPr>
        <w:t>funding</w:t>
      </w:r>
      <w:r w:rsidRPr="004E1159">
        <w:rPr>
          <w:color w:val="auto"/>
        </w:rPr>
        <w:t xml:space="preserve"> for concessional loans.</w:t>
      </w:r>
    </w:p>
    <w:p w14:paraId="276FD5FD" w14:textId="3A5FD245" w:rsidR="00570D41" w:rsidRPr="004E1159" w:rsidRDefault="00570D41" w:rsidP="00D57DA8">
      <w:pPr>
        <w:pStyle w:val="ChartandTableFootnoteAlpha"/>
        <w:rPr>
          <w:color w:val="auto"/>
        </w:rPr>
      </w:pPr>
      <w:r w:rsidRPr="004E1159">
        <w:rPr>
          <w:color w:val="auto"/>
        </w:rPr>
        <w:t>This measure includes $310.0 million cost in receipts and $4.2 million in payments.</w:t>
      </w:r>
    </w:p>
    <w:p w14:paraId="0870FFAA" w14:textId="198C2E26" w:rsidR="00570D41" w:rsidRPr="004E1159" w:rsidRDefault="00570D41" w:rsidP="00D57DA8">
      <w:pPr>
        <w:pStyle w:val="ChartandTableFootnoteAlpha"/>
        <w:rPr>
          <w:color w:val="auto"/>
        </w:rPr>
      </w:pPr>
      <w:r w:rsidRPr="004E1159">
        <w:rPr>
          <w:color w:val="auto"/>
        </w:rPr>
        <w:t>This measure is partially offset from the Strategic International Partnerships Investment Stream, costs are also expected to be partially recovered through cost recovery arrangements over time.</w:t>
      </w:r>
    </w:p>
    <w:p w14:paraId="720CCB6F" w14:textId="0432CF2A" w:rsidR="00570D41" w:rsidRPr="004E1159" w:rsidRDefault="00570D41" w:rsidP="00D57DA8">
      <w:pPr>
        <w:pStyle w:val="ChartandTableFootnoteAlpha"/>
        <w:numPr>
          <w:ilvl w:val="0"/>
          <w:numId w:val="8"/>
        </w:numPr>
        <w:rPr>
          <w:color w:val="auto"/>
        </w:rPr>
      </w:pPr>
      <w:r w:rsidRPr="004E1159">
        <w:rPr>
          <w:color w:val="auto"/>
        </w:rPr>
        <w:t xml:space="preserve">This includes the components – Partner with Queensland to reduce emissions, and review offshore petroleum and greenhouse gas storage </w:t>
      </w:r>
      <w:r w:rsidR="00230E5E" w:rsidRPr="004E1159">
        <w:rPr>
          <w:color w:val="auto"/>
        </w:rPr>
        <w:t>activities</w:t>
      </w:r>
      <w:r w:rsidR="00A06843" w:rsidRPr="004E1159">
        <w:rPr>
          <w:color w:val="auto"/>
        </w:rPr>
        <w:t>.</w:t>
      </w:r>
    </w:p>
    <w:p w14:paraId="6FE567BE" w14:textId="271C8CD6" w:rsidR="00570D41" w:rsidRPr="004E1159" w:rsidRDefault="00570D41" w:rsidP="00D57DA8">
      <w:pPr>
        <w:pStyle w:val="ChartandTableFootnoteAlpha"/>
        <w:numPr>
          <w:ilvl w:val="0"/>
          <w:numId w:val="8"/>
        </w:numPr>
        <w:rPr>
          <w:color w:val="auto"/>
        </w:rPr>
      </w:pPr>
      <w:r w:rsidRPr="004E1159">
        <w:rPr>
          <w:color w:val="auto"/>
        </w:rPr>
        <w:t xml:space="preserve">This includes the components – Australian Energy Regulator: </w:t>
      </w:r>
      <w:r w:rsidR="00900672" w:rsidRPr="004E1159">
        <w:rPr>
          <w:color w:val="auto"/>
        </w:rPr>
        <w:t>for n</w:t>
      </w:r>
      <w:r w:rsidRPr="004E1159">
        <w:rPr>
          <w:color w:val="auto"/>
        </w:rPr>
        <w:t xml:space="preserve">ew </w:t>
      </w:r>
      <w:r w:rsidR="0056123A" w:rsidRPr="004E1159">
        <w:rPr>
          <w:color w:val="auto"/>
        </w:rPr>
        <w:t>legislated functions that will</w:t>
      </w:r>
      <w:r w:rsidRPr="004E1159">
        <w:rPr>
          <w:color w:val="auto"/>
        </w:rPr>
        <w:t xml:space="preserve"> support </w:t>
      </w:r>
      <w:r w:rsidR="0056123A" w:rsidRPr="004E1159">
        <w:rPr>
          <w:color w:val="auto"/>
        </w:rPr>
        <w:t xml:space="preserve">Australia’s </w:t>
      </w:r>
      <w:r w:rsidRPr="004E1159">
        <w:rPr>
          <w:color w:val="auto"/>
        </w:rPr>
        <w:t>energy transformation and reduce emissions.</w:t>
      </w:r>
    </w:p>
    <w:p w14:paraId="4EC9DF21" w14:textId="6FA9BF76" w:rsidR="00570D41" w:rsidRPr="004E1159" w:rsidRDefault="00570D41" w:rsidP="00D57DA8">
      <w:pPr>
        <w:pStyle w:val="ChartandTableFootnoteAlpha"/>
        <w:numPr>
          <w:ilvl w:val="0"/>
          <w:numId w:val="8"/>
        </w:numPr>
        <w:rPr>
          <w:color w:val="auto"/>
        </w:rPr>
      </w:pPr>
      <w:r w:rsidRPr="004E1159">
        <w:rPr>
          <w:color w:val="auto"/>
        </w:rPr>
        <w:t>This total will differ to the Budget Paper No. 2 measure as it nets out the funding re</w:t>
      </w:r>
      <w:r w:rsidR="00594653" w:rsidRPr="004E1159">
        <w:rPr>
          <w:color w:val="auto"/>
        </w:rPr>
        <w:noBreakHyphen/>
      </w:r>
      <w:r w:rsidRPr="004E1159">
        <w:rPr>
          <w:color w:val="auto"/>
        </w:rPr>
        <w:t>purposed from the Driving the Nation Fund in the 2022</w:t>
      </w:r>
      <w:r w:rsidR="00235899" w:rsidRPr="004E1159">
        <w:rPr>
          <w:color w:val="auto"/>
        </w:rPr>
        <w:t>–</w:t>
      </w:r>
      <w:r w:rsidRPr="004E1159">
        <w:rPr>
          <w:color w:val="auto"/>
        </w:rPr>
        <w:t>23 October Budget to avoid double reporting climate spending.</w:t>
      </w:r>
    </w:p>
    <w:p w14:paraId="3181DF9D" w14:textId="4A44A2E0" w:rsidR="00570D41" w:rsidRPr="004E1159" w:rsidRDefault="00570D41" w:rsidP="00D57DA8">
      <w:pPr>
        <w:pStyle w:val="ChartandTableFootnoteAlpha"/>
        <w:numPr>
          <w:ilvl w:val="0"/>
          <w:numId w:val="8"/>
        </w:numPr>
        <w:rPr>
          <w:color w:val="auto"/>
        </w:rPr>
      </w:pPr>
      <w:r w:rsidRPr="004E1159">
        <w:rPr>
          <w:color w:val="auto"/>
        </w:rPr>
        <w:t>This measure allocates</w:t>
      </w:r>
      <w:r w:rsidR="00121D42" w:rsidRPr="004E1159">
        <w:rPr>
          <w:color w:val="auto"/>
        </w:rPr>
        <w:t xml:space="preserve"> </w:t>
      </w:r>
      <w:r w:rsidR="00915C5E" w:rsidRPr="004E1159">
        <w:rPr>
          <w:color w:val="auto"/>
        </w:rPr>
        <w:t>funding</w:t>
      </w:r>
      <w:r w:rsidRPr="004E1159">
        <w:rPr>
          <w:color w:val="auto"/>
        </w:rPr>
        <w:t xml:space="preserve"> from the Powering the Regions in detail. This funding was already reported in the October 2022</w:t>
      </w:r>
      <w:r w:rsidR="00235899" w:rsidRPr="004E1159">
        <w:rPr>
          <w:color w:val="auto"/>
        </w:rPr>
        <w:t>–</w:t>
      </w:r>
      <w:r w:rsidRPr="004E1159">
        <w:rPr>
          <w:color w:val="auto"/>
        </w:rPr>
        <w:t>23 Budget.</w:t>
      </w:r>
    </w:p>
    <w:p w14:paraId="5E6C4FB8" w14:textId="0872F780" w:rsidR="00C03205" w:rsidRPr="004E1159" w:rsidRDefault="00570D41" w:rsidP="00D57DA8">
      <w:pPr>
        <w:pStyle w:val="ChartandTableFootnoteAlpha"/>
        <w:numPr>
          <w:ilvl w:val="0"/>
          <w:numId w:val="8"/>
        </w:numPr>
        <w:rPr>
          <w:color w:val="auto"/>
        </w:rPr>
      </w:pPr>
      <w:r w:rsidRPr="004E1159">
        <w:rPr>
          <w:color w:val="auto"/>
        </w:rPr>
        <w:t>This measure is estimated to result in an unquantifiable decrease in receipts over 5 years from 2022</w:t>
      </w:r>
      <w:r w:rsidR="00235899" w:rsidRPr="004E1159">
        <w:rPr>
          <w:color w:val="auto"/>
        </w:rPr>
        <w:t>–</w:t>
      </w:r>
      <w:r w:rsidRPr="004E1159">
        <w:rPr>
          <w:color w:val="auto"/>
        </w:rPr>
        <w:t>23</w:t>
      </w:r>
      <w:r w:rsidR="002D5D14" w:rsidRPr="004E1159">
        <w:rPr>
          <w:color w:val="auto"/>
        </w:rPr>
        <w:t>.</w:t>
      </w:r>
      <w:r w:rsidR="00C03205" w:rsidRPr="004E1159">
        <w:rPr>
          <w:color w:val="auto"/>
        </w:rPr>
        <w:br w:type="page"/>
      </w:r>
    </w:p>
    <w:p w14:paraId="7C3B1CD5" w14:textId="04B43A88" w:rsidR="00570D41" w:rsidRPr="004E1159" w:rsidRDefault="00570D41" w:rsidP="00D57DA8">
      <w:pPr>
        <w:pStyle w:val="ChartandTableFootnoteAlpha"/>
        <w:numPr>
          <w:ilvl w:val="0"/>
          <w:numId w:val="8"/>
        </w:numPr>
        <w:rPr>
          <w:color w:val="auto"/>
        </w:rPr>
      </w:pPr>
      <w:r w:rsidRPr="004E1159">
        <w:rPr>
          <w:color w:val="auto"/>
        </w:rPr>
        <w:lastRenderedPageBreak/>
        <w:t xml:space="preserve">Funding for this measure is drawn from the Natural Heritage Trust. This is already provisioned into the Budget bottom line and so does not impact the Underlying Cash Balance (UCB) as shown in Budget Paper No. 2, Budget Measures 2023–24. Table 3.7 captures broader government commitments than the impact on the UCB. </w:t>
      </w:r>
      <w:r w:rsidR="00121F53" w:rsidRPr="004E1159">
        <w:rPr>
          <w:color w:val="auto"/>
        </w:rPr>
        <w:t>This measure was not included in October 2022</w:t>
      </w:r>
      <w:r w:rsidR="00235899" w:rsidRPr="004E1159">
        <w:rPr>
          <w:color w:val="auto"/>
        </w:rPr>
        <w:t>–</w:t>
      </w:r>
      <w:r w:rsidR="00121F53" w:rsidRPr="004E1159">
        <w:rPr>
          <w:color w:val="auto"/>
        </w:rPr>
        <w:t>23.</w:t>
      </w:r>
    </w:p>
    <w:p w14:paraId="5129B661" w14:textId="68FB8672" w:rsidR="00100B06" w:rsidRDefault="003030BF" w:rsidP="00D57DA8">
      <w:pPr>
        <w:pStyle w:val="ChartandTableFootnoteAlpha"/>
        <w:numPr>
          <w:ilvl w:val="0"/>
          <w:numId w:val="8"/>
        </w:numPr>
      </w:pPr>
      <w:r w:rsidRPr="004E1159">
        <w:rPr>
          <w:color w:val="auto"/>
        </w:rPr>
        <w:t>This total will differ to the Budget Paper No. 2 measure as it only includes funding to 30 June 2030</w:t>
      </w:r>
      <w:r w:rsidR="009E350C" w:rsidRPr="004E1159">
        <w:rPr>
          <w:color w:val="auto"/>
        </w:rPr>
        <w:t>;</w:t>
      </w:r>
      <w:r w:rsidRPr="004E1159">
        <w:rPr>
          <w:color w:val="auto"/>
        </w:rPr>
        <w:t xml:space="preserve"> the measure co</w:t>
      </w:r>
      <w:r w:rsidR="00141099" w:rsidRPr="004E1159">
        <w:rPr>
          <w:color w:val="auto"/>
        </w:rPr>
        <w:t>mmits funding over 10 years from</w:t>
      </w:r>
      <w:r w:rsidRPr="004E1159">
        <w:rPr>
          <w:color w:val="auto"/>
        </w:rPr>
        <w:t xml:space="preserve"> 2023</w:t>
      </w:r>
      <w:r w:rsidR="00235899" w:rsidRPr="004E1159">
        <w:rPr>
          <w:color w:val="auto"/>
        </w:rPr>
        <w:t>–</w:t>
      </w:r>
      <w:r w:rsidRPr="004E1159">
        <w:rPr>
          <w:color w:val="auto"/>
        </w:rPr>
        <w:t xml:space="preserve">24 </w:t>
      </w:r>
      <w:r w:rsidR="00141099" w:rsidRPr="004E1159">
        <w:rPr>
          <w:color w:val="auto"/>
        </w:rPr>
        <w:t>(</w:t>
      </w:r>
      <w:r w:rsidRPr="004E1159">
        <w:rPr>
          <w:color w:val="auto"/>
        </w:rPr>
        <w:t>and ongoing funding from 2032</w:t>
      </w:r>
      <w:r w:rsidR="00235899" w:rsidRPr="004E1159">
        <w:rPr>
          <w:color w:val="auto"/>
        </w:rPr>
        <w:t>–</w:t>
      </w:r>
      <w:r w:rsidRPr="004E1159">
        <w:rPr>
          <w:color w:val="auto"/>
        </w:rPr>
        <w:t>33</w:t>
      </w:r>
      <w:r w:rsidR="00141099" w:rsidRPr="004E1159">
        <w:rPr>
          <w:color w:val="auto"/>
        </w:rPr>
        <w:t>)</w:t>
      </w:r>
      <w:r w:rsidR="00A06843" w:rsidRPr="004E1159">
        <w:rPr>
          <w:color w:val="auto"/>
        </w:rPr>
        <w:t>.</w:t>
      </w:r>
      <w:r w:rsidR="00E56ABB" w:rsidRPr="004E1159">
        <w:rPr>
          <w:color w:val="auto"/>
        </w:rPr>
        <w:t xml:space="preserve"> </w:t>
      </w:r>
    </w:p>
    <w:p w14:paraId="32493E7A" w14:textId="77777777" w:rsidR="007861FD" w:rsidRPr="00AF3930" w:rsidRDefault="007861FD" w:rsidP="007861FD">
      <w:pPr>
        <w:pStyle w:val="ChartLine"/>
      </w:pPr>
    </w:p>
    <w:p w14:paraId="492A6B01" w14:textId="77777777" w:rsidR="002A4620" w:rsidRPr="007861FD" w:rsidRDefault="002A4620" w:rsidP="007861FD">
      <w:r>
        <w:br w:type="page"/>
      </w:r>
    </w:p>
    <w:p w14:paraId="140254F3" w14:textId="7D450DC0" w:rsidR="00D01E96" w:rsidRPr="00EA288B" w:rsidRDefault="00D01E96" w:rsidP="00BD6321">
      <w:pPr>
        <w:pStyle w:val="Heading2"/>
      </w:pPr>
      <w:bookmarkStart w:id="38" w:name="_Toc134321303"/>
      <w:r w:rsidRPr="00EA288B">
        <w:lastRenderedPageBreak/>
        <w:t>Appendix A: Other fiscal aggregates</w:t>
      </w:r>
      <w:bookmarkEnd w:id="34"/>
      <w:bookmarkEnd w:id="38"/>
    </w:p>
    <w:p w14:paraId="3881A7F9" w14:textId="77777777" w:rsidR="00D01E96" w:rsidRPr="00EA288B" w:rsidRDefault="00D01E96" w:rsidP="00D01E96">
      <w:pPr>
        <w:pStyle w:val="Heading3"/>
      </w:pPr>
      <w:bookmarkStart w:id="39" w:name="_Toc117356572"/>
      <w:bookmarkStart w:id="40" w:name="_Toc134321304"/>
      <w:r w:rsidRPr="00EA288B">
        <w:t>Accrual aggregates</w:t>
      </w:r>
      <w:bookmarkEnd w:id="39"/>
      <w:bookmarkEnd w:id="40"/>
    </w:p>
    <w:p w14:paraId="6115DB8D" w14:textId="27A46676" w:rsidR="00D01E96" w:rsidRPr="004E1159" w:rsidRDefault="00D01E96" w:rsidP="00D01E96">
      <w:r w:rsidRPr="004E1159">
        <w:t xml:space="preserve">Accrual accounting records income and costs </w:t>
      </w:r>
      <w:r w:rsidR="00C37EC0" w:rsidRPr="004E1159">
        <w:t>at the time</w:t>
      </w:r>
      <w:r w:rsidRPr="004E1159">
        <w:t xml:space="preserve"> they are incurred. </w:t>
      </w:r>
      <w:r w:rsidR="00F84732" w:rsidRPr="004E1159">
        <w:t xml:space="preserve">Cash accounting records income and costs </w:t>
      </w:r>
      <w:r w:rsidR="00C37EC0" w:rsidRPr="004E1159">
        <w:t xml:space="preserve">at time of </w:t>
      </w:r>
      <w:r w:rsidR="00F84732" w:rsidRPr="004E1159">
        <w:t>a</w:t>
      </w:r>
      <w:r w:rsidR="00792BCC" w:rsidRPr="004E1159">
        <w:t>ssociated a</w:t>
      </w:r>
      <w:r w:rsidR="00F84732" w:rsidRPr="004E1159">
        <w:t xml:space="preserve">ctual cash flow. </w:t>
      </w:r>
      <w:r w:rsidR="00A41426" w:rsidRPr="004E1159">
        <w:t xml:space="preserve">Differences </w:t>
      </w:r>
      <w:r w:rsidR="00577F31" w:rsidRPr="004E1159">
        <w:t xml:space="preserve">in </w:t>
      </w:r>
      <w:r w:rsidRPr="004E1159">
        <w:t xml:space="preserve">estimates </w:t>
      </w:r>
      <w:r w:rsidR="00577F31" w:rsidRPr="004E1159">
        <w:t>arise where there is a difference between the</w:t>
      </w:r>
      <w:r w:rsidRPr="004E1159">
        <w:t xml:space="preserve"> timing </w:t>
      </w:r>
      <w:r w:rsidR="00577F31" w:rsidRPr="004E1159">
        <w:t xml:space="preserve">of an </w:t>
      </w:r>
      <w:r w:rsidRPr="004E1159">
        <w:t xml:space="preserve">activity </w:t>
      </w:r>
      <w:r w:rsidR="00577F31" w:rsidRPr="004E1159">
        <w:t xml:space="preserve">and the </w:t>
      </w:r>
      <w:r w:rsidRPr="004E1159">
        <w:t xml:space="preserve">associated </w:t>
      </w:r>
      <w:r w:rsidR="00A41426" w:rsidRPr="004E1159">
        <w:t>cash flow</w:t>
      </w:r>
      <w:r w:rsidRPr="004E1159">
        <w:t xml:space="preserve">. </w:t>
      </w:r>
    </w:p>
    <w:p w14:paraId="1E949B86" w14:textId="77777777" w:rsidR="00D01E96" w:rsidRPr="004E1159" w:rsidRDefault="00D01E96" w:rsidP="00D01E96">
      <w:pPr>
        <w:pStyle w:val="Heading4"/>
      </w:pPr>
      <w:r w:rsidRPr="004E1159">
        <w:t>Net operating balance estimates</w:t>
      </w:r>
    </w:p>
    <w:p w14:paraId="461F1B5A" w14:textId="3048D746" w:rsidR="00D01E96" w:rsidRPr="004E1159" w:rsidRDefault="00D01E96" w:rsidP="00D01E96">
      <w:r w:rsidRPr="004E1159">
        <w:t xml:space="preserve">The net operating balance is an accrual measure, reflecting revenue minus expenses. It excludes the </w:t>
      </w:r>
      <w:r w:rsidR="00A77C07" w:rsidRPr="004E1159">
        <w:t xml:space="preserve">fiscal </w:t>
      </w:r>
      <w:r w:rsidRPr="004E1159">
        <w:t>impact of the Commonwealth</w:t>
      </w:r>
      <w:r w:rsidR="00594653" w:rsidRPr="004E1159">
        <w:t>’</w:t>
      </w:r>
      <w:r w:rsidRPr="004E1159">
        <w:t>s net new capital expenditure.</w:t>
      </w:r>
    </w:p>
    <w:p w14:paraId="326923F6" w14:textId="5B25EC66" w:rsidR="00D01E96" w:rsidRPr="004E1159" w:rsidRDefault="00D01E96" w:rsidP="00D01E96">
      <w:r w:rsidRPr="004E1159">
        <w:t>The net operating balance is expected to be a deficit of $</w:t>
      </w:r>
      <w:r w:rsidR="00D2591B" w:rsidRPr="004E1159">
        <w:t>3.7</w:t>
      </w:r>
      <w:r w:rsidR="00F634C3" w:rsidRPr="004E1159">
        <w:t> billion</w:t>
      </w:r>
      <w:r w:rsidRPr="004E1159">
        <w:t xml:space="preserve"> (</w:t>
      </w:r>
      <w:r w:rsidR="00D2591B" w:rsidRPr="004E1159">
        <w:t>0</w:t>
      </w:r>
      <w:r w:rsidRPr="004E1159">
        <w:t>.</w:t>
      </w:r>
      <w:r w:rsidR="00D2591B" w:rsidRPr="004E1159">
        <w:t>1</w:t>
      </w:r>
      <w:r w:rsidR="00F634C3" w:rsidRPr="004E1159">
        <w:t> per </w:t>
      </w:r>
      <w:r w:rsidRPr="004E1159">
        <w:t>cent of GDP) in 202</w:t>
      </w:r>
      <w:r w:rsidR="00123F73" w:rsidRPr="004E1159">
        <w:t>3</w:t>
      </w:r>
      <w:r w:rsidRPr="004E1159">
        <w:t>–2</w:t>
      </w:r>
      <w:r w:rsidR="00123F73" w:rsidRPr="004E1159">
        <w:t>4</w:t>
      </w:r>
      <w:r w:rsidRPr="004E1159">
        <w:t xml:space="preserve"> (</w:t>
      </w:r>
      <w:r w:rsidR="00E21765" w:rsidRPr="004E1159">
        <w:t>Table </w:t>
      </w:r>
      <w:r w:rsidRPr="004E1159">
        <w:t>3.8), compared to an expected deficit of $</w:t>
      </w:r>
      <w:r w:rsidR="00D2591B" w:rsidRPr="004E1159">
        <w:t>33.0</w:t>
      </w:r>
      <w:r w:rsidR="00F634C3" w:rsidRPr="004E1159">
        <w:t> billion</w:t>
      </w:r>
      <w:r w:rsidRPr="004E1159">
        <w:t xml:space="preserve"> in </w:t>
      </w:r>
      <w:r w:rsidR="00123F73" w:rsidRPr="004E1159">
        <w:t xml:space="preserve">the </w:t>
      </w:r>
      <w:r w:rsidR="00F634C3" w:rsidRPr="004E1159">
        <w:t>October Budget</w:t>
      </w:r>
      <w:r w:rsidRPr="004E1159">
        <w:t xml:space="preserve">. </w:t>
      </w:r>
    </w:p>
    <w:p w14:paraId="06956D29" w14:textId="04BA4B5C" w:rsidR="00D01E96" w:rsidRPr="004E1159" w:rsidRDefault="00D01E96" w:rsidP="00D01E96">
      <w:pPr>
        <w:pStyle w:val="Heading4"/>
      </w:pPr>
      <w:r w:rsidRPr="004E1159">
        <w:t>Fiscal balance</w:t>
      </w:r>
    </w:p>
    <w:p w14:paraId="2D897ABD" w14:textId="1660816A" w:rsidR="00D01E96" w:rsidRPr="004E1159" w:rsidRDefault="00D01E96" w:rsidP="00D01E96">
      <w:r w:rsidRPr="004E1159">
        <w:t xml:space="preserve">The fiscal balance is the accrual equivalent of the underlying cash balance and equals the net operating balance plus net new capital </w:t>
      </w:r>
      <w:r w:rsidR="00DE6105" w:rsidRPr="004E1159">
        <w:t>investment</w:t>
      </w:r>
      <w:r w:rsidRPr="004E1159">
        <w:t xml:space="preserve">. </w:t>
      </w:r>
    </w:p>
    <w:p w14:paraId="0E366B05" w14:textId="307C325A" w:rsidR="00D01E96" w:rsidRPr="00EA288B" w:rsidRDefault="00D01E96" w:rsidP="00D01E96">
      <w:r w:rsidRPr="004E1159">
        <w:t>The fiscal balance is expected to be a deficit of $</w:t>
      </w:r>
      <w:r w:rsidR="00333952" w:rsidRPr="004E1159">
        <w:t>14.1</w:t>
      </w:r>
      <w:r w:rsidR="00F634C3" w:rsidRPr="004E1159">
        <w:t> billion</w:t>
      </w:r>
      <w:r w:rsidRPr="004E1159">
        <w:t xml:space="preserve"> (</w:t>
      </w:r>
      <w:r w:rsidR="00333952" w:rsidRPr="004E1159">
        <w:t>0</w:t>
      </w:r>
      <w:r w:rsidRPr="004E1159">
        <w:t>.</w:t>
      </w:r>
      <w:r w:rsidR="00333952" w:rsidRPr="004E1159">
        <w:t>5</w:t>
      </w:r>
      <w:r w:rsidR="00F634C3" w:rsidRPr="004E1159">
        <w:t> per </w:t>
      </w:r>
      <w:r w:rsidRPr="004E1159">
        <w:t>cent of GDP) in 202</w:t>
      </w:r>
      <w:r w:rsidR="002D628A" w:rsidRPr="004E1159">
        <w:t>3</w:t>
      </w:r>
      <w:r w:rsidR="001D275B" w:rsidRPr="004E1159">
        <w:t>–</w:t>
      </w:r>
      <w:r w:rsidRPr="004E1159">
        <w:t>2</w:t>
      </w:r>
      <w:r w:rsidR="002D628A" w:rsidRPr="004E1159">
        <w:t>4</w:t>
      </w:r>
      <w:r w:rsidRPr="004E1159">
        <w:t xml:space="preserve"> (</w:t>
      </w:r>
      <w:r w:rsidR="00E21765" w:rsidRPr="004E1159">
        <w:t>Table </w:t>
      </w:r>
      <w:r w:rsidRPr="004E1159">
        <w:t>3.8), compared to an expected deficit of $</w:t>
      </w:r>
      <w:r w:rsidR="00464854" w:rsidRPr="004E1159">
        <w:t>44.9</w:t>
      </w:r>
      <w:r w:rsidR="00F634C3" w:rsidRPr="004E1159">
        <w:t> billion</w:t>
      </w:r>
      <w:r w:rsidRPr="004E1159">
        <w:t xml:space="preserve"> in </w:t>
      </w:r>
      <w:r w:rsidR="002D628A" w:rsidRPr="004E1159">
        <w:t xml:space="preserve">the </w:t>
      </w:r>
      <w:r w:rsidR="00F634C3" w:rsidRPr="004E1159">
        <w:t>October Budget</w:t>
      </w:r>
      <w:r w:rsidRPr="004E1159">
        <w:t>.</w:t>
      </w:r>
      <w:r w:rsidRPr="00EA288B">
        <w:t xml:space="preserve"> </w:t>
      </w:r>
    </w:p>
    <w:p w14:paraId="0CAFDDFD" w14:textId="6FC9EC53" w:rsidR="00F3791E" w:rsidRPr="004E1159" w:rsidRDefault="00E21765" w:rsidP="00F3791E">
      <w:pPr>
        <w:pStyle w:val="TableHeading"/>
        <w:rPr>
          <w:rFonts w:asciiTheme="minorHAnsi" w:eastAsiaTheme="minorHAnsi" w:hAnsiTheme="minorHAnsi" w:cstheme="minorBidi"/>
          <w:sz w:val="22"/>
          <w:szCs w:val="22"/>
          <w:lang w:eastAsia="en-US"/>
        </w:rPr>
      </w:pPr>
      <w:r w:rsidRPr="004E1159">
        <w:t>Table </w:t>
      </w:r>
      <w:r w:rsidR="00D01E96" w:rsidRPr="004E1159">
        <w:t>3.</w:t>
      </w:r>
      <w:r w:rsidR="00C00330" w:rsidRPr="004E1159">
        <w:t>8</w:t>
      </w:r>
      <w:r w:rsidR="00D01E96" w:rsidRPr="004E1159">
        <w:t>: Australian Government general government sector accrual aggregates</w:t>
      </w:r>
    </w:p>
    <w:tbl>
      <w:tblPr>
        <w:tblW w:w="7436" w:type="dxa"/>
        <w:tblCellMar>
          <w:left w:w="0" w:type="dxa"/>
          <w:right w:w="28" w:type="dxa"/>
        </w:tblCellMar>
        <w:tblLook w:val="04A0" w:firstRow="1" w:lastRow="0" w:firstColumn="1" w:lastColumn="0" w:noHBand="0" w:noVBand="1"/>
      </w:tblPr>
      <w:tblGrid>
        <w:gridCol w:w="2372"/>
        <w:gridCol w:w="712"/>
        <w:gridCol w:w="112"/>
        <w:gridCol w:w="700"/>
        <w:gridCol w:w="699"/>
        <w:gridCol w:w="699"/>
        <w:gridCol w:w="699"/>
        <w:gridCol w:w="699"/>
        <w:gridCol w:w="112"/>
        <w:gridCol w:w="712"/>
      </w:tblGrid>
      <w:tr w:rsidR="00864963" w:rsidRPr="00864963" w14:paraId="74A9BCFB" w14:textId="77777777" w:rsidTr="00551C4E">
        <w:trPr>
          <w:trHeight w:val="225"/>
        </w:trPr>
        <w:tc>
          <w:tcPr>
            <w:tcW w:w="2364" w:type="dxa"/>
            <w:tcBorders>
              <w:top w:val="single" w:sz="4" w:space="0" w:color="000000"/>
              <w:left w:val="nil"/>
              <w:bottom w:val="nil"/>
              <w:right w:val="nil"/>
            </w:tcBorders>
            <w:shd w:val="clear" w:color="000000" w:fill="FFFFFF"/>
            <w:noWrap/>
            <w:vAlign w:val="center"/>
            <w:hideMark/>
          </w:tcPr>
          <w:p w14:paraId="6E807ED1" w14:textId="09DD5FC6"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704" w:type="dxa"/>
            <w:tcBorders>
              <w:top w:val="single" w:sz="4" w:space="0" w:color="000000"/>
              <w:left w:val="nil"/>
              <w:bottom w:val="single" w:sz="4" w:space="0" w:color="000000"/>
              <w:right w:val="nil"/>
            </w:tcBorders>
            <w:shd w:val="clear" w:color="000000" w:fill="FFFFFF"/>
            <w:noWrap/>
            <w:vAlign w:val="center"/>
            <w:hideMark/>
          </w:tcPr>
          <w:p w14:paraId="528E0732" w14:textId="77777777" w:rsidR="00F3791E" w:rsidRPr="00864963" w:rsidRDefault="00F3791E" w:rsidP="00F3791E">
            <w:pPr>
              <w:spacing w:before="0" w:after="0" w:line="240" w:lineRule="auto"/>
              <w:jc w:val="center"/>
              <w:rPr>
                <w:rFonts w:ascii="Arial" w:hAnsi="Arial" w:cs="Arial"/>
                <w:sz w:val="16"/>
                <w:szCs w:val="16"/>
                <w:highlight w:val="darkCyan"/>
              </w:rPr>
            </w:pPr>
            <w:r w:rsidRPr="00864963">
              <w:rPr>
                <w:rFonts w:ascii="Arial" w:hAnsi="Arial" w:cs="Arial"/>
                <w:sz w:val="16"/>
                <w:szCs w:val="16"/>
              </w:rPr>
              <w:t>Actual</w:t>
            </w:r>
          </w:p>
        </w:tc>
        <w:tc>
          <w:tcPr>
            <w:tcW w:w="104" w:type="dxa"/>
            <w:tcBorders>
              <w:top w:val="single" w:sz="4" w:space="0" w:color="000000"/>
              <w:left w:val="nil"/>
              <w:bottom w:val="nil"/>
              <w:right w:val="nil"/>
            </w:tcBorders>
            <w:shd w:val="clear" w:color="000000" w:fill="FFFFFF"/>
            <w:noWrap/>
            <w:vAlign w:val="center"/>
            <w:hideMark/>
          </w:tcPr>
          <w:p w14:paraId="2DB6EFE4" w14:textId="77777777" w:rsidR="00F3791E" w:rsidRPr="00864963" w:rsidRDefault="00F3791E" w:rsidP="00F3791E">
            <w:pPr>
              <w:spacing w:before="0" w:after="0" w:line="240" w:lineRule="auto"/>
              <w:jc w:val="center"/>
              <w:rPr>
                <w:rFonts w:ascii="Arial" w:hAnsi="Arial" w:cs="Arial"/>
                <w:sz w:val="16"/>
                <w:szCs w:val="16"/>
                <w:highlight w:val="darkCyan"/>
              </w:rPr>
            </w:pPr>
            <w:r w:rsidRPr="00864963">
              <w:rPr>
                <w:rFonts w:ascii="Arial" w:hAnsi="Arial" w:cs="Arial"/>
                <w:sz w:val="16"/>
                <w:szCs w:val="16"/>
              </w:rPr>
              <w:t> </w:t>
            </w:r>
          </w:p>
        </w:tc>
        <w:tc>
          <w:tcPr>
            <w:tcW w:w="3456" w:type="dxa"/>
            <w:gridSpan w:val="5"/>
            <w:tcBorders>
              <w:top w:val="single" w:sz="4" w:space="0" w:color="000000"/>
              <w:left w:val="nil"/>
              <w:bottom w:val="single" w:sz="4" w:space="0" w:color="auto"/>
              <w:right w:val="nil"/>
            </w:tcBorders>
            <w:shd w:val="clear" w:color="000000" w:fill="FFFFFF"/>
            <w:noWrap/>
            <w:vAlign w:val="center"/>
            <w:hideMark/>
          </w:tcPr>
          <w:p w14:paraId="5E1DD8CA" w14:textId="77777777" w:rsidR="00F3791E" w:rsidRPr="00864963" w:rsidRDefault="00F3791E" w:rsidP="00F3791E">
            <w:pPr>
              <w:spacing w:before="0" w:after="0" w:line="240" w:lineRule="auto"/>
              <w:jc w:val="center"/>
              <w:rPr>
                <w:rFonts w:ascii="Arial" w:hAnsi="Arial" w:cs="Arial"/>
                <w:sz w:val="16"/>
                <w:szCs w:val="16"/>
                <w:highlight w:val="darkCyan"/>
              </w:rPr>
            </w:pPr>
            <w:r w:rsidRPr="00864963">
              <w:rPr>
                <w:rFonts w:ascii="Arial" w:hAnsi="Arial" w:cs="Arial"/>
                <w:sz w:val="16"/>
                <w:szCs w:val="16"/>
              </w:rPr>
              <w:t>Estimates</w:t>
            </w:r>
          </w:p>
        </w:tc>
        <w:tc>
          <w:tcPr>
            <w:tcW w:w="104" w:type="dxa"/>
            <w:tcBorders>
              <w:top w:val="single" w:sz="4" w:space="0" w:color="000000"/>
              <w:left w:val="nil"/>
              <w:bottom w:val="nil"/>
              <w:right w:val="nil"/>
            </w:tcBorders>
            <w:shd w:val="clear" w:color="000000" w:fill="FFFFFF"/>
            <w:noWrap/>
            <w:vAlign w:val="center"/>
            <w:hideMark/>
          </w:tcPr>
          <w:p w14:paraId="3A12AADB"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704" w:type="dxa"/>
            <w:tcBorders>
              <w:top w:val="single" w:sz="4" w:space="0" w:color="000000"/>
              <w:left w:val="nil"/>
              <w:bottom w:val="nil"/>
              <w:right w:val="nil"/>
            </w:tcBorders>
            <w:shd w:val="clear" w:color="000000" w:fill="FFFFFF"/>
            <w:noWrap/>
            <w:vAlign w:val="center"/>
            <w:hideMark/>
          </w:tcPr>
          <w:p w14:paraId="7931557E" w14:textId="77777777" w:rsidR="00F3791E" w:rsidRPr="00864963" w:rsidRDefault="00F3791E" w:rsidP="00F3791E">
            <w:pPr>
              <w:spacing w:before="0" w:after="0" w:line="240" w:lineRule="auto"/>
              <w:rPr>
                <w:rFonts w:ascii="Arial" w:hAnsi="Arial" w:cs="Arial"/>
                <w:sz w:val="16"/>
                <w:szCs w:val="16"/>
              </w:rPr>
            </w:pPr>
            <w:r w:rsidRPr="00864963">
              <w:rPr>
                <w:rFonts w:ascii="Arial" w:hAnsi="Arial" w:cs="Arial"/>
                <w:sz w:val="16"/>
                <w:szCs w:val="16"/>
              </w:rPr>
              <w:t> </w:t>
            </w:r>
          </w:p>
        </w:tc>
      </w:tr>
      <w:tr w:rsidR="00864963" w:rsidRPr="00864963" w14:paraId="539382F4" w14:textId="77777777" w:rsidTr="00551C4E">
        <w:trPr>
          <w:trHeight w:val="225"/>
        </w:trPr>
        <w:tc>
          <w:tcPr>
            <w:tcW w:w="2364" w:type="dxa"/>
            <w:tcBorders>
              <w:top w:val="nil"/>
              <w:left w:val="nil"/>
              <w:bottom w:val="nil"/>
              <w:right w:val="nil"/>
            </w:tcBorders>
            <w:shd w:val="clear" w:color="000000" w:fill="FFFFFF"/>
            <w:noWrap/>
            <w:vAlign w:val="center"/>
            <w:hideMark/>
          </w:tcPr>
          <w:p w14:paraId="2EC3CCEA"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704" w:type="dxa"/>
            <w:tcBorders>
              <w:top w:val="single" w:sz="4" w:space="0" w:color="293F5B"/>
              <w:left w:val="nil"/>
              <w:bottom w:val="nil"/>
              <w:right w:val="nil"/>
            </w:tcBorders>
            <w:shd w:val="clear" w:color="000000" w:fill="FFFFFF"/>
            <w:noWrap/>
            <w:vAlign w:val="center"/>
            <w:hideMark/>
          </w:tcPr>
          <w:p w14:paraId="2898FDDB"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2021–22</w:t>
            </w:r>
          </w:p>
        </w:tc>
        <w:tc>
          <w:tcPr>
            <w:tcW w:w="104" w:type="dxa"/>
            <w:tcBorders>
              <w:top w:val="nil"/>
              <w:left w:val="nil"/>
              <w:bottom w:val="nil"/>
              <w:right w:val="nil"/>
            </w:tcBorders>
            <w:shd w:val="clear" w:color="000000" w:fill="FFFFFF"/>
            <w:noWrap/>
            <w:vAlign w:val="center"/>
            <w:hideMark/>
          </w:tcPr>
          <w:p w14:paraId="104F9407"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2" w:type="dxa"/>
            <w:tcBorders>
              <w:top w:val="single" w:sz="4" w:space="0" w:color="293F5B"/>
              <w:left w:val="nil"/>
              <w:bottom w:val="nil"/>
              <w:right w:val="nil"/>
            </w:tcBorders>
            <w:shd w:val="clear" w:color="000000" w:fill="FFFFFF"/>
            <w:noWrap/>
            <w:vAlign w:val="center"/>
            <w:hideMark/>
          </w:tcPr>
          <w:p w14:paraId="57EE7F5F"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2022–23</w:t>
            </w:r>
          </w:p>
        </w:tc>
        <w:tc>
          <w:tcPr>
            <w:tcW w:w="691" w:type="dxa"/>
            <w:tcBorders>
              <w:top w:val="single" w:sz="4" w:space="0" w:color="293F5B"/>
              <w:left w:val="nil"/>
              <w:bottom w:val="nil"/>
              <w:right w:val="nil"/>
            </w:tcBorders>
            <w:shd w:val="clear" w:color="000000" w:fill="E6F2FF"/>
            <w:noWrap/>
            <w:vAlign w:val="center"/>
            <w:hideMark/>
          </w:tcPr>
          <w:p w14:paraId="73994D81"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2023–24</w:t>
            </w:r>
          </w:p>
        </w:tc>
        <w:tc>
          <w:tcPr>
            <w:tcW w:w="691" w:type="dxa"/>
            <w:tcBorders>
              <w:top w:val="single" w:sz="4" w:space="0" w:color="293F5B"/>
              <w:left w:val="nil"/>
              <w:bottom w:val="nil"/>
              <w:right w:val="nil"/>
            </w:tcBorders>
            <w:shd w:val="clear" w:color="000000" w:fill="FFFFFF"/>
            <w:noWrap/>
            <w:vAlign w:val="center"/>
            <w:hideMark/>
          </w:tcPr>
          <w:p w14:paraId="5B3F4094"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2024–25</w:t>
            </w:r>
          </w:p>
        </w:tc>
        <w:tc>
          <w:tcPr>
            <w:tcW w:w="691" w:type="dxa"/>
            <w:tcBorders>
              <w:top w:val="single" w:sz="4" w:space="0" w:color="293F5B"/>
              <w:left w:val="nil"/>
              <w:bottom w:val="nil"/>
              <w:right w:val="nil"/>
            </w:tcBorders>
            <w:shd w:val="clear" w:color="000000" w:fill="FFFFFF"/>
            <w:noWrap/>
            <w:vAlign w:val="center"/>
            <w:hideMark/>
          </w:tcPr>
          <w:p w14:paraId="249D4B34"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2025–26</w:t>
            </w:r>
          </w:p>
        </w:tc>
        <w:tc>
          <w:tcPr>
            <w:tcW w:w="691" w:type="dxa"/>
            <w:tcBorders>
              <w:top w:val="single" w:sz="4" w:space="0" w:color="293F5B"/>
              <w:left w:val="nil"/>
              <w:bottom w:val="nil"/>
              <w:right w:val="nil"/>
            </w:tcBorders>
            <w:shd w:val="clear" w:color="000000" w:fill="FFFFFF"/>
            <w:noWrap/>
            <w:vAlign w:val="center"/>
            <w:hideMark/>
          </w:tcPr>
          <w:p w14:paraId="415AD0C6"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2026–27</w:t>
            </w:r>
          </w:p>
        </w:tc>
        <w:tc>
          <w:tcPr>
            <w:tcW w:w="104" w:type="dxa"/>
            <w:tcBorders>
              <w:top w:val="nil"/>
              <w:left w:val="nil"/>
              <w:bottom w:val="nil"/>
              <w:right w:val="nil"/>
            </w:tcBorders>
            <w:shd w:val="clear" w:color="000000" w:fill="FFFFFF"/>
            <w:noWrap/>
            <w:vAlign w:val="center"/>
            <w:hideMark/>
          </w:tcPr>
          <w:p w14:paraId="54080F53"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704" w:type="dxa"/>
            <w:tcBorders>
              <w:top w:val="single" w:sz="4" w:space="0" w:color="293F5B"/>
              <w:left w:val="nil"/>
              <w:bottom w:val="nil"/>
              <w:right w:val="nil"/>
            </w:tcBorders>
            <w:shd w:val="clear" w:color="000000" w:fill="FFFFFF"/>
            <w:noWrap/>
            <w:vAlign w:val="center"/>
            <w:hideMark/>
          </w:tcPr>
          <w:p w14:paraId="5440C35C" w14:textId="77777777" w:rsidR="00F3791E" w:rsidRPr="00864963" w:rsidRDefault="00F3791E" w:rsidP="00F3791E">
            <w:pPr>
              <w:spacing w:before="0" w:after="0" w:line="240" w:lineRule="auto"/>
              <w:jc w:val="right"/>
              <w:rPr>
                <w:rFonts w:ascii="Arial" w:hAnsi="Arial" w:cs="Arial"/>
                <w:sz w:val="16"/>
                <w:szCs w:val="16"/>
              </w:rPr>
            </w:pPr>
            <w:r w:rsidRPr="00864963">
              <w:rPr>
                <w:rFonts w:ascii="Arial" w:hAnsi="Arial" w:cs="Arial"/>
                <w:sz w:val="16"/>
                <w:szCs w:val="16"/>
              </w:rPr>
              <w:t>Total(a)</w:t>
            </w:r>
          </w:p>
        </w:tc>
      </w:tr>
      <w:tr w:rsidR="00864963" w:rsidRPr="00864963" w14:paraId="1DD6F835" w14:textId="77777777" w:rsidTr="00551C4E">
        <w:trPr>
          <w:trHeight w:val="225"/>
        </w:trPr>
        <w:tc>
          <w:tcPr>
            <w:tcW w:w="2364" w:type="dxa"/>
            <w:tcBorders>
              <w:top w:val="nil"/>
              <w:left w:val="nil"/>
              <w:bottom w:val="nil"/>
              <w:right w:val="nil"/>
            </w:tcBorders>
            <w:shd w:val="clear" w:color="000000" w:fill="FFFFFF"/>
            <w:noWrap/>
            <w:vAlign w:val="center"/>
            <w:hideMark/>
          </w:tcPr>
          <w:p w14:paraId="5D139F02"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704" w:type="dxa"/>
            <w:tcBorders>
              <w:top w:val="nil"/>
              <w:left w:val="nil"/>
              <w:bottom w:val="nil"/>
              <w:right w:val="nil"/>
            </w:tcBorders>
            <w:shd w:val="clear" w:color="000000" w:fill="FFFFFF"/>
            <w:noWrap/>
            <w:vAlign w:val="center"/>
            <w:hideMark/>
          </w:tcPr>
          <w:p w14:paraId="54C7FDCC"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$b</w:t>
            </w:r>
          </w:p>
        </w:tc>
        <w:tc>
          <w:tcPr>
            <w:tcW w:w="104" w:type="dxa"/>
            <w:tcBorders>
              <w:top w:val="nil"/>
              <w:left w:val="nil"/>
              <w:bottom w:val="nil"/>
              <w:right w:val="nil"/>
            </w:tcBorders>
            <w:shd w:val="clear" w:color="000000" w:fill="FFFFFF"/>
            <w:noWrap/>
            <w:vAlign w:val="center"/>
            <w:hideMark/>
          </w:tcPr>
          <w:p w14:paraId="17604E6F"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2" w:type="dxa"/>
            <w:tcBorders>
              <w:top w:val="nil"/>
              <w:left w:val="nil"/>
              <w:bottom w:val="single" w:sz="4" w:space="0" w:color="293F5B"/>
              <w:right w:val="nil"/>
            </w:tcBorders>
            <w:shd w:val="clear" w:color="000000" w:fill="FFFFFF"/>
            <w:noWrap/>
            <w:vAlign w:val="center"/>
            <w:hideMark/>
          </w:tcPr>
          <w:p w14:paraId="64ADAB33"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$b</w:t>
            </w:r>
          </w:p>
        </w:tc>
        <w:tc>
          <w:tcPr>
            <w:tcW w:w="691" w:type="dxa"/>
            <w:tcBorders>
              <w:top w:val="nil"/>
              <w:left w:val="nil"/>
              <w:bottom w:val="single" w:sz="4" w:space="0" w:color="293F5B"/>
              <w:right w:val="nil"/>
            </w:tcBorders>
            <w:shd w:val="clear" w:color="000000" w:fill="E6F2FF"/>
            <w:noWrap/>
            <w:vAlign w:val="center"/>
            <w:hideMark/>
          </w:tcPr>
          <w:p w14:paraId="758DAA2D"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$b</w:t>
            </w:r>
          </w:p>
        </w:tc>
        <w:tc>
          <w:tcPr>
            <w:tcW w:w="691" w:type="dxa"/>
            <w:tcBorders>
              <w:top w:val="nil"/>
              <w:left w:val="nil"/>
              <w:bottom w:val="single" w:sz="4" w:space="0" w:color="293F5B"/>
              <w:right w:val="nil"/>
            </w:tcBorders>
            <w:shd w:val="clear" w:color="000000" w:fill="FFFFFF"/>
            <w:noWrap/>
            <w:vAlign w:val="center"/>
            <w:hideMark/>
          </w:tcPr>
          <w:p w14:paraId="56C67AB4"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$b</w:t>
            </w:r>
          </w:p>
        </w:tc>
        <w:tc>
          <w:tcPr>
            <w:tcW w:w="691" w:type="dxa"/>
            <w:tcBorders>
              <w:top w:val="nil"/>
              <w:left w:val="nil"/>
              <w:bottom w:val="single" w:sz="4" w:space="0" w:color="293F5B"/>
              <w:right w:val="nil"/>
            </w:tcBorders>
            <w:shd w:val="clear" w:color="000000" w:fill="FFFFFF"/>
            <w:noWrap/>
            <w:vAlign w:val="center"/>
            <w:hideMark/>
          </w:tcPr>
          <w:p w14:paraId="175E3D0F"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$b</w:t>
            </w:r>
          </w:p>
        </w:tc>
        <w:tc>
          <w:tcPr>
            <w:tcW w:w="691" w:type="dxa"/>
            <w:tcBorders>
              <w:top w:val="nil"/>
              <w:left w:val="nil"/>
              <w:bottom w:val="single" w:sz="4" w:space="0" w:color="293F5B"/>
              <w:right w:val="nil"/>
            </w:tcBorders>
            <w:shd w:val="clear" w:color="000000" w:fill="FFFFFF"/>
            <w:noWrap/>
            <w:vAlign w:val="center"/>
            <w:hideMark/>
          </w:tcPr>
          <w:p w14:paraId="155930FC"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$b</w:t>
            </w:r>
          </w:p>
        </w:tc>
        <w:tc>
          <w:tcPr>
            <w:tcW w:w="104" w:type="dxa"/>
            <w:tcBorders>
              <w:top w:val="nil"/>
              <w:left w:val="nil"/>
              <w:bottom w:val="nil"/>
              <w:right w:val="nil"/>
            </w:tcBorders>
            <w:shd w:val="clear" w:color="000000" w:fill="FFFFFF"/>
            <w:noWrap/>
            <w:vAlign w:val="center"/>
            <w:hideMark/>
          </w:tcPr>
          <w:p w14:paraId="19B8E06E"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704" w:type="dxa"/>
            <w:tcBorders>
              <w:top w:val="nil"/>
              <w:left w:val="nil"/>
              <w:bottom w:val="nil"/>
              <w:right w:val="nil"/>
            </w:tcBorders>
            <w:shd w:val="clear" w:color="000000" w:fill="FFFFFF"/>
            <w:noWrap/>
            <w:vAlign w:val="center"/>
            <w:hideMark/>
          </w:tcPr>
          <w:p w14:paraId="6486AE3B" w14:textId="77777777" w:rsidR="00F3791E" w:rsidRPr="00864963" w:rsidRDefault="00F3791E" w:rsidP="00F3791E">
            <w:pPr>
              <w:spacing w:before="0" w:after="0" w:line="240" w:lineRule="auto"/>
              <w:jc w:val="right"/>
              <w:rPr>
                <w:rFonts w:ascii="Arial" w:hAnsi="Arial" w:cs="Arial"/>
                <w:sz w:val="16"/>
                <w:szCs w:val="16"/>
              </w:rPr>
            </w:pPr>
            <w:r w:rsidRPr="00864963">
              <w:rPr>
                <w:rFonts w:ascii="Arial" w:hAnsi="Arial" w:cs="Arial"/>
                <w:sz w:val="16"/>
                <w:szCs w:val="16"/>
              </w:rPr>
              <w:t>$b</w:t>
            </w:r>
          </w:p>
        </w:tc>
      </w:tr>
      <w:tr w:rsidR="00864963" w:rsidRPr="00864963" w14:paraId="02865C40" w14:textId="77777777" w:rsidTr="00551C4E">
        <w:trPr>
          <w:trHeight w:val="60"/>
        </w:trPr>
        <w:tc>
          <w:tcPr>
            <w:tcW w:w="2364" w:type="dxa"/>
            <w:tcBorders>
              <w:top w:val="nil"/>
              <w:left w:val="nil"/>
              <w:bottom w:val="nil"/>
              <w:right w:val="nil"/>
            </w:tcBorders>
            <w:shd w:val="clear" w:color="000000" w:fill="FFFFFF"/>
            <w:noWrap/>
            <w:vAlign w:val="center"/>
            <w:hideMark/>
          </w:tcPr>
          <w:p w14:paraId="5AFCDCDF"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704" w:type="dxa"/>
            <w:tcBorders>
              <w:top w:val="single" w:sz="4" w:space="0" w:color="293F5B"/>
              <w:left w:val="nil"/>
              <w:bottom w:val="nil"/>
              <w:right w:val="nil"/>
            </w:tcBorders>
            <w:shd w:val="clear" w:color="000000" w:fill="FFFFFF"/>
            <w:noWrap/>
            <w:vAlign w:val="center"/>
            <w:hideMark/>
          </w:tcPr>
          <w:p w14:paraId="31B24C20"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104" w:type="dxa"/>
            <w:tcBorders>
              <w:top w:val="nil"/>
              <w:left w:val="nil"/>
              <w:bottom w:val="nil"/>
              <w:right w:val="nil"/>
            </w:tcBorders>
            <w:shd w:val="clear" w:color="000000" w:fill="FFFFFF"/>
            <w:noWrap/>
            <w:vAlign w:val="center"/>
            <w:hideMark/>
          </w:tcPr>
          <w:p w14:paraId="201F3DCB"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2" w:type="dxa"/>
            <w:tcBorders>
              <w:top w:val="nil"/>
              <w:left w:val="nil"/>
              <w:bottom w:val="nil"/>
              <w:right w:val="nil"/>
            </w:tcBorders>
            <w:shd w:val="clear" w:color="000000" w:fill="FFFFFF"/>
            <w:noWrap/>
            <w:vAlign w:val="center"/>
            <w:hideMark/>
          </w:tcPr>
          <w:p w14:paraId="69926A3D"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1" w:type="dxa"/>
            <w:tcBorders>
              <w:top w:val="nil"/>
              <w:left w:val="nil"/>
              <w:bottom w:val="nil"/>
              <w:right w:val="nil"/>
            </w:tcBorders>
            <w:shd w:val="clear" w:color="000000" w:fill="E6F2FF"/>
            <w:noWrap/>
            <w:vAlign w:val="center"/>
            <w:hideMark/>
          </w:tcPr>
          <w:p w14:paraId="310289AB"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1" w:type="dxa"/>
            <w:tcBorders>
              <w:top w:val="nil"/>
              <w:left w:val="nil"/>
              <w:bottom w:val="nil"/>
              <w:right w:val="nil"/>
            </w:tcBorders>
            <w:shd w:val="clear" w:color="000000" w:fill="FFFFFF"/>
            <w:noWrap/>
            <w:vAlign w:val="center"/>
            <w:hideMark/>
          </w:tcPr>
          <w:p w14:paraId="496820FD"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1" w:type="dxa"/>
            <w:tcBorders>
              <w:top w:val="nil"/>
              <w:left w:val="nil"/>
              <w:bottom w:val="nil"/>
              <w:right w:val="nil"/>
            </w:tcBorders>
            <w:shd w:val="clear" w:color="000000" w:fill="FFFFFF"/>
            <w:noWrap/>
            <w:vAlign w:val="center"/>
            <w:hideMark/>
          </w:tcPr>
          <w:p w14:paraId="3AC668C5"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1" w:type="dxa"/>
            <w:tcBorders>
              <w:top w:val="nil"/>
              <w:left w:val="nil"/>
              <w:bottom w:val="nil"/>
              <w:right w:val="nil"/>
            </w:tcBorders>
            <w:shd w:val="clear" w:color="000000" w:fill="FFFFFF"/>
            <w:noWrap/>
            <w:vAlign w:val="center"/>
            <w:hideMark/>
          </w:tcPr>
          <w:p w14:paraId="68AE25C1"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104" w:type="dxa"/>
            <w:tcBorders>
              <w:top w:val="nil"/>
              <w:left w:val="nil"/>
              <w:bottom w:val="nil"/>
              <w:right w:val="nil"/>
            </w:tcBorders>
            <w:shd w:val="clear" w:color="000000" w:fill="FFFFFF"/>
            <w:noWrap/>
            <w:vAlign w:val="center"/>
            <w:hideMark/>
          </w:tcPr>
          <w:p w14:paraId="7BEB554C"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704" w:type="dxa"/>
            <w:tcBorders>
              <w:top w:val="single" w:sz="4" w:space="0" w:color="293F5B"/>
              <w:left w:val="nil"/>
              <w:bottom w:val="nil"/>
              <w:right w:val="nil"/>
            </w:tcBorders>
            <w:shd w:val="clear" w:color="000000" w:fill="FFFFFF"/>
            <w:noWrap/>
            <w:vAlign w:val="center"/>
            <w:hideMark/>
          </w:tcPr>
          <w:p w14:paraId="0E342BF0" w14:textId="77777777" w:rsidR="00F3791E" w:rsidRPr="00864963" w:rsidRDefault="00F3791E" w:rsidP="00F3791E">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1552E17C" w14:textId="77777777" w:rsidTr="00551C4E">
        <w:trPr>
          <w:trHeight w:val="225"/>
        </w:trPr>
        <w:tc>
          <w:tcPr>
            <w:tcW w:w="2364" w:type="dxa"/>
            <w:tcBorders>
              <w:top w:val="nil"/>
              <w:left w:val="nil"/>
              <w:bottom w:val="nil"/>
              <w:right w:val="nil"/>
            </w:tcBorders>
            <w:shd w:val="clear" w:color="000000" w:fill="FFFFFF"/>
            <w:noWrap/>
            <w:vAlign w:val="center"/>
            <w:hideMark/>
          </w:tcPr>
          <w:p w14:paraId="778DB05B" w14:textId="77777777" w:rsidR="00F3791E" w:rsidRPr="00864963" w:rsidRDefault="00F3791E" w:rsidP="00F3791E">
            <w:pPr>
              <w:spacing w:before="0" w:after="0" w:line="240" w:lineRule="auto"/>
              <w:rPr>
                <w:rFonts w:ascii="Arial" w:hAnsi="Arial" w:cs="Arial"/>
                <w:b/>
                <w:bCs/>
                <w:sz w:val="16"/>
                <w:szCs w:val="16"/>
                <w:highlight w:val="darkCyan"/>
              </w:rPr>
            </w:pPr>
            <w:r w:rsidRPr="00864963">
              <w:rPr>
                <w:rFonts w:ascii="Arial" w:hAnsi="Arial" w:cs="Arial"/>
                <w:b/>
                <w:bCs/>
                <w:sz w:val="16"/>
                <w:szCs w:val="16"/>
              </w:rPr>
              <w:t>Revenue</w:t>
            </w:r>
          </w:p>
        </w:tc>
        <w:tc>
          <w:tcPr>
            <w:tcW w:w="704" w:type="dxa"/>
            <w:tcBorders>
              <w:top w:val="nil"/>
              <w:left w:val="nil"/>
              <w:bottom w:val="nil"/>
              <w:right w:val="nil"/>
            </w:tcBorders>
            <w:shd w:val="clear" w:color="000000" w:fill="FFFFFF"/>
            <w:noWrap/>
            <w:vAlign w:val="center"/>
            <w:hideMark/>
          </w:tcPr>
          <w:p w14:paraId="11B37A3E"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596.4</w:t>
            </w:r>
          </w:p>
        </w:tc>
        <w:tc>
          <w:tcPr>
            <w:tcW w:w="104" w:type="dxa"/>
            <w:tcBorders>
              <w:top w:val="nil"/>
              <w:left w:val="nil"/>
              <w:bottom w:val="nil"/>
              <w:right w:val="nil"/>
            </w:tcBorders>
            <w:shd w:val="clear" w:color="000000" w:fill="FFFFFF"/>
            <w:noWrap/>
            <w:vAlign w:val="center"/>
            <w:hideMark/>
          </w:tcPr>
          <w:p w14:paraId="2D654536"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692" w:type="dxa"/>
            <w:tcBorders>
              <w:top w:val="nil"/>
              <w:left w:val="nil"/>
              <w:bottom w:val="nil"/>
              <w:right w:val="nil"/>
            </w:tcBorders>
            <w:shd w:val="clear" w:color="000000" w:fill="FFFFFF"/>
            <w:noWrap/>
            <w:vAlign w:val="center"/>
            <w:hideMark/>
          </w:tcPr>
          <w:p w14:paraId="211CF44C"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653.8</w:t>
            </w:r>
          </w:p>
        </w:tc>
        <w:tc>
          <w:tcPr>
            <w:tcW w:w="691" w:type="dxa"/>
            <w:tcBorders>
              <w:top w:val="nil"/>
              <w:left w:val="nil"/>
              <w:bottom w:val="nil"/>
              <w:right w:val="nil"/>
            </w:tcBorders>
            <w:shd w:val="clear" w:color="000000" w:fill="E6F2FF"/>
            <w:noWrap/>
            <w:vAlign w:val="center"/>
            <w:hideMark/>
          </w:tcPr>
          <w:p w14:paraId="6ED4CC9E"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680.4</w:t>
            </w:r>
          </w:p>
        </w:tc>
        <w:tc>
          <w:tcPr>
            <w:tcW w:w="691" w:type="dxa"/>
            <w:tcBorders>
              <w:top w:val="nil"/>
              <w:left w:val="nil"/>
              <w:bottom w:val="nil"/>
              <w:right w:val="nil"/>
            </w:tcBorders>
            <w:shd w:val="clear" w:color="000000" w:fill="FFFFFF"/>
            <w:noWrap/>
            <w:vAlign w:val="center"/>
            <w:hideMark/>
          </w:tcPr>
          <w:p w14:paraId="74BAAE66"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677.3</w:t>
            </w:r>
          </w:p>
        </w:tc>
        <w:tc>
          <w:tcPr>
            <w:tcW w:w="691" w:type="dxa"/>
            <w:tcBorders>
              <w:top w:val="nil"/>
              <w:left w:val="nil"/>
              <w:bottom w:val="nil"/>
              <w:right w:val="nil"/>
            </w:tcBorders>
            <w:shd w:val="clear" w:color="000000" w:fill="FFFFFF"/>
            <w:noWrap/>
            <w:vAlign w:val="center"/>
            <w:hideMark/>
          </w:tcPr>
          <w:p w14:paraId="38C17990"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713.7</w:t>
            </w:r>
          </w:p>
        </w:tc>
        <w:tc>
          <w:tcPr>
            <w:tcW w:w="691" w:type="dxa"/>
            <w:tcBorders>
              <w:top w:val="nil"/>
              <w:left w:val="nil"/>
              <w:bottom w:val="nil"/>
              <w:right w:val="nil"/>
            </w:tcBorders>
            <w:shd w:val="clear" w:color="000000" w:fill="FFFFFF"/>
            <w:noWrap/>
            <w:vAlign w:val="center"/>
            <w:hideMark/>
          </w:tcPr>
          <w:p w14:paraId="7161628D"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748.2</w:t>
            </w:r>
          </w:p>
        </w:tc>
        <w:tc>
          <w:tcPr>
            <w:tcW w:w="104" w:type="dxa"/>
            <w:tcBorders>
              <w:top w:val="nil"/>
              <w:left w:val="nil"/>
              <w:bottom w:val="nil"/>
              <w:right w:val="nil"/>
            </w:tcBorders>
            <w:shd w:val="clear" w:color="000000" w:fill="FFFFFF"/>
            <w:noWrap/>
            <w:vAlign w:val="center"/>
            <w:hideMark/>
          </w:tcPr>
          <w:p w14:paraId="400EA1E0"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704" w:type="dxa"/>
            <w:tcBorders>
              <w:top w:val="nil"/>
              <w:left w:val="nil"/>
              <w:bottom w:val="nil"/>
              <w:right w:val="nil"/>
            </w:tcBorders>
            <w:shd w:val="clear" w:color="000000" w:fill="FFFFFF"/>
            <w:noWrap/>
            <w:vAlign w:val="center"/>
            <w:hideMark/>
          </w:tcPr>
          <w:p w14:paraId="0C64E286" w14:textId="77777777" w:rsidR="00F3791E" w:rsidRPr="00864963" w:rsidRDefault="00F3791E" w:rsidP="00F3791E">
            <w:pPr>
              <w:spacing w:before="0" w:after="0" w:line="240" w:lineRule="auto"/>
              <w:jc w:val="right"/>
              <w:rPr>
                <w:rFonts w:ascii="Arial" w:hAnsi="Arial" w:cs="Arial"/>
                <w:b/>
                <w:bCs/>
                <w:sz w:val="16"/>
                <w:szCs w:val="16"/>
              </w:rPr>
            </w:pPr>
            <w:r w:rsidRPr="00864963">
              <w:rPr>
                <w:rFonts w:ascii="Arial" w:hAnsi="Arial" w:cs="Arial"/>
                <w:b/>
                <w:bCs/>
                <w:sz w:val="16"/>
                <w:szCs w:val="16"/>
              </w:rPr>
              <w:t>3,473.4</w:t>
            </w:r>
          </w:p>
        </w:tc>
      </w:tr>
      <w:tr w:rsidR="00864963" w:rsidRPr="00864963" w14:paraId="7921DF46" w14:textId="77777777" w:rsidTr="00551C4E">
        <w:trPr>
          <w:trHeight w:val="225"/>
        </w:trPr>
        <w:tc>
          <w:tcPr>
            <w:tcW w:w="2364" w:type="dxa"/>
            <w:tcBorders>
              <w:top w:val="nil"/>
              <w:left w:val="nil"/>
              <w:bottom w:val="nil"/>
              <w:right w:val="nil"/>
            </w:tcBorders>
            <w:shd w:val="clear" w:color="000000" w:fill="FFFFFF"/>
            <w:noWrap/>
            <w:vAlign w:val="center"/>
            <w:hideMark/>
          </w:tcPr>
          <w:p w14:paraId="27A10B5E"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Per cent of GDP</w:t>
            </w:r>
          </w:p>
        </w:tc>
        <w:tc>
          <w:tcPr>
            <w:tcW w:w="704" w:type="dxa"/>
            <w:tcBorders>
              <w:top w:val="nil"/>
              <w:left w:val="nil"/>
              <w:bottom w:val="nil"/>
              <w:right w:val="nil"/>
            </w:tcBorders>
            <w:shd w:val="clear" w:color="000000" w:fill="FFFFFF"/>
            <w:noWrap/>
            <w:vAlign w:val="center"/>
            <w:hideMark/>
          </w:tcPr>
          <w:p w14:paraId="683DED43"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25.8</w:t>
            </w:r>
          </w:p>
        </w:tc>
        <w:tc>
          <w:tcPr>
            <w:tcW w:w="104" w:type="dxa"/>
            <w:tcBorders>
              <w:top w:val="nil"/>
              <w:left w:val="nil"/>
              <w:bottom w:val="nil"/>
              <w:right w:val="nil"/>
            </w:tcBorders>
            <w:shd w:val="clear" w:color="000000" w:fill="FFFFFF"/>
            <w:noWrap/>
            <w:vAlign w:val="center"/>
            <w:hideMark/>
          </w:tcPr>
          <w:p w14:paraId="2AC4148F"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2" w:type="dxa"/>
            <w:tcBorders>
              <w:top w:val="nil"/>
              <w:left w:val="nil"/>
              <w:bottom w:val="nil"/>
              <w:right w:val="nil"/>
            </w:tcBorders>
            <w:shd w:val="clear" w:color="000000" w:fill="FFFFFF"/>
            <w:noWrap/>
            <w:vAlign w:val="center"/>
            <w:hideMark/>
          </w:tcPr>
          <w:p w14:paraId="3F557709"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25.7</w:t>
            </w:r>
          </w:p>
        </w:tc>
        <w:tc>
          <w:tcPr>
            <w:tcW w:w="691" w:type="dxa"/>
            <w:tcBorders>
              <w:top w:val="nil"/>
              <w:left w:val="nil"/>
              <w:bottom w:val="nil"/>
              <w:right w:val="nil"/>
            </w:tcBorders>
            <w:shd w:val="clear" w:color="000000" w:fill="E6F2FF"/>
            <w:noWrap/>
            <w:vAlign w:val="center"/>
            <w:hideMark/>
          </w:tcPr>
          <w:p w14:paraId="4CC459E1"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26.4</w:t>
            </w:r>
          </w:p>
        </w:tc>
        <w:tc>
          <w:tcPr>
            <w:tcW w:w="691" w:type="dxa"/>
            <w:tcBorders>
              <w:top w:val="nil"/>
              <w:left w:val="nil"/>
              <w:bottom w:val="nil"/>
              <w:right w:val="nil"/>
            </w:tcBorders>
            <w:shd w:val="clear" w:color="000000" w:fill="FFFFFF"/>
            <w:noWrap/>
            <w:vAlign w:val="center"/>
            <w:hideMark/>
          </w:tcPr>
          <w:p w14:paraId="23B8DCC4"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25.7</w:t>
            </w:r>
          </w:p>
        </w:tc>
        <w:tc>
          <w:tcPr>
            <w:tcW w:w="691" w:type="dxa"/>
            <w:tcBorders>
              <w:top w:val="nil"/>
              <w:left w:val="nil"/>
              <w:bottom w:val="nil"/>
              <w:right w:val="nil"/>
            </w:tcBorders>
            <w:shd w:val="clear" w:color="000000" w:fill="FFFFFF"/>
            <w:noWrap/>
            <w:vAlign w:val="center"/>
            <w:hideMark/>
          </w:tcPr>
          <w:p w14:paraId="05F9FE62"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25.7</w:t>
            </w:r>
          </w:p>
        </w:tc>
        <w:tc>
          <w:tcPr>
            <w:tcW w:w="691" w:type="dxa"/>
            <w:tcBorders>
              <w:top w:val="nil"/>
              <w:left w:val="nil"/>
              <w:bottom w:val="nil"/>
              <w:right w:val="nil"/>
            </w:tcBorders>
            <w:shd w:val="clear" w:color="000000" w:fill="FFFFFF"/>
            <w:noWrap/>
            <w:vAlign w:val="center"/>
            <w:hideMark/>
          </w:tcPr>
          <w:p w14:paraId="62A0AB66"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25.6</w:t>
            </w:r>
          </w:p>
        </w:tc>
        <w:tc>
          <w:tcPr>
            <w:tcW w:w="104" w:type="dxa"/>
            <w:tcBorders>
              <w:top w:val="nil"/>
              <w:left w:val="nil"/>
              <w:bottom w:val="nil"/>
              <w:right w:val="nil"/>
            </w:tcBorders>
            <w:shd w:val="clear" w:color="000000" w:fill="FFFFFF"/>
            <w:noWrap/>
            <w:vAlign w:val="center"/>
            <w:hideMark/>
          </w:tcPr>
          <w:p w14:paraId="48DC51EE"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704" w:type="dxa"/>
            <w:tcBorders>
              <w:top w:val="nil"/>
              <w:left w:val="nil"/>
              <w:bottom w:val="nil"/>
              <w:right w:val="nil"/>
            </w:tcBorders>
            <w:shd w:val="clear" w:color="000000" w:fill="FFFFFF"/>
            <w:noWrap/>
            <w:vAlign w:val="center"/>
            <w:hideMark/>
          </w:tcPr>
          <w:p w14:paraId="473FE430" w14:textId="77777777" w:rsidR="00F3791E" w:rsidRPr="00864963" w:rsidRDefault="00F3791E" w:rsidP="00F3791E">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0CA6BCCB" w14:textId="77777777" w:rsidTr="00551C4E">
        <w:trPr>
          <w:trHeight w:val="60"/>
        </w:trPr>
        <w:tc>
          <w:tcPr>
            <w:tcW w:w="2364" w:type="dxa"/>
            <w:tcBorders>
              <w:top w:val="nil"/>
              <w:left w:val="nil"/>
              <w:bottom w:val="nil"/>
              <w:right w:val="nil"/>
            </w:tcBorders>
            <w:shd w:val="clear" w:color="000000" w:fill="FFFFFF"/>
            <w:noWrap/>
            <w:vAlign w:val="center"/>
            <w:hideMark/>
          </w:tcPr>
          <w:p w14:paraId="237F7878"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704" w:type="dxa"/>
            <w:tcBorders>
              <w:top w:val="nil"/>
              <w:left w:val="nil"/>
              <w:bottom w:val="nil"/>
              <w:right w:val="nil"/>
            </w:tcBorders>
            <w:shd w:val="clear" w:color="000000" w:fill="FFFFFF"/>
            <w:noWrap/>
            <w:vAlign w:val="center"/>
            <w:hideMark/>
          </w:tcPr>
          <w:p w14:paraId="6C3D46C4"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104" w:type="dxa"/>
            <w:tcBorders>
              <w:top w:val="nil"/>
              <w:left w:val="nil"/>
              <w:bottom w:val="nil"/>
              <w:right w:val="nil"/>
            </w:tcBorders>
            <w:shd w:val="clear" w:color="000000" w:fill="FFFFFF"/>
            <w:noWrap/>
            <w:vAlign w:val="center"/>
            <w:hideMark/>
          </w:tcPr>
          <w:p w14:paraId="05D0CFBB"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692" w:type="dxa"/>
            <w:tcBorders>
              <w:top w:val="nil"/>
              <w:left w:val="nil"/>
              <w:bottom w:val="nil"/>
              <w:right w:val="nil"/>
            </w:tcBorders>
            <w:shd w:val="clear" w:color="000000" w:fill="FFFFFF"/>
            <w:noWrap/>
            <w:vAlign w:val="center"/>
            <w:hideMark/>
          </w:tcPr>
          <w:p w14:paraId="36BDFC98"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1" w:type="dxa"/>
            <w:tcBorders>
              <w:top w:val="nil"/>
              <w:left w:val="nil"/>
              <w:bottom w:val="nil"/>
              <w:right w:val="nil"/>
            </w:tcBorders>
            <w:shd w:val="clear" w:color="000000" w:fill="E6F2FF"/>
            <w:noWrap/>
            <w:vAlign w:val="center"/>
            <w:hideMark/>
          </w:tcPr>
          <w:p w14:paraId="31902DE2"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1" w:type="dxa"/>
            <w:tcBorders>
              <w:top w:val="nil"/>
              <w:left w:val="nil"/>
              <w:bottom w:val="nil"/>
              <w:right w:val="nil"/>
            </w:tcBorders>
            <w:shd w:val="clear" w:color="000000" w:fill="FFFFFF"/>
            <w:noWrap/>
            <w:vAlign w:val="center"/>
            <w:hideMark/>
          </w:tcPr>
          <w:p w14:paraId="033D08B4"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1" w:type="dxa"/>
            <w:tcBorders>
              <w:top w:val="nil"/>
              <w:left w:val="nil"/>
              <w:bottom w:val="nil"/>
              <w:right w:val="nil"/>
            </w:tcBorders>
            <w:shd w:val="clear" w:color="000000" w:fill="FFFFFF"/>
            <w:noWrap/>
            <w:vAlign w:val="center"/>
            <w:hideMark/>
          </w:tcPr>
          <w:p w14:paraId="57838D73"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1" w:type="dxa"/>
            <w:tcBorders>
              <w:top w:val="nil"/>
              <w:left w:val="nil"/>
              <w:bottom w:val="nil"/>
              <w:right w:val="nil"/>
            </w:tcBorders>
            <w:shd w:val="clear" w:color="000000" w:fill="FFFFFF"/>
            <w:noWrap/>
            <w:vAlign w:val="center"/>
            <w:hideMark/>
          </w:tcPr>
          <w:p w14:paraId="6CD64720"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104" w:type="dxa"/>
            <w:tcBorders>
              <w:top w:val="nil"/>
              <w:left w:val="nil"/>
              <w:bottom w:val="nil"/>
              <w:right w:val="nil"/>
            </w:tcBorders>
            <w:shd w:val="clear" w:color="000000" w:fill="FFFFFF"/>
            <w:noWrap/>
            <w:vAlign w:val="center"/>
            <w:hideMark/>
          </w:tcPr>
          <w:p w14:paraId="73737901"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704" w:type="dxa"/>
            <w:tcBorders>
              <w:top w:val="nil"/>
              <w:left w:val="nil"/>
              <w:bottom w:val="nil"/>
              <w:right w:val="nil"/>
            </w:tcBorders>
            <w:shd w:val="clear" w:color="000000" w:fill="FFFFFF"/>
            <w:noWrap/>
            <w:vAlign w:val="center"/>
            <w:hideMark/>
          </w:tcPr>
          <w:p w14:paraId="2FF6083C" w14:textId="77777777" w:rsidR="00F3791E" w:rsidRPr="00864963" w:rsidRDefault="00F3791E" w:rsidP="00F3791E">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3ECC42F6" w14:textId="77777777" w:rsidTr="00551C4E">
        <w:trPr>
          <w:trHeight w:val="225"/>
        </w:trPr>
        <w:tc>
          <w:tcPr>
            <w:tcW w:w="2364" w:type="dxa"/>
            <w:tcBorders>
              <w:top w:val="nil"/>
              <w:left w:val="nil"/>
              <w:bottom w:val="nil"/>
              <w:right w:val="nil"/>
            </w:tcBorders>
            <w:shd w:val="clear" w:color="000000" w:fill="FFFFFF"/>
            <w:noWrap/>
            <w:vAlign w:val="center"/>
            <w:hideMark/>
          </w:tcPr>
          <w:p w14:paraId="73A566CC" w14:textId="77777777" w:rsidR="00F3791E" w:rsidRPr="00864963" w:rsidRDefault="00F3791E" w:rsidP="00F3791E">
            <w:pPr>
              <w:spacing w:before="0" w:after="0" w:line="240" w:lineRule="auto"/>
              <w:rPr>
                <w:rFonts w:ascii="Arial" w:hAnsi="Arial" w:cs="Arial"/>
                <w:b/>
                <w:bCs/>
                <w:sz w:val="16"/>
                <w:szCs w:val="16"/>
                <w:highlight w:val="darkCyan"/>
              </w:rPr>
            </w:pPr>
            <w:r w:rsidRPr="00864963">
              <w:rPr>
                <w:rFonts w:ascii="Arial" w:hAnsi="Arial" w:cs="Arial"/>
                <w:b/>
                <w:bCs/>
                <w:sz w:val="16"/>
                <w:szCs w:val="16"/>
              </w:rPr>
              <w:t>Expenses</w:t>
            </w:r>
          </w:p>
        </w:tc>
        <w:tc>
          <w:tcPr>
            <w:tcW w:w="704" w:type="dxa"/>
            <w:tcBorders>
              <w:top w:val="nil"/>
              <w:left w:val="nil"/>
              <w:bottom w:val="nil"/>
              <w:right w:val="nil"/>
            </w:tcBorders>
            <w:shd w:val="clear" w:color="000000" w:fill="FFFFFF"/>
            <w:noWrap/>
            <w:vAlign w:val="center"/>
            <w:hideMark/>
          </w:tcPr>
          <w:p w14:paraId="2B65A303"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623.0</w:t>
            </w:r>
          </w:p>
        </w:tc>
        <w:tc>
          <w:tcPr>
            <w:tcW w:w="104" w:type="dxa"/>
            <w:tcBorders>
              <w:top w:val="nil"/>
              <w:left w:val="nil"/>
              <w:bottom w:val="nil"/>
              <w:right w:val="nil"/>
            </w:tcBorders>
            <w:shd w:val="clear" w:color="000000" w:fill="FFFFFF"/>
            <w:noWrap/>
            <w:vAlign w:val="center"/>
            <w:hideMark/>
          </w:tcPr>
          <w:p w14:paraId="752B6A27"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692" w:type="dxa"/>
            <w:tcBorders>
              <w:top w:val="nil"/>
              <w:left w:val="nil"/>
              <w:bottom w:val="nil"/>
              <w:right w:val="nil"/>
            </w:tcBorders>
            <w:shd w:val="clear" w:color="000000" w:fill="FFFFFF"/>
            <w:noWrap/>
            <w:vAlign w:val="center"/>
            <w:hideMark/>
          </w:tcPr>
          <w:p w14:paraId="1D943FA0"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644.8</w:t>
            </w:r>
          </w:p>
        </w:tc>
        <w:tc>
          <w:tcPr>
            <w:tcW w:w="691" w:type="dxa"/>
            <w:tcBorders>
              <w:top w:val="nil"/>
              <w:left w:val="nil"/>
              <w:bottom w:val="nil"/>
              <w:right w:val="nil"/>
            </w:tcBorders>
            <w:shd w:val="clear" w:color="000000" w:fill="E6F2FF"/>
            <w:noWrap/>
            <w:vAlign w:val="center"/>
            <w:hideMark/>
          </w:tcPr>
          <w:p w14:paraId="5B598E80"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684.1</w:t>
            </w:r>
          </w:p>
        </w:tc>
        <w:tc>
          <w:tcPr>
            <w:tcW w:w="691" w:type="dxa"/>
            <w:tcBorders>
              <w:top w:val="nil"/>
              <w:left w:val="nil"/>
              <w:bottom w:val="nil"/>
              <w:right w:val="nil"/>
            </w:tcBorders>
            <w:shd w:val="clear" w:color="000000" w:fill="FFFFFF"/>
            <w:noWrap/>
            <w:vAlign w:val="center"/>
            <w:hideMark/>
          </w:tcPr>
          <w:p w14:paraId="15BCB93E"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715.4</w:t>
            </w:r>
          </w:p>
        </w:tc>
        <w:tc>
          <w:tcPr>
            <w:tcW w:w="691" w:type="dxa"/>
            <w:tcBorders>
              <w:top w:val="nil"/>
              <w:left w:val="nil"/>
              <w:bottom w:val="nil"/>
              <w:right w:val="nil"/>
            </w:tcBorders>
            <w:shd w:val="clear" w:color="000000" w:fill="FFFFFF"/>
            <w:noWrap/>
            <w:vAlign w:val="center"/>
            <w:hideMark/>
          </w:tcPr>
          <w:p w14:paraId="041B32DA"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743.3</w:t>
            </w:r>
          </w:p>
        </w:tc>
        <w:tc>
          <w:tcPr>
            <w:tcW w:w="691" w:type="dxa"/>
            <w:tcBorders>
              <w:top w:val="nil"/>
              <w:left w:val="nil"/>
              <w:bottom w:val="nil"/>
              <w:right w:val="nil"/>
            </w:tcBorders>
            <w:shd w:val="clear" w:color="000000" w:fill="FFFFFF"/>
            <w:noWrap/>
            <w:vAlign w:val="center"/>
            <w:hideMark/>
          </w:tcPr>
          <w:p w14:paraId="227A98EF"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771.8</w:t>
            </w:r>
          </w:p>
        </w:tc>
        <w:tc>
          <w:tcPr>
            <w:tcW w:w="104" w:type="dxa"/>
            <w:tcBorders>
              <w:top w:val="nil"/>
              <w:left w:val="nil"/>
              <w:bottom w:val="nil"/>
              <w:right w:val="nil"/>
            </w:tcBorders>
            <w:shd w:val="clear" w:color="000000" w:fill="FFFFFF"/>
            <w:noWrap/>
            <w:vAlign w:val="center"/>
            <w:hideMark/>
          </w:tcPr>
          <w:p w14:paraId="5449C417"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704" w:type="dxa"/>
            <w:tcBorders>
              <w:top w:val="nil"/>
              <w:left w:val="nil"/>
              <w:bottom w:val="nil"/>
              <w:right w:val="nil"/>
            </w:tcBorders>
            <w:shd w:val="clear" w:color="000000" w:fill="FFFFFF"/>
            <w:noWrap/>
            <w:vAlign w:val="center"/>
            <w:hideMark/>
          </w:tcPr>
          <w:p w14:paraId="2CF49A32" w14:textId="77777777" w:rsidR="00F3791E" w:rsidRPr="00864963" w:rsidRDefault="00F3791E" w:rsidP="00F3791E">
            <w:pPr>
              <w:spacing w:before="0" w:after="0" w:line="240" w:lineRule="auto"/>
              <w:jc w:val="right"/>
              <w:rPr>
                <w:rFonts w:ascii="Arial" w:hAnsi="Arial" w:cs="Arial"/>
                <w:b/>
                <w:bCs/>
                <w:sz w:val="16"/>
                <w:szCs w:val="16"/>
              </w:rPr>
            </w:pPr>
            <w:r w:rsidRPr="00864963">
              <w:rPr>
                <w:rFonts w:ascii="Arial" w:hAnsi="Arial" w:cs="Arial"/>
                <w:b/>
                <w:bCs/>
                <w:sz w:val="16"/>
                <w:szCs w:val="16"/>
              </w:rPr>
              <w:t>3,559.4</w:t>
            </w:r>
          </w:p>
        </w:tc>
      </w:tr>
      <w:tr w:rsidR="00864963" w:rsidRPr="00864963" w14:paraId="310C7BA7" w14:textId="77777777" w:rsidTr="00551C4E">
        <w:trPr>
          <w:trHeight w:val="225"/>
        </w:trPr>
        <w:tc>
          <w:tcPr>
            <w:tcW w:w="2364" w:type="dxa"/>
            <w:tcBorders>
              <w:top w:val="nil"/>
              <w:left w:val="nil"/>
              <w:bottom w:val="nil"/>
              <w:right w:val="nil"/>
            </w:tcBorders>
            <w:shd w:val="clear" w:color="000000" w:fill="FFFFFF"/>
            <w:noWrap/>
            <w:vAlign w:val="center"/>
            <w:hideMark/>
          </w:tcPr>
          <w:p w14:paraId="3D31A631"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Per cent of GDP</w:t>
            </w:r>
          </w:p>
        </w:tc>
        <w:tc>
          <w:tcPr>
            <w:tcW w:w="704" w:type="dxa"/>
            <w:tcBorders>
              <w:top w:val="nil"/>
              <w:left w:val="nil"/>
              <w:bottom w:val="nil"/>
              <w:right w:val="nil"/>
            </w:tcBorders>
            <w:shd w:val="clear" w:color="000000" w:fill="FFFFFF"/>
            <w:noWrap/>
            <w:vAlign w:val="center"/>
            <w:hideMark/>
          </w:tcPr>
          <w:p w14:paraId="34C182F0"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27.0</w:t>
            </w:r>
          </w:p>
        </w:tc>
        <w:tc>
          <w:tcPr>
            <w:tcW w:w="104" w:type="dxa"/>
            <w:tcBorders>
              <w:top w:val="nil"/>
              <w:left w:val="nil"/>
              <w:bottom w:val="nil"/>
              <w:right w:val="nil"/>
            </w:tcBorders>
            <w:shd w:val="clear" w:color="000000" w:fill="FFFFFF"/>
            <w:noWrap/>
            <w:vAlign w:val="center"/>
            <w:hideMark/>
          </w:tcPr>
          <w:p w14:paraId="7EC9028E"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2" w:type="dxa"/>
            <w:tcBorders>
              <w:top w:val="nil"/>
              <w:left w:val="nil"/>
              <w:bottom w:val="nil"/>
              <w:right w:val="nil"/>
            </w:tcBorders>
            <w:shd w:val="clear" w:color="000000" w:fill="FFFFFF"/>
            <w:noWrap/>
            <w:vAlign w:val="center"/>
            <w:hideMark/>
          </w:tcPr>
          <w:p w14:paraId="00740BD5"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25.3</w:t>
            </w:r>
          </w:p>
        </w:tc>
        <w:tc>
          <w:tcPr>
            <w:tcW w:w="691" w:type="dxa"/>
            <w:tcBorders>
              <w:top w:val="nil"/>
              <w:left w:val="nil"/>
              <w:bottom w:val="nil"/>
              <w:right w:val="nil"/>
            </w:tcBorders>
            <w:shd w:val="clear" w:color="000000" w:fill="E6F2FF"/>
            <w:noWrap/>
            <w:vAlign w:val="center"/>
            <w:hideMark/>
          </w:tcPr>
          <w:p w14:paraId="7EF6A2CC"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26.6</w:t>
            </w:r>
          </w:p>
        </w:tc>
        <w:tc>
          <w:tcPr>
            <w:tcW w:w="691" w:type="dxa"/>
            <w:tcBorders>
              <w:top w:val="nil"/>
              <w:left w:val="nil"/>
              <w:bottom w:val="nil"/>
              <w:right w:val="nil"/>
            </w:tcBorders>
            <w:shd w:val="clear" w:color="000000" w:fill="FFFFFF"/>
            <w:noWrap/>
            <w:vAlign w:val="center"/>
            <w:hideMark/>
          </w:tcPr>
          <w:p w14:paraId="56D063B2"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27.1</w:t>
            </w:r>
          </w:p>
        </w:tc>
        <w:tc>
          <w:tcPr>
            <w:tcW w:w="691" w:type="dxa"/>
            <w:tcBorders>
              <w:top w:val="nil"/>
              <w:left w:val="nil"/>
              <w:bottom w:val="nil"/>
              <w:right w:val="nil"/>
            </w:tcBorders>
            <w:shd w:val="clear" w:color="000000" w:fill="FFFFFF"/>
            <w:noWrap/>
            <w:vAlign w:val="center"/>
            <w:hideMark/>
          </w:tcPr>
          <w:p w14:paraId="138D8526"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26.8</w:t>
            </w:r>
          </w:p>
        </w:tc>
        <w:tc>
          <w:tcPr>
            <w:tcW w:w="691" w:type="dxa"/>
            <w:tcBorders>
              <w:top w:val="nil"/>
              <w:left w:val="nil"/>
              <w:bottom w:val="nil"/>
              <w:right w:val="nil"/>
            </w:tcBorders>
            <w:shd w:val="clear" w:color="000000" w:fill="FFFFFF"/>
            <w:noWrap/>
            <w:vAlign w:val="center"/>
            <w:hideMark/>
          </w:tcPr>
          <w:p w14:paraId="3739C258"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26.4</w:t>
            </w:r>
          </w:p>
        </w:tc>
        <w:tc>
          <w:tcPr>
            <w:tcW w:w="104" w:type="dxa"/>
            <w:tcBorders>
              <w:top w:val="nil"/>
              <w:left w:val="nil"/>
              <w:bottom w:val="nil"/>
              <w:right w:val="nil"/>
            </w:tcBorders>
            <w:shd w:val="clear" w:color="000000" w:fill="FFFFFF"/>
            <w:noWrap/>
            <w:vAlign w:val="center"/>
            <w:hideMark/>
          </w:tcPr>
          <w:p w14:paraId="3DE18502"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704" w:type="dxa"/>
            <w:tcBorders>
              <w:top w:val="nil"/>
              <w:left w:val="nil"/>
              <w:bottom w:val="nil"/>
              <w:right w:val="nil"/>
            </w:tcBorders>
            <w:shd w:val="clear" w:color="000000" w:fill="FFFFFF"/>
            <w:noWrap/>
            <w:vAlign w:val="center"/>
            <w:hideMark/>
          </w:tcPr>
          <w:p w14:paraId="0FB86BCE" w14:textId="77777777" w:rsidR="00F3791E" w:rsidRPr="00864963" w:rsidRDefault="00F3791E" w:rsidP="00F3791E">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6FC04559" w14:textId="77777777" w:rsidTr="00551C4E">
        <w:trPr>
          <w:trHeight w:val="60"/>
        </w:trPr>
        <w:tc>
          <w:tcPr>
            <w:tcW w:w="2364" w:type="dxa"/>
            <w:tcBorders>
              <w:top w:val="nil"/>
              <w:left w:val="nil"/>
              <w:bottom w:val="nil"/>
              <w:right w:val="nil"/>
            </w:tcBorders>
            <w:shd w:val="clear" w:color="000000" w:fill="FFFFFF"/>
            <w:noWrap/>
            <w:vAlign w:val="center"/>
            <w:hideMark/>
          </w:tcPr>
          <w:p w14:paraId="46F089E3"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704" w:type="dxa"/>
            <w:tcBorders>
              <w:top w:val="nil"/>
              <w:left w:val="nil"/>
              <w:bottom w:val="nil"/>
              <w:right w:val="nil"/>
            </w:tcBorders>
            <w:shd w:val="clear" w:color="000000" w:fill="FFFFFF"/>
            <w:noWrap/>
            <w:vAlign w:val="center"/>
            <w:hideMark/>
          </w:tcPr>
          <w:p w14:paraId="14E6A99A"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104" w:type="dxa"/>
            <w:tcBorders>
              <w:top w:val="nil"/>
              <w:left w:val="nil"/>
              <w:bottom w:val="nil"/>
              <w:right w:val="nil"/>
            </w:tcBorders>
            <w:shd w:val="clear" w:color="000000" w:fill="FFFFFF"/>
            <w:noWrap/>
            <w:vAlign w:val="center"/>
            <w:hideMark/>
          </w:tcPr>
          <w:p w14:paraId="70052E24"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2" w:type="dxa"/>
            <w:tcBorders>
              <w:top w:val="nil"/>
              <w:left w:val="nil"/>
              <w:bottom w:val="nil"/>
              <w:right w:val="nil"/>
            </w:tcBorders>
            <w:shd w:val="clear" w:color="000000" w:fill="FFFFFF"/>
            <w:noWrap/>
            <w:vAlign w:val="center"/>
            <w:hideMark/>
          </w:tcPr>
          <w:p w14:paraId="11C819EF"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1" w:type="dxa"/>
            <w:tcBorders>
              <w:top w:val="nil"/>
              <w:left w:val="nil"/>
              <w:bottom w:val="nil"/>
              <w:right w:val="nil"/>
            </w:tcBorders>
            <w:shd w:val="clear" w:color="000000" w:fill="E6F2FF"/>
            <w:noWrap/>
            <w:vAlign w:val="center"/>
            <w:hideMark/>
          </w:tcPr>
          <w:p w14:paraId="4497AD3B"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1" w:type="dxa"/>
            <w:tcBorders>
              <w:top w:val="nil"/>
              <w:left w:val="nil"/>
              <w:bottom w:val="nil"/>
              <w:right w:val="nil"/>
            </w:tcBorders>
            <w:shd w:val="clear" w:color="000000" w:fill="FFFFFF"/>
            <w:noWrap/>
            <w:vAlign w:val="center"/>
            <w:hideMark/>
          </w:tcPr>
          <w:p w14:paraId="09DD8E3F"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1" w:type="dxa"/>
            <w:tcBorders>
              <w:top w:val="nil"/>
              <w:left w:val="nil"/>
              <w:bottom w:val="nil"/>
              <w:right w:val="nil"/>
            </w:tcBorders>
            <w:shd w:val="clear" w:color="000000" w:fill="FFFFFF"/>
            <w:noWrap/>
            <w:vAlign w:val="center"/>
            <w:hideMark/>
          </w:tcPr>
          <w:p w14:paraId="13A6CA40"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1" w:type="dxa"/>
            <w:tcBorders>
              <w:top w:val="nil"/>
              <w:left w:val="nil"/>
              <w:bottom w:val="nil"/>
              <w:right w:val="nil"/>
            </w:tcBorders>
            <w:shd w:val="clear" w:color="000000" w:fill="FFFFFF"/>
            <w:noWrap/>
            <w:vAlign w:val="center"/>
            <w:hideMark/>
          </w:tcPr>
          <w:p w14:paraId="00A9B80B"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104" w:type="dxa"/>
            <w:tcBorders>
              <w:top w:val="nil"/>
              <w:left w:val="nil"/>
              <w:bottom w:val="nil"/>
              <w:right w:val="nil"/>
            </w:tcBorders>
            <w:shd w:val="clear" w:color="000000" w:fill="FFFFFF"/>
            <w:noWrap/>
            <w:vAlign w:val="center"/>
            <w:hideMark/>
          </w:tcPr>
          <w:p w14:paraId="0A0639B8"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704" w:type="dxa"/>
            <w:tcBorders>
              <w:top w:val="nil"/>
              <w:left w:val="nil"/>
              <w:bottom w:val="nil"/>
              <w:right w:val="nil"/>
            </w:tcBorders>
            <w:shd w:val="clear" w:color="000000" w:fill="FFFFFF"/>
            <w:noWrap/>
            <w:vAlign w:val="center"/>
            <w:hideMark/>
          </w:tcPr>
          <w:p w14:paraId="2BE0F268" w14:textId="77777777" w:rsidR="00F3791E" w:rsidRPr="00864963" w:rsidRDefault="00F3791E" w:rsidP="00F3791E">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03B27E40" w14:textId="77777777" w:rsidTr="00551C4E">
        <w:trPr>
          <w:trHeight w:val="225"/>
        </w:trPr>
        <w:tc>
          <w:tcPr>
            <w:tcW w:w="2364" w:type="dxa"/>
            <w:tcBorders>
              <w:top w:val="nil"/>
              <w:left w:val="nil"/>
              <w:bottom w:val="nil"/>
              <w:right w:val="nil"/>
            </w:tcBorders>
            <w:shd w:val="clear" w:color="000000" w:fill="FFFFFF"/>
            <w:noWrap/>
            <w:vAlign w:val="center"/>
            <w:hideMark/>
          </w:tcPr>
          <w:p w14:paraId="3E316D6B" w14:textId="77777777" w:rsidR="00F3791E" w:rsidRPr="00864963" w:rsidRDefault="00F3791E" w:rsidP="00F3791E">
            <w:pPr>
              <w:spacing w:before="0" w:after="0" w:line="240" w:lineRule="auto"/>
              <w:rPr>
                <w:rFonts w:ascii="Arial" w:hAnsi="Arial" w:cs="Arial"/>
                <w:b/>
                <w:bCs/>
                <w:sz w:val="16"/>
                <w:szCs w:val="16"/>
                <w:highlight w:val="darkCyan"/>
              </w:rPr>
            </w:pPr>
            <w:r w:rsidRPr="00864963">
              <w:rPr>
                <w:rFonts w:ascii="Arial" w:hAnsi="Arial" w:cs="Arial"/>
                <w:b/>
                <w:bCs/>
                <w:sz w:val="16"/>
                <w:szCs w:val="16"/>
              </w:rPr>
              <w:t>Net operating balance</w:t>
            </w:r>
          </w:p>
        </w:tc>
        <w:tc>
          <w:tcPr>
            <w:tcW w:w="704" w:type="dxa"/>
            <w:tcBorders>
              <w:top w:val="nil"/>
              <w:left w:val="nil"/>
              <w:bottom w:val="nil"/>
              <w:right w:val="nil"/>
            </w:tcBorders>
            <w:shd w:val="clear" w:color="000000" w:fill="FFFFFF"/>
            <w:noWrap/>
            <w:vAlign w:val="center"/>
            <w:hideMark/>
          </w:tcPr>
          <w:p w14:paraId="093F6A55" w14:textId="54C76AAF" w:rsidR="00F3791E" w:rsidRPr="00864963" w:rsidRDefault="00594653"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noBreakHyphen/>
            </w:r>
            <w:r w:rsidR="00F3791E" w:rsidRPr="00864963">
              <w:rPr>
                <w:rFonts w:ascii="Arial" w:hAnsi="Arial" w:cs="Arial"/>
                <w:b/>
                <w:bCs/>
                <w:sz w:val="16"/>
                <w:szCs w:val="16"/>
              </w:rPr>
              <w:t>26.6</w:t>
            </w:r>
          </w:p>
        </w:tc>
        <w:tc>
          <w:tcPr>
            <w:tcW w:w="104" w:type="dxa"/>
            <w:tcBorders>
              <w:top w:val="nil"/>
              <w:left w:val="nil"/>
              <w:bottom w:val="nil"/>
              <w:right w:val="nil"/>
            </w:tcBorders>
            <w:shd w:val="clear" w:color="000000" w:fill="FFFFFF"/>
            <w:noWrap/>
            <w:vAlign w:val="center"/>
            <w:hideMark/>
          </w:tcPr>
          <w:p w14:paraId="60DEE4CA"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692" w:type="dxa"/>
            <w:tcBorders>
              <w:top w:val="nil"/>
              <w:left w:val="nil"/>
              <w:bottom w:val="nil"/>
              <w:right w:val="nil"/>
            </w:tcBorders>
            <w:shd w:val="clear" w:color="000000" w:fill="FFFFFF"/>
            <w:noWrap/>
            <w:vAlign w:val="center"/>
            <w:hideMark/>
          </w:tcPr>
          <w:p w14:paraId="61FC1623"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9.0</w:t>
            </w:r>
          </w:p>
        </w:tc>
        <w:tc>
          <w:tcPr>
            <w:tcW w:w="691" w:type="dxa"/>
            <w:tcBorders>
              <w:top w:val="nil"/>
              <w:left w:val="nil"/>
              <w:bottom w:val="nil"/>
              <w:right w:val="nil"/>
            </w:tcBorders>
            <w:shd w:val="clear" w:color="000000" w:fill="E6F2FF"/>
            <w:noWrap/>
            <w:vAlign w:val="center"/>
            <w:hideMark/>
          </w:tcPr>
          <w:p w14:paraId="1EEA271E" w14:textId="25B56C84" w:rsidR="00F3791E" w:rsidRPr="00864963" w:rsidRDefault="00594653"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noBreakHyphen/>
            </w:r>
            <w:r w:rsidR="00F3791E" w:rsidRPr="00864963">
              <w:rPr>
                <w:rFonts w:ascii="Arial" w:hAnsi="Arial" w:cs="Arial"/>
                <w:b/>
                <w:bCs/>
                <w:sz w:val="16"/>
                <w:szCs w:val="16"/>
              </w:rPr>
              <w:t>3.7</w:t>
            </w:r>
          </w:p>
        </w:tc>
        <w:tc>
          <w:tcPr>
            <w:tcW w:w="691" w:type="dxa"/>
            <w:tcBorders>
              <w:top w:val="nil"/>
              <w:left w:val="nil"/>
              <w:bottom w:val="nil"/>
              <w:right w:val="nil"/>
            </w:tcBorders>
            <w:shd w:val="clear" w:color="000000" w:fill="FFFFFF"/>
            <w:noWrap/>
            <w:vAlign w:val="center"/>
            <w:hideMark/>
          </w:tcPr>
          <w:p w14:paraId="17EB5AAE" w14:textId="6CE5FFC1" w:rsidR="00F3791E" w:rsidRPr="00864963" w:rsidRDefault="00594653"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noBreakHyphen/>
            </w:r>
            <w:r w:rsidR="00F3791E" w:rsidRPr="00864963">
              <w:rPr>
                <w:rFonts w:ascii="Arial" w:hAnsi="Arial" w:cs="Arial"/>
                <w:b/>
                <w:bCs/>
                <w:sz w:val="16"/>
                <w:szCs w:val="16"/>
              </w:rPr>
              <w:t>38.0</w:t>
            </w:r>
          </w:p>
        </w:tc>
        <w:tc>
          <w:tcPr>
            <w:tcW w:w="691" w:type="dxa"/>
            <w:tcBorders>
              <w:top w:val="nil"/>
              <w:left w:val="nil"/>
              <w:bottom w:val="nil"/>
              <w:right w:val="nil"/>
            </w:tcBorders>
            <w:shd w:val="clear" w:color="000000" w:fill="FFFFFF"/>
            <w:noWrap/>
            <w:vAlign w:val="center"/>
            <w:hideMark/>
          </w:tcPr>
          <w:p w14:paraId="3B028234" w14:textId="406D912C" w:rsidR="00F3791E" w:rsidRPr="00864963" w:rsidRDefault="00594653"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noBreakHyphen/>
            </w:r>
            <w:r w:rsidR="00F3791E" w:rsidRPr="00864963">
              <w:rPr>
                <w:rFonts w:ascii="Arial" w:hAnsi="Arial" w:cs="Arial"/>
                <w:b/>
                <w:bCs/>
                <w:sz w:val="16"/>
                <w:szCs w:val="16"/>
              </w:rPr>
              <w:t>29.6</w:t>
            </w:r>
          </w:p>
        </w:tc>
        <w:tc>
          <w:tcPr>
            <w:tcW w:w="691" w:type="dxa"/>
            <w:tcBorders>
              <w:top w:val="nil"/>
              <w:left w:val="nil"/>
              <w:bottom w:val="nil"/>
              <w:right w:val="nil"/>
            </w:tcBorders>
            <w:shd w:val="clear" w:color="000000" w:fill="FFFFFF"/>
            <w:noWrap/>
            <w:vAlign w:val="center"/>
            <w:hideMark/>
          </w:tcPr>
          <w:p w14:paraId="6A49D92F" w14:textId="7BBA85F8" w:rsidR="00F3791E" w:rsidRPr="00864963" w:rsidRDefault="00594653"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noBreakHyphen/>
            </w:r>
            <w:r w:rsidR="00F3791E" w:rsidRPr="00864963">
              <w:rPr>
                <w:rFonts w:ascii="Arial" w:hAnsi="Arial" w:cs="Arial"/>
                <w:b/>
                <w:bCs/>
                <w:sz w:val="16"/>
                <w:szCs w:val="16"/>
              </w:rPr>
              <w:t>23.5</w:t>
            </w:r>
          </w:p>
        </w:tc>
        <w:tc>
          <w:tcPr>
            <w:tcW w:w="104" w:type="dxa"/>
            <w:tcBorders>
              <w:top w:val="nil"/>
              <w:left w:val="nil"/>
              <w:bottom w:val="nil"/>
              <w:right w:val="nil"/>
            </w:tcBorders>
            <w:shd w:val="clear" w:color="000000" w:fill="FFFFFF"/>
            <w:noWrap/>
            <w:vAlign w:val="center"/>
            <w:hideMark/>
          </w:tcPr>
          <w:p w14:paraId="2E1DC72D"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704" w:type="dxa"/>
            <w:tcBorders>
              <w:top w:val="nil"/>
              <w:left w:val="nil"/>
              <w:bottom w:val="nil"/>
              <w:right w:val="nil"/>
            </w:tcBorders>
            <w:shd w:val="clear" w:color="000000" w:fill="FFFFFF"/>
            <w:noWrap/>
            <w:vAlign w:val="center"/>
            <w:hideMark/>
          </w:tcPr>
          <w:p w14:paraId="476EE0CA" w14:textId="031CC531" w:rsidR="00F3791E" w:rsidRPr="00864963" w:rsidRDefault="00594653" w:rsidP="00F3791E">
            <w:pPr>
              <w:spacing w:before="0" w:after="0" w:line="240" w:lineRule="auto"/>
              <w:jc w:val="right"/>
              <w:rPr>
                <w:rFonts w:ascii="Arial" w:hAnsi="Arial" w:cs="Arial"/>
                <w:b/>
                <w:bCs/>
                <w:sz w:val="16"/>
                <w:szCs w:val="16"/>
              </w:rPr>
            </w:pPr>
            <w:r w:rsidRPr="00864963">
              <w:rPr>
                <w:rFonts w:ascii="Arial" w:hAnsi="Arial" w:cs="Arial"/>
                <w:b/>
                <w:bCs/>
                <w:sz w:val="16"/>
                <w:szCs w:val="16"/>
              </w:rPr>
              <w:noBreakHyphen/>
            </w:r>
            <w:r w:rsidR="00F3791E" w:rsidRPr="00864963">
              <w:rPr>
                <w:rFonts w:ascii="Arial" w:hAnsi="Arial" w:cs="Arial"/>
                <w:b/>
                <w:bCs/>
                <w:sz w:val="16"/>
                <w:szCs w:val="16"/>
              </w:rPr>
              <w:t>85.9</w:t>
            </w:r>
          </w:p>
        </w:tc>
      </w:tr>
      <w:tr w:rsidR="00864963" w:rsidRPr="00864963" w14:paraId="7002B333" w14:textId="77777777" w:rsidTr="00551C4E">
        <w:trPr>
          <w:trHeight w:val="225"/>
        </w:trPr>
        <w:tc>
          <w:tcPr>
            <w:tcW w:w="2364" w:type="dxa"/>
            <w:tcBorders>
              <w:top w:val="nil"/>
              <w:left w:val="nil"/>
              <w:bottom w:val="nil"/>
              <w:right w:val="nil"/>
            </w:tcBorders>
            <w:shd w:val="clear" w:color="000000" w:fill="FFFFFF"/>
            <w:noWrap/>
            <w:vAlign w:val="center"/>
            <w:hideMark/>
          </w:tcPr>
          <w:p w14:paraId="71A2210F"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Per cent of GDP</w:t>
            </w:r>
          </w:p>
        </w:tc>
        <w:tc>
          <w:tcPr>
            <w:tcW w:w="704" w:type="dxa"/>
            <w:tcBorders>
              <w:top w:val="nil"/>
              <w:left w:val="nil"/>
              <w:bottom w:val="nil"/>
              <w:right w:val="nil"/>
            </w:tcBorders>
            <w:shd w:val="clear" w:color="000000" w:fill="FFFFFF"/>
            <w:noWrap/>
            <w:vAlign w:val="center"/>
            <w:hideMark/>
          </w:tcPr>
          <w:p w14:paraId="73DB250C" w14:textId="138AD2AC" w:rsidR="00F3791E" w:rsidRPr="00864963" w:rsidRDefault="00594653"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F3791E" w:rsidRPr="00864963">
              <w:rPr>
                <w:rFonts w:ascii="Arial" w:hAnsi="Arial" w:cs="Arial"/>
                <w:sz w:val="16"/>
                <w:szCs w:val="16"/>
              </w:rPr>
              <w:t>1.2</w:t>
            </w:r>
          </w:p>
        </w:tc>
        <w:tc>
          <w:tcPr>
            <w:tcW w:w="104" w:type="dxa"/>
            <w:tcBorders>
              <w:top w:val="nil"/>
              <w:left w:val="nil"/>
              <w:bottom w:val="nil"/>
              <w:right w:val="nil"/>
            </w:tcBorders>
            <w:shd w:val="clear" w:color="000000" w:fill="FFFFFF"/>
            <w:noWrap/>
            <w:vAlign w:val="center"/>
            <w:hideMark/>
          </w:tcPr>
          <w:p w14:paraId="39292D14"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2" w:type="dxa"/>
            <w:tcBorders>
              <w:top w:val="nil"/>
              <w:left w:val="nil"/>
              <w:bottom w:val="nil"/>
              <w:right w:val="nil"/>
            </w:tcBorders>
            <w:shd w:val="clear" w:color="000000" w:fill="FFFFFF"/>
            <w:noWrap/>
            <w:vAlign w:val="center"/>
            <w:hideMark/>
          </w:tcPr>
          <w:p w14:paraId="7BB32B82"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0.4</w:t>
            </w:r>
          </w:p>
        </w:tc>
        <w:tc>
          <w:tcPr>
            <w:tcW w:w="691" w:type="dxa"/>
            <w:tcBorders>
              <w:top w:val="nil"/>
              <w:left w:val="nil"/>
              <w:bottom w:val="nil"/>
              <w:right w:val="nil"/>
            </w:tcBorders>
            <w:shd w:val="clear" w:color="000000" w:fill="E6F2FF"/>
            <w:noWrap/>
            <w:vAlign w:val="center"/>
            <w:hideMark/>
          </w:tcPr>
          <w:p w14:paraId="239912DD" w14:textId="30726054" w:rsidR="00F3791E" w:rsidRPr="00864963" w:rsidRDefault="00594653"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F3791E" w:rsidRPr="00864963">
              <w:rPr>
                <w:rFonts w:ascii="Arial" w:hAnsi="Arial" w:cs="Arial"/>
                <w:sz w:val="16"/>
                <w:szCs w:val="16"/>
              </w:rPr>
              <w:t>0.1</w:t>
            </w:r>
          </w:p>
        </w:tc>
        <w:tc>
          <w:tcPr>
            <w:tcW w:w="691" w:type="dxa"/>
            <w:tcBorders>
              <w:top w:val="nil"/>
              <w:left w:val="nil"/>
              <w:bottom w:val="nil"/>
              <w:right w:val="nil"/>
            </w:tcBorders>
            <w:shd w:val="clear" w:color="000000" w:fill="FFFFFF"/>
            <w:noWrap/>
            <w:vAlign w:val="center"/>
            <w:hideMark/>
          </w:tcPr>
          <w:p w14:paraId="42756CD8" w14:textId="55661C11" w:rsidR="00F3791E" w:rsidRPr="00864963" w:rsidRDefault="00594653"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F3791E" w:rsidRPr="00864963">
              <w:rPr>
                <w:rFonts w:ascii="Arial" w:hAnsi="Arial" w:cs="Arial"/>
                <w:sz w:val="16"/>
                <w:szCs w:val="16"/>
              </w:rPr>
              <w:t>1.4</w:t>
            </w:r>
          </w:p>
        </w:tc>
        <w:tc>
          <w:tcPr>
            <w:tcW w:w="691" w:type="dxa"/>
            <w:tcBorders>
              <w:top w:val="nil"/>
              <w:left w:val="nil"/>
              <w:bottom w:val="nil"/>
              <w:right w:val="nil"/>
            </w:tcBorders>
            <w:shd w:val="clear" w:color="000000" w:fill="FFFFFF"/>
            <w:noWrap/>
            <w:vAlign w:val="center"/>
            <w:hideMark/>
          </w:tcPr>
          <w:p w14:paraId="2DDD7C07" w14:textId="0B6DE2F7" w:rsidR="00F3791E" w:rsidRPr="00864963" w:rsidRDefault="00594653"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F3791E" w:rsidRPr="00864963">
              <w:rPr>
                <w:rFonts w:ascii="Arial" w:hAnsi="Arial" w:cs="Arial"/>
                <w:sz w:val="16"/>
                <w:szCs w:val="16"/>
              </w:rPr>
              <w:t>1.1</w:t>
            </w:r>
          </w:p>
        </w:tc>
        <w:tc>
          <w:tcPr>
            <w:tcW w:w="691" w:type="dxa"/>
            <w:tcBorders>
              <w:top w:val="nil"/>
              <w:left w:val="nil"/>
              <w:bottom w:val="nil"/>
              <w:right w:val="nil"/>
            </w:tcBorders>
            <w:shd w:val="clear" w:color="000000" w:fill="FFFFFF"/>
            <w:noWrap/>
            <w:vAlign w:val="center"/>
            <w:hideMark/>
          </w:tcPr>
          <w:p w14:paraId="24EBDF0D" w14:textId="1734AFFC" w:rsidR="00F3791E" w:rsidRPr="00864963" w:rsidRDefault="00594653"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F3791E" w:rsidRPr="00864963">
              <w:rPr>
                <w:rFonts w:ascii="Arial" w:hAnsi="Arial" w:cs="Arial"/>
                <w:sz w:val="16"/>
                <w:szCs w:val="16"/>
              </w:rPr>
              <w:t>0.8</w:t>
            </w:r>
          </w:p>
        </w:tc>
        <w:tc>
          <w:tcPr>
            <w:tcW w:w="104" w:type="dxa"/>
            <w:tcBorders>
              <w:top w:val="nil"/>
              <w:left w:val="nil"/>
              <w:bottom w:val="nil"/>
              <w:right w:val="nil"/>
            </w:tcBorders>
            <w:shd w:val="clear" w:color="000000" w:fill="FFFFFF"/>
            <w:noWrap/>
            <w:vAlign w:val="center"/>
            <w:hideMark/>
          </w:tcPr>
          <w:p w14:paraId="07D8CCA5"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704" w:type="dxa"/>
            <w:tcBorders>
              <w:top w:val="nil"/>
              <w:left w:val="nil"/>
              <w:bottom w:val="nil"/>
              <w:right w:val="nil"/>
            </w:tcBorders>
            <w:shd w:val="clear" w:color="000000" w:fill="FFFFFF"/>
            <w:noWrap/>
            <w:vAlign w:val="center"/>
            <w:hideMark/>
          </w:tcPr>
          <w:p w14:paraId="232F7E08" w14:textId="77777777" w:rsidR="00F3791E" w:rsidRPr="00864963" w:rsidRDefault="00F3791E" w:rsidP="00F3791E">
            <w:pPr>
              <w:spacing w:before="0" w:after="0" w:line="240" w:lineRule="auto"/>
              <w:jc w:val="right"/>
              <w:rPr>
                <w:rFonts w:ascii="Arial" w:hAnsi="Arial" w:cs="Arial"/>
                <w:b/>
                <w:bCs/>
                <w:sz w:val="16"/>
                <w:szCs w:val="16"/>
              </w:rPr>
            </w:pPr>
            <w:r w:rsidRPr="00864963">
              <w:rPr>
                <w:rFonts w:ascii="Arial" w:hAnsi="Arial" w:cs="Arial"/>
                <w:b/>
                <w:bCs/>
                <w:sz w:val="16"/>
                <w:szCs w:val="16"/>
              </w:rPr>
              <w:t> </w:t>
            </w:r>
          </w:p>
        </w:tc>
      </w:tr>
      <w:tr w:rsidR="00864963" w:rsidRPr="00864963" w14:paraId="41BA1804" w14:textId="77777777" w:rsidTr="00551C4E">
        <w:trPr>
          <w:trHeight w:val="60"/>
        </w:trPr>
        <w:tc>
          <w:tcPr>
            <w:tcW w:w="2364" w:type="dxa"/>
            <w:tcBorders>
              <w:top w:val="nil"/>
              <w:left w:val="nil"/>
              <w:bottom w:val="nil"/>
              <w:right w:val="nil"/>
            </w:tcBorders>
            <w:shd w:val="clear" w:color="000000" w:fill="FFFFFF"/>
            <w:noWrap/>
            <w:vAlign w:val="center"/>
            <w:hideMark/>
          </w:tcPr>
          <w:p w14:paraId="32A19182"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704" w:type="dxa"/>
            <w:tcBorders>
              <w:top w:val="nil"/>
              <w:left w:val="nil"/>
              <w:bottom w:val="nil"/>
              <w:right w:val="nil"/>
            </w:tcBorders>
            <w:shd w:val="clear" w:color="000000" w:fill="FFFFFF"/>
            <w:noWrap/>
            <w:vAlign w:val="center"/>
            <w:hideMark/>
          </w:tcPr>
          <w:p w14:paraId="7B57E3F1"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104" w:type="dxa"/>
            <w:tcBorders>
              <w:top w:val="nil"/>
              <w:left w:val="nil"/>
              <w:bottom w:val="nil"/>
              <w:right w:val="nil"/>
            </w:tcBorders>
            <w:shd w:val="clear" w:color="000000" w:fill="FFFFFF"/>
            <w:noWrap/>
            <w:vAlign w:val="center"/>
            <w:hideMark/>
          </w:tcPr>
          <w:p w14:paraId="75D08BD5"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692" w:type="dxa"/>
            <w:tcBorders>
              <w:top w:val="nil"/>
              <w:left w:val="nil"/>
              <w:bottom w:val="nil"/>
              <w:right w:val="nil"/>
            </w:tcBorders>
            <w:shd w:val="clear" w:color="000000" w:fill="FFFFFF"/>
            <w:noWrap/>
            <w:vAlign w:val="center"/>
            <w:hideMark/>
          </w:tcPr>
          <w:p w14:paraId="5C91712C"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691" w:type="dxa"/>
            <w:tcBorders>
              <w:top w:val="nil"/>
              <w:left w:val="nil"/>
              <w:bottom w:val="nil"/>
              <w:right w:val="nil"/>
            </w:tcBorders>
            <w:shd w:val="clear" w:color="000000" w:fill="E6F2FF"/>
            <w:noWrap/>
            <w:vAlign w:val="center"/>
            <w:hideMark/>
          </w:tcPr>
          <w:p w14:paraId="52AF9C7F"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691" w:type="dxa"/>
            <w:tcBorders>
              <w:top w:val="nil"/>
              <w:left w:val="nil"/>
              <w:bottom w:val="nil"/>
              <w:right w:val="nil"/>
            </w:tcBorders>
            <w:shd w:val="clear" w:color="000000" w:fill="FFFFFF"/>
            <w:noWrap/>
            <w:vAlign w:val="center"/>
            <w:hideMark/>
          </w:tcPr>
          <w:p w14:paraId="3613831D"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691" w:type="dxa"/>
            <w:tcBorders>
              <w:top w:val="nil"/>
              <w:left w:val="nil"/>
              <w:bottom w:val="nil"/>
              <w:right w:val="nil"/>
            </w:tcBorders>
            <w:shd w:val="clear" w:color="000000" w:fill="FFFFFF"/>
            <w:noWrap/>
            <w:vAlign w:val="center"/>
            <w:hideMark/>
          </w:tcPr>
          <w:p w14:paraId="2599B43F"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691" w:type="dxa"/>
            <w:tcBorders>
              <w:top w:val="nil"/>
              <w:left w:val="nil"/>
              <w:bottom w:val="nil"/>
              <w:right w:val="nil"/>
            </w:tcBorders>
            <w:shd w:val="clear" w:color="000000" w:fill="FFFFFF"/>
            <w:noWrap/>
            <w:vAlign w:val="center"/>
            <w:hideMark/>
          </w:tcPr>
          <w:p w14:paraId="14A49E05"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104" w:type="dxa"/>
            <w:tcBorders>
              <w:top w:val="nil"/>
              <w:left w:val="nil"/>
              <w:bottom w:val="nil"/>
              <w:right w:val="nil"/>
            </w:tcBorders>
            <w:shd w:val="clear" w:color="000000" w:fill="FFFFFF"/>
            <w:noWrap/>
            <w:vAlign w:val="center"/>
            <w:hideMark/>
          </w:tcPr>
          <w:p w14:paraId="0A4EE416"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704" w:type="dxa"/>
            <w:tcBorders>
              <w:top w:val="nil"/>
              <w:left w:val="nil"/>
              <w:bottom w:val="nil"/>
              <w:right w:val="nil"/>
            </w:tcBorders>
            <w:shd w:val="clear" w:color="000000" w:fill="FFFFFF"/>
            <w:noWrap/>
            <w:vAlign w:val="center"/>
            <w:hideMark/>
          </w:tcPr>
          <w:p w14:paraId="0F90D14C" w14:textId="77777777" w:rsidR="00F3791E" w:rsidRPr="00864963" w:rsidRDefault="00F3791E" w:rsidP="00F3791E">
            <w:pPr>
              <w:spacing w:before="0" w:after="0" w:line="240" w:lineRule="auto"/>
              <w:jc w:val="right"/>
              <w:rPr>
                <w:rFonts w:ascii="Arial" w:hAnsi="Arial" w:cs="Arial"/>
                <w:b/>
                <w:bCs/>
                <w:sz w:val="16"/>
                <w:szCs w:val="16"/>
              </w:rPr>
            </w:pPr>
            <w:r w:rsidRPr="00864963">
              <w:rPr>
                <w:rFonts w:ascii="Arial" w:hAnsi="Arial" w:cs="Arial"/>
                <w:b/>
                <w:bCs/>
                <w:sz w:val="16"/>
                <w:szCs w:val="16"/>
              </w:rPr>
              <w:t> </w:t>
            </w:r>
          </w:p>
        </w:tc>
      </w:tr>
      <w:tr w:rsidR="00864963" w:rsidRPr="00864963" w14:paraId="46EEAAEC" w14:textId="77777777" w:rsidTr="00551C4E">
        <w:trPr>
          <w:trHeight w:val="225"/>
        </w:trPr>
        <w:tc>
          <w:tcPr>
            <w:tcW w:w="2364" w:type="dxa"/>
            <w:tcBorders>
              <w:top w:val="nil"/>
              <w:left w:val="nil"/>
              <w:bottom w:val="nil"/>
              <w:right w:val="nil"/>
            </w:tcBorders>
            <w:shd w:val="clear" w:color="000000" w:fill="FFFFFF"/>
            <w:noWrap/>
            <w:vAlign w:val="center"/>
            <w:hideMark/>
          </w:tcPr>
          <w:p w14:paraId="1B382F44" w14:textId="77777777" w:rsidR="00F3791E" w:rsidRPr="00864963" w:rsidRDefault="00F3791E" w:rsidP="00F3791E">
            <w:pPr>
              <w:spacing w:before="0" w:after="0" w:line="240" w:lineRule="auto"/>
              <w:rPr>
                <w:rFonts w:ascii="Arial" w:hAnsi="Arial" w:cs="Arial"/>
                <w:b/>
                <w:bCs/>
                <w:sz w:val="16"/>
                <w:szCs w:val="16"/>
                <w:highlight w:val="darkCyan"/>
              </w:rPr>
            </w:pPr>
            <w:r w:rsidRPr="00864963">
              <w:rPr>
                <w:rFonts w:ascii="Arial" w:hAnsi="Arial" w:cs="Arial"/>
                <w:b/>
                <w:bCs/>
                <w:sz w:val="16"/>
                <w:szCs w:val="16"/>
              </w:rPr>
              <w:t>Net capital investment</w:t>
            </w:r>
          </w:p>
        </w:tc>
        <w:tc>
          <w:tcPr>
            <w:tcW w:w="704" w:type="dxa"/>
            <w:tcBorders>
              <w:top w:val="nil"/>
              <w:left w:val="nil"/>
              <w:bottom w:val="nil"/>
              <w:right w:val="nil"/>
            </w:tcBorders>
            <w:shd w:val="clear" w:color="000000" w:fill="FFFFFF"/>
            <w:noWrap/>
            <w:vAlign w:val="center"/>
            <w:hideMark/>
          </w:tcPr>
          <w:p w14:paraId="557A0710"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8.4</w:t>
            </w:r>
          </w:p>
        </w:tc>
        <w:tc>
          <w:tcPr>
            <w:tcW w:w="104" w:type="dxa"/>
            <w:tcBorders>
              <w:top w:val="nil"/>
              <w:left w:val="nil"/>
              <w:bottom w:val="nil"/>
              <w:right w:val="nil"/>
            </w:tcBorders>
            <w:shd w:val="clear" w:color="000000" w:fill="FFFFFF"/>
            <w:noWrap/>
            <w:vAlign w:val="center"/>
            <w:hideMark/>
          </w:tcPr>
          <w:p w14:paraId="456DD5F7"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692" w:type="dxa"/>
            <w:tcBorders>
              <w:top w:val="nil"/>
              <w:left w:val="nil"/>
              <w:bottom w:val="nil"/>
              <w:right w:val="nil"/>
            </w:tcBorders>
            <w:shd w:val="clear" w:color="000000" w:fill="FFFFFF"/>
            <w:noWrap/>
            <w:vAlign w:val="center"/>
            <w:hideMark/>
          </w:tcPr>
          <w:p w14:paraId="21B646D0"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10.4</w:t>
            </w:r>
          </w:p>
        </w:tc>
        <w:tc>
          <w:tcPr>
            <w:tcW w:w="691" w:type="dxa"/>
            <w:tcBorders>
              <w:top w:val="nil"/>
              <w:left w:val="nil"/>
              <w:bottom w:val="nil"/>
              <w:right w:val="nil"/>
            </w:tcBorders>
            <w:shd w:val="clear" w:color="000000" w:fill="E6F2FF"/>
            <w:noWrap/>
            <w:vAlign w:val="center"/>
            <w:hideMark/>
          </w:tcPr>
          <w:p w14:paraId="68C76A7C"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10.4</w:t>
            </w:r>
          </w:p>
        </w:tc>
        <w:tc>
          <w:tcPr>
            <w:tcW w:w="691" w:type="dxa"/>
            <w:tcBorders>
              <w:top w:val="nil"/>
              <w:left w:val="nil"/>
              <w:bottom w:val="nil"/>
              <w:right w:val="nil"/>
            </w:tcBorders>
            <w:shd w:val="clear" w:color="000000" w:fill="FFFFFF"/>
            <w:noWrap/>
            <w:vAlign w:val="center"/>
            <w:hideMark/>
          </w:tcPr>
          <w:p w14:paraId="454CF77B"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7.2</w:t>
            </w:r>
          </w:p>
        </w:tc>
        <w:tc>
          <w:tcPr>
            <w:tcW w:w="691" w:type="dxa"/>
            <w:tcBorders>
              <w:top w:val="nil"/>
              <w:left w:val="nil"/>
              <w:bottom w:val="nil"/>
              <w:right w:val="nil"/>
            </w:tcBorders>
            <w:shd w:val="clear" w:color="000000" w:fill="FFFFFF"/>
            <w:noWrap/>
            <w:vAlign w:val="center"/>
            <w:hideMark/>
          </w:tcPr>
          <w:p w14:paraId="34BEFAC2"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5.4</w:t>
            </w:r>
          </w:p>
        </w:tc>
        <w:tc>
          <w:tcPr>
            <w:tcW w:w="691" w:type="dxa"/>
            <w:tcBorders>
              <w:top w:val="nil"/>
              <w:left w:val="nil"/>
              <w:bottom w:val="nil"/>
              <w:right w:val="nil"/>
            </w:tcBorders>
            <w:shd w:val="clear" w:color="000000" w:fill="FFFFFF"/>
            <w:noWrap/>
            <w:vAlign w:val="center"/>
            <w:hideMark/>
          </w:tcPr>
          <w:p w14:paraId="1DA6AC7C"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9.3</w:t>
            </w:r>
          </w:p>
        </w:tc>
        <w:tc>
          <w:tcPr>
            <w:tcW w:w="104" w:type="dxa"/>
            <w:tcBorders>
              <w:top w:val="nil"/>
              <w:left w:val="nil"/>
              <w:bottom w:val="nil"/>
              <w:right w:val="nil"/>
            </w:tcBorders>
            <w:shd w:val="clear" w:color="000000" w:fill="FFFFFF"/>
            <w:noWrap/>
            <w:vAlign w:val="center"/>
            <w:hideMark/>
          </w:tcPr>
          <w:p w14:paraId="1E33D9E1"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704" w:type="dxa"/>
            <w:tcBorders>
              <w:top w:val="nil"/>
              <w:left w:val="nil"/>
              <w:bottom w:val="nil"/>
              <w:right w:val="nil"/>
            </w:tcBorders>
            <w:shd w:val="clear" w:color="000000" w:fill="FFFFFF"/>
            <w:noWrap/>
            <w:vAlign w:val="center"/>
            <w:hideMark/>
          </w:tcPr>
          <w:p w14:paraId="463A557E" w14:textId="77777777" w:rsidR="00F3791E" w:rsidRPr="00864963" w:rsidRDefault="00F3791E" w:rsidP="00F3791E">
            <w:pPr>
              <w:spacing w:before="0" w:after="0" w:line="240" w:lineRule="auto"/>
              <w:jc w:val="right"/>
              <w:rPr>
                <w:rFonts w:ascii="Arial" w:hAnsi="Arial" w:cs="Arial"/>
                <w:b/>
                <w:bCs/>
                <w:sz w:val="16"/>
                <w:szCs w:val="16"/>
              </w:rPr>
            </w:pPr>
            <w:r w:rsidRPr="00864963">
              <w:rPr>
                <w:rFonts w:ascii="Arial" w:hAnsi="Arial" w:cs="Arial"/>
                <w:b/>
                <w:bCs/>
                <w:sz w:val="16"/>
                <w:szCs w:val="16"/>
              </w:rPr>
              <w:t>42.8</w:t>
            </w:r>
          </w:p>
        </w:tc>
      </w:tr>
      <w:tr w:rsidR="00864963" w:rsidRPr="00864963" w14:paraId="4846C41B" w14:textId="77777777" w:rsidTr="00551C4E">
        <w:trPr>
          <w:trHeight w:val="225"/>
        </w:trPr>
        <w:tc>
          <w:tcPr>
            <w:tcW w:w="2364" w:type="dxa"/>
            <w:tcBorders>
              <w:top w:val="nil"/>
              <w:left w:val="nil"/>
              <w:bottom w:val="nil"/>
              <w:right w:val="nil"/>
            </w:tcBorders>
            <w:shd w:val="clear" w:color="000000" w:fill="FFFFFF"/>
            <w:noWrap/>
            <w:vAlign w:val="center"/>
            <w:hideMark/>
          </w:tcPr>
          <w:p w14:paraId="4D200C01"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Per cent of GDP</w:t>
            </w:r>
          </w:p>
        </w:tc>
        <w:tc>
          <w:tcPr>
            <w:tcW w:w="704" w:type="dxa"/>
            <w:tcBorders>
              <w:top w:val="nil"/>
              <w:left w:val="nil"/>
              <w:bottom w:val="nil"/>
              <w:right w:val="nil"/>
            </w:tcBorders>
            <w:shd w:val="clear" w:color="000000" w:fill="FFFFFF"/>
            <w:noWrap/>
            <w:vAlign w:val="center"/>
            <w:hideMark/>
          </w:tcPr>
          <w:p w14:paraId="61796E42"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0.4</w:t>
            </w:r>
          </w:p>
        </w:tc>
        <w:tc>
          <w:tcPr>
            <w:tcW w:w="104" w:type="dxa"/>
            <w:tcBorders>
              <w:top w:val="nil"/>
              <w:left w:val="nil"/>
              <w:bottom w:val="nil"/>
              <w:right w:val="nil"/>
            </w:tcBorders>
            <w:shd w:val="clear" w:color="000000" w:fill="FFFFFF"/>
            <w:noWrap/>
            <w:vAlign w:val="center"/>
            <w:hideMark/>
          </w:tcPr>
          <w:p w14:paraId="0A87C966"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2" w:type="dxa"/>
            <w:tcBorders>
              <w:top w:val="nil"/>
              <w:left w:val="nil"/>
              <w:bottom w:val="nil"/>
              <w:right w:val="nil"/>
            </w:tcBorders>
            <w:shd w:val="clear" w:color="000000" w:fill="FFFFFF"/>
            <w:noWrap/>
            <w:vAlign w:val="center"/>
            <w:hideMark/>
          </w:tcPr>
          <w:p w14:paraId="1646055B"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0.4</w:t>
            </w:r>
          </w:p>
        </w:tc>
        <w:tc>
          <w:tcPr>
            <w:tcW w:w="691" w:type="dxa"/>
            <w:tcBorders>
              <w:top w:val="nil"/>
              <w:left w:val="nil"/>
              <w:bottom w:val="nil"/>
              <w:right w:val="nil"/>
            </w:tcBorders>
            <w:shd w:val="clear" w:color="000000" w:fill="E6F2FF"/>
            <w:noWrap/>
            <w:vAlign w:val="center"/>
            <w:hideMark/>
          </w:tcPr>
          <w:p w14:paraId="1748297C"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0.4</w:t>
            </w:r>
          </w:p>
        </w:tc>
        <w:tc>
          <w:tcPr>
            <w:tcW w:w="691" w:type="dxa"/>
            <w:tcBorders>
              <w:top w:val="nil"/>
              <w:left w:val="nil"/>
              <w:bottom w:val="nil"/>
              <w:right w:val="nil"/>
            </w:tcBorders>
            <w:shd w:val="clear" w:color="000000" w:fill="FFFFFF"/>
            <w:noWrap/>
            <w:vAlign w:val="center"/>
            <w:hideMark/>
          </w:tcPr>
          <w:p w14:paraId="466C4114"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0.3</w:t>
            </w:r>
          </w:p>
        </w:tc>
        <w:tc>
          <w:tcPr>
            <w:tcW w:w="691" w:type="dxa"/>
            <w:tcBorders>
              <w:top w:val="nil"/>
              <w:left w:val="nil"/>
              <w:bottom w:val="nil"/>
              <w:right w:val="nil"/>
            </w:tcBorders>
            <w:shd w:val="clear" w:color="000000" w:fill="FFFFFF"/>
            <w:noWrap/>
            <w:vAlign w:val="center"/>
            <w:hideMark/>
          </w:tcPr>
          <w:p w14:paraId="42097D99"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0.2</w:t>
            </w:r>
          </w:p>
        </w:tc>
        <w:tc>
          <w:tcPr>
            <w:tcW w:w="691" w:type="dxa"/>
            <w:tcBorders>
              <w:top w:val="nil"/>
              <w:left w:val="nil"/>
              <w:bottom w:val="nil"/>
              <w:right w:val="nil"/>
            </w:tcBorders>
            <w:shd w:val="clear" w:color="000000" w:fill="FFFFFF"/>
            <w:noWrap/>
            <w:vAlign w:val="center"/>
            <w:hideMark/>
          </w:tcPr>
          <w:p w14:paraId="01242E8D"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0.3</w:t>
            </w:r>
          </w:p>
        </w:tc>
        <w:tc>
          <w:tcPr>
            <w:tcW w:w="104" w:type="dxa"/>
            <w:tcBorders>
              <w:top w:val="nil"/>
              <w:left w:val="nil"/>
              <w:bottom w:val="nil"/>
              <w:right w:val="nil"/>
            </w:tcBorders>
            <w:shd w:val="clear" w:color="000000" w:fill="FFFFFF"/>
            <w:noWrap/>
            <w:vAlign w:val="center"/>
            <w:hideMark/>
          </w:tcPr>
          <w:p w14:paraId="641A9423"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704" w:type="dxa"/>
            <w:tcBorders>
              <w:top w:val="nil"/>
              <w:left w:val="nil"/>
              <w:bottom w:val="nil"/>
              <w:right w:val="nil"/>
            </w:tcBorders>
            <w:shd w:val="clear" w:color="000000" w:fill="FFFFFF"/>
            <w:noWrap/>
            <w:vAlign w:val="center"/>
            <w:hideMark/>
          </w:tcPr>
          <w:p w14:paraId="6AB1F667" w14:textId="77777777" w:rsidR="00F3791E" w:rsidRPr="00864963" w:rsidRDefault="00F3791E" w:rsidP="00F3791E">
            <w:pPr>
              <w:spacing w:before="0" w:after="0" w:line="240" w:lineRule="auto"/>
              <w:jc w:val="right"/>
              <w:rPr>
                <w:rFonts w:ascii="Arial" w:hAnsi="Arial" w:cs="Arial"/>
                <w:b/>
                <w:bCs/>
                <w:sz w:val="16"/>
                <w:szCs w:val="16"/>
              </w:rPr>
            </w:pPr>
            <w:r w:rsidRPr="00864963">
              <w:rPr>
                <w:rFonts w:ascii="Arial" w:hAnsi="Arial" w:cs="Arial"/>
                <w:b/>
                <w:bCs/>
                <w:sz w:val="16"/>
                <w:szCs w:val="16"/>
              </w:rPr>
              <w:t> </w:t>
            </w:r>
          </w:p>
        </w:tc>
      </w:tr>
      <w:tr w:rsidR="00864963" w:rsidRPr="00864963" w14:paraId="1403FFC7" w14:textId="77777777" w:rsidTr="00551C4E">
        <w:trPr>
          <w:trHeight w:val="60"/>
        </w:trPr>
        <w:tc>
          <w:tcPr>
            <w:tcW w:w="2364" w:type="dxa"/>
            <w:tcBorders>
              <w:top w:val="nil"/>
              <w:left w:val="nil"/>
              <w:bottom w:val="nil"/>
              <w:right w:val="nil"/>
            </w:tcBorders>
            <w:shd w:val="clear" w:color="000000" w:fill="FFFFFF"/>
            <w:noWrap/>
            <w:vAlign w:val="center"/>
            <w:hideMark/>
          </w:tcPr>
          <w:p w14:paraId="5DDE0EDB"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 </w:t>
            </w:r>
          </w:p>
        </w:tc>
        <w:tc>
          <w:tcPr>
            <w:tcW w:w="704" w:type="dxa"/>
            <w:tcBorders>
              <w:top w:val="nil"/>
              <w:left w:val="nil"/>
              <w:bottom w:val="nil"/>
              <w:right w:val="nil"/>
            </w:tcBorders>
            <w:shd w:val="clear" w:color="000000" w:fill="FFFFFF"/>
            <w:noWrap/>
            <w:vAlign w:val="center"/>
            <w:hideMark/>
          </w:tcPr>
          <w:p w14:paraId="2AECD99A"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104" w:type="dxa"/>
            <w:tcBorders>
              <w:top w:val="nil"/>
              <w:left w:val="nil"/>
              <w:bottom w:val="nil"/>
              <w:right w:val="nil"/>
            </w:tcBorders>
            <w:shd w:val="clear" w:color="000000" w:fill="FFFFFF"/>
            <w:noWrap/>
            <w:vAlign w:val="center"/>
            <w:hideMark/>
          </w:tcPr>
          <w:p w14:paraId="5B64ADF4"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2" w:type="dxa"/>
            <w:tcBorders>
              <w:top w:val="nil"/>
              <w:left w:val="nil"/>
              <w:bottom w:val="nil"/>
              <w:right w:val="nil"/>
            </w:tcBorders>
            <w:shd w:val="clear" w:color="000000" w:fill="FFFFFF"/>
            <w:noWrap/>
            <w:vAlign w:val="center"/>
            <w:hideMark/>
          </w:tcPr>
          <w:p w14:paraId="40724EA5"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1" w:type="dxa"/>
            <w:tcBorders>
              <w:top w:val="nil"/>
              <w:left w:val="nil"/>
              <w:bottom w:val="nil"/>
              <w:right w:val="nil"/>
            </w:tcBorders>
            <w:shd w:val="clear" w:color="000000" w:fill="E6F2FF"/>
            <w:noWrap/>
            <w:vAlign w:val="center"/>
            <w:hideMark/>
          </w:tcPr>
          <w:p w14:paraId="7C3FE415"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1" w:type="dxa"/>
            <w:tcBorders>
              <w:top w:val="nil"/>
              <w:left w:val="nil"/>
              <w:bottom w:val="nil"/>
              <w:right w:val="nil"/>
            </w:tcBorders>
            <w:shd w:val="clear" w:color="000000" w:fill="FFFFFF"/>
            <w:noWrap/>
            <w:vAlign w:val="center"/>
            <w:hideMark/>
          </w:tcPr>
          <w:p w14:paraId="3A1DF928"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1" w:type="dxa"/>
            <w:tcBorders>
              <w:top w:val="nil"/>
              <w:left w:val="nil"/>
              <w:bottom w:val="nil"/>
              <w:right w:val="nil"/>
            </w:tcBorders>
            <w:shd w:val="clear" w:color="000000" w:fill="FFFFFF"/>
            <w:noWrap/>
            <w:vAlign w:val="center"/>
            <w:hideMark/>
          </w:tcPr>
          <w:p w14:paraId="2AEC535E"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1" w:type="dxa"/>
            <w:tcBorders>
              <w:top w:val="nil"/>
              <w:left w:val="nil"/>
              <w:bottom w:val="nil"/>
              <w:right w:val="nil"/>
            </w:tcBorders>
            <w:shd w:val="clear" w:color="000000" w:fill="FFFFFF"/>
            <w:noWrap/>
            <w:vAlign w:val="center"/>
            <w:hideMark/>
          </w:tcPr>
          <w:p w14:paraId="4746FCD6"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104" w:type="dxa"/>
            <w:tcBorders>
              <w:top w:val="nil"/>
              <w:left w:val="nil"/>
              <w:bottom w:val="nil"/>
              <w:right w:val="nil"/>
            </w:tcBorders>
            <w:shd w:val="clear" w:color="000000" w:fill="FFFFFF"/>
            <w:noWrap/>
            <w:vAlign w:val="center"/>
            <w:hideMark/>
          </w:tcPr>
          <w:p w14:paraId="095E86B8"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704" w:type="dxa"/>
            <w:tcBorders>
              <w:top w:val="nil"/>
              <w:left w:val="nil"/>
              <w:bottom w:val="nil"/>
              <w:right w:val="nil"/>
            </w:tcBorders>
            <w:shd w:val="clear" w:color="000000" w:fill="FFFFFF"/>
            <w:noWrap/>
            <w:vAlign w:val="center"/>
            <w:hideMark/>
          </w:tcPr>
          <w:p w14:paraId="0A6306AE" w14:textId="77777777" w:rsidR="00F3791E" w:rsidRPr="00864963" w:rsidRDefault="00F3791E" w:rsidP="00F3791E">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7AC0298A" w14:textId="77777777" w:rsidTr="00551C4E">
        <w:trPr>
          <w:trHeight w:val="225"/>
        </w:trPr>
        <w:tc>
          <w:tcPr>
            <w:tcW w:w="2364" w:type="dxa"/>
            <w:tcBorders>
              <w:top w:val="nil"/>
              <w:left w:val="nil"/>
              <w:right w:val="nil"/>
            </w:tcBorders>
            <w:shd w:val="clear" w:color="000000" w:fill="FFFFFF"/>
            <w:noWrap/>
            <w:vAlign w:val="center"/>
            <w:hideMark/>
          </w:tcPr>
          <w:p w14:paraId="78784277" w14:textId="77777777" w:rsidR="00F3791E" w:rsidRPr="00864963" w:rsidRDefault="00F3791E" w:rsidP="00F3791E">
            <w:pPr>
              <w:spacing w:before="0" w:after="0" w:line="240" w:lineRule="auto"/>
              <w:rPr>
                <w:rFonts w:ascii="Arial" w:hAnsi="Arial" w:cs="Arial"/>
                <w:b/>
                <w:bCs/>
                <w:sz w:val="16"/>
                <w:szCs w:val="16"/>
                <w:highlight w:val="darkCyan"/>
              </w:rPr>
            </w:pPr>
            <w:r w:rsidRPr="00864963">
              <w:rPr>
                <w:rFonts w:ascii="Arial" w:hAnsi="Arial" w:cs="Arial"/>
                <w:b/>
                <w:bCs/>
                <w:sz w:val="16"/>
                <w:szCs w:val="16"/>
              </w:rPr>
              <w:t>Fiscal balance</w:t>
            </w:r>
          </w:p>
        </w:tc>
        <w:tc>
          <w:tcPr>
            <w:tcW w:w="704" w:type="dxa"/>
            <w:tcBorders>
              <w:top w:val="nil"/>
              <w:left w:val="nil"/>
              <w:right w:val="nil"/>
            </w:tcBorders>
            <w:shd w:val="clear" w:color="000000" w:fill="FFFFFF"/>
            <w:noWrap/>
            <w:vAlign w:val="center"/>
            <w:hideMark/>
          </w:tcPr>
          <w:p w14:paraId="389AD2E1" w14:textId="2B3B1BB8" w:rsidR="00F3791E" w:rsidRPr="00864963" w:rsidRDefault="00594653"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noBreakHyphen/>
            </w:r>
            <w:r w:rsidR="00F3791E" w:rsidRPr="00864963">
              <w:rPr>
                <w:rFonts w:ascii="Arial" w:hAnsi="Arial" w:cs="Arial"/>
                <w:b/>
                <w:bCs/>
                <w:sz w:val="16"/>
                <w:szCs w:val="16"/>
              </w:rPr>
              <w:t>35.1</w:t>
            </w:r>
          </w:p>
        </w:tc>
        <w:tc>
          <w:tcPr>
            <w:tcW w:w="104" w:type="dxa"/>
            <w:tcBorders>
              <w:top w:val="nil"/>
              <w:left w:val="nil"/>
              <w:right w:val="nil"/>
            </w:tcBorders>
            <w:shd w:val="clear" w:color="000000" w:fill="FFFFFF"/>
            <w:noWrap/>
            <w:vAlign w:val="center"/>
            <w:hideMark/>
          </w:tcPr>
          <w:p w14:paraId="2698E120"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692" w:type="dxa"/>
            <w:tcBorders>
              <w:top w:val="nil"/>
              <w:left w:val="nil"/>
              <w:right w:val="nil"/>
            </w:tcBorders>
            <w:shd w:val="clear" w:color="000000" w:fill="FFFFFF"/>
            <w:noWrap/>
            <w:vAlign w:val="center"/>
            <w:hideMark/>
          </w:tcPr>
          <w:p w14:paraId="520144DE" w14:textId="31F91CF7" w:rsidR="00F3791E" w:rsidRPr="00864963" w:rsidRDefault="00594653"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noBreakHyphen/>
            </w:r>
            <w:r w:rsidR="00F3791E" w:rsidRPr="00864963">
              <w:rPr>
                <w:rFonts w:ascii="Arial" w:hAnsi="Arial" w:cs="Arial"/>
                <w:b/>
                <w:bCs/>
                <w:sz w:val="16"/>
                <w:szCs w:val="16"/>
              </w:rPr>
              <w:t>1.5</w:t>
            </w:r>
          </w:p>
        </w:tc>
        <w:tc>
          <w:tcPr>
            <w:tcW w:w="691" w:type="dxa"/>
            <w:tcBorders>
              <w:top w:val="nil"/>
              <w:left w:val="nil"/>
              <w:right w:val="nil"/>
            </w:tcBorders>
            <w:shd w:val="clear" w:color="000000" w:fill="E6F2FF"/>
            <w:noWrap/>
            <w:vAlign w:val="center"/>
            <w:hideMark/>
          </w:tcPr>
          <w:p w14:paraId="15BBD3FD" w14:textId="68F889C2" w:rsidR="00F3791E" w:rsidRPr="00864963" w:rsidRDefault="00594653"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noBreakHyphen/>
            </w:r>
            <w:r w:rsidR="00F3791E" w:rsidRPr="00864963">
              <w:rPr>
                <w:rFonts w:ascii="Arial" w:hAnsi="Arial" w:cs="Arial"/>
                <w:b/>
                <w:bCs/>
                <w:sz w:val="16"/>
                <w:szCs w:val="16"/>
              </w:rPr>
              <w:t>14.1</w:t>
            </w:r>
          </w:p>
        </w:tc>
        <w:tc>
          <w:tcPr>
            <w:tcW w:w="691" w:type="dxa"/>
            <w:tcBorders>
              <w:top w:val="nil"/>
              <w:left w:val="nil"/>
              <w:right w:val="nil"/>
            </w:tcBorders>
            <w:shd w:val="clear" w:color="000000" w:fill="FFFFFF"/>
            <w:noWrap/>
            <w:vAlign w:val="center"/>
            <w:hideMark/>
          </w:tcPr>
          <w:p w14:paraId="61C0547E" w14:textId="54DD3CFB" w:rsidR="00F3791E" w:rsidRPr="00864963" w:rsidRDefault="00594653"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noBreakHyphen/>
            </w:r>
            <w:r w:rsidR="00F3791E" w:rsidRPr="00864963">
              <w:rPr>
                <w:rFonts w:ascii="Arial" w:hAnsi="Arial" w:cs="Arial"/>
                <w:b/>
                <w:bCs/>
                <w:sz w:val="16"/>
                <w:szCs w:val="16"/>
              </w:rPr>
              <w:t>45.3</w:t>
            </w:r>
          </w:p>
        </w:tc>
        <w:tc>
          <w:tcPr>
            <w:tcW w:w="691" w:type="dxa"/>
            <w:tcBorders>
              <w:top w:val="nil"/>
              <w:left w:val="nil"/>
              <w:right w:val="nil"/>
            </w:tcBorders>
            <w:shd w:val="clear" w:color="000000" w:fill="FFFFFF"/>
            <w:noWrap/>
            <w:vAlign w:val="center"/>
            <w:hideMark/>
          </w:tcPr>
          <w:p w14:paraId="2A765FD5" w14:textId="35F5E461" w:rsidR="00F3791E" w:rsidRPr="00864963" w:rsidRDefault="00594653"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noBreakHyphen/>
            </w:r>
            <w:r w:rsidR="00F3791E" w:rsidRPr="00864963">
              <w:rPr>
                <w:rFonts w:ascii="Arial" w:hAnsi="Arial" w:cs="Arial"/>
                <w:b/>
                <w:bCs/>
                <w:sz w:val="16"/>
                <w:szCs w:val="16"/>
              </w:rPr>
              <w:t>35.0</w:t>
            </w:r>
          </w:p>
        </w:tc>
        <w:tc>
          <w:tcPr>
            <w:tcW w:w="691" w:type="dxa"/>
            <w:tcBorders>
              <w:top w:val="nil"/>
              <w:left w:val="nil"/>
              <w:right w:val="nil"/>
            </w:tcBorders>
            <w:shd w:val="clear" w:color="000000" w:fill="FFFFFF"/>
            <w:noWrap/>
            <w:vAlign w:val="center"/>
            <w:hideMark/>
          </w:tcPr>
          <w:p w14:paraId="1A474419" w14:textId="03FF9B25" w:rsidR="00F3791E" w:rsidRPr="00864963" w:rsidRDefault="00594653"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noBreakHyphen/>
            </w:r>
            <w:r w:rsidR="00F3791E" w:rsidRPr="00864963">
              <w:rPr>
                <w:rFonts w:ascii="Arial" w:hAnsi="Arial" w:cs="Arial"/>
                <w:b/>
                <w:bCs/>
                <w:sz w:val="16"/>
                <w:szCs w:val="16"/>
              </w:rPr>
              <w:t>32.8</w:t>
            </w:r>
          </w:p>
        </w:tc>
        <w:tc>
          <w:tcPr>
            <w:tcW w:w="104" w:type="dxa"/>
            <w:tcBorders>
              <w:top w:val="nil"/>
              <w:left w:val="nil"/>
              <w:right w:val="nil"/>
            </w:tcBorders>
            <w:shd w:val="clear" w:color="000000" w:fill="FFFFFF"/>
            <w:noWrap/>
            <w:vAlign w:val="center"/>
            <w:hideMark/>
          </w:tcPr>
          <w:p w14:paraId="3B0C4521" w14:textId="77777777" w:rsidR="00F3791E" w:rsidRPr="00864963" w:rsidRDefault="00F3791E" w:rsidP="00F3791E">
            <w:pPr>
              <w:spacing w:before="0" w:after="0" w:line="240" w:lineRule="auto"/>
              <w:jc w:val="right"/>
              <w:rPr>
                <w:rFonts w:ascii="Arial" w:hAnsi="Arial" w:cs="Arial"/>
                <w:b/>
                <w:bCs/>
                <w:sz w:val="16"/>
                <w:szCs w:val="16"/>
                <w:highlight w:val="darkCyan"/>
              </w:rPr>
            </w:pPr>
            <w:r w:rsidRPr="00864963">
              <w:rPr>
                <w:rFonts w:ascii="Arial" w:hAnsi="Arial" w:cs="Arial"/>
                <w:b/>
                <w:bCs/>
                <w:sz w:val="16"/>
                <w:szCs w:val="16"/>
              </w:rPr>
              <w:t> </w:t>
            </w:r>
          </w:p>
        </w:tc>
        <w:tc>
          <w:tcPr>
            <w:tcW w:w="704" w:type="dxa"/>
            <w:tcBorders>
              <w:top w:val="nil"/>
              <w:left w:val="nil"/>
              <w:right w:val="nil"/>
            </w:tcBorders>
            <w:shd w:val="clear" w:color="000000" w:fill="FFFFFF"/>
            <w:noWrap/>
            <w:vAlign w:val="center"/>
            <w:hideMark/>
          </w:tcPr>
          <w:p w14:paraId="60C4D8DB" w14:textId="254694FC" w:rsidR="00F3791E" w:rsidRPr="00864963" w:rsidRDefault="00594653" w:rsidP="00F3791E">
            <w:pPr>
              <w:spacing w:before="0" w:after="0" w:line="240" w:lineRule="auto"/>
              <w:jc w:val="right"/>
              <w:rPr>
                <w:rFonts w:ascii="Arial" w:hAnsi="Arial" w:cs="Arial"/>
                <w:b/>
                <w:bCs/>
                <w:sz w:val="16"/>
                <w:szCs w:val="16"/>
              </w:rPr>
            </w:pPr>
            <w:r w:rsidRPr="00864963">
              <w:rPr>
                <w:rFonts w:ascii="Arial" w:hAnsi="Arial" w:cs="Arial"/>
                <w:b/>
                <w:bCs/>
                <w:sz w:val="16"/>
                <w:szCs w:val="16"/>
              </w:rPr>
              <w:noBreakHyphen/>
            </w:r>
            <w:r w:rsidR="00F3791E" w:rsidRPr="00864963">
              <w:rPr>
                <w:rFonts w:ascii="Arial" w:hAnsi="Arial" w:cs="Arial"/>
                <w:b/>
                <w:bCs/>
                <w:sz w:val="16"/>
                <w:szCs w:val="16"/>
              </w:rPr>
              <w:t>128.7</w:t>
            </w:r>
          </w:p>
        </w:tc>
      </w:tr>
      <w:tr w:rsidR="00864963" w:rsidRPr="00864963" w14:paraId="7D8EAF2E" w14:textId="77777777" w:rsidTr="00551C4E">
        <w:trPr>
          <w:trHeight w:val="225"/>
        </w:trPr>
        <w:tc>
          <w:tcPr>
            <w:tcW w:w="2364" w:type="dxa"/>
            <w:tcBorders>
              <w:top w:val="nil"/>
              <w:left w:val="nil"/>
              <w:bottom w:val="single" w:sz="4" w:space="0" w:color="000000"/>
              <w:right w:val="nil"/>
            </w:tcBorders>
            <w:shd w:val="clear" w:color="000000" w:fill="FFFFFF"/>
            <w:noWrap/>
            <w:vAlign w:val="center"/>
            <w:hideMark/>
          </w:tcPr>
          <w:p w14:paraId="3906871F" w14:textId="77777777" w:rsidR="00F3791E" w:rsidRPr="00864963" w:rsidRDefault="00F3791E" w:rsidP="00F3791E">
            <w:pPr>
              <w:spacing w:before="0" w:after="0" w:line="240" w:lineRule="auto"/>
              <w:rPr>
                <w:rFonts w:ascii="Arial" w:hAnsi="Arial" w:cs="Arial"/>
                <w:sz w:val="16"/>
                <w:szCs w:val="16"/>
                <w:highlight w:val="darkCyan"/>
              </w:rPr>
            </w:pPr>
            <w:r w:rsidRPr="00864963">
              <w:rPr>
                <w:rFonts w:ascii="Arial" w:hAnsi="Arial" w:cs="Arial"/>
                <w:sz w:val="16"/>
                <w:szCs w:val="16"/>
              </w:rPr>
              <w:t>Per cent of GDP</w:t>
            </w:r>
          </w:p>
        </w:tc>
        <w:tc>
          <w:tcPr>
            <w:tcW w:w="704" w:type="dxa"/>
            <w:tcBorders>
              <w:top w:val="nil"/>
              <w:left w:val="nil"/>
              <w:bottom w:val="single" w:sz="4" w:space="0" w:color="000000"/>
              <w:right w:val="nil"/>
            </w:tcBorders>
            <w:shd w:val="clear" w:color="000000" w:fill="FFFFFF"/>
            <w:noWrap/>
            <w:vAlign w:val="center"/>
            <w:hideMark/>
          </w:tcPr>
          <w:p w14:paraId="4A7A90FE" w14:textId="468A1D8A" w:rsidR="00F3791E" w:rsidRPr="00864963" w:rsidRDefault="00594653"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F3791E" w:rsidRPr="00864963">
              <w:rPr>
                <w:rFonts w:ascii="Arial" w:hAnsi="Arial" w:cs="Arial"/>
                <w:sz w:val="16"/>
                <w:szCs w:val="16"/>
              </w:rPr>
              <w:t>1.5</w:t>
            </w:r>
          </w:p>
        </w:tc>
        <w:tc>
          <w:tcPr>
            <w:tcW w:w="104" w:type="dxa"/>
            <w:tcBorders>
              <w:top w:val="nil"/>
              <w:left w:val="nil"/>
              <w:bottom w:val="single" w:sz="4" w:space="0" w:color="000000"/>
              <w:right w:val="nil"/>
            </w:tcBorders>
            <w:shd w:val="clear" w:color="000000" w:fill="FFFFFF"/>
            <w:noWrap/>
            <w:vAlign w:val="center"/>
            <w:hideMark/>
          </w:tcPr>
          <w:p w14:paraId="5B194D38"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692" w:type="dxa"/>
            <w:tcBorders>
              <w:top w:val="nil"/>
              <w:left w:val="nil"/>
              <w:bottom w:val="single" w:sz="4" w:space="0" w:color="000000"/>
              <w:right w:val="nil"/>
            </w:tcBorders>
            <w:shd w:val="clear" w:color="000000" w:fill="FFFFFF"/>
            <w:noWrap/>
            <w:vAlign w:val="center"/>
            <w:hideMark/>
          </w:tcPr>
          <w:p w14:paraId="74B43B3A" w14:textId="6EB9A150" w:rsidR="00F3791E" w:rsidRPr="00864963" w:rsidRDefault="00594653"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F3791E" w:rsidRPr="00864963">
              <w:rPr>
                <w:rFonts w:ascii="Arial" w:hAnsi="Arial" w:cs="Arial"/>
                <w:sz w:val="16"/>
                <w:szCs w:val="16"/>
              </w:rPr>
              <w:t>0.1</w:t>
            </w:r>
          </w:p>
        </w:tc>
        <w:tc>
          <w:tcPr>
            <w:tcW w:w="691" w:type="dxa"/>
            <w:tcBorders>
              <w:top w:val="nil"/>
              <w:left w:val="nil"/>
              <w:bottom w:val="single" w:sz="4" w:space="0" w:color="000000"/>
              <w:right w:val="nil"/>
            </w:tcBorders>
            <w:shd w:val="clear" w:color="000000" w:fill="E6F2FF"/>
            <w:noWrap/>
            <w:vAlign w:val="center"/>
            <w:hideMark/>
          </w:tcPr>
          <w:p w14:paraId="415110C3" w14:textId="4377D2E6" w:rsidR="00F3791E" w:rsidRPr="00864963" w:rsidRDefault="00594653"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F3791E" w:rsidRPr="00864963">
              <w:rPr>
                <w:rFonts w:ascii="Arial" w:hAnsi="Arial" w:cs="Arial"/>
                <w:sz w:val="16"/>
                <w:szCs w:val="16"/>
              </w:rPr>
              <w:t>0.5</w:t>
            </w:r>
          </w:p>
        </w:tc>
        <w:tc>
          <w:tcPr>
            <w:tcW w:w="691" w:type="dxa"/>
            <w:tcBorders>
              <w:top w:val="nil"/>
              <w:left w:val="nil"/>
              <w:bottom w:val="single" w:sz="4" w:space="0" w:color="000000"/>
              <w:right w:val="nil"/>
            </w:tcBorders>
            <w:shd w:val="clear" w:color="000000" w:fill="FFFFFF"/>
            <w:noWrap/>
            <w:vAlign w:val="center"/>
            <w:hideMark/>
          </w:tcPr>
          <w:p w14:paraId="5DFCE9DF" w14:textId="1DC0EB41" w:rsidR="00F3791E" w:rsidRPr="00864963" w:rsidRDefault="00594653"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F3791E" w:rsidRPr="00864963">
              <w:rPr>
                <w:rFonts w:ascii="Arial" w:hAnsi="Arial" w:cs="Arial"/>
                <w:sz w:val="16"/>
                <w:szCs w:val="16"/>
              </w:rPr>
              <w:t>1.7</w:t>
            </w:r>
          </w:p>
        </w:tc>
        <w:tc>
          <w:tcPr>
            <w:tcW w:w="691" w:type="dxa"/>
            <w:tcBorders>
              <w:top w:val="nil"/>
              <w:left w:val="nil"/>
              <w:bottom w:val="single" w:sz="4" w:space="0" w:color="000000"/>
              <w:right w:val="nil"/>
            </w:tcBorders>
            <w:shd w:val="clear" w:color="000000" w:fill="FFFFFF"/>
            <w:noWrap/>
            <w:vAlign w:val="center"/>
            <w:hideMark/>
          </w:tcPr>
          <w:p w14:paraId="4AA4F278" w14:textId="69111034" w:rsidR="00F3791E" w:rsidRPr="00864963" w:rsidRDefault="00594653"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F3791E" w:rsidRPr="00864963">
              <w:rPr>
                <w:rFonts w:ascii="Arial" w:hAnsi="Arial" w:cs="Arial"/>
                <w:sz w:val="16"/>
                <w:szCs w:val="16"/>
              </w:rPr>
              <w:t>1.3</w:t>
            </w:r>
          </w:p>
        </w:tc>
        <w:tc>
          <w:tcPr>
            <w:tcW w:w="691" w:type="dxa"/>
            <w:tcBorders>
              <w:top w:val="nil"/>
              <w:left w:val="nil"/>
              <w:bottom w:val="single" w:sz="4" w:space="0" w:color="000000"/>
              <w:right w:val="nil"/>
            </w:tcBorders>
            <w:shd w:val="clear" w:color="000000" w:fill="FFFFFF"/>
            <w:noWrap/>
            <w:vAlign w:val="center"/>
            <w:hideMark/>
          </w:tcPr>
          <w:p w14:paraId="34F6B2FF" w14:textId="0A8C0C38" w:rsidR="00F3791E" w:rsidRPr="00864963" w:rsidRDefault="00594653"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noBreakHyphen/>
            </w:r>
            <w:r w:rsidR="00F3791E" w:rsidRPr="00864963">
              <w:rPr>
                <w:rFonts w:ascii="Arial" w:hAnsi="Arial" w:cs="Arial"/>
                <w:sz w:val="16"/>
                <w:szCs w:val="16"/>
              </w:rPr>
              <w:t>1.1</w:t>
            </w:r>
          </w:p>
        </w:tc>
        <w:tc>
          <w:tcPr>
            <w:tcW w:w="104" w:type="dxa"/>
            <w:tcBorders>
              <w:top w:val="nil"/>
              <w:left w:val="nil"/>
              <w:bottom w:val="single" w:sz="4" w:space="0" w:color="000000"/>
              <w:right w:val="nil"/>
            </w:tcBorders>
            <w:shd w:val="clear" w:color="000000" w:fill="FFFFFF"/>
            <w:noWrap/>
            <w:vAlign w:val="center"/>
            <w:hideMark/>
          </w:tcPr>
          <w:p w14:paraId="773DAC76" w14:textId="77777777" w:rsidR="00F3791E" w:rsidRPr="00864963" w:rsidRDefault="00F3791E" w:rsidP="00F3791E">
            <w:pPr>
              <w:spacing w:before="0" w:after="0" w:line="240" w:lineRule="auto"/>
              <w:jc w:val="right"/>
              <w:rPr>
                <w:rFonts w:ascii="Arial" w:hAnsi="Arial" w:cs="Arial"/>
                <w:sz w:val="16"/>
                <w:szCs w:val="16"/>
                <w:highlight w:val="darkCyan"/>
              </w:rPr>
            </w:pPr>
            <w:r w:rsidRPr="00864963">
              <w:rPr>
                <w:rFonts w:ascii="Arial" w:hAnsi="Arial" w:cs="Arial"/>
                <w:sz w:val="16"/>
                <w:szCs w:val="16"/>
              </w:rPr>
              <w:t> </w:t>
            </w:r>
          </w:p>
        </w:tc>
        <w:tc>
          <w:tcPr>
            <w:tcW w:w="704" w:type="dxa"/>
            <w:tcBorders>
              <w:top w:val="nil"/>
              <w:left w:val="nil"/>
              <w:bottom w:val="single" w:sz="4" w:space="0" w:color="000000"/>
              <w:right w:val="nil"/>
            </w:tcBorders>
            <w:shd w:val="clear" w:color="000000" w:fill="FFFFFF"/>
            <w:noWrap/>
            <w:vAlign w:val="center"/>
            <w:hideMark/>
          </w:tcPr>
          <w:p w14:paraId="140E242E" w14:textId="77777777" w:rsidR="00F3791E" w:rsidRPr="00864963" w:rsidRDefault="00F3791E" w:rsidP="00F3791E">
            <w:pPr>
              <w:spacing w:before="0" w:after="0" w:line="240" w:lineRule="auto"/>
              <w:jc w:val="right"/>
              <w:rPr>
                <w:rFonts w:ascii="Arial" w:hAnsi="Arial" w:cs="Arial"/>
                <w:sz w:val="16"/>
                <w:szCs w:val="16"/>
              </w:rPr>
            </w:pPr>
            <w:r w:rsidRPr="00864963">
              <w:rPr>
                <w:rFonts w:ascii="Arial" w:hAnsi="Arial" w:cs="Arial"/>
                <w:sz w:val="16"/>
                <w:szCs w:val="16"/>
              </w:rPr>
              <w:t> </w:t>
            </w:r>
          </w:p>
        </w:tc>
      </w:tr>
    </w:tbl>
    <w:p w14:paraId="10FFDE7E" w14:textId="6B928A20" w:rsidR="00D01E96" w:rsidRPr="00237EF5" w:rsidRDefault="00D01E96" w:rsidP="00D57DA8">
      <w:pPr>
        <w:pStyle w:val="ChartandTableFootnoteAlpha"/>
        <w:numPr>
          <w:ilvl w:val="0"/>
          <w:numId w:val="14"/>
        </w:numPr>
        <w:rPr>
          <w:rFonts w:asciiTheme="majorHAnsi" w:hAnsiTheme="majorHAnsi" w:cstheme="majorHAnsi"/>
          <w:szCs w:val="16"/>
        </w:rPr>
      </w:pPr>
      <w:r w:rsidRPr="004E1159">
        <w:rPr>
          <w:color w:val="auto"/>
        </w:rPr>
        <w:t>Total is equal to the sum of amounts from 2022–23 to 202</w:t>
      </w:r>
      <w:r w:rsidR="00137810" w:rsidRPr="004E1159">
        <w:rPr>
          <w:color w:val="auto"/>
        </w:rPr>
        <w:t>6</w:t>
      </w:r>
      <w:r w:rsidR="00235899" w:rsidRPr="004E1159">
        <w:rPr>
          <w:color w:val="auto"/>
        </w:rPr>
        <w:t>–</w:t>
      </w:r>
      <w:r w:rsidR="00137810" w:rsidRPr="004E1159">
        <w:rPr>
          <w:color w:val="auto"/>
        </w:rPr>
        <w:t>27</w:t>
      </w:r>
      <w:r w:rsidRPr="004E1159">
        <w:rPr>
          <w:color w:val="auto"/>
        </w:rPr>
        <w:t>.</w:t>
      </w:r>
      <w:r w:rsidR="00074D70" w:rsidRPr="004E1159">
        <w:rPr>
          <w:color w:val="auto"/>
        </w:rPr>
        <w:t xml:space="preserve"> </w:t>
      </w:r>
    </w:p>
    <w:p w14:paraId="43073FAC" w14:textId="77777777" w:rsidR="00D01E96" w:rsidRPr="00EA288B" w:rsidRDefault="00D01E96" w:rsidP="00FF3EF8">
      <w:pPr>
        <w:pStyle w:val="ChartLine"/>
      </w:pPr>
    </w:p>
    <w:p w14:paraId="4DE6D27B" w14:textId="77777777" w:rsidR="00844907" w:rsidRDefault="00844907" w:rsidP="00D01E96">
      <w:r>
        <w:br w:type="page"/>
      </w:r>
    </w:p>
    <w:p w14:paraId="0822704C" w14:textId="21C05BE8" w:rsidR="00D01E96" w:rsidRPr="00EA288B" w:rsidRDefault="00E21765" w:rsidP="00D01E96">
      <w:r w:rsidRPr="004E1159">
        <w:lastRenderedPageBreak/>
        <w:t>Table </w:t>
      </w:r>
      <w:r w:rsidR="00D01E96" w:rsidRPr="004E1159">
        <w:t xml:space="preserve">3.9 provides a reconciliation of fiscal balance estimates, including the impact of policy decisions and parameter and other variations on revenue and expenses since </w:t>
      </w:r>
      <w:r w:rsidR="009E5BB9" w:rsidRPr="004E1159">
        <w:t xml:space="preserve">the </w:t>
      </w:r>
      <w:r w:rsidR="00F634C3" w:rsidRPr="004E1159">
        <w:t>October Budget</w:t>
      </w:r>
      <w:r w:rsidR="00D01E96" w:rsidRPr="004E1159">
        <w:t>. The drivers of movements in the fiscal balance estimates are largely the same as for the underlying cash balance.</w:t>
      </w:r>
    </w:p>
    <w:p w14:paraId="13544BC7" w14:textId="0021BA02" w:rsidR="003F4D4B" w:rsidRDefault="00E21765" w:rsidP="003F4D4B">
      <w:pPr>
        <w:pStyle w:val="TableHeading"/>
        <w:rPr>
          <w:rFonts w:asciiTheme="minorHAnsi" w:eastAsiaTheme="minorHAnsi" w:hAnsiTheme="minorHAnsi" w:cstheme="minorBidi"/>
          <w:sz w:val="22"/>
          <w:szCs w:val="22"/>
          <w:lang w:eastAsia="en-US"/>
        </w:rPr>
      </w:pPr>
      <w:r w:rsidRPr="004E1159">
        <w:t>Table </w:t>
      </w:r>
      <w:r w:rsidR="00D01E96" w:rsidRPr="004E1159">
        <w:t>3.</w:t>
      </w:r>
      <w:r w:rsidR="00C00330" w:rsidRPr="004E1159">
        <w:t>9</w:t>
      </w:r>
      <w:r w:rsidR="00D01E96" w:rsidRPr="004E1159">
        <w:t>: Reconciliation of</w:t>
      </w:r>
      <w:r w:rsidR="00B13D01" w:rsidRPr="004E1159">
        <w:t xml:space="preserve"> general government sector </w:t>
      </w:r>
      <w:r w:rsidR="00D01E96" w:rsidRPr="004E1159">
        <w:t>fiscal balance estimates</w:t>
      </w:r>
    </w:p>
    <w:tbl>
      <w:tblPr>
        <w:tblW w:w="5000" w:type="pct"/>
        <w:tblCellMar>
          <w:left w:w="0" w:type="dxa"/>
          <w:right w:w="28" w:type="dxa"/>
        </w:tblCellMar>
        <w:tblLook w:val="04A0" w:firstRow="1" w:lastRow="0" w:firstColumn="1" w:lastColumn="0" w:noHBand="0" w:noVBand="1"/>
      </w:tblPr>
      <w:tblGrid>
        <w:gridCol w:w="3346"/>
        <w:gridCol w:w="686"/>
        <w:gridCol w:w="684"/>
        <w:gridCol w:w="684"/>
        <w:gridCol w:w="684"/>
        <w:gridCol w:w="687"/>
        <w:gridCol w:w="78"/>
        <w:gridCol w:w="861"/>
      </w:tblGrid>
      <w:tr w:rsidR="00864963" w:rsidRPr="00864963" w14:paraId="054B18C9" w14:textId="77777777" w:rsidTr="003F4D4B">
        <w:trPr>
          <w:trHeight w:hRule="exact" w:val="225"/>
        </w:trPr>
        <w:tc>
          <w:tcPr>
            <w:tcW w:w="2086" w:type="pct"/>
            <w:tcBorders>
              <w:top w:val="single" w:sz="4" w:space="0" w:color="000000"/>
              <w:left w:val="nil"/>
              <w:bottom w:val="nil"/>
              <w:right w:val="nil"/>
            </w:tcBorders>
            <w:shd w:val="clear" w:color="000000" w:fill="FFFFFF"/>
            <w:noWrap/>
            <w:vAlign w:val="center"/>
            <w:hideMark/>
          </w:tcPr>
          <w:p w14:paraId="240D6273" w14:textId="138C959C" w:rsidR="003F4D4B" w:rsidRPr="00864963" w:rsidRDefault="003F4D4B" w:rsidP="003F4D4B">
            <w:pPr>
              <w:spacing w:before="0" w:after="0" w:line="240" w:lineRule="auto"/>
              <w:rPr>
                <w:rFonts w:ascii="Arial" w:hAnsi="Arial" w:cs="Arial"/>
                <w:sz w:val="16"/>
                <w:szCs w:val="16"/>
              </w:rPr>
            </w:pPr>
            <w:r w:rsidRPr="00864963">
              <w:rPr>
                <w:rFonts w:ascii="Arial" w:hAnsi="Arial" w:cs="Arial"/>
                <w:sz w:val="16"/>
                <w:szCs w:val="16"/>
              </w:rPr>
              <w:t> </w:t>
            </w:r>
          </w:p>
        </w:tc>
        <w:tc>
          <w:tcPr>
            <w:tcW w:w="2282" w:type="pct"/>
            <w:gridSpan w:val="5"/>
            <w:tcBorders>
              <w:top w:val="single" w:sz="4" w:space="0" w:color="000000"/>
              <w:left w:val="nil"/>
              <w:bottom w:val="single" w:sz="4" w:space="0" w:color="000000"/>
              <w:right w:val="nil"/>
            </w:tcBorders>
            <w:shd w:val="clear" w:color="000000" w:fill="FFFFFF"/>
            <w:noWrap/>
            <w:vAlign w:val="center"/>
            <w:hideMark/>
          </w:tcPr>
          <w:p w14:paraId="308691B9" w14:textId="77777777" w:rsidR="003F4D4B" w:rsidRPr="00864963" w:rsidRDefault="003F4D4B" w:rsidP="003F4D4B">
            <w:pPr>
              <w:spacing w:before="0" w:after="0" w:line="240" w:lineRule="auto"/>
              <w:jc w:val="center"/>
              <w:rPr>
                <w:rFonts w:ascii="Arial" w:hAnsi="Arial" w:cs="Arial"/>
                <w:sz w:val="16"/>
                <w:szCs w:val="16"/>
              </w:rPr>
            </w:pPr>
            <w:r w:rsidRPr="00864963">
              <w:rPr>
                <w:rFonts w:ascii="Arial" w:hAnsi="Arial" w:cs="Arial"/>
                <w:sz w:val="16"/>
                <w:szCs w:val="16"/>
              </w:rPr>
              <w:t>Estimates</w:t>
            </w:r>
          </w:p>
        </w:tc>
        <w:tc>
          <w:tcPr>
            <w:tcW w:w="62" w:type="pct"/>
            <w:tcBorders>
              <w:top w:val="single" w:sz="4" w:space="0" w:color="000000"/>
              <w:left w:val="nil"/>
              <w:bottom w:val="nil"/>
              <w:right w:val="nil"/>
            </w:tcBorders>
            <w:shd w:val="clear" w:color="000000" w:fill="FFFFFF"/>
            <w:noWrap/>
            <w:vAlign w:val="center"/>
            <w:hideMark/>
          </w:tcPr>
          <w:p w14:paraId="359125AC" w14:textId="77777777" w:rsidR="003F4D4B" w:rsidRPr="00864963" w:rsidRDefault="003F4D4B" w:rsidP="003F4D4B">
            <w:pPr>
              <w:spacing w:before="0" w:after="0" w:line="240" w:lineRule="auto"/>
              <w:rPr>
                <w:rFonts w:ascii="Arial" w:hAnsi="Arial" w:cs="Arial"/>
                <w:sz w:val="16"/>
                <w:szCs w:val="16"/>
              </w:rPr>
            </w:pPr>
            <w:r w:rsidRPr="00864963">
              <w:rPr>
                <w:rFonts w:ascii="Arial" w:hAnsi="Arial" w:cs="Arial"/>
                <w:sz w:val="16"/>
                <w:szCs w:val="16"/>
              </w:rPr>
              <w:t> </w:t>
            </w:r>
          </w:p>
        </w:tc>
        <w:tc>
          <w:tcPr>
            <w:tcW w:w="571" w:type="pct"/>
            <w:tcBorders>
              <w:top w:val="single" w:sz="4" w:space="0" w:color="000000"/>
              <w:left w:val="nil"/>
              <w:bottom w:val="single" w:sz="4" w:space="0" w:color="293F5B"/>
              <w:right w:val="nil"/>
            </w:tcBorders>
            <w:shd w:val="clear" w:color="000000" w:fill="FFFFFF"/>
            <w:noWrap/>
            <w:vAlign w:val="center"/>
            <w:hideMark/>
          </w:tcPr>
          <w:p w14:paraId="1C5F0B8E" w14:textId="77777777" w:rsidR="003F4D4B" w:rsidRPr="00864963" w:rsidRDefault="003F4D4B" w:rsidP="003F4D4B">
            <w:pPr>
              <w:spacing w:before="0" w:after="0" w:line="240" w:lineRule="auto"/>
              <w:rPr>
                <w:rFonts w:ascii="Arial" w:hAnsi="Arial" w:cs="Arial"/>
                <w:sz w:val="16"/>
                <w:szCs w:val="16"/>
              </w:rPr>
            </w:pPr>
            <w:r w:rsidRPr="00864963">
              <w:rPr>
                <w:rFonts w:ascii="Arial" w:hAnsi="Arial" w:cs="Arial"/>
                <w:sz w:val="16"/>
                <w:szCs w:val="16"/>
              </w:rPr>
              <w:t> </w:t>
            </w:r>
          </w:p>
        </w:tc>
      </w:tr>
      <w:tr w:rsidR="00864963" w:rsidRPr="00864963" w14:paraId="10E96969" w14:textId="77777777" w:rsidTr="003F4D4B">
        <w:trPr>
          <w:trHeight w:hRule="exact" w:val="225"/>
        </w:trPr>
        <w:tc>
          <w:tcPr>
            <w:tcW w:w="2086" w:type="pct"/>
            <w:tcBorders>
              <w:top w:val="nil"/>
              <w:left w:val="nil"/>
              <w:bottom w:val="nil"/>
              <w:right w:val="nil"/>
            </w:tcBorders>
            <w:shd w:val="clear" w:color="000000" w:fill="FFFFFF"/>
            <w:noWrap/>
            <w:vAlign w:val="bottom"/>
            <w:hideMark/>
          </w:tcPr>
          <w:p w14:paraId="2D029476" w14:textId="77777777" w:rsidR="003F4D4B" w:rsidRPr="00864963" w:rsidRDefault="003F4D4B" w:rsidP="003F4D4B">
            <w:pPr>
              <w:spacing w:before="0" w:after="0" w:line="240" w:lineRule="auto"/>
              <w:rPr>
                <w:rFonts w:ascii="Arial" w:hAnsi="Arial" w:cs="Arial"/>
                <w:sz w:val="16"/>
                <w:szCs w:val="16"/>
              </w:rPr>
            </w:pPr>
            <w:r w:rsidRPr="00864963">
              <w:rPr>
                <w:rFonts w:ascii="Arial" w:hAnsi="Arial" w:cs="Arial"/>
                <w:sz w:val="16"/>
                <w:szCs w:val="16"/>
              </w:rPr>
              <w:t> </w:t>
            </w:r>
          </w:p>
        </w:tc>
        <w:tc>
          <w:tcPr>
            <w:tcW w:w="457" w:type="pct"/>
            <w:tcBorders>
              <w:top w:val="single" w:sz="4" w:space="0" w:color="293F5B"/>
              <w:left w:val="nil"/>
              <w:bottom w:val="nil"/>
              <w:right w:val="nil"/>
            </w:tcBorders>
            <w:shd w:val="clear" w:color="000000" w:fill="FFFFFF"/>
            <w:noWrap/>
            <w:vAlign w:val="center"/>
            <w:hideMark/>
          </w:tcPr>
          <w:p w14:paraId="57064A9B"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2022–23</w:t>
            </w:r>
          </w:p>
        </w:tc>
        <w:tc>
          <w:tcPr>
            <w:tcW w:w="456" w:type="pct"/>
            <w:tcBorders>
              <w:top w:val="single" w:sz="4" w:space="0" w:color="293F5B"/>
              <w:left w:val="nil"/>
              <w:bottom w:val="nil"/>
              <w:right w:val="nil"/>
            </w:tcBorders>
            <w:shd w:val="clear" w:color="000000" w:fill="E6F2FF"/>
            <w:noWrap/>
            <w:vAlign w:val="center"/>
            <w:hideMark/>
          </w:tcPr>
          <w:p w14:paraId="2769110C"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2023–24</w:t>
            </w:r>
          </w:p>
        </w:tc>
        <w:tc>
          <w:tcPr>
            <w:tcW w:w="456" w:type="pct"/>
            <w:tcBorders>
              <w:top w:val="single" w:sz="4" w:space="0" w:color="293F5B"/>
              <w:left w:val="nil"/>
              <w:bottom w:val="nil"/>
              <w:right w:val="nil"/>
            </w:tcBorders>
            <w:shd w:val="clear" w:color="000000" w:fill="FFFFFF"/>
            <w:noWrap/>
            <w:vAlign w:val="center"/>
            <w:hideMark/>
          </w:tcPr>
          <w:p w14:paraId="04BFD30D"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2024–25</w:t>
            </w:r>
          </w:p>
        </w:tc>
        <w:tc>
          <w:tcPr>
            <w:tcW w:w="456" w:type="pct"/>
            <w:tcBorders>
              <w:top w:val="single" w:sz="4" w:space="0" w:color="293F5B"/>
              <w:left w:val="nil"/>
              <w:bottom w:val="nil"/>
              <w:right w:val="nil"/>
            </w:tcBorders>
            <w:shd w:val="clear" w:color="000000" w:fill="FFFFFF"/>
            <w:noWrap/>
            <w:vAlign w:val="center"/>
            <w:hideMark/>
          </w:tcPr>
          <w:p w14:paraId="4E105D75"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2025–26</w:t>
            </w:r>
          </w:p>
        </w:tc>
        <w:tc>
          <w:tcPr>
            <w:tcW w:w="456" w:type="pct"/>
            <w:tcBorders>
              <w:top w:val="single" w:sz="4" w:space="0" w:color="293F5B"/>
              <w:left w:val="nil"/>
              <w:bottom w:val="nil"/>
              <w:right w:val="nil"/>
            </w:tcBorders>
            <w:shd w:val="clear" w:color="000000" w:fill="FFFFFF"/>
            <w:noWrap/>
            <w:vAlign w:val="center"/>
            <w:hideMark/>
          </w:tcPr>
          <w:p w14:paraId="64DE3322"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2026–27</w:t>
            </w:r>
          </w:p>
        </w:tc>
        <w:tc>
          <w:tcPr>
            <w:tcW w:w="62" w:type="pct"/>
            <w:tcBorders>
              <w:top w:val="nil"/>
              <w:left w:val="nil"/>
              <w:bottom w:val="nil"/>
              <w:right w:val="nil"/>
            </w:tcBorders>
            <w:shd w:val="clear" w:color="000000" w:fill="FFFFFF"/>
            <w:noWrap/>
            <w:vAlign w:val="center"/>
            <w:hideMark/>
          </w:tcPr>
          <w:p w14:paraId="3B5C9331"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571" w:type="pct"/>
            <w:tcBorders>
              <w:top w:val="single" w:sz="4" w:space="0" w:color="293F5B"/>
              <w:left w:val="nil"/>
              <w:bottom w:val="nil"/>
              <w:right w:val="nil"/>
            </w:tcBorders>
            <w:shd w:val="clear" w:color="000000" w:fill="FFFFFF"/>
            <w:noWrap/>
            <w:vAlign w:val="center"/>
            <w:hideMark/>
          </w:tcPr>
          <w:p w14:paraId="69879198"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Total</w:t>
            </w:r>
          </w:p>
        </w:tc>
      </w:tr>
      <w:tr w:rsidR="00864963" w:rsidRPr="00864963" w14:paraId="453C9D9E" w14:textId="77777777" w:rsidTr="003F4D4B">
        <w:trPr>
          <w:trHeight w:hRule="exact" w:val="225"/>
        </w:trPr>
        <w:tc>
          <w:tcPr>
            <w:tcW w:w="2086" w:type="pct"/>
            <w:tcBorders>
              <w:top w:val="nil"/>
              <w:left w:val="nil"/>
              <w:bottom w:val="nil"/>
              <w:right w:val="nil"/>
            </w:tcBorders>
            <w:shd w:val="clear" w:color="000000" w:fill="FFFFFF"/>
            <w:noWrap/>
            <w:vAlign w:val="center"/>
            <w:hideMark/>
          </w:tcPr>
          <w:p w14:paraId="657D97EA" w14:textId="77777777" w:rsidR="003F4D4B" w:rsidRPr="00864963" w:rsidRDefault="003F4D4B" w:rsidP="003F4D4B">
            <w:pPr>
              <w:spacing w:before="0" w:after="0" w:line="240" w:lineRule="auto"/>
              <w:rPr>
                <w:rFonts w:ascii="Arial" w:hAnsi="Arial" w:cs="Arial"/>
                <w:sz w:val="16"/>
                <w:szCs w:val="16"/>
              </w:rPr>
            </w:pPr>
            <w:r w:rsidRPr="00864963">
              <w:rPr>
                <w:rFonts w:ascii="Arial" w:hAnsi="Arial" w:cs="Arial"/>
                <w:sz w:val="16"/>
                <w:szCs w:val="16"/>
              </w:rPr>
              <w:t> </w:t>
            </w:r>
          </w:p>
        </w:tc>
        <w:tc>
          <w:tcPr>
            <w:tcW w:w="457" w:type="pct"/>
            <w:tcBorders>
              <w:top w:val="nil"/>
              <w:left w:val="nil"/>
              <w:bottom w:val="single" w:sz="4" w:space="0" w:color="293F5B"/>
              <w:right w:val="nil"/>
            </w:tcBorders>
            <w:shd w:val="clear" w:color="000000" w:fill="FFFFFF"/>
            <w:noWrap/>
            <w:vAlign w:val="center"/>
            <w:hideMark/>
          </w:tcPr>
          <w:p w14:paraId="1E39E3BF"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$m</w:t>
            </w:r>
          </w:p>
        </w:tc>
        <w:tc>
          <w:tcPr>
            <w:tcW w:w="456" w:type="pct"/>
            <w:tcBorders>
              <w:top w:val="nil"/>
              <w:left w:val="nil"/>
              <w:bottom w:val="single" w:sz="4" w:space="0" w:color="293F5B"/>
              <w:right w:val="nil"/>
            </w:tcBorders>
            <w:shd w:val="clear" w:color="000000" w:fill="E6F2FF"/>
            <w:noWrap/>
            <w:vAlign w:val="center"/>
            <w:hideMark/>
          </w:tcPr>
          <w:p w14:paraId="2DE2D3E7"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$m</w:t>
            </w:r>
          </w:p>
        </w:tc>
        <w:tc>
          <w:tcPr>
            <w:tcW w:w="456" w:type="pct"/>
            <w:tcBorders>
              <w:top w:val="nil"/>
              <w:left w:val="nil"/>
              <w:bottom w:val="single" w:sz="4" w:space="0" w:color="293F5B"/>
              <w:right w:val="nil"/>
            </w:tcBorders>
            <w:shd w:val="clear" w:color="000000" w:fill="FFFFFF"/>
            <w:noWrap/>
            <w:vAlign w:val="center"/>
            <w:hideMark/>
          </w:tcPr>
          <w:p w14:paraId="71E823A0"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$m</w:t>
            </w:r>
          </w:p>
        </w:tc>
        <w:tc>
          <w:tcPr>
            <w:tcW w:w="456" w:type="pct"/>
            <w:tcBorders>
              <w:top w:val="nil"/>
              <w:left w:val="nil"/>
              <w:bottom w:val="single" w:sz="4" w:space="0" w:color="293F5B"/>
              <w:right w:val="nil"/>
            </w:tcBorders>
            <w:shd w:val="clear" w:color="000000" w:fill="FFFFFF"/>
            <w:noWrap/>
            <w:vAlign w:val="center"/>
            <w:hideMark/>
          </w:tcPr>
          <w:p w14:paraId="71ABA1BD"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$m</w:t>
            </w:r>
          </w:p>
        </w:tc>
        <w:tc>
          <w:tcPr>
            <w:tcW w:w="456" w:type="pct"/>
            <w:tcBorders>
              <w:top w:val="nil"/>
              <w:left w:val="nil"/>
              <w:bottom w:val="single" w:sz="4" w:space="0" w:color="293F5B"/>
              <w:right w:val="nil"/>
            </w:tcBorders>
            <w:shd w:val="clear" w:color="000000" w:fill="FFFFFF"/>
            <w:noWrap/>
            <w:vAlign w:val="center"/>
            <w:hideMark/>
          </w:tcPr>
          <w:p w14:paraId="6068D029"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$m</w:t>
            </w:r>
          </w:p>
        </w:tc>
        <w:tc>
          <w:tcPr>
            <w:tcW w:w="62" w:type="pct"/>
            <w:tcBorders>
              <w:top w:val="nil"/>
              <w:left w:val="nil"/>
              <w:bottom w:val="nil"/>
              <w:right w:val="nil"/>
            </w:tcBorders>
            <w:shd w:val="clear" w:color="000000" w:fill="FFFFFF"/>
            <w:noWrap/>
            <w:vAlign w:val="center"/>
            <w:hideMark/>
          </w:tcPr>
          <w:p w14:paraId="3006A284"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571" w:type="pct"/>
            <w:tcBorders>
              <w:top w:val="nil"/>
              <w:left w:val="nil"/>
              <w:bottom w:val="single" w:sz="4" w:space="0" w:color="293F5B"/>
              <w:right w:val="nil"/>
            </w:tcBorders>
            <w:shd w:val="clear" w:color="000000" w:fill="FFFFFF"/>
            <w:noWrap/>
            <w:vAlign w:val="center"/>
            <w:hideMark/>
          </w:tcPr>
          <w:p w14:paraId="099571D5"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$m</w:t>
            </w:r>
          </w:p>
        </w:tc>
      </w:tr>
      <w:tr w:rsidR="00864963" w:rsidRPr="00864963" w14:paraId="6F4F8447" w14:textId="77777777" w:rsidTr="003F4D4B">
        <w:trPr>
          <w:trHeight w:hRule="exact" w:val="225"/>
        </w:trPr>
        <w:tc>
          <w:tcPr>
            <w:tcW w:w="2086" w:type="pct"/>
            <w:tcBorders>
              <w:top w:val="nil"/>
              <w:left w:val="nil"/>
              <w:bottom w:val="nil"/>
              <w:right w:val="nil"/>
            </w:tcBorders>
            <w:shd w:val="clear" w:color="000000" w:fill="FFFFFF"/>
            <w:noWrap/>
            <w:vAlign w:val="center"/>
            <w:hideMark/>
          </w:tcPr>
          <w:p w14:paraId="41779ACD" w14:textId="77777777" w:rsidR="003F4D4B" w:rsidRPr="00864963" w:rsidRDefault="003F4D4B" w:rsidP="003F4D4B">
            <w:pPr>
              <w:spacing w:before="0" w:after="0" w:line="240" w:lineRule="auto"/>
              <w:rPr>
                <w:rFonts w:ascii="Arial" w:hAnsi="Arial" w:cs="Arial"/>
                <w:b/>
                <w:bCs/>
                <w:sz w:val="16"/>
                <w:szCs w:val="16"/>
              </w:rPr>
            </w:pPr>
            <w:r w:rsidRPr="00864963">
              <w:rPr>
                <w:rFonts w:ascii="Arial" w:hAnsi="Arial" w:cs="Arial"/>
                <w:b/>
                <w:bCs/>
                <w:sz w:val="16"/>
                <w:szCs w:val="16"/>
              </w:rPr>
              <w:t>2022 PEFO fiscal balance</w:t>
            </w:r>
          </w:p>
        </w:tc>
        <w:tc>
          <w:tcPr>
            <w:tcW w:w="457" w:type="pct"/>
            <w:tcBorders>
              <w:top w:val="nil"/>
              <w:left w:val="nil"/>
              <w:bottom w:val="nil"/>
              <w:right w:val="nil"/>
            </w:tcBorders>
            <w:shd w:val="clear" w:color="000000" w:fill="FFFFFF"/>
            <w:noWrap/>
            <w:vAlign w:val="center"/>
            <w:hideMark/>
          </w:tcPr>
          <w:p w14:paraId="247A9399"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-78,560</w:t>
            </w:r>
          </w:p>
        </w:tc>
        <w:tc>
          <w:tcPr>
            <w:tcW w:w="456" w:type="pct"/>
            <w:tcBorders>
              <w:top w:val="nil"/>
              <w:left w:val="nil"/>
              <w:bottom w:val="nil"/>
              <w:right w:val="nil"/>
            </w:tcBorders>
            <w:shd w:val="clear" w:color="000000" w:fill="E6F2FF"/>
            <w:noWrap/>
            <w:vAlign w:val="center"/>
            <w:hideMark/>
          </w:tcPr>
          <w:p w14:paraId="0D7D285B"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-58,735</w:t>
            </w:r>
          </w:p>
        </w:tc>
        <w:tc>
          <w:tcPr>
            <w:tcW w:w="456" w:type="pct"/>
            <w:tcBorders>
              <w:top w:val="nil"/>
              <w:left w:val="nil"/>
              <w:bottom w:val="nil"/>
              <w:right w:val="nil"/>
            </w:tcBorders>
            <w:shd w:val="clear" w:color="000000" w:fill="FFFFFF"/>
            <w:noWrap/>
            <w:vAlign w:val="center"/>
            <w:hideMark/>
          </w:tcPr>
          <w:p w14:paraId="1581E162"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-51,062</w:t>
            </w:r>
          </w:p>
        </w:tc>
        <w:tc>
          <w:tcPr>
            <w:tcW w:w="456" w:type="pct"/>
            <w:tcBorders>
              <w:top w:val="nil"/>
              <w:left w:val="nil"/>
              <w:bottom w:val="nil"/>
              <w:right w:val="nil"/>
            </w:tcBorders>
            <w:shd w:val="clear" w:color="000000" w:fill="FFFFFF"/>
            <w:noWrap/>
            <w:vAlign w:val="center"/>
            <w:hideMark/>
          </w:tcPr>
          <w:p w14:paraId="32B03A87"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-39,649</w:t>
            </w:r>
          </w:p>
        </w:tc>
        <w:tc>
          <w:tcPr>
            <w:tcW w:w="456" w:type="pct"/>
            <w:tcBorders>
              <w:top w:val="nil"/>
              <w:left w:val="nil"/>
              <w:bottom w:val="nil"/>
              <w:right w:val="nil"/>
            </w:tcBorders>
            <w:shd w:val="clear" w:color="000000" w:fill="FFFFFF"/>
            <w:noWrap/>
            <w:vAlign w:val="center"/>
            <w:hideMark/>
          </w:tcPr>
          <w:p w14:paraId="2DC22349"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w:t>
            </w:r>
          </w:p>
        </w:tc>
        <w:tc>
          <w:tcPr>
            <w:tcW w:w="62" w:type="pct"/>
            <w:tcBorders>
              <w:top w:val="nil"/>
              <w:left w:val="nil"/>
              <w:bottom w:val="nil"/>
              <w:right w:val="nil"/>
            </w:tcBorders>
            <w:shd w:val="clear" w:color="000000" w:fill="FFFFFF"/>
            <w:noWrap/>
            <w:vAlign w:val="center"/>
            <w:hideMark/>
          </w:tcPr>
          <w:p w14:paraId="0BD083FC"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 </w:t>
            </w:r>
          </w:p>
        </w:tc>
        <w:tc>
          <w:tcPr>
            <w:tcW w:w="571" w:type="pct"/>
            <w:tcBorders>
              <w:top w:val="nil"/>
              <w:left w:val="nil"/>
              <w:bottom w:val="nil"/>
              <w:right w:val="nil"/>
            </w:tcBorders>
            <w:shd w:val="clear" w:color="000000" w:fill="FFFFFF"/>
            <w:vAlign w:val="center"/>
            <w:hideMark/>
          </w:tcPr>
          <w:p w14:paraId="59641391"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w:t>
            </w:r>
          </w:p>
        </w:tc>
      </w:tr>
      <w:tr w:rsidR="00864963" w:rsidRPr="00864963" w14:paraId="7BE5211B" w14:textId="77777777" w:rsidTr="003F4D4B">
        <w:trPr>
          <w:trHeight w:hRule="exact" w:val="225"/>
        </w:trPr>
        <w:tc>
          <w:tcPr>
            <w:tcW w:w="2086" w:type="pct"/>
            <w:tcBorders>
              <w:top w:val="nil"/>
              <w:left w:val="nil"/>
              <w:bottom w:val="nil"/>
              <w:right w:val="nil"/>
            </w:tcBorders>
            <w:shd w:val="clear" w:color="000000" w:fill="FFFFFF"/>
            <w:noWrap/>
            <w:vAlign w:val="center"/>
            <w:hideMark/>
          </w:tcPr>
          <w:p w14:paraId="5892997E" w14:textId="77777777" w:rsidR="003F4D4B" w:rsidRPr="00864963" w:rsidRDefault="003F4D4B" w:rsidP="003F4D4B">
            <w:pPr>
              <w:spacing w:before="0" w:after="0" w:line="240" w:lineRule="auto"/>
              <w:rPr>
                <w:rFonts w:ascii="Arial" w:hAnsi="Arial" w:cs="Arial"/>
                <w:sz w:val="16"/>
                <w:szCs w:val="16"/>
              </w:rPr>
            </w:pPr>
            <w:r w:rsidRPr="00864963">
              <w:rPr>
                <w:rFonts w:ascii="Arial" w:hAnsi="Arial" w:cs="Arial"/>
                <w:sz w:val="16"/>
                <w:szCs w:val="16"/>
              </w:rPr>
              <w:t>Per cent of GDP</w:t>
            </w:r>
          </w:p>
        </w:tc>
        <w:tc>
          <w:tcPr>
            <w:tcW w:w="457" w:type="pct"/>
            <w:tcBorders>
              <w:top w:val="nil"/>
              <w:left w:val="nil"/>
              <w:bottom w:val="nil"/>
              <w:right w:val="nil"/>
            </w:tcBorders>
            <w:shd w:val="clear" w:color="000000" w:fill="FFFFFF"/>
            <w:noWrap/>
            <w:vAlign w:val="center"/>
            <w:hideMark/>
          </w:tcPr>
          <w:p w14:paraId="0B1760CD"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-3.4</w:t>
            </w:r>
          </w:p>
        </w:tc>
        <w:tc>
          <w:tcPr>
            <w:tcW w:w="456" w:type="pct"/>
            <w:tcBorders>
              <w:top w:val="nil"/>
              <w:left w:val="nil"/>
              <w:bottom w:val="nil"/>
              <w:right w:val="nil"/>
            </w:tcBorders>
            <w:shd w:val="clear" w:color="000000" w:fill="E6F2FF"/>
            <w:noWrap/>
            <w:vAlign w:val="center"/>
            <w:hideMark/>
          </w:tcPr>
          <w:p w14:paraId="1AE94CC6"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-2.5</w:t>
            </w:r>
          </w:p>
        </w:tc>
        <w:tc>
          <w:tcPr>
            <w:tcW w:w="456" w:type="pct"/>
            <w:tcBorders>
              <w:top w:val="nil"/>
              <w:left w:val="nil"/>
              <w:bottom w:val="nil"/>
              <w:right w:val="nil"/>
            </w:tcBorders>
            <w:shd w:val="clear" w:color="000000" w:fill="FFFFFF"/>
            <w:noWrap/>
            <w:vAlign w:val="center"/>
            <w:hideMark/>
          </w:tcPr>
          <w:p w14:paraId="03331988"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-2.1</w:t>
            </w:r>
          </w:p>
        </w:tc>
        <w:tc>
          <w:tcPr>
            <w:tcW w:w="456" w:type="pct"/>
            <w:tcBorders>
              <w:top w:val="nil"/>
              <w:left w:val="nil"/>
              <w:bottom w:val="nil"/>
              <w:right w:val="nil"/>
            </w:tcBorders>
            <w:shd w:val="clear" w:color="000000" w:fill="FFFFFF"/>
            <w:noWrap/>
            <w:vAlign w:val="center"/>
            <w:hideMark/>
          </w:tcPr>
          <w:p w14:paraId="5A672276"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-1.5</w:t>
            </w:r>
          </w:p>
        </w:tc>
        <w:tc>
          <w:tcPr>
            <w:tcW w:w="456" w:type="pct"/>
            <w:tcBorders>
              <w:top w:val="nil"/>
              <w:left w:val="nil"/>
              <w:bottom w:val="nil"/>
              <w:right w:val="nil"/>
            </w:tcBorders>
            <w:shd w:val="clear" w:color="000000" w:fill="FFFFFF"/>
            <w:noWrap/>
            <w:vAlign w:val="center"/>
            <w:hideMark/>
          </w:tcPr>
          <w:p w14:paraId="41A20194"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w:t>
            </w:r>
          </w:p>
        </w:tc>
        <w:tc>
          <w:tcPr>
            <w:tcW w:w="62" w:type="pct"/>
            <w:tcBorders>
              <w:top w:val="nil"/>
              <w:left w:val="nil"/>
              <w:bottom w:val="nil"/>
              <w:right w:val="nil"/>
            </w:tcBorders>
            <w:shd w:val="clear" w:color="000000" w:fill="FFFFFF"/>
            <w:noWrap/>
            <w:vAlign w:val="center"/>
            <w:hideMark/>
          </w:tcPr>
          <w:p w14:paraId="7F236D25"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0D1F113E"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70563EC4" w14:textId="77777777" w:rsidTr="003F4D4B">
        <w:trPr>
          <w:trHeight w:hRule="exact" w:val="60"/>
        </w:trPr>
        <w:tc>
          <w:tcPr>
            <w:tcW w:w="2086" w:type="pct"/>
            <w:tcBorders>
              <w:top w:val="nil"/>
              <w:left w:val="nil"/>
              <w:bottom w:val="nil"/>
              <w:right w:val="nil"/>
            </w:tcBorders>
            <w:shd w:val="clear" w:color="000000" w:fill="FFFFFF"/>
            <w:noWrap/>
            <w:vAlign w:val="center"/>
            <w:hideMark/>
          </w:tcPr>
          <w:p w14:paraId="203401BF" w14:textId="77777777" w:rsidR="003F4D4B" w:rsidRPr="00864963" w:rsidRDefault="003F4D4B" w:rsidP="003F4D4B">
            <w:pPr>
              <w:spacing w:before="0" w:after="0" w:line="240" w:lineRule="auto"/>
              <w:rPr>
                <w:rFonts w:ascii="Arial" w:hAnsi="Arial" w:cs="Arial"/>
                <w:sz w:val="16"/>
                <w:szCs w:val="16"/>
              </w:rPr>
            </w:pPr>
            <w:r w:rsidRPr="00864963">
              <w:rPr>
                <w:rFonts w:ascii="Arial" w:hAnsi="Arial" w:cs="Arial"/>
                <w:sz w:val="16"/>
                <w:szCs w:val="16"/>
              </w:rPr>
              <w:t> </w:t>
            </w:r>
          </w:p>
        </w:tc>
        <w:tc>
          <w:tcPr>
            <w:tcW w:w="457" w:type="pct"/>
            <w:tcBorders>
              <w:top w:val="nil"/>
              <w:left w:val="nil"/>
              <w:bottom w:val="nil"/>
              <w:right w:val="nil"/>
            </w:tcBorders>
            <w:shd w:val="clear" w:color="000000" w:fill="FFFFFF"/>
            <w:noWrap/>
            <w:vAlign w:val="center"/>
            <w:hideMark/>
          </w:tcPr>
          <w:p w14:paraId="0633B676"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E6F2FF"/>
            <w:noWrap/>
            <w:vAlign w:val="center"/>
            <w:hideMark/>
          </w:tcPr>
          <w:p w14:paraId="08EB7794"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4C5730C5"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47F6E4C3"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65B2D598"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18B9105F"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0EB5D26C"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2851CEEF" w14:textId="77777777" w:rsidTr="003F4D4B">
        <w:trPr>
          <w:trHeight w:hRule="exact" w:val="225"/>
        </w:trPr>
        <w:tc>
          <w:tcPr>
            <w:tcW w:w="2086" w:type="pct"/>
            <w:tcBorders>
              <w:top w:val="nil"/>
              <w:left w:val="nil"/>
              <w:bottom w:val="nil"/>
              <w:right w:val="nil"/>
            </w:tcBorders>
            <w:shd w:val="clear" w:color="000000" w:fill="FFFFFF"/>
            <w:noWrap/>
            <w:vAlign w:val="center"/>
            <w:hideMark/>
          </w:tcPr>
          <w:p w14:paraId="37B2D49F" w14:textId="77777777" w:rsidR="003F4D4B" w:rsidRPr="00864963" w:rsidRDefault="003F4D4B" w:rsidP="003F4D4B">
            <w:pPr>
              <w:spacing w:before="0" w:after="0" w:line="240" w:lineRule="auto"/>
              <w:rPr>
                <w:rFonts w:ascii="Arial" w:hAnsi="Arial" w:cs="Arial"/>
                <w:b/>
                <w:bCs/>
                <w:sz w:val="16"/>
                <w:szCs w:val="16"/>
              </w:rPr>
            </w:pPr>
            <w:r w:rsidRPr="00864963">
              <w:rPr>
                <w:rFonts w:ascii="Arial" w:hAnsi="Arial" w:cs="Arial"/>
                <w:b/>
                <w:bCs/>
                <w:sz w:val="16"/>
                <w:szCs w:val="16"/>
              </w:rPr>
              <w:t xml:space="preserve">Changes from 2022 PEFO to </w:t>
            </w:r>
          </w:p>
        </w:tc>
        <w:tc>
          <w:tcPr>
            <w:tcW w:w="457" w:type="pct"/>
            <w:tcBorders>
              <w:top w:val="nil"/>
              <w:left w:val="nil"/>
              <w:bottom w:val="nil"/>
              <w:right w:val="nil"/>
            </w:tcBorders>
            <w:shd w:val="clear" w:color="000000" w:fill="FFFFFF"/>
            <w:noWrap/>
            <w:vAlign w:val="center"/>
            <w:hideMark/>
          </w:tcPr>
          <w:p w14:paraId="6293B57F"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E6F2FF"/>
            <w:noWrap/>
            <w:vAlign w:val="center"/>
            <w:hideMark/>
          </w:tcPr>
          <w:p w14:paraId="57A6ABE4"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301D331B"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6B3E4E26"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5049029D"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1BF60FCA"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49C86830"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40445108" w14:textId="77777777" w:rsidTr="003F4D4B">
        <w:trPr>
          <w:trHeight w:hRule="exact" w:val="225"/>
        </w:trPr>
        <w:tc>
          <w:tcPr>
            <w:tcW w:w="2086" w:type="pct"/>
            <w:tcBorders>
              <w:top w:val="nil"/>
              <w:left w:val="nil"/>
              <w:bottom w:val="nil"/>
              <w:right w:val="nil"/>
            </w:tcBorders>
            <w:shd w:val="clear" w:color="000000" w:fill="FFFFFF"/>
            <w:noWrap/>
            <w:vAlign w:val="center"/>
            <w:hideMark/>
          </w:tcPr>
          <w:p w14:paraId="657C63F7" w14:textId="77777777" w:rsidR="003F4D4B" w:rsidRPr="00864963" w:rsidRDefault="003F4D4B" w:rsidP="003F4D4B">
            <w:pPr>
              <w:spacing w:before="0" w:after="0" w:line="240" w:lineRule="auto"/>
              <w:ind w:left="170"/>
              <w:rPr>
                <w:rFonts w:ascii="Arial" w:hAnsi="Arial" w:cs="Arial"/>
                <w:b/>
                <w:bCs/>
                <w:sz w:val="16"/>
                <w:szCs w:val="16"/>
              </w:rPr>
            </w:pPr>
            <w:r w:rsidRPr="00864963">
              <w:rPr>
                <w:rFonts w:ascii="Arial" w:hAnsi="Arial" w:cs="Arial"/>
                <w:b/>
                <w:bCs/>
                <w:sz w:val="16"/>
                <w:szCs w:val="16"/>
              </w:rPr>
              <w:t>2022–23 October Budget</w:t>
            </w:r>
          </w:p>
        </w:tc>
        <w:tc>
          <w:tcPr>
            <w:tcW w:w="457" w:type="pct"/>
            <w:tcBorders>
              <w:top w:val="nil"/>
              <w:left w:val="nil"/>
              <w:bottom w:val="nil"/>
              <w:right w:val="nil"/>
            </w:tcBorders>
            <w:shd w:val="clear" w:color="000000" w:fill="FFFFFF"/>
            <w:noWrap/>
            <w:vAlign w:val="center"/>
            <w:hideMark/>
          </w:tcPr>
          <w:p w14:paraId="7013DCF5"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E6F2FF"/>
            <w:noWrap/>
            <w:vAlign w:val="center"/>
            <w:hideMark/>
          </w:tcPr>
          <w:p w14:paraId="4510A83A"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2B12916A"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026148E8"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6936A500"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7064DE18"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68A9418B"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24A4E1E0" w14:textId="77777777" w:rsidTr="003F4D4B">
        <w:trPr>
          <w:trHeight w:hRule="exact" w:val="225"/>
        </w:trPr>
        <w:tc>
          <w:tcPr>
            <w:tcW w:w="2086" w:type="pct"/>
            <w:tcBorders>
              <w:top w:val="nil"/>
              <w:left w:val="nil"/>
              <w:bottom w:val="nil"/>
              <w:right w:val="nil"/>
            </w:tcBorders>
            <w:shd w:val="clear" w:color="000000" w:fill="FFFFFF"/>
            <w:noWrap/>
            <w:vAlign w:val="center"/>
            <w:hideMark/>
          </w:tcPr>
          <w:p w14:paraId="17E56A17" w14:textId="77777777" w:rsidR="003F4D4B" w:rsidRPr="00864963" w:rsidRDefault="003F4D4B" w:rsidP="003F4D4B">
            <w:pPr>
              <w:spacing w:before="0" w:after="0" w:line="240" w:lineRule="auto"/>
              <w:rPr>
                <w:rFonts w:ascii="Arial" w:hAnsi="Arial" w:cs="Arial"/>
                <w:sz w:val="16"/>
                <w:szCs w:val="16"/>
              </w:rPr>
            </w:pPr>
            <w:r w:rsidRPr="00864963">
              <w:rPr>
                <w:rFonts w:ascii="Arial" w:hAnsi="Arial" w:cs="Arial"/>
                <w:sz w:val="16"/>
                <w:szCs w:val="16"/>
              </w:rPr>
              <w:t>Effect of policy decisions(a)</w:t>
            </w:r>
          </w:p>
        </w:tc>
        <w:tc>
          <w:tcPr>
            <w:tcW w:w="457" w:type="pct"/>
            <w:tcBorders>
              <w:top w:val="nil"/>
              <w:left w:val="nil"/>
              <w:bottom w:val="nil"/>
              <w:right w:val="nil"/>
            </w:tcBorders>
            <w:shd w:val="clear" w:color="000000" w:fill="FFFFFF"/>
            <w:noWrap/>
            <w:vAlign w:val="center"/>
            <w:hideMark/>
          </w:tcPr>
          <w:p w14:paraId="5723A116"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-775</w:t>
            </w:r>
          </w:p>
        </w:tc>
        <w:tc>
          <w:tcPr>
            <w:tcW w:w="456" w:type="pct"/>
            <w:tcBorders>
              <w:top w:val="nil"/>
              <w:left w:val="nil"/>
              <w:bottom w:val="nil"/>
              <w:right w:val="nil"/>
            </w:tcBorders>
            <w:shd w:val="clear" w:color="000000" w:fill="E6F2FF"/>
            <w:noWrap/>
            <w:vAlign w:val="center"/>
            <w:hideMark/>
          </w:tcPr>
          <w:p w14:paraId="0CE7B3B2"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1,128</w:t>
            </w:r>
          </w:p>
        </w:tc>
        <w:tc>
          <w:tcPr>
            <w:tcW w:w="456" w:type="pct"/>
            <w:tcBorders>
              <w:top w:val="nil"/>
              <w:left w:val="nil"/>
              <w:bottom w:val="nil"/>
              <w:right w:val="nil"/>
            </w:tcBorders>
            <w:shd w:val="clear" w:color="000000" w:fill="FFFFFF"/>
            <w:noWrap/>
            <w:vAlign w:val="center"/>
            <w:hideMark/>
          </w:tcPr>
          <w:p w14:paraId="2FE559F4"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-5,706</w:t>
            </w:r>
          </w:p>
        </w:tc>
        <w:tc>
          <w:tcPr>
            <w:tcW w:w="456" w:type="pct"/>
            <w:tcBorders>
              <w:top w:val="nil"/>
              <w:left w:val="nil"/>
              <w:bottom w:val="nil"/>
              <w:right w:val="nil"/>
            </w:tcBorders>
            <w:shd w:val="clear" w:color="000000" w:fill="FFFFFF"/>
            <w:noWrap/>
            <w:vAlign w:val="center"/>
            <w:hideMark/>
          </w:tcPr>
          <w:p w14:paraId="0CB8B884"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-7,489</w:t>
            </w:r>
          </w:p>
        </w:tc>
        <w:tc>
          <w:tcPr>
            <w:tcW w:w="456" w:type="pct"/>
            <w:tcBorders>
              <w:top w:val="nil"/>
              <w:left w:val="nil"/>
              <w:bottom w:val="nil"/>
              <w:right w:val="nil"/>
            </w:tcBorders>
            <w:shd w:val="clear" w:color="000000" w:fill="FFFFFF"/>
            <w:noWrap/>
            <w:vAlign w:val="center"/>
            <w:hideMark/>
          </w:tcPr>
          <w:p w14:paraId="258B4F62"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w:t>
            </w:r>
          </w:p>
        </w:tc>
        <w:tc>
          <w:tcPr>
            <w:tcW w:w="62" w:type="pct"/>
            <w:tcBorders>
              <w:top w:val="nil"/>
              <w:left w:val="nil"/>
              <w:bottom w:val="nil"/>
              <w:right w:val="nil"/>
            </w:tcBorders>
            <w:shd w:val="clear" w:color="000000" w:fill="FFFFFF"/>
            <w:noWrap/>
            <w:vAlign w:val="center"/>
            <w:hideMark/>
          </w:tcPr>
          <w:p w14:paraId="6C713B9D"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4F08EE25"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w:t>
            </w:r>
          </w:p>
        </w:tc>
      </w:tr>
      <w:tr w:rsidR="00864963" w:rsidRPr="00864963" w14:paraId="390F1113" w14:textId="77777777" w:rsidTr="003F4D4B">
        <w:trPr>
          <w:trHeight w:hRule="exact" w:val="225"/>
        </w:trPr>
        <w:tc>
          <w:tcPr>
            <w:tcW w:w="2086" w:type="pct"/>
            <w:tcBorders>
              <w:top w:val="nil"/>
              <w:left w:val="nil"/>
              <w:bottom w:val="nil"/>
              <w:right w:val="nil"/>
            </w:tcBorders>
            <w:shd w:val="clear" w:color="000000" w:fill="FFFFFF"/>
            <w:noWrap/>
            <w:vAlign w:val="center"/>
            <w:hideMark/>
          </w:tcPr>
          <w:p w14:paraId="647A1F72" w14:textId="77777777" w:rsidR="003F4D4B" w:rsidRPr="00864963" w:rsidRDefault="003F4D4B" w:rsidP="003F4D4B">
            <w:pPr>
              <w:spacing w:before="0" w:after="0" w:line="240" w:lineRule="auto"/>
              <w:rPr>
                <w:rFonts w:ascii="Arial" w:hAnsi="Arial" w:cs="Arial"/>
                <w:sz w:val="16"/>
                <w:szCs w:val="16"/>
              </w:rPr>
            </w:pPr>
            <w:r w:rsidRPr="00864963">
              <w:rPr>
                <w:rFonts w:ascii="Arial" w:hAnsi="Arial" w:cs="Arial"/>
                <w:sz w:val="16"/>
                <w:szCs w:val="16"/>
              </w:rPr>
              <w:t>Effect of parameter and other variations</w:t>
            </w:r>
          </w:p>
        </w:tc>
        <w:tc>
          <w:tcPr>
            <w:tcW w:w="457" w:type="pct"/>
            <w:tcBorders>
              <w:top w:val="nil"/>
              <w:left w:val="nil"/>
              <w:bottom w:val="single" w:sz="4" w:space="0" w:color="293F5B"/>
              <w:right w:val="nil"/>
            </w:tcBorders>
            <w:shd w:val="clear" w:color="000000" w:fill="FFFFFF"/>
            <w:noWrap/>
            <w:vAlign w:val="center"/>
            <w:hideMark/>
          </w:tcPr>
          <w:p w14:paraId="3C1546C9"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40,649</w:t>
            </w:r>
          </w:p>
        </w:tc>
        <w:tc>
          <w:tcPr>
            <w:tcW w:w="456" w:type="pct"/>
            <w:tcBorders>
              <w:top w:val="nil"/>
              <w:left w:val="nil"/>
              <w:bottom w:val="single" w:sz="4" w:space="0" w:color="293F5B"/>
              <w:right w:val="nil"/>
            </w:tcBorders>
            <w:shd w:val="clear" w:color="000000" w:fill="E6F2FF"/>
            <w:noWrap/>
            <w:vAlign w:val="center"/>
            <w:hideMark/>
          </w:tcPr>
          <w:p w14:paraId="174955DA"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12,698</w:t>
            </w:r>
          </w:p>
        </w:tc>
        <w:tc>
          <w:tcPr>
            <w:tcW w:w="456" w:type="pct"/>
            <w:tcBorders>
              <w:top w:val="nil"/>
              <w:left w:val="nil"/>
              <w:bottom w:val="single" w:sz="4" w:space="0" w:color="293F5B"/>
              <w:right w:val="nil"/>
            </w:tcBorders>
            <w:shd w:val="clear" w:color="000000" w:fill="FFFFFF"/>
            <w:noWrap/>
            <w:vAlign w:val="center"/>
            <w:hideMark/>
          </w:tcPr>
          <w:p w14:paraId="736F54F3"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-5,370</w:t>
            </w:r>
          </w:p>
        </w:tc>
        <w:tc>
          <w:tcPr>
            <w:tcW w:w="456" w:type="pct"/>
            <w:tcBorders>
              <w:top w:val="nil"/>
              <w:left w:val="nil"/>
              <w:bottom w:val="single" w:sz="4" w:space="0" w:color="293F5B"/>
              <w:right w:val="nil"/>
            </w:tcBorders>
            <w:shd w:val="clear" w:color="000000" w:fill="FFFFFF"/>
            <w:noWrap/>
            <w:vAlign w:val="center"/>
            <w:hideMark/>
          </w:tcPr>
          <w:p w14:paraId="111AD66E"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-2,756</w:t>
            </w:r>
          </w:p>
        </w:tc>
        <w:tc>
          <w:tcPr>
            <w:tcW w:w="456" w:type="pct"/>
            <w:tcBorders>
              <w:top w:val="nil"/>
              <w:left w:val="nil"/>
              <w:bottom w:val="single" w:sz="4" w:space="0" w:color="293F5B"/>
              <w:right w:val="nil"/>
            </w:tcBorders>
            <w:shd w:val="clear" w:color="000000" w:fill="FFFFFF"/>
            <w:noWrap/>
            <w:vAlign w:val="center"/>
            <w:hideMark/>
          </w:tcPr>
          <w:p w14:paraId="4DA10005"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w:t>
            </w:r>
          </w:p>
        </w:tc>
        <w:tc>
          <w:tcPr>
            <w:tcW w:w="62" w:type="pct"/>
            <w:tcBorders>
              <w:top w:val="nil"/>
              <w:left w:val="nil"/>
              <w:bottom w:val="nil"/>
              <w:right w:val="nil"/>
            </w:tcBorders>
            <w:shd w:val="clear" w:color="000000" w:fill="FFFFFF"/>
            <w:noWrap/>
            <w:vAlign w:val="center"/>
            <w:hideMark/>
          </w:tcPr>
          <w:p w14:paraId="348A934A"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43413EB2"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w:t>
            </w:r>
          </w:p>
        </w:tc>
      </w:tr>
      <w:tr w:rsidR="00864963" w:rsidRPr="00864963" w14:paraId="288EC0AA" w14:textId="77777777" w:rsidTr="003F4D4B">
        <w:trPr>
          <w:trHeight w:hRule="exact" w:val="225"/>
        </w:trPr>
        <w:tc>
          <w:tcPr>
            <w:tcW w:w="2086" w:type="pct"/>
            <w:tcBorders>
              <w:top w:val="nil"/>
              <w:left w:val="nil"/>
              <w:bottom w:val="nil"/>
              <w:right w:val="nil"/>
            </w:tcBorders>
            <w:shd w:val="clear" w:color="000000" w:fill="FFFFFF"/>
            <w:noWrap/>
            <w:vAlign w:val="center"/>
            <w:hideMark/>
          </w:tcPr>
          <w:p w14:paraId="120EDAA6" w14:textId="77777777" w:rsidR="003F4D4B" w:rsidRPr="00864963" w:rsidRDefault="003F4D4B" w:rsidP="003F4D4B">
            <w:pPr>
              <w:spacing w:before="0" w:after="0" w:line="240" w:lineRule="auto"/>
              <w:rPr>
                <w:rFonts w:ascii="Arial" w:hAnsi="Arial" w:cs="Arial"/>
                <w:b/>
                <w:bCs/>
                <w:sz w:val="16"/>
                <w:szCs w:val="16"/>
              </w:rPr>
            </w:pPr>
            <w:r w:rsidRPr="00864963">
              <w:rPr>
                <w:rFonts w:ascii="Arial" w:hAnsi="Arial" w:cs="Arial"/>
                <w:b/>
                <w:bCs/>
                <w:sz w:val="16"/>
                <w:szCs w:val="16"/>
              </w:rPr>
              <w:t>Total variations</w:t>
            </w:r>
          </w:p>
        </w:tc>
        <w:tc>
          <w:tcPr>
            <w:tcW w:w="457" w:type="pct"/>
            <w:tcBorders>
              <w:top w:val="single" w:sz="4" w:space="0" w:color="auto"/>
              <w:left w:val="nil"/>
              <w:bottom w:val="single" w:sz="4" w:space="0" w:color="293F5B"/>
              <w:right w:val="nil"/>
            </w:tcBorders>
            <w:shd w:val="clear" w:color="000000" w:fill="FFFFFF"/>
            <w:noWrap/>
            <w:vAlign w:val="center"/>
            <w:hideMark/>
          </w:tcPr>
          <w:p w14:paraId="5EE6D67D"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39,874</w:t>
            </w:r>
          </w:p>
        </w:tc>
        <w:tc>
          <w:tcPr>
            <w:tcW w:w="456" w:type="pct"/>
            <w:tcBorders>
              <w:top w:val="nil"/>
              <w:left w:val="nil"/>
              <w:bottom w:val="single" w:sz="4" w:space="0" w:color="293F5B"/>
              <w:right w:val="nil"/>
            </w:tcBorders>
            <w:shd w:val="clear" w:color="000000" w:fill="E6F2FF"/>
            <w:noWrap/>
            <w:vAlign w:val="center"/>
            <w:hideMark/>
          </w:tcPr>
          <w:p w14:paraId="58BF5E7D"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13,826</w:t>
            </w:r>
          </w:p>
        </w:tc>
        <w:tc>
          <w:tcPr>
            <w:tcW w:w="456" w:type="pct"/>
            <w:tcBorders>
              <w:top w:val="nil"/>
              <w:left w:val="nil"/>
              <w:bottom w:val="single" w:sz="4" w:space="0" w:color="293F5B"/>
              <w:right w:val="nil"/>
            </w:tcBorders>
            <w:shd w:val="clear" w:color="000000" w:fill="FFFFFF"/>
            <w:noWrap/>
            <w:vAlign w:val="center"/>
            <w:hideMark/>
          </w:tcPr>
          <w:p w14:paraId="4098BC86"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-11,076</w:t>
            </w:r>
          </w:p>
        </w:tc>
        <w:tc>
          <w:tcPr>
            <w:tcW w:w="456" w:type="pct"/>
            <w:tcBorders>
              <w:top w:val="nil"/>
              <w:left w:val="nil"/>
              <w:bottom w:val="single" w:sz="4" w:space="0" w:color="293F5B"/>
              <w:right w:val="nil"/>
            </w:tcBorders>
            <w:shd w:val="clear" w:color="000000" w:fill="FFFFFF"/>
            <w:noWrap/>
            <w:vAlign w:val="center"/>
            <w:hideMark/>
          </w:tcPr>
          <w:p w14:paraId="3E8535B9"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-10,245</w:t>
            </w:r>
          </w:p>
        </w:tc>
        <w:tc>
          <w:tcPr>
            <w:tcW w:w="456" w:type="pct"/>
            <w:tcBorders>
              <w:top w:val="nil"/>
              <w:left w:val="nil"/>
              <w:bottom w:val="single" w:sz="4" w:space="0" w:color="293F5B"/>
              <w:right w:val="nil"/>
            </w:tcBorders>
            <w:shd w:val="clear" w:color="000000" w:fill="FFFFFF"/>
            <w:noWrap/>
            <w:vAlign w:val="center"/>
            <w:hideMark/>
          </w:tcPr>
          <w:p w14:paraId="176ADA45"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w:t>
            </w:r>
          </w:p>
        </w:tc>
        <w:tc>
          <w:tcPr>
            <w:tcW w:w="62" w:type="pct"/>
            <w:tcBorders>
              <w:top w:val="nil"/>
              <w:left w:val="nil"/>
              <w:bottom w:val="nil"/>
              <w:right w:val="nil"/>
            </w:tcBorders>
            <w:shd w:val="clear" w:color="000000" w:fill="FFFFFF"/>
            <w:noWrap/>
            <w:vAlign w:val="center"/>
            <w:hideMark/>
          </w:tcPr>
          <w:p w14:paraId="7944374B"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 </w:t>
            </w:r>
          </w:p>
        </w:tc>
        <w:tc>
          <w:tcPr>
            <w:tcW w:w="571" w:type="pct"/>
            <w:tcBorders>
              <w:top w:val="single" w:sz="4" w:space="0" w:color="293F5B"/>
              <w:left w:val="nil"/>
              <w:bottom w:val="nil"/>
              <w:right w:val="nil"/>
            </w:tcBorders>
            <w:shd w:val="clear" w:color="000000" w:fill="FFFFFF"/>
            <w:noWrap/>
            <w:vAlign w:val="center"/>
            <w:hideMark/>
          </w:tcPr>
          <w:p w14:paraId="490A3B38"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w:t>
            </w:r>
          </w:p>
        </w:tc>
      </w:tr>
      <w:tr w:rsidR="00864963" w:rsidRPr="00864963" w14:paraId="691D783B" w14:textId="77777777" w:rsidTr="003F4D4B">
        <w:trPr>
          <w:trHeight w:hRule="exact" w:val="60"/>
        </w:trPr>
        <w:tc>
          <w:tcPr>
            <w:tcW w:w="2086" w:type="pct"/>
            <w:tcBorders>
              <w:top w:val="nil"/>
              <w:left w:val="nil"/>
              <w:bottom w:val="nil"/>
              <w:right w:val="nil"/>
            </w:tcBorders>
            <w:shd w:val="clear" w:color="000000" w:fill="FFFFFF"/>
            <w:noWrap/>
            <w:vAlign w:val="center"/>
            <w:hideMark/>
          </w:tcPr>
          <w:p w14:paraId="07821420" w14:textId="77777777" w:rsidR="003F4D4B" w:rsidRPr="00864963" w:rsidRDefault="003F4D4B" w:rsidP="003F4D4B">
            <w:pPr>
              <w:spacing w:before="0" w:after="0" w:line="240" w:lineRule="auto"/>
              <w:rPr>
                <w:rFonts w:ascii="Arial" w:hAnsi="Arial" w:cs="Arial"/>
                <w:b/>
                <w:bCs/>
                <w:sz w:val="16"/>
                <w:szCs w:val="16"/>
              </w:rPr>
            </w:pPr>
            <w:r w:rsidRPr="00864963">
              <w:rPr>
                <w:rFonts w:ascii="Arial" w:hAnsi="Arial" w:cs="Arial"/>
                <w:b/>
                <w:bCs/>
                <w:sz w:val="16"/>
                <w:szCs w:val="16"/>
              </w:rPr>
              <w:t> </w:t>
            </w:r>
          </w:p>
        </w:tc>
        <w:tc>
          <w:tcPr>
            <w:tcW w:w="457" w:type="pct"/>
            <w:tcBorders>
              <w:top w:val="nil"/>
              <w:left w:val="nil"/>
              <w:bottom w:val="nil"/>
              <w:right w:val="nil"/>
            </w:tcBorders>
            <w:shd w:val="clear" w:color="000000" w:fill="FFFFFF"/>
            <w:noWrap/>
            <w:vAlign w:val="center"/>
            <w:hideMark/>
          </w:tcPr>
          <w:p w14:paraId="244AC55A"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E6F2FF"/>
            <w:noWrap/>
            <w:vAlign w:val="center"/>
            <w:hideMark/>
          </w:tcPr>
          <w:p w14:paraId="6381CA3C"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05385703"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5D6EC131"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7CF649FE"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0F818345"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571" w:type="pct"/>
            <w:tcBorders>
              <w:top w:val="single" w:sz="4" w:space="0" w:color="293F5B"/>
              <w:left w:val="nil"/>
              <w:bottom w:val="nil"/>
              <w:right w:val="nil"/>
            </w:tcBorders>
            <w:shd w:val="clear" w:color="000000" w:fill="FFFFFF"/>
            <w:noWrap/>
            <w:vAlign w:val="center"/>
            <w:hideMark/>
          </w:tcPr>
          <w:p w14:paraId="7695BA6A"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1F98FA64" w14:textId="77777777" w:rsidTr="003F4D4B">
        <w:trPr>
          <w:trHeight w:hRule="exact" w:val="225"/>
        </w:trPr>
        <w:tc>
          <w:tcPr>
            <w:tcW w:w="2086" w:type="pct"/>
            <w:tcBorders>
              <w:top w:val="nil"/>
              <w:left w:val="nil"/>
              <w:bottom w:val="nil"/>
              <w:right w:val="nil"/>
            </w:tcBorders>
            <w:shd w:val="clear" w:color="000000" w:fill="FFFFFF"/>
            <w:noWrap/>
            <w:vAlign w:val="center"/>
            <w:hideMark/>
          </w:tcPr>
          <w:p w14:paraId="2A9A55DD" w14:textId="77777777" w:rsidR="003F4D4B" w:rsidRPr="00864963" w:rsidRDefault="003F4D4B" w:rsidP="003F4D4B">
            <w:pPr>
              <w:spacing w:before="0" w:after="0" w:line="240" w:lineRule="auto"/>
              <w:rPr>
                <w:rFonts w:ascii="Arial" w:hAnsi="Arial" w:cs="Arial"/>
                <w:b/>
                <w:bCs/>
                <w:sz w:val="16"/>
                <w:szCs w:val="16"/>
              </w:rPr>
            </w:pPr>
            <w:r w:rsidRPr="00864963">
              <w:rPr>
                <w:rFonts w:ascii="Arial" w:hAnsi="Arial" w:cs="Arial"/>
                <w:b/>
                <w:bCs/>
                <w:sz w:val="16"/>
                <w:szCs w:val="16"/>
              </w:rPr>
              <w:t>2022–23 October Budget fiscal balance</w:t>
            </w:r>
          </w:p>
        </w:tc>
        <w:tc>
          <w:tcPr>
            <w:tcW w:w="457" w:type="pct"/>
            <w:tcBorders>
              <w:top w:val="nil"/>
              <w:left w:val="nil"/>
              <w:bottom w:val="nil"/>
              <w:right w:val="nil"/>
            </w:tcBorders>
            <w:shd w:val="clear" w:color="000000" w:fill="FFFFFF"/>
            <w:noWrap/>
            <w:vAlign w:val="center"/>
            <w:hideMark/>
          </w:tcPr>
          <w:p w14:paraId="7DDCBE5F"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-38,686</w:t>
            </w:r>
          </w:p>
        </w:tc>
        <w:tc>
          <w:tcPr>
            <w:tcW w:w="456" w:type="pct"/>
            <w:tcBorders>
              <w:top w:val="nil"/>
              <w:left w:val="nil"/>
              <w:bottom w:val="nil"/>
              <w:right w:val="nil"/>
            </w:tcBorders>
            <w:shd w:val="clear" w:color="000000" w:fill="E6F2FF"/>
            <w:noWrap/>
            <w:vAlign w:val="center"/>
            <w:hideMark/>
          </w:tcPr>
          <w:p w14:paraId="18804078"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-44,909</w:t>
            </w:r>
          </w:p>
        </w:tc>
        <w:tc>
          <w:tcPr>
            <w:tcW w:w="456" w:type="pct"/>
            <w:tcBorders>
              <w:top w:val="nil"/>
              <w:left w:val="nil"/>
              <w:bottom w:val="nil"/>
              <w:right w:val="nil"/>
            </w:tcBorders>
            <w:shd w:val="clear" w:color="000000" w:fill="FFFFFF"/>
            <w:noWrap/>
            <w:vAlign w:val="center"/>
            <w:hideMark/>
          </w:tcPr>
          <w:p w14:paraId="0B35FC1C"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-62,138</w:t>
            </w:r>
          </w:p>
        </w:tc>
        <w:tc>
          <w:tcPr>
            <w:tcW w:w="456" w:type="pct"/>
            <w:tcBorders>
              <w:top w:val="nil"/>
              <w:left w:val="nil"/>
              <w:bottom w:val="nil"/>
              <w:right w:val="nil"/>
            </w:tcBorders>
            <w:shd w:val="clear" w:color="000000" w:fill="FFFFFF"/>
            <w:noWrap/>
            <w:vAlign w:val="center"/>
            <w:hideMark/>
          </w:tcPr>
          <w:p w14:paraId="311580B6"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-49,895</w:t>
            </w:r>
          </w:p>
        </w:tc>
        <w:tc>
          <w:tcPr>
            <w:tcW w:w="456" w:type="pct"/>
            <w:tcBorders>
              <w:top w:val="nil"/>
              <w:left w:val="nil"/>
              <w:bottom w:val="nil"/>
              <w:right w:val="nil"/>
            </w:tcBorders>
            <w:shd w:val="clear" w:color="000000" w:fill="FFFFFF"/>
            <w:noWrap/>
            <w:vAlign w:val="center"/>
            <w:hideMark/>
          </w:tcPr>
          <w:p w14:paraId="20F784FC"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w:t>
            </w:r>
          </w:p>
        </w:tc>
        <w:tc>
          <w:tcPr>
            <w:tcW w:w="62" w:type="pct"/>
            <w:tcBorders>
              <w:top w:val="nil"/>
              <w:left w:val="nil"/>
              <w:bottom w:val="nil"/>
              <w:right w:val="nil"/>
            </w:tcBorders>
            <w:shd w:val="clear" w:color="000000" w:fill="FFFFFF"/>
            <w:noWrap/>
            <w:vAlign w:val="center"/>
            <w:hideMark/>
          </w:tcPr>
          <w:p w14:paraId="52B57A3B"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 </w:t>
            </w:r>
          </w:p>
        </w:tc>
        <w:tc>
          <w:tcPr>
            <w:tcW w:w="571" w:type="pct"/>
            <w:tcBorders>
              <w:top w:val="nil"/>
              <w:left w:val="nil"/>
              <w:bottom w:val="nil"/>
              <w:right w:val="nil"/>
            </w:tcBorders>
            <w:shd w:val="clear" w:color="000000" w:fill="FFFFFF"/>
            <w:noWrap/>
            <w:vAlign w:val="center"/>
            <w:hideMark/>
          </w:tcPr>
          <w:p w14:paraId="171F1C9A"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w:t>
            </w:r>
          </w:p>
        </w:tc>
      </w:tr>
      <w:tr w:rsidR="00864963" w:rsidRPr="00864963" w14:paraId="05D298A1" w14:textId="77777777" w:rsidTr="003F4D4B">
        <w:trPr>
          <w:trHeight w:hRule="exact" w:val="225"/>
        </w:trPr>
        <w:tc>
          <w:tcPr>
            <w:tcW w:w="2086" w:type="pct"/>
            <w:tcBorders>
              <w:top w:val="nil"/>
              <w:left w:val="nil"/>
              <w:bottom w:val="nil"/>
              <w:right w:val="nil"/>
            </w:tcBorders>
            <w:shd w:val="clear" w:color="000000" w:fill="FFFFFF"/>
            <w:noWrap/>
            <w:vAlign w:val="center"/>
            <w:hideMark/>
          </w:tcPr>
          <w:p w14:paraId="4ACA9BE1" w14:textId="77777777" w:rsidR="003F4D4B" w:rsidRPr="00864963" w:rsidRDefault="003F4D4B" w:rsidP="003F4D4B">
            <w:pPr>
              <w:spacing w:before="0" w:after="0" w:line="240" w:lineRule="auto"/>
              <w:rPr>
                <w:rFonts w:ascii="Arial" w:hAnsi="Arial" w:cs="Arial"/>
                <w:sz w:val="16"/>
                <w:szCs w:val="16"/>
              </w:rPr>
            </w:pPr>
            <w:r w:rsidRPr="00864963">
              <w:rPr>
                <w:rFonts w:ascii="Arial" w:hAnsi="Arial" w:cs="Arial"/>
                <w:sz w:val="16"/>
                <w:szCs w:val="16"/>
              </w:rPr>
              <w:t>Per cent of GDP</w:t>
            </w:r>
          </w:p>
        </w:tc>
        <w:tc>
          <w:tcPr>
            <w:tcW w:w="457" w:type="pct"/>
            <w:tcBorders>
              <w:top w:val="nil"/>
              <w:left w:val="nil"/>
              <w:bottom w:val="nil"/>
              <w:right w:val="nil"/>
            </w:tcBorders>
            <w:shd w:val="clear" w:color="000000" w:fill="FFFFFF"/>
            <w:noWrap/>
            <w:vAlign w:val="center"/>
            <w:hideMark/>
          </w:tcPr>
          <w:p w14:paraId="59CAE080"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-1.6</w:t>
            </w:r>
          </w:p>
        </w:tc>
        <w:tc>
          <w:tcPr>
            <w:tcW w:w="456" w:type="pct"/>
            <w:tcBorders>
              <w:top w:val="nil"/>
              <w:left w:val="nil"/>
              <w:bottom w:val="nil"/>
              <w:right w:val="nil"/>
            </w:tcBorders>
            <w:shd w:val="clear" w:color="000000" w:fill="E6F2FF"/>
            <w:noWrap/>
            <w:vAlign w:val="center"/>
            <w:hideMark/>
          </w:tcPr>
          <w:p w14:paraId="57137F91"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-1.8</w:t>
            </w:r>
          </w:p>
        </w:tc>
        <w:tc>
          <w:tcPr>
            <w:tcW w:w="456" w:type="pct"/>
            <w:tcBorders>
              <w:top w:val="nil"/>
              <w:left w:val="nil"/>
              <w:bottom w:val="nil"/>
              <w:right w:val="nil"/>
            </w:tcBorders>
            <w:shd w:val="clear" w:color="000000" w:fill="FFFFFF"/>
            <w:noWrap/>
            <w:vAlign w:val="center"/>
            <w:hideMark/>
          </w:tcPr>
          <w:p w14:paraId="2211BB30"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-2.4</w:t>
            </w:r>
          </w:p>
        </w:tc>
        <w:tc>
          <w:tcPr>
            <w:tcW w:w="456" w:type="pct"/>
            <w:tcBorders>
              <w:top w:val="nil"/>
              <w:left w:val="nil"/>
              <w:bottom w:val="nil"/>
              <w:right w:val="nil"/>
            </w:tcBorders>
            <w:shd w:val="clear" w:color="000000" w:fill="FFFFFF"/>
            <w:noWrap/>
            <w:vAlign w:val="center"/>
            <w:hideMark/>
          </w:tcPr>
          <w:p w14:paraId="1D46EE4A"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-1.9</w:t>
            </w:r>
          </w:p>
        </w:tc>
        <w:tc>
          <w:tcPr>
            <w:tcW w:w="456" w:type="pct"/>
            <w:tcBorders>
              <w:top w:val="nil"/>
              <w:left w:val="nil"/>
              <w:bottom w:val="nil"/>
              <w:right w:val="nil"/>
            </w:tcBorders>
            <w:shd w:val="clear" w:color="000000" w:fill="FFFFFF"/>
            <w:noWrap/>
            <w:vAlign w:val="center"/>
            <w:hideMark/>
          </w:tcPr>
          <w:p w14:paraId="45305C28"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w:t>
            </w:r>
          </w:p>
        </w:tc>
        <w:tc>
          <w:tcPr>
            <w:tcW w:w="62" w:type="pct"/>
            <w:tcBorders>
              <w:top w:val="nil"/>
              <w:left w:val="nil"/>
              <w:bottom w:val="nil"/>
              <w:right w:val="nil"/>
            </w:tcBorders>
            <w:shd w:val="clear" w:color="000000" w:fill="FFFFFF"/>
            <w:noWrap/>
            <w:vAlign w:val="center"/>
            <w:hideMark/>
          </w:tcPr>
          <w:p w14:paraId="6B4C4B1D"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68EA768B"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6B55A8CA" w14:textId="77777777" w:rsidTr="003F4D4B">
        <w:trPr>
          <w:trHeight w:hRule="exact" w:val="60"/>
        </w:trPr>
        <w:tc>
          <w:tcPr>
            <w:tcW w:w="2086" w:type="pct"/>
            <w:tcBorders>
              <w:top w:val="nil"/>
              <w:left w:val="nil"/>
              <w:bottom w:val="nil"/>
              <w:right w:val="nil"/>
            </w:tcBorders>
            <w:shd w:val="clear" w:color="000000" w:fill="FFFFFF"/>
            <w:noWrap/>
            <w:vAlign w:val="center"/>
            <w:hideMark/>
          </w:tcPr>
          <w:p w14:paraId="7B35FBB4" w14:textId="77777777" w:rsidR="003F4D4B" w:rsidRPr="00864963" w:rsidRDefault="003F4D4B" w:rsidP="003F4D4B">
            <w:pPr>
              <w:spacing w:before="0" w:after="0" w:line="240" w:lineRule="auto"/>
              <w:rPr>
                <w:rFonts w:ascii="Arial" w:hAnsi="Arial" w:cs="Arial"/>
                <w:sz w:val="16"/>
                <w:szCs w:val="16"/>
              </w:rPr>
            </w:pPr>
            <w:r w:rsidRPr="00864963">
              <w:rPr>
                <w:rFonts w:ascii="Arial" w:hAnsi="Arial" w:cs="Arial"/>
                <w:sz w:val="16"/>
                <w:szCs w:val="16"/>
              </w:rPr>
              <w:t> </w:t>
            </w:r>
          </w:p>
        </w:tc>
        <w:tc>
          <w:tcPr>
            <w:tcW w:w="457" w:type="pct"/>
            <w:tcBorders>
              <w:top w:val="nil"/>
              <w:left w:val="nil"/>
              <w:bottom w:val="nil"/>
              <w:right w:val="nil"/>
            </w:tcBorders>
            <w:shd w:val="clear" w:color="000000" w:fill="FFFFFF"/>
            <w:noWrap/>
            <w:vAlign w:val="center"/>
            <w:hideMark/>
          </w:tcPr>
          <w:p w14:paraId="61061077"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E6F2FF"/>
            <w:noWrap/>
            <w:vAlign w:val="center"/>
            <w:hideMark/>
          </w:tcPr>
          <w:p w14:paraId="40B28A9C"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1C7C534C"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68944F2B"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1CAE062E"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5B2FD938"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55AD1042"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640A90B8" w14:textId="77777777" w:rsidTr="003F4D4B">
        <w:trPr>
          <w:trHeight w:hRule="exact" w:val="225"/>
        </w:trPr>
        <w:tc>
          <w:tcPr>
            <w:tcW w:w="2086" w:type="pct"/>
            <w:tcBorders>
              <w:top w:val="nil"/>
              <w:left w:val="nil"/>
              <w:bottom w:val="nil"/>
              <w:right w:val="nil"/>
            </w:tcBorders>
            <w:shd w:val="clear" w:color="000000" w:fill="FFFFFF"/>
            <w:noWrap/>
            <w:vAlign w:val="center"/>
            <w:hideMark/>
          </w:tcPr>
          <w:p w14:paraId="50392E0A" w14:textId="77777777" w:rsidR="003F4D4B" w:rsidRPr="00864963" w:rsidRDefault="003F4D4B" w:rsidP="003F4D4B">
            <w:pPr>
              <w:spacing w:before="0" w:after="0" w:line="240" w:lineRule="auto"/>
              <w:rPr>
                <w:rFonts w:ascii="Arial" w:hAnsi="Arial" w:cs="Arial"/>
                <w:b/>
                <w:bCs/>
                <w:sz w:val="16"/>
                <w:szCs w:val="16"/>
              </w:rPr>
            </w:pPr>
            <w:r w:rsidRPr="00864963">
              <w:rPr>
                <w:rFonts w:ascii="Arial" w:hAnsi="Arial" w:cs="Arial"/>
                <w:b/>
                <w:bCs/>
                <w:sz w:val="16"/>
                <w:szCs w:val="16"/>
              </w:rPr>
              <w:t>Changes from 2022–23 October Budget</w:t>
            </w:r>
          </w:p>
        </w:tc>
        <w:tc>
          <w:tcPr>
            <w:tcW w:w="457" w:type="pct"/>
            <w:tcBorders>
              <w:top w:val="nil"/>
              <w:left w:val="nil"/>
              <w:bottom w:val="nil"/>
              <w:right w:val="nil"/>
            </w:tcBorders>
            <w:shd w:val="clear" w:color="000000" w:fill="FFFFFF"/>
            <w:noWrap/>
            <w:vAlign w:val="center"/>
            <w:hideMark/>
          </w:tcPr>
          <w:p w14:paraId="3CA81BC3"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E6F2FF"/>
            <w:noWrap/>
            <w:vAlign w:val="center"/>
            <w:hideMark/>
          </w:tcPr>
          <w:p w14:paraId="183DD16C"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1697DDF3"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5B2A7237"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066C9801"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0F1000AF"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73F6F464"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5C4DEEC5" w14:textId="77777777" w:rsidTr="003F4D4B">
        <w:trPr>
          <w:trHeight w:hRule="exact" w:val="225"/>
        </w:trPr>
        <w:tc>
          <w:tcPr>
            <w:tcW w:w="2086" w:type="pct"/>
            <w:tcBorders>
              <w:top w:val="nil"/>
              <w:left w:val="nil"/>
              <w:bottom w:val="nil"/>
              <w:right w:val="nil"/>
            </w:tcBorders>
            <w:shd w:val="clear" w:color="000000" w:fill="FFFFFF"/>
            <w:noWrap/>
            <w:vAlign w:val="center"/>
            <w:hideMark/>
          </w:tcPr>
          <w:p w14:paraId="045ECE5F" w14:textId="77777777" w:rsidR="003F4D4B" w:rsidRPr="00864963" w:rsidRDefault="003F4D4B" w:rsidP="003F4D4B">
            <w:pPr>
              <w:spacing w:before="0" w:after="0" w:line="240" w:lineRule="auto"/>
              <w:ind w:left="170"/>
              <w:rPr>
                <w:rFonts w:ascii="Arial" w:hAnsi="Arial" w:cs="Arial"/>
                <w:b/>
                <w:bCs/>
                <w:sz w:val="16"/>
                <w:szCs w:val="16"/>
              </w:rPr>
            </w:pPr>
            <w:r w:rsidRPr="00864963">
              <w:rPr>
                <w:rFonts w:ascii="Arial" w:hAnsi="Arial" w:cs="Arial"/>
                <w:b/>
                <w:bCs/>
                <w:sz w:val="16"/>
                <w:szCs w:val="16"/>
              </w:rPr>
              <w:t>to 2023–24 Budget</w:t>
            </w:r>
          </w:p>
        </w:tc>
        <w:tc>
          <w:tcPr>
            <w:tcW w:w="457" w:type="pct"/>
            <w:tcBorders>
              <w:top w:val="nil"/>
              <w:left w:val="nil"/>
              <w:bottom w:val="nil"/>
              <w:right w:val="nil"/>
            </w:tcBorders>
            <w:shd w:val="clear" w:color="000000" w:fill="FFFFFF"/>
            <w:noWrap/>
            <w:vAlign w:val="center"/>
            <w:hideMark/>
          </w:tcPr>
          <w:p w14:paraId="441FB8BA"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E6F2FF"/>
            <w:noWrap/>
            <w:vAlign w:val="center"/>
            <w:hideMark/>
          </w:tcPr>
          <w:p w14:paraId="0FFE837A"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320692DF"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413D4DA7"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67D8D4EF"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046DC9CB"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02E3129E"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6FB3CC08" w14:textId="77777777" w:rsidTr="003F4D4B">
        <w:trPr>
          <w:trHeight w:hRule="exact" w:val="225"/>
        </w:trPr>
        <w:tc>
          <w:tcPr>
            <w:tcW w:w="2086" w:type="pct"/>
            <w:tcBorders>
              <w:top w:val="nil"/>
              <w:left w:val="nil"/>
              <w:bottom w:val="nil"/>
              <w:right w:val="nil"/>
            </w:tcBorders>
            <w:shd w:val="clear" w:color="000000" w:fill="FFFFFF"/>
            <w:noWrap/>
            <w:vAlign w:val="center"/>
            <w:hideMark/>
          </w:tcPr>
          <w:p w14:paraId="34CDDE53" w14:textId="77777777" w:rsidR="003F4D4B" w:rsidRPr="00864963" w:rsidRDefault="003F4D4B" w:rsidP="003F4D4B">
            <w:pPr>
              <w:spacing w:before="0" w:after="0" w:line="240" w:lineRule="auto"/>
              <w:rPr>
                <w:rFonts w:ascii="Arial" w:hAnsi="Arial" w:cs="Arial"/>
                <w:sz w:val="16"/>
                <w:szCs w:val="16"/>
              </w:rPr>
            </w:pPr>
            <w:r w:rsidRPr="00864963">
              <w:rPr>
                <w:rFonts w:ascii="Arial" w:hAnsi="Arial" w:cs="Arial"/>
                <w:sz w:val="16"/>
                <w:szCs w:val="16"/>
              </w:rPr>
              <w:t>Effect of policy decisions(a)(b)</w:t>
            </w:r>
          </w:p>
        </w:tc>
        <w:tc>
          <w:tcPr>
            <w:tcW w:w="457" w:type="pct"/>
            <w:tcBorders>
              <w:top w:val="nil"/>
              <w:left w:val="nil"/>
              <w:bottom w:val="nil"/>
              <w:right w:val="nil"/>
            </w:tcBorders>
            <w:shd w:val="clear" w:color="000000" w:fill="FFFFFF"/>
            <w:noWrap/>
            <w:vAlign w:val="center"/>
            <w:hideMark/>
          </w:tcPr>
          <w:p w14:paraId="58D6F011"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E6F2FF"/>
            <w:noWrap/>
            <w:vAlign w:val="center"/>
            <w:hideMark/>
          </w:tcPr>
          <w:p w14:paraId="48C494D1"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388DEB32"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3784ABC4"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77BE466E"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59A0EE0F"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0DD99848"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1B08FD1F" w14:textId="77777777" w:rsidTr="003F4D4B">
        <w:trPr>
          <w:trHeight w:hRule="exact" w:val="225"/>
        </w:trPr>
        <w:tc>
          <w:tcPr>
            <w:tcW w:w="2086" w:type="pct"/>
            <w:tcBorders>
              <w:top w:val="nil"/>
              <w:left w:val="nil"/>
              <w:bottom w:val="nil"/>
              <w:right w:val="nil"/>
            </w:tcBorders>
            <w:shd w:val="clear" w:color="000000" w:fill="FFFFFF"/>
            <w:noWrap/>
            <w:vAlign w:val="center"/>
            <w:hideMark/>
          </w:tcPr>
          <w:p w14:paraId="5FA752DA" w14:textId="77777777" w:rsidR="003F4D4B" w:rsidRPr="00864963" w:rsidRDefault="003F4D4B" w:rsidP="003F4D4B">
            <w:pPr>
              <w:spacing w:before="0" w:after="0" w:line="240" w:lineRule="auto"/>
              <w:ind w:left="170"/>
              <w:rPr>
                <w:rFonts w:ascii="Arial" w:hAnsi="Arial" w:cs="Arial"/>
                <w:i/>
                <w:iCs/>
                <w:sz w:val="16"/>
                <w:szCs w:val="16"/>
              </w:rPr>
            </w:pPr>
            <w:r w:rsidRPr="00864963">
              <w:rPr>
                <w:rFonts w:ascii="Arial" w:hAnsi="Arial" w:cs="Arial"/>
                <w:i/>
                <w:iCs/>
                <w:sz w:val="16"/>
                <w:szCs w:val="16"/>
              </w:rPr>
              <w:t>Revenue</w:t>
            </w:r>
          </w:p>
        </w:tc>
        <w:tc>
          <w:tcPr>
            <w:tcW w:w="457" w:type="pct"/>
            <w:tcBorders>
              <w:top w:val="nil"/>
              <w:left w:val="nil"/>
              <w:bottom w:val="nil"/>
              <w:right w:val="nil"/>
            </w:tcBorders>
            <w:shd w:val="clear" w:color="000000" w:fill="FFFFFF"/>
            <w:noWrap/>
            <w:vAlign w:val="center"/>
            <w:hideMark/>
          </w:tcPr>
          <w:p w14:paraId="31227074"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141</w:t>
            </w:r>
          </w:p>
        </w:tc>
        <w:tc>
          <w:tcPr>
            <w:tcW w:w="456" w:type="pct"/>
            <w:tcBorders>
              <w:top w:val="nil"/>
              <w:left w:val="nil"/>
              <w:bottom w:val="nil"/>
              <w:right w:val="nil"/>
            </w:tcBorders>
            <w:shd w:val="clear" w:color="000000" w:fill="E6F2FF"/>
            <w:noWrap/>
            <w:vAlign w:val="center"/>
            <w:hideMark/>
          </w:tcPr>
          <w:p w14:paraId="1140E444"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1,525</w:t>
            </w:r>
          </w:p>
        </w:tc>
        <w:tc>
          <w:tcPr>
            <w:tcW w:w="456" w:type="pct"/>
            <w:tcBorders>
              <w:top w:val="nil"/>
              <w:left w:val="nil"/>
              <w:bottom w:val="nil"/>
              <w:right w:val="nil"/>
            </w:tcBorders>
            <w:shd w:val="clear" w:color="000000" w:fill="FFFFFF"/>
            <w:noWrap/>
            <w:vAlign w:val="center"/>
            <w:hideMark/>
          </w:tcPr>
          <w:p w14:paraId="0181BB2E"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4,722</w:t>
            </w:r>
          </w:p>
        </w:tc>
        <w:tc>
          <w:tcPr>
            <w:tcW w:w="456" w:type="pct"/>
            <w:tcBorders>
              <w:top w:val="nil"/>
              <w:left w:val="nil"/>
              <w:bottom w:val="nil"/>
              <w:right w:val="nil"/>
            </w:tcBorders>
            <w:shd w:val="clear" w:color="000000" w:fill="FFFFFF"/>
            <w:noWrap/>
            <w:vAlign w:val="center"/>
            <w:hideMark/>
          </w:tcPr>
          <w:p w14:paraId="68F68935"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5,890</w:t>
            </w:r>
          </w:p>
        </w:tc>
        <w:tc>
          <w:tcPr>
            <w:tcW w:w="456" w:type="pct"/>
            <w:tcBorders>
              <w:top w:val="nil"/>
              <w:left w:val="nil"/>
              <w:bottom w:val="nil"/>
              <w:right w:val="nil"/>
            </w:tcBorders>
            <w:shd w:val="clear" w:color="000000" w:fill="FFFFFF"/>
            <w:noWrap/>
            <w:vAlign w:val="center"/>
            <w:hideMark/>
          </w:tcPr>
          <w:p w14:paraId="54FAAA9E"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7,619</w:t>
            </w:r>
          </w:p>
        </w:tc>
        <w:tc>
          <w:tcPr>
            <w:tcW w:w="62" w:type="pct"/>
            <w:tcBorders>
              <w:top w:val="nil"/>
              <w:left w:val="nil"/>
              <w:bottom w:val="nil"/>
              <w:right w:val="nil"/>
            </w:tcBorders>
            <w:shd w:val="clear" w:color="000000" w:fill="FFFFFF"/>
            <w:noWrap/>
            <w:vAlign w:val="center"/>
            <w:hideMark/>
          </w:tcPr>
          <w:p w14:paraId="2F705813"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 </w:t>
            </w:r>
          </w:p>
        </w:tc>
        <w:tc>
          <w:tcPr>
            <w:tcW w:w="571" w:type="pct"/>
            <w:tcBorders>
              <w:top w:val="nil"/>
              <w:left w:val="nil"/>
              <w:bottom w:val="nil"/>
              <w:right w:val="nil"/>
            </w:tcBorders>
            <w:shd w:val="clear" w:color="000000" w:fill="FFFFFF"/>
            <w:noWrap/>
            <w:vAlign w:val="center"/>
            <w:hideMark/>
          </w:tcPr>
          <w:p w14:paraId="03EFA13B"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19,897</w:t>
            </w:r>
          </w:p>
        </w:tc>
      </w:tr>
      <w:tr w:rsidR="00864963" w:rsidRPr="00864963" w14:paraId="31F57403" w14:textId="77777777" w:rsidTr="003F4D4B">
        <w:trPr>
          <w:trHeight w:hRule="exact" w:val="225"/>
        </w:trPr>
        <w:tc>
          <w:tcPr>
            <w:tcW w:w="2086" w:type="pct"/>
            <w:tcBorders>
              <w:top w:val="nil"/>
              <w:left w:val="nil"/>
              <w:bottom w:val="nil"/>
              <w:right w:val="nil"/>
            </w:tcBorders>
            <w:shd w:val="clear" w:color="000000" w:fill="FFFFFF"/>
            <w:noWrap/>
            <w:vAlign w:val="center"/>
            <w:hideMark/>
          </w:tcPr>
          <w:p w14:paraId="42E359F0" w14:textId="77777777" w:rsidR="003F4D4B" w:rsidRPr="00864963" w:rsidRDefault="003F4D4B" w:rsidP="003F4D4B">
            <w:pPr>
              <w:spacing w:before="0" w:after="0" w:line="240" w:lineRule="auto"/>
              <w:ind w:left="170"/>
              <w:rPr>
                <w:rFonts w:ascii="Arial" w:hAnsi="Arial" w:cs="Arial"/>
                <w:i/>
                <w:iCs/>
                <w:sz w:val="16"/>
                <w:szCs w:val="16"/>
              </w:rPr>
            </w:pPr>
            <w:r w:rsidRPr="00864963">
              <w:rPr>
                <w:rFonts w:ascii="Arial" w:hAnsi="Arial" w:cs="Arial"/>
                <w:i/>
                <w:iCs/>
                <w:sz w:val="16"/>
                <w:szCs w:val="16"/>
              </w:rPr>
              <w:t xml:space="preserve">Expenses </w:t>
            </w:r>
          </w:p>
        </w:tc>
        <w:tc>
          <w:tcPr>
            <w:tcW w:w="457" w:type="pct"/>
            <w:tcBorders>
              <w:top w:val="nil"/>
              <w:left w:val="nil"/>
              <w:bottom w:val="nil"/>
              <w:right w:val="nil"/>
            </w:tcBorders>
            <w:shd w:val="clear" w:color="000000" w:fill="FFFFFF"/>
            <w:noWrap/>
            <w:vAlign w:val="center"/>
            <w:hideMark/>
          </w:tcPr>
          <w:p w14:paraId="26FE3790"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1,749</w:t>
            </w:r>
          </w:p>
        </w:tc>
        <w:tc>
          <w:tcPr>
            <w:tcW w:w="456" w:type="pct"/>
            <w:tcBorders>
              <w:top w:val="nil"/>
              <w:left w:val="nil"/>
              <w:bottom w:val="nil"/>
              <w:right w:val="nil"/>
            </w:tcBorders>
            <w:shd w:val="clear" w:color="000000" w:fill="E6F2FF"/>
            <w:noWrap/>
            <w:vAlign w:val="center"/>
            <w:hideMark/>
          </w:tcPr>
          <w:p w14:paraId="01A64DF5"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13,013</w:t>
            </w:r>
          </w:p>
        </w:tc>
        <w:tc>
          <w:tcPr>
            <w:tcW w:w="456" w:type="pct"/>
            <w:tcBorders>
              <w:top w:val="nil"/>
              <w:left w:val="nil"/>
              <w:bottom w:val="nil"/>
              <w:right w:val="nil"/>
            </w:tcBorders>
            <w:shd w:val="clear" w:color="000000" w:fill="FFFFFF"/>
            <w:noWrap/>
            <w:vAlign w:val="center"/>
            <w:hideMark/>
          </w:tcPr>
          <w:p w14:paraId="64095DC9"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10,145</w:t>
            </w:r>
          </w:p>
        </w:tc>
        <w:tc>
          <w:tcPr>
            <w:tcW w:w="456" w:type="pct"/>
            <w:tcBorders>
              <w:top w:val="nil"/>
              <w:left w:val="nil"/>
              <w:bottom w:val="nil"/>
              <w:right w:val="nil"/>
            </w:tcBorders>
            <w:shd w:val="clear" w:color="000000" w:fill="FFFFFF"/>
            <w:noWrap/>
            <w:vAlign w:val="center"/>
            <w:hideMark/>
          </w:tcPr>
          <w:p w14:paraId="565FC12F"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8,460</w:t>
            </w:r>
          </w:p>
        </w:tc>
        <w:tc>
          <w:tcPr>
            <w:tcW w:w="456" w:type="pct"/>
            <w:tcBorders>
              <w:top w:val="nil"/>
              <w:left w:val="nil"/>
              <w:bottom w:val="nil"/>
              <w:right w:val="nil"/>
            </w:tcBorders>
            <w:shd w:val="clear" w:color="000000" w:fill="FFFFFF"/>
            <w:noWrap/>
            <w:vAlign w:val="center"/>
            <w:hideMark/>
          </w:tcPr>
          <w:p w14:paraId="32831339"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7,584</w:t>
            </w:r>
          </w:p>
        </w:tc>
        <w:tc>
          <w:tcPr>
            <w:tcW w:w="62" w:type="pct"/>
            <w:tcBorders>
              <w:top w:val="nil"/>
              <w:left w:val="nil"/>
              <w:bottom w:val="nil"/>
              <w:right w:val="nil"/>
            </w:tcBorders>
            <w:shd w:val="clear" w:color="000000" w:fill="FFFFFF"/>
            <w:noWrap/>
            <w:vAlign w:val="center"/>
            <w:hideMark/>
          </w:tcPr>
          <w:p w14:paraId="698541CE"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 </w:t>
            </w:r>
          </w:p>
        </w:tc>
        <w:tc>
          <w:tcPr>
            <w:tcW w:w="571" w:type="pct"/>
            <w:tcBorders>
              <w:top w:val="nil"/>
              <w:left w:val="nil"/>
              <w:bottom w:val="nil"/>
              <w:right w:val="nil"/>
            </w:tcBorders>
            <w:shd w:val="clear" w:color="000000" w:fill="FFFFFF"/>
            <w:noWrap/>
            <w:vAlign w:val="center"/>
            <w:hideMark/>
          </w:tcPr>
          <w:p w14:paraId="383A5C58"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40,951</w:t>
            </w:r>
          </w:p>
        </w:tc>
      </w:tr>
      <w:tr w:rsidR="00864963" w:rsidRPr="00864963" w14:paraId="76759756" w14:textId="77777777" w:rsidTr="003F4D4B">
        <w:trPr>
          <w:trHeight w:hRule="exact" w:val="225"/>
        </w:trPr>
        <w:tc>
          <w:tcPr>
            <w:tcW w:w="2086" w:type="pct"/>
            <w:tcBorders>
              <w:top w:val="nil"/>
              <w:left w:val="nil"/>
              <w:bottom w:val="nil"/>
              <w:right w:val="nil"/>
            </w:tcBorders>
            <w:shd w:val="clear" w:color="000000" w:fill="FFFFFF"/>
            <w:noWrap/>
            <w:vAlign w:val="center"/>
            <w:hideMark/>
          </w:tcPr>
          <w:p w14:paraId="30705AFA" w14:textId="77777777" w:rsidR="003F4D4B" w:rsidRPr="00864963" w:rsidRDefault="003F4D4B" w:rsidP="003F4D4B">
            <w:pPr>
              <w:spacing w:before="0" w:after="0" w:line="240" w:lineRule="auto"/>
              <w:ind w:left="170"/>
              <w:rPr>
                <w:rFonts w:ascii="Arial" w:hAnsi="Arial" w:cs="Arial"/>
                <w:i/>
                <w:iCs/>
                <w:sz w:val="16"/>
                <w:szCs w:val="16"/>
              </w:rPr>
            </w:pPr>
            <w:r w:rsidRPr="00864963">
              <w:rPr>
                <w:rFonts w:ascii="Arial" w:hAnsi="Arial" w:cs="Arial"/>
                <w:i/>
                <w:iCs/>
                <w:sz w:val="16"/>
                <w:szCs w:val="16"/>
              </w:rPr>
              <w:t>Net capital investment</w:t>
            </w:r>
          </w:p>
        </w:tc>
        <w:tc>
          <w:tcPr>
            <w:tcW w:w="457" w:type="pct"/>
            <w:tcBorders>
              <w:top w:val="nil"/>
              <w:left w:val="nil"/>
              <w:bottom w:val="single" w:sz="4" w:space="0" w:color="293F5B"/>
              <w:right w:val="nil"/>
            </w:tcBorders>
            <w:shd w:val="clear" w:color="000000" w:fill="FFFFFF"/>
            <w:noWrap/>
            <w:vAlign w:val="center"/>
            <w:hideMark/>
          </w:tcPr>
          <w:p w14:paraId="615EF206"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-10</w:t>
            </w:r>
          </w:p>
        </w:tc>
        <w:tc>
          <w:tcPr>
            <w:tcW w:w="456" w:type="pct"/>
            <w:tcBorders>
              <w:top w:val="nil"/>
              <w:left w:val="nil"/>
              <w:bottom w:val="single" w:sz="4" w:space="0" w:color="293F5B"/>
              <w:right w:val="nil"/>
            </w:tcBorders>
            <w:shd w:val="clear" w:color="000000" w:fill="E6F2FF"/>
            <w:noWrap/>
            <w:vAlign w:val="center"/>
            <w:hideMark/>
          </w:tcPr>
          <w:p w14:paraId="1277BBC8"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734</w:t>
            </w:r>
          </w:p>
        </w:tc>
        <w:tc>
          <w:tcPr>
            <w:tcW w:w="456" w:type="pct"/>
            <w:tcBorders>
              <w:top w:val="nil"/>
              <w:left w:val="nil"/>
              <w:bottom w:val="single" w:sz="4" w:space="0" w:color="293F5B"/>
              <w:right w:val="nil"/>
            </w:tcBorders>
            <w:shd w:val="clear" w:color="000000" w:fill="FFFFFF"/>
            <w:noWrap/>
            <w:vAlign w:val="center"/>
            <w:hideMark/>
          </w:tcPr>
          <w:p w14:paraId="166B94D7"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712</w:t>
            </w:r>
          </w:p>
        </w:tc>
        <w:tc>
          <w:tcPr>
            <w:tcW w:w="456" w:type="pct"/>
            <w:tcBorders>
              <w:top w:val="nil"/>
              <w:left w:val="nil"/>
              <w:bottom w:val="single" w:sz="4" w:space="0" w:color="293F5B"/>
              <w:right w:val="nil"/>
            </w:tcBorders>
            <w:shd w:val="clear" w:color="000000" w:fill="FFFFFF"/>
            <w:noWrap/>
            <w:vAlign w:val="center"/>
            <w:hideMark/>
          </w:tcPr>
          <w:p w14:paraId="3839C3E3"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493</w:t>
            </w:r>
          </w:p>
        </w:tc>
        <w:tc>
          <w:tcPr>
            <w:tcW w:w="456" w:type="pct"/>
            <w:tcBorders>
              <w:top w:val="nil"/>
              <w:left w:val="nil"/>
              <w:bottom w:val="single" w:sz="4" w:space="0" w:color="293F5B"/>
              <w:right w:val="nil"/>
            </w:tcBorders>
            <w:shd w:val="clear" w:color="000000" w:fill="FFFFFF"/>
            <w:noWrap/>
            <w:vAlign w:val="center"/>
            <w:hideMark/>
          </w:tcPr>
          <w:p w14:paraId="1B1CB5C2"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353</w:t>
            </w:r>
          </w:p>
        </w:tc>
        <w:tc>
          <w:tcPr>
            <w:tcW w:w="62" w:type="pct"/>
            <w:tcBorders>
              <w:top w:val="nil"/>
              <w:left w:val="nil"/>
              <w:bottom w:val="nil"/>
              <w:right w:val="nil"/>
            </w:tcBorders>
            <w:shd w:val="clear" w:color="000000" w:fill="FFFFFF"/>
            <w:noWrap/>
            <w:vAlign w:val="center"/>
            <w:hideMark/>
          </w:tcPr>
          <w:p w14:paraId="3775823C"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 </w:t>
            </w:r>
          </w:p>
        </w:tc>
        <w:tc>
          <w:tcPr>
            <w:tcW w:w="571" w:type="pct"/>
            <w:tcBorders>
              <w:top w:val="nil"/>
              <w:left w:val="nil"/>
              <w:bottom w:val="single" w:sz="4" w:space="0" w:color="293F5B"/>
              <w:right w:val="nil"/>
            </w:tcBorders>
            <w:shd w:val="clear" w:color="000000" w:fill="FFFFFF"/>
            <w:noWrap/>
            <w:vAlign w:val="center"/>
            <w:hideMark/>
          </w:tcPr>
          <w:p w14:paraId="3211F876"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2,282</w:t>
            </w:r>
          </w:p>
        </w:tc>
      </w:tr>
      <w:tr w:rsidR="00864963" w:rsidRPr="00864963" w14:paraId="623D1A8D" w14:textId="77777777" w:rsidTr="003F4D4B">
        <w:trPr>
          <w:trHeight w:hRule="exact" w:val="225"/>
        </w:trPr>
        <w:tc>
          <w:tcPr>
            <w:tcW w:w="2086" w:type="pct"/>
            <w:tcBorders>
              <w:top w:val="nil"/>
              <w:left w:val="nil"/>
              <w:bottom w:val="nil"/>
              <w:right w:val="nil"/>
            </w:tcBorders>
            <w:shd w:val="clear" w:color="000000" w:fill="FFFFFF"/>
            <w:noWrap/>
            <w:vAlign w:val="bottom"/>
            <w:hideMark/>
          </w:tcPr>
          <w:p w14:paraId="183BC198" w14:textId="77777777" w:rsidR="003F4D4B" w:rsidRPr="00864963" w:rsidRDefault="003F4D4B" w:rsidP="003F4D4B">
            <w:pPr>
              <w:spacing w:before="0" w:after="0" w:line="240" w:lineRule="auto"/>
              <w:rPr>
                <w:rFonts w:ascii="Arial" w:hAnsi="Arial" w:cs="Arial"/>
                <w:sz w:val="16"/>
                <w:szCs w:val="16"/>
              </w:rPr>
            </w:pPr>
            <w:r w:rsidRPr="00864963">
              <w:rPr>
                <w:rFonts w:ascii="Arial" w:hAnsi="Arial" w:cs="Arial"/>
                <w:sz w:val="16"/>
                <w:szCs w:val="16"/>
              </w:rPr>
              <w:t>Total policy decisions impact on fiscal balance</w:t>
            </w:r>
          </w:p>
        </w:tc>
        <w:tc>
          <w:tcPr>
            <w:tcW w:w="457" w:type="pct"/>
            <w:tcBorders>
              <w:top w:val="single" w:sz="4" w:space="0" w:color="293F5B"/>
              <w:left w:val="nil"/>
              <w:bottom w:val="single" w:sz="4" w:space="0" w:color="293F5B"/>
              <w:right w:val="nil"/>
            </w:tcBorders>
            <w:shd w:val="clear" w:color="000000" w:fill="FFFFFF"/>
            <w:vAlign w:val="center"/>
            <w:hideMark/>
          </w:tcPr>
          <w:p w14:paraId="477EA7BB"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-1,598</w:t>
            </w:r>
          </w:p>
        </w:tc>
        <w:tc>
          <w:tcPr>
            <w:tcW w:w="456" w:type="pct"/>
            <w:tcBorders>
              <w:top w:val="single" w:sz="4" w:space="0" w:color="293F5B"/>
              <w:left w:val="nil"/>
              <w:bottom w:val="single" w:sz="4" w:space="0" w:color="293F5B"/>
              <w:right w:val="nil"/>
            </w:tcBorders>
            <w:shd w:val="clear" w:color="000000" w:fill="E6F2FF"/>
            <w:vAlign w:val="center"/>
            <w:hideMark/>
          </w:tcPr>
          <w:p w14:paraId="60F57DA9"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-12,222</w:t>
            </w:r>
          </w:p>
        </w:tc>
        <w:tc>
          <w:tcPr>
            <w:tcW w:w="456" w:type="pct"/>
            <w:tcBorders>
              <w:top w:val="single" w:sz="4" w:space="0" w:color="293F5B"/>
              <w:left w:val="nil"/>
              <w:bottom w:val="single" w:sz="4" w:space="0" w:color="293F5B"/>
              <w:right w:val="nil"/>
            </w:tcBorders>
            <w:shd w:val="clear" w:color="000000" w:fill="FFFFFF"/>
            <w:vAlign w:val="center"/>
            <w:hideMark/>
          </w:tcPr>
          <w:p w14:paraId="44E2963C"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-6,135</w:t>
            </w:r>
          </w:p>
        </w:tc>
        <w:tc>
          <w:tcPr>
            <w:tcW w:w="456" w:type="pct"/>
            <w:tcBorders>
              <w:top w:val="single" w:sz="4" w:space="0" w:color="293F5B"/>
              <w:left w:val="nil"/>
              <w:bottom w:val="single" w:sz="4" w:space="0" w:color="293F5B"/>
              <w:right w:val="nil"/>
            </w:tcBorders>
            <w:shd w:val="clear" w:color="000000" w:fill="FFFFFF"/>
            <w:vAlign w:val="center"/>
            <w:hideMark/>
          </w:tcPr>
          <w:p w14:paraId="43AA4D78"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-3,063</w:t>
            </w:r>
          </w:p>
        </w:tc>
        <w:tc>
          <w:tcPr>
            <w:tcW w:w="456" w:type="pct"/>
            <w:tcBorders>
              <w:top w:val="single" w:sz="4" w:space="0" w:color="293F5B"/>
              <w:left w:val="nil"/>
              <w:bottom w:val="single" w:sz="4" w:space="0" w:color="293F5B"/>
              <w:right w:val="nil"/>
            </w:tcBorders>
            <w:shd w:val="clear" w:color="000000" w:fill="FFFFFF"/>
            <w:vAlign w:val="center"/>
            <w:hideMark/>
          </w:tcPr>
          <w:p w14:paraId="776ACDFB"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-318</w:t>
            </w:r>
          </w:p>
        </w:tc>
        <w:tc>
          <w:tcPr>
            <w:tcW w:w="62" w:type="pct"/>
            <w:tcBorders>
              <w:top w:val="nil"/>
              <w:left w:val="nil"/>
              <w:bottom w:val="nil"/>
              <w:right w:val="nil"/>
            </w:tcBorders>
            <w:shd w:val="clear" w:color="000000" w:fill="FFFFFF"/>
            <w:vAlign w:val="center"/>
            <w:hideMark/>
          </w:tcPr>
          <w:p w14:paraId="576D0AC5" w14:textId="77777777" w:rsidR="003F4D4B" w:rsidRPr="00864963" w:rsidRDefault="003F4D4B" w:rsidP="003F4D4B">
            <w:pPr>
              <w:spacing w:before="0" w:after="0" w:line="240" w:lineRule="auto"/>
              <w:rPr>
                <w:rFonts w:ascii="Arial" w:hAnsi="Arial" w:cs="Arial"/>
                <w:sz w:val="16"/>
                <w:szCs w:val="16"/>
              </w:rPr>
            </w:pPr>
            <w:r w:rsidRPr="00864963">
              <w:rPr>
                <w:rFonts w:ascii="Arial" w:hAnsi="Arial" w:cs="Arial"/>
                <w:sz w:val="16"/>
                <w:szCs w:val="16"/>
              </w:rPr>
              <w:t> </w:t>
            </w:r>
          </w:p>
        </w:tc>
        <w:tc>
          <w:tcPr>
            <w:tcW w:w="571" w:type="pct"/>
            <w:tcBorders>
              <w:top w:val="single" w:sz="4" w:space="0" w:color="293F5B"/>
              <w:left w:val="nil"/>
              <w:bottom w:val="single" w:sz="4" w:space="0" w:color="293F5B"/>
              <w:right w:val="nil"/>
            </w:tcBorders>
            <w:shd w:val="clear" w:color="000000" w:fill="FFFFFF"/>
            <w:noWrap/>
            <w:vAlign w:val="center"/>
            <w:hideMark/>
          </w:tcPr>
          <w:p w14:paraId="0D4319B0"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-23,336</w:t>
            </w:r>
          </w:p>
        </w:tc>
      </w:tr>
      <w:tr w:rsidR="00864963" w:rsidRPr="00864963" w14:paraId="3F75CB17" w14:textId="77777777" w:rsidTr="003F4D4B">
        <w:trPr>
          <w:trHeight w:hRule="exact" w:val="60"/>
        </w:trPr>
        <w:tc>
          <w:tcPr>
            <w:tcW w:w="2086" w:type="pct"/>
            <w:tcBorders>
              <w:top w:val="nil"/>
              <w:left w:val="nil"/>
              <w:bottom w:val="nil"/>
              <w:right w:val="nil"/>
            </w:tcBorders>
            <w:shd w:val="clear" w:color="000000" w:fill="FFFFFF"/>
            <w:noWrap/>
            <w:vAlign w:val="center"/>
            <w:hideMark/>
          </w:tcPr>
          <w:p w14:paraId="5D30741A" w14:textId="77777777" w:rsidR="003F4D4B" w:rsidRPr="00864963" w:rsidRDefault="003F4D4B" w:rsidP="003F4D4B">
            <w:pPr>
              <w:spacing w:before="0" w:after="0" w:line="240" w:lineRule="auto"/>
              <w:rPr>
                <w:rFonts w:ascii="Arial" w:hAnsi="Arial" w:cs="Arial"/>
                <w:sz w:val="16"/>
                <w:szCs w:val="16"/>
              </w:rPr>
            </w:pPr>
            <w:r w:rsidRPr="00864963">
              <w:rPr>
                <w:rFonts w:ascii="Arial" w:hAnsi="Arial" w:cs="Arial"/>
                <w:sz w:val="16"/>
                <w:szCs w:val="16"/>
              </w:rPr>
              <w:t> </w:t>
            </w:r>
          </w:p>
        </w:tc>
        <w:tc>
          <w:tcPr>
            <w:tcW w:w="457" w:type="pct"/>
            <w:tcBorders>
              <w:top w:val="nil"/>
              <w:left w:val="nil"/>
              <w:bottom w:val="nil"/>
              <w:right w:val="nil"/>
            </w:tcBorders>
            <w:shd w:val="clear" w:color="000000" w:fill="FFFFFF"/>
            <w:noWrap/>
            <w:vAlign w:val="center"/>
            <w:hideMark/>
          </w:tcPr>
          <w:p w14:paraId="26E30454"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E6F2FF"/>
            <w:noWrap/>
            <w:vAlign w:val="center"/>
            <w:hideMark/>
          </w:tcPr>
          <w:p w14:paraId="6E29E028"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57894FF9"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49CDDD98"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79BAFDC3"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15A6111C"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1EEB2EF9"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4C22EF3E" w14:textId="77777777" w:rsidTr="003F4D4B">
        <w:trPr>
          <w:trHeight w:hRule="exact" w:val="225"/>
        </w:trPr>
        <w:tc>
          <w:tcPr>
            <w:tcW w:w="2086" w:type="pct"/>
            <w:tcBorders>
              <w:top w:val="nil"/>
              <w:left w:val="nil"/>
              <w:bottom w:val="nil"/>
              <w:right w:val="nil"/>
            </w:tcBorders>
            <w:shd w:val="clear" w:color="000000" w:fill="FFFFFF"/>
            <w:noWrap/>
            <w:vAlign w:val="center"/>
            <w:hideMark/>
          </w:tcPr>
          <w:p w14:paraId="24FD19E2" w14:textId="77777777" w:rsidR="003F4D4B" w:rsidRPr="00864963" w:rsidRDefault="003F4D4B" w:rsidP="003F4D4B">
            <w:pPr>
              <w:spacing w:before="0" w:after="0" w:line="240" w:lineRule="auto"/>
              <w:rPr>
                <w:rFonts w:ascii="Arial" w:hAnsi="Arial" w:cs="Arial"/>
                <w:sz w:val="16"/>
                <w:szCs w:val="16"/>
              </w:rPr>
            </w:pPr>
            <w:r w:rsidRPr="00864963">
              <w:rPr>
                <w:rFonts w:ascii="Arial" w:hAnsi="Arial" w:cs="Arial"/>
                <w:sz w:val="16"/>
                <w:szCs w:val="16"/>
              </w:rPr>
              <w:t>Effect of parameter and other variations(b)</w:t>
            </w:r>
          </w:p>
        </w:tc>
        <w:tc>
          <w:tcPr>
            <w:tcW w:w="457" w:type="pct"/>
            <w:tcBorders>
              <w:top w:val="nil"/>
              <w:left w:val="nil"/>
              <w:bottom w:val="nil"/>
              <w:right w:val="nil"/>
            </w:tcBorders>
            <w:shd w:val="clear" w:color="000000" w:fill="FFFFFF"/>
            <w:noWrap/>
            <w:vAlign w:val="center"/>
            <w:hideMark/>
          </w:tcPr>
          <w:p w14:paraId="1CD6B57E"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E6F2FF"/>
            <w:noWrap/>
            <w:vAlign w:val="center"/>
            <w:hideMark/>
          </w:tcPr>
          <w:p w14:paraId="73FD53B3"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5880EB51"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64D074D7"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2C1F43F5"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467EDE67"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0C26EB70"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36C117C0" w14:textId="77777777" w:rsidTr="003F4D4B">
        <w:trPr>
          <w:trHeight w:hRule="exact" w:val="225"/>
        </w:trPr>
        <w:tc>
          <w:tcPr>
            <w:tcW w:w="2086" w:type="pct"/>
            <w:tcBorders>
              <w:top w:val="nil"/>
              <w:left w:val="nil"/>
              <w:bottom w:val="nil"/>
              <w:right w:val="nil"/>
            </w:tcBorders>
            <w:shd w:val="clear" w:color="000000" w:fill="FFFFFF"/>
            <w:noWrap/>
            <w:vAlign w:val="center"/>
            <w:hideMark/>
          </w:tcPr>
          <w:p w14:paraId="73410944" w14:textId="77777777" w:rsidR="003F4D4B" w:rsidRPr="00864963" w:rsidRDefault="003F4D4B" w:rsidP="003F4D4B">
            <w:pPr>
              <w:spacing w:before="0" w:after="0" w:line="240" w:lineRule="auto"/>
              <w:ind w:left="170"/>
              <w:rPr>
                <w:rFonts w:ascii="Arial" w:hAnsi="Arial" w:cs="Arial"/>
                <w:i/>
                <w:iCs/>
                <w:sz w:val="16"/>
                <w:szCs w:val="16"/>
              </w:rPr>
            </w:pPr>
            <w:r w:rsidRPr="00864963">
              <w:rPr>
                <w:rFonts w:ascii="Arial" w:hAnsi="Arial" w:cs="Arial"/>
                <w:i/>
                <w:iCs/>
                <w:sz w:val="16"/>
                <w:szCs w:val="16"/>
              </w:rPr>
              <w:t>Revenue</w:t>
            </w:r>
          </w:p>
        </w:tc>
        <w:tc>
          <w:tcPr>
            <w:tcW w:w="457" w:type="pct"/>
            <w:tcBorders>
              <w:top w:val="nil"/>
              <w:left w:val="nil"/>
              <w:bottom w:val="nil"/>
              <w:right w:val="nil"/>
            </w:tcBorders>
            <w:shd w:val="clear" w:color="000000" w:fill="FFFFFF"/>
            <w:noWrap/>
            <w:vAlign w:val="center"/>
            <w:hideMark/>
          </w:tcPr>
          <w:p w14:paraId="210D7D8D"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28,609</w:t>
            </w:r>
          </w:p>
        </w:tc>
        <w:tc>
          <w:tcPr>
            <w:tcW w:w="456" w:type="pct"/>
            <w:tcBorders>
              <w:top w:val="nil"/>
              <w:left w:val="nil"/>
              <w:bottom w:val="nil"/>
              <w:right w:val="nil"/>
            </w:tcBorders>
            <w:shd w:val="clear" w:color="000000" w:fill="E6F2FF"/>
            <w:noWrap/>
            <w:vAlign w:val="center"/>
            <w:hideMark/>
          </w:tcPr>
          <w:p w14:paraId="1D9649D7"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45,408</w:t>
            </w:r>
          </w:p>
        </w:tc>
        <w:tc>
          <w:tcPr>
            <w:tcW w:w="456" w:type="pct"/>
            <w:tcBorders>
              <w:top w:val="nil"/>
              <w:left w:val="nil"/>
              <w:bottom w:val="nil"/>
              <w:right w:val="nil"/>
            </w:tcBorders>
            <w:shd w:val="clear" w:color="000000" w:fill="FFFFFF"/>
            <w:noWrap/>
            <w:vAlign w:val="center"/>
            <w:hideMark/>
          </w:tcPr>
          <w:p w14:paraId="299B78C0"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23,520</w:t>
            </w:r>
          </w:p>
        </w:tc>
        <w:tc>
          <w:tcPr>
            <w:tcW w:w="456" w:type="pct"/>
            <w:tcBorders>
              <w:top w:val="nil"/>
              <w:left w:val="nil"/>
              <w:bottom w:val="nil"/>
              <w:right w:val="nil"/>
            </w:tcBorders>
            <w:shd w:val="clear" w:color="000000" w:fill="FFFFFF"/>
            <w:noWrap/>
            <w:vAlign w:val="center"/>
            <w:hideMark/>
          </w:tcPr>
          <w:p w14:paraId="4C7427B4"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16,844</w:t>
            </w:r>
          </w:p>
        </w:tc>
        <w:tc>
          <w:tcPr>
            <w:tcW w:w="456" w:type="pct"/>
            <w:tcBorders>
              <w:top w:val="nil"/>
              <w:left w:val="nil"/>
              <w:bottom w:val="nil"/>
              <w:right w:val="nil"/>
            </w:tcBorders>
            <w:shd w:val="clear" w:color="000000" w:fill="FFFFFF"/>
            <w:noWrap/>
            <w:vAlign w:val="center"/>
            <w:hideMark/>
          </w:tcPr>
          <w:p w14:paraId="1F2408F2"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w:t>
            </w:r>
          </w:p>
        </w:tc>
        <w:tc>
          <w:tcPr>
            <w:tcW w:w="62" w:type="pct"/>
            <w:tcBorders>
              <w:top w:val="nil"/>
              <w:left w:val="nil"/>
              <w:bottom w:val="nil"/>
              <w:right w:val="nil"/>
            </w:tcBorders>
            <w:shd w:val="clear" w:color="000000" w:fill="FFFFFF"/>
            <w:noWrap/>
            <w:vAlign w:val="center"/>
            <w:hideMark/>
          </w:tcPr>
          <w:p w14:paraId="4477FC9D"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 </w:t>
            </w:r>
          </w:p>
        </w:tc>
        <w:tc>
          <w:tcPr>
            <w:tcW w:w="571" w:type="pct"/>
            <w:tcBorders>
              <w:top w:val="nil"/>
              <w:left w:val="nil"/>
              <w:bottom w:val="nil"/>
              <w:right w:val="nil"/>
            </w:tcBorders>
            <w:shd w:val="clear" w:color="000000" w:fill="FFFFFF"/>
            <w:noWrap/>
            <w:vAlign w:val="center"/>
            <w:hideMark/>
          </w:tcPr>
          <w:p w14:paraId="4A22DE90"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w:t>
            </w:r>
          </w:p>
        </w:tc>
      </w:tr>
      <w:tr w:rsidR="00864963" w:rsidRPr="00864963" w14:paraId="09D3C225" w14:textId="77777777" w:rsidTr="003F4D4B">
        <w:trPr>
          <w:trHeight w:hRule="exact" w:val="225"/>
        </w:trPr>
        <w:tc>
          <w:tcPr>
            <w:tcW w:w="2086" w:type="pct"/>
            <w:tcBorders>
              <w:top w:val="nil"/>
              <w:left w:val="nil"/>
              <w:bottom w:val="nil"/>
              <w:right w:val="nil"/>
            </w:tcBorders>
            <w:shd w:val="clear" w:color="000000" w:fill="FFFFFF"/>
            <w:noWrap/>
            <w:vAlign w:val="center"/>
            <w:hideMark/>
          </w:tcPr>
          <w:p w14:paraId="28B8E7A2" w14:textId="77777777" w:rsidR="003F4D4B" w:rsidRPr="00864963" w:rsidRDefault="003F4D4B" w:rsidP="003F4D4B">
            <w:pPr>
              <w:spacing w:before="0" w:after="0" w:line="240" w:lineRule="auto"/>
              <w:ind w:left="170"/>
              <w:rPr>
                <w:rFonts w:ascii="Arial" w:hAnsi="Arial" w:cs="Arial"/>
                <w:i/>
                <w:iCs/>
                <w:sz w:val="16"/>
                <w:szCs w:val="16"/>
              </w:rPr>
            </w:pPr>
            <w:r w:rsidRPr="00864963">
              <w:rPr>
                <w:rFonts w:ascii="Arial" w:hAnsi="Arial" w:cs="Arial"/>
                <w:i/>
                <w:iCs/>
                <w:sz w:val="16"/>
                <w:szCs w:val="16"/>
              </w:rPr>
              <w:t xml:space="preserve">Expenses </w:t>
            </w:r>
          </w:p>
        </w:tc>
        <w:tc>
          <w:tcPr>
            <w:tcW w:w="457" w:type="pct"/>
            <w:tcBorders>
              <w:top w:val="nil"/>
              <w:left w:val="nil"/>
              <w:bottom w:val="nil"/>
              <w:right w:val="nil"/>
            </w:tcBorders>
            <w:shd w:val="clear" w:color="000000" w:fill="FFFFFF"/>
            <w:noWrap/>
            <w:vAlign w:val="center"/>
            <w:hideMark/>
          </w:tcPr>
          <w:p w14:paraId="589B053F"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-7,883</w:t>
            </w:r>
          </w:p>
        </w:tc>
        <w:tc>
          <w:tcPr>
            <w:tcW w:w="456" w:type="pct"/>
            <w:tcBorders>
              <w:top w:val="nil"/>
              <w:left w:val="nil"/>
              <w:bottom w:val="nil"/>
              <w:right w:val="nil"/>
            </w:tcBorders>
            <w:shd w:val="clear" w:color="000000" w:fill="E6F2FF"/>
            <w:noWrap/>
            <w:vAlign w:val="center"/>
            <w:hideMark/>
          </w:tcPr>
          <w:p w14:paraId="4E252218"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4,607</w:t>
            </w:r>
          </w:p>
        </w:tc>
        <w:tc>
          <w:tcPr>
            <w:tcW w:w="456" w:type="pct"/>
            <w:tcBorders>
              <w:top w:val="nil"/>
              <w:left w:val="nil"/>
              <w:bottom w:val="nil"/>
              <w:right w:val="nil"/>
            </w:tcBorders>
            <w:shd w:val="clear" w:color="000000" w:fill="FFFFFF"/>
            <w:noWrap/>
            <w:vAlign w:val="center"/>
            <w:hideMark/>
          </w:tcPr>
          <w:p w14:paraId="0199D541"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2,984</w:t>
            </w:r>
          </w:p>
        </w:tc>
        <w:tc>
          <w:tcPr>
            <w:tcW w:w="456" w:type="pct"/>
            <w:tcBorders>
              <w:top w:val="nil"/>
              <w:left w:val="nil"/>
              <w:bottom w:val="nil"/>
              <w:right w:val="nil"/>
            </w:tcBorders>
            <w:shd w:val="clear" w:color="000000" w:fill="FFFFFF"/>
            <w:noWrap/>
            <w:vAlign w:val="center"/>
            <w:hideMark/>
          </w:tcPr>
          <w:p w14:paraId="0596CCA0"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3,904</w:t>
            </w:r>
          </w:p>
        </w:tc>
        <w:tc>
          <w:tcPr>
            <w:tcW w:w="456" w:type="pct"/>
            <w:tcBorders>
              <w:top w:val="nil"/>
              <w:left w:val="nil"/>
              <w:bottom w:val="nil"/>
              <w:right w:val="nil"/>
            </w:tcBorders>
            <w:shd w:val="clear" w:color="000000" w:fill="FFFFFF"/>
            <w:noWrap/>
            <w:vAlign w:val="center"/>
            <w:hideMark/>
          </w:tcPr>
          <w:p w14:paraId="0534B779"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w:t>
            </w:r>
          </w:p>
        </w:tc>
        <w:tc>
          <w:tcPr>
            <w:tcW w:w="62" w:type="pct"/>
            <w:tcBorders>
              <w:top w:val="nil"/>
              <w:left w:val="nil"/>
              <w:bottom w:val="nil"/>
              <w:right w:val="nil"/>
            </w:tcBorders>
            <w:shd w:val="clear" w:color="000000" w:fill="FFFFFF"/>
            <w:noWrap/>
            <w:vAlign w:val="center"/>
            <w:hideMark/>
          </w:tcPr>
          <w:p w14:paraId="526F5569"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 </w:t>
            </w:r>
          </w:p>
        </w:tc>
        <w:tc>
          <w:tcPr>
            <w:tcW w:w="571" w:type="pct"/>
            <w:tcBorders>
              <w:top w:val="nil"/>
              <w:left w:val="nil"/>
              <w:bottom w:val="nil"/>
              <w:right w:val="nil"/>
            </w:tcBorders>
            <w:shd w:val="clear" w:color="000000" w:fill="FFFFFF"/>
            <w:noWrap/>
            <w:vAlign w:val="center"/>
            <w:hideMark/>
          </w:tcPr>
          <w:p w14:paraId="142C7D68"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w:t>
            </w:r>
          </w:p>
        </w:tc>
      </w:tr>
      <w:tr w:rsidR="00864963" w:rsidRPr="00864963" w14:paraId="6AAEE3B0" w14:textId="77777777" w:rsidTr="003F4D4B">
        <w:trPr>
          <w:trHeight w:hRule="exact" w:val="225"/>
        </w:trPr>
        <w:tc>
          <w:tcPr>
            <w:tcW w:w="2086" w:type="pct"/>
            <w:tcBorders>
              <w:top w:val="nil"/>
              <w:left w:val="nil"/>
              <w:bottom w:val="nil"/>
              <w:right w:val="nil"/>
            </w:tcBorders>
            <w:shd w:val="clear" w:color="000000" w:fill="FFFFFF"/>
            <w:noWrap/>
            <w:vAlign w:val="center"/>
            <w:hideMark/>
          </w:tcPr>
          <w:p w14:paraId="1BCBC43C" w14:textId="77777777" w:rsidR="003F4D4B" w:rsidRPr="00864963" w:rsidRDefault="003F4D4B" w:rsidP="003F4D4B">
            <w:pPr>
              <w:spacing w:before="0" w:after="0" w:line="240" w:lineRule="auto"/>
              <w:ind w:left="170"/>
              <w:rPr>
                <w:rFonts w:ascii="Arial" w:hAnsi="Arial" w:cs="Arial"/>
                <w:i/>
                <w:iCs/>
                <w:sz w:val="16"/>
                <w:szCs w:val="16"/>
              </w:rPr>
            </w:pPr>
            <w:r w:rsidRPr="00864963">
              <w:rPr>
                <w:rFonts w:ascii="Arial" w:hAnsi="Arial" w:cs="Arial"/>
                <w:i/>
                <w:iCs/>
                <w:sz w:val="16"/>
                <w:szCs w:val="16"/>
              </w:rPr>
              <w:t>Net capital investment</w:t>
            </w:r>
          </w:p>
        </w:tc>
        <w:tc>
          <w:tcPr>
            <w:tcW w:w="457" w:type="pct"/>
            <w:tcBorders>
              <w:top w:val="nil"/>
              <w:left w:val="nil"/>
              <w:bottom w:val="single" w:sz="4" w:space="0" w:color="293F5B"/>
              <w:right w:val="nil"/>
            </w:tcBorders>
            <w:shd w:val="clear" w:color="000000" w:fill="FFFFFF"/>
            <w:noWrap/>
            <w:vAlign w:val="center"/>
            <w:hideMark/>
          </w:tcPr>
          <w:p w14:paraId="7333ED83"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-2,329</w:t>
            </w:r>
          </w:p>
        </w:tc>
        <w:tc>
          <w:tcPr>
            <w:tcW w:w="456" w:type="pct"/>
            <w:tcBorders>
              <w:top w:val="nil"/>
              <w:left w:val="nil"/>
              <w:bottom w:val="single" w:sz="4" w:space="0" w:color="293F5B"/>
              <w:right w:val="nil"/>
            </w:tcBorders>
            <w:shd w:val="clear" w:color="000000" w:fill="E6F2FF"/>
            <w:noWrap/>
            <w:vAlign w:val="center"/>
            <w:hideMark/>
          </w:tcPr>
          <w:p w14:paraId="2A2BB1E1"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-2,187</w:t>
            </w:r>
          </w:p>
        </w:tc>
        <w:tc>
          <w:tcPr>
            <w:tcW w:w="456" w:type="pct"/>
            <w:tcBorders>
              <w:top w:val="nil"/>
              <w:left w:val="nil"/>
              <w:bottom w:val="single" w:sz="4" w:space="0" w:color="293F5B"/>
              <w:right w:val="nil"/>
            </w:tcBorders>
            <w:shd w:val="clear" w:color="000000" w:fill="FFFFFF"/>
            <w:noWrap/>
            <w:vAlign w:val="center"/>
            <w:hideMark/>
          </w:tcPr>
          <w:p w14:paraId="6953BECE"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-2,458</w:t>
            </w:r>
          </w:p>
        </w:tc>
        <w:tc>
          <w:tcPr>
            <w:tcW w:w="456" w:type="pct"/>
            <w:tcBorders>
              <w:top w:val="nil"/>
              <w:left w:val="nil"/>
              <w:bottom w:val="single" w:sz="4" w:space="0" w:color="293F5B"/>
              <w:right w:val="nil"/>
            </w:tcBorders>
            <w:shd w:val="clear" w:color="000000" w:fill="FFFFFF"/>
            <w:noWrap/>
            <w:vAlign w:val="center"/>
            <w:hideMark/>
          </w:tcPr>
          <w:p w14:paraId="4CCBDC45"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-4,982</w:t>
            </w:r>
          </w:p>
        </w:tc>
        <w:tc>
          <w:tcPr>
            <w:tcW w:w="456" w:type="pct"/>
            <w:tcBorders>
              <w:top w:val="nil"/>
              <w:left w:val="nil"/>
              <w:bottom w:val="single" w:sz="4" w:space="0" w:color="293F5B"/>
              <w:right w:val="nil"/>
            </w:tcBorders>
            <w:shd w:val="clear" w:color="000000" w:fill="FFFFFF"/>
            <w:noWrap/>
            <w:vAlign w:val="center"/>
            <w:hideMark/>
          </w:tcPr>
          <w:p w14:paraId="43CE3170"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w:t>
            </w:r>
          </w:p>
        </w:tc>
        <w:tc>
          <w:tcPr>
            <w:tcW w:w="62" w:type="pct"/>
            <w:tcBorders>
              <w:top w:val="nil"/>
              <w:left w:val="nil"/>
              <w:bottom w:val="nil"/>
              <w:right w:val="nil"/>
            </w:tcBorders>
            <w:shd w:val="clear" w:color="000000" w:fill="FFFFFF"/>
            <w:noWrap/>
            <w:vAlign w:val="center"/>
            <w:hideMark/>
          </w:tcPr>
          <w:p w14:paraId="584B5E84"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 </w:t>
            </w:r>
          </w:p>
        </w:tc>
        <w:tc>
          <w:tcPr>
            <w:tcW w:w="571" w:type="pct"/>
            <w:tcBorders>
              <w:top w:val="nil"/>
              <w:left w:val="nil"/>
              <w:bottom w:val="single" w:sz="4" w:space="0" w:color="293F5B"/>
              <w:right w:val="nil"/>
            </w:tcBorders>
            <w:shd w:val="clear" w:color="000000" w:fill="FFFFFF"/>
            <w:noWrap/>
            <w:vAlign w:val="center"/>
            <w:hideMark/>
          </w:tcPr>
          <w:p w14:paraId="5E75DD12" w14:textId="77777777" w:rsidR="003F4D4B" w:rsidRPr="00864963" w:rsidRDefault="003F4D4B" w:rsidP="003F4D4B">
            <w:pPr>
              <w:spacing w:before="0" w:after="0" w:line="240" w:lineRule="auto"/>
              <w:jc w:val="right"/>
              <w:rPr>
                <w:rFonts w:ascii="Arial" w:hAnsi="Arial" w:cs="Arial"/>
                <w:i/>
                <w:iCs/>
                <w:sz w:val="16"/>
                <w:szCs w:val="16"/>
              </w:rPr>
            </w:pPr>
            <w:r w:rsidRPr="00864963">
              <w:rPr>
                <w:rFonts w:ascii="Arial" w:hAnsi="Arial" w:cs="Arial"/>
                <w:i/>
                <w:iCs/>
                <w:sz w:val="16"/>
                <w:szCs w:val="16"/>
              </w:rPr>
              <w:t>*</w:t>
            </w:r>
          </w:p>
        </w:tc>
      </w:tr>
      <w:tr w:rsidR="00864963" w:rsidRPr="00864963" w14:paraId="2562FC0C" w14:textId="77777777" w:rsidTr="003F4D4B">
        <w:trPr>
          <w:trHeight w:hRule="exact" w:val="225"/>
        </w:trPr>
        <w:tc>
          <w:tcPr>
            <w:tcW w:w="2086" w:type="pct"/>
            <w:tcBorders>
              <w:top w:val="nil"/>
              <w:left w:val="nil"/>
              <w:bottom w:val="nil"/>
              <w:right w:val="nil"/>
            </w:tcBorders>
            <w:shd w:val="clear" w:color="000000" w:fill="FFFFFF"/>
            <w:noWrap/>
            <w:vAlign w:val="bottom"/>
            <w:hideMark/>
          </w:tcPr>
          <w:p w14:paraId="5261C335" w14:textId="77777777" w:rsidR="003F4D4B" w:rsidRPr="00864963" w:rsidRDefault="003F4D4B" w:rsidP="003F4D4B">
            <w:pPr>
              <w:spacing w:before="0" w:after="0" w:line="240" w:lineRule="auto"/>
              <w:rPr>
                <w:rFonts w:ascii="Arial" w:hAnsi="Arial" w:cs="Arial"/>
                <w:sz w:val="16"/>
                <w:szCs w:val="16"/>
              </w:rPr>
            </w:pPr>
            <w:r w:rsidRPr="00864963">
              <w:rPr>
                <w:rFonts w:ascii="Arial" w:hAnsi="Arial" w:cs="Arial"/>
                <w:sz w:val="16"/>
                <w:szCs w:val="16"/>
              </w:rPr>
              <w:t xml:space="preserve">Total parameter and other variations impact on </w:t>
            </w:r>
          </w:p>
        </w:tc>
        <w:tc>
          <w:tcPr>
            <w:tcW w:w="457" w:type="pct"/>
            <w:tcBorders>
              <w:top w:val="single" w:sz="4" w:space="0" w:color="293F5B"/>
              <w:left w:val="nil"/>
              <w:bottom w:val="nil"/>
              <w:right w:val="nil"/>
            </w:tcBorders>
            <w:shd w:val="clear" w:color="000000" w:fill="FFFFFF"/>
            <w:noWrap/>
            <w:vAlign w:val="center"/>
            <w:hideMark/>
          </w:tcPr>
          <w:p w14:paraId="0B8AB427"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single" w:sz="4" w:space="0" w:color="293F5B"/>
              <w:left w:val="nil"/>
              <w:bottom w:val="nil"/>
              <w:right w:val="nil"/>
            </w:tcBorders>
            <w:shd w:val="clear" w:color="000000" w:fill="E6F2FF"/>
            <w:noWrap/>
            <w:vAlign w:val="center"/>
            <w:hideMark/>
          </w:tcPr>
          <w:p w14:paraId="632E0539"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single" w:sz="4" w:space="0" w:color="293F5B"/>
              <w:left w:val="nil"/>
              <w:bottom w:val="nil"/>
              <w:right w:val="nil"/>
            </w:tcBorders>
            <w:shd w:val="clear" w:color="000000" w:fill="FFFFFF"/>
            <w:noWrap/>
            <w:vAlign w:val="center"/>
            <w:hideMark/>
          </w:tcPr>
          <w:p w14:paraId="778B395D"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single" w:sz="4" w:space="0" w:color="293F5B"/>
              <w:left w:val="nil"/>
              <w:bottom w:val="nil"/>
              <w:right w:val="nil"/>
            </w:tcBorders>
            <w:shd w:val="clear" w:color="000000" w:fill="FFFFFF"/>
            <w:noWrap/>
            <w:vAlign w:val="center"/>
            <w:hideMark/>
          </w:tcPr>
          <w:p w14:paraId="3324A6F0"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single" w:sz="4" w:space="0" w:color="293F5B"/>
              <w:left w:val="nil"/>
              <w:bottom w:val="nil"/>
              <w:right w:val="nil"/>
            </w:tcBorders>
            <w:shd w:val="clear" w:color="000000" w:fill="FFFFFF"/>
            <w:noWrap/>
            <w:vAlign w:val="center"/>
            <w:hideMark/>
          </w:tcPr>
          <w:p w14:paraId="20250C4C"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4855818C"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571" w:type="pct"/>
            <w:tcBorders>
              <w:top w:val="single" w:sz="4" w:space="0" w:color="293F5B"/>
              <w:left w:val="nil"/>
              <w:bottom w:val="nil"/>
              <w:right w:val="nil"/>
            </w:tcBorders>
            <w:shd w:val="clear" w:color="000000" w:fill="FFFFFF"/>
            <w:noWrap/>
            <w:vAlign w:val="center"/>
            <w:hideMark/>
          </w:tcPr>
          <w:p w14:paraId="1357ABB5"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4DC5F480" w14:textId="77777777" w:rsidTr="003F4D4B">
        <w:trPr>
          <w:trHeight w:hRule="exact" w:val="225"/>
        </w:trPr>
        <w:tc>
          <w:tcPr>
            <w:tcW w:w="2086" w:type="pct"/>
            <w:tcBorders>
              <w:top w:val="nil"/>
              <w:left w:val="nil"/>
              <w:bottom w:val="nil"/>
              <w:right w:val="nil"/>
            </w:tcBorders>
            <w:shd w:val="clear" w:color="000000" w:fill="FFFFFF"/>
            <w:noWrap/>
            <w:vAlign w:val="bottom"/>
            <w:hideMark/>
          </w:tcPr>
          <w:p w14:paraId="616C2229" w14:textId="77777777" w:rsidR="003F4D4B" w:rsidRPr="00864963" w:rsidRDefault="003F4D4B" w:rsidP="003F4D4B">
            <w:pPr>
              <w:spacing w:before="0" w:after="0" w:line="240" w:lineRule="auto"/>
              <w:ind w:left="170"/>
              <w:rPr>
                <w:rFonts w:ascii="Arial" w:hAnsi="Arial" w:cs="Arial"/>
                <w:sz w:val="16"/>
                <w:szCs w:val="16"/>
              </w:rPr>
            </w:pPr>
            <w:r w:rsidRPr="00864963">
              <w:rPr>
                <w:rFonts w:ascii="Arial" w:hAnsi="Arial" w:cs="Arial"/>
                <w:sz w:val="16"/>
                <w:szCs w:val="16"/>
              </w:rPr>
              <w:t>fiscal balance</w:t>
            </w:r>
          </w:p>
        </w:tc>
        <w:tc>
          <w:tcPr>
            <w:tcW w:w="457" w:type="pct"/>
            <w:tcBorders>
              <w:top w:val="nil"/>
              <w:left w:val="nil"/>
              <w:bottom w:val="single" w:sz="4" w:space="0" w:color="293F5B"/>
              <w:right w:val="nil"/>
            </w:tcBorders>
            <w:shd w:val="clear" w:color="000000" w:fill="FFFFFF"/>
            <w:noWrap/>
            <w:vAlign w:val="center"/>
            <w:hideMark/>
          </w:tcPr>
          <w:p w14:paraId="0C677BE1"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38,821</w:t>
            </w:r>
          </w:p>
        </w:tc>
        <w:tc>
          <w:tcPr>
            <w:tcW w:w="456" w:type="pct"/>
            <w:tcBorders>
              <w:top w:val="nil"/>
              <w:left w:val="nil"/>
              <w:bottom w:val="single" w:sz="4" w:space="0" w:color="293F5B"/>
              <w:right w:val="nil"/>
            </w:tcBorders>
            <w:shd w:val="clear" w:color="000000" w:fill="E6F2FF"/>
            <w:noWrap/>
            <w:vAlign w:val="center"/>
            <w:hideMark/>
          </w:tcPr>
          <w:p w14:paraId="79081950"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42,987</w:t>
            </w:r>
          </w:p>
        </w:tc>
        <w:tc>
          <w:tcPr>
            <w:tcW w:w="456" w:type="pct"/>
            <w:tcBorders>
              <w:top w:val="nil"/>
              <w:left w:val="nil"/>
              <w:bottom w:val="single" w:sz="4" w:space="0" w:color="293F5B"/>
              <w:right w:val="nil"/>
            </w:tcBorders>
            <w:shd w:val="clear" w:color="000000" w:fill="FFFFFF"/>
            <w:noWrap/>
            <w:vAlign w:val="center"/>
            <w:hideMark/>
          </w:tcPr>
          <w:p w14:paraId="46C00334"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22,994</w:t>
            </w:r>
          </w:p>
        </w:tc>
        <w:tc>
          <w:tcPr>
            <w:tcW w:w="456" w:type="pct"/>
            <w:tcBorders>
              <w:top w:val="nil"/>
              <w:left w:val="nil"/>
              <w:bottom w:val="single" w:sz="4" w:space="0" w:color="293F5B"/>
              <w:right w:val="nil"/>
            </w:tcBorders>
            <w:shd w:val="clear" w:color="000000" w:fill="FFFFFF"/>
            <w:noWrap/>
            <w:vAlign w:val="center"/>
            <w:hideMark/>
          </w:tcPr>
          <w:p w14:paraId="4F47C685"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17,922</w:t>
            </w:r>
          </w:p>
        </w:tc>
        <w:tc>
          <w:tcPr>
            <w:tcW w:w="456" w:type="pct"/>
            <w:tcBorders>
              <w:top w:val="nil"/>
              <w:left w:val="nil"/>
              <w:bottom w:val="single" w:sz="4" w:space="0" w:color="293F5B"/>
              <w:right w:val="nil"/>
            </w:tcBorders>
            <w:shd w:val="clear" w:color="000000" w:fill="FFFFFF"/>
            <w:noWrap/>
            <w:vAlign w:val="center"/>
            <w:hideMark/>
          </w:tcPr>
          <w:p w14:paraId="0F97B3FC"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w:t>
            </w:r>
          </w:p>
        </w:tc>
        <w:tc>
          <w:tcPr>
            <w:tcW w:w="62" w:type="pct"/>
            <w:tcBorders>
              <w:top w:val="nil"/>
              <w:left w:val="nil"/>
              <w:bottom w:val="nil"/>
              <w:right w:val="nil"/>
            </w:tcBorders>
            <w:shd w:val="clear" w:color="000000" w:fill="FFFFFF"/>
            <w:noWrap/>
            <w:vAlign w:val="center"/>
            <w:hideMark/>
          </w:tcPr>
          <w:p w14:paraId="49E091F4"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571" w:type="pct"/>
            <w:tcBorders>
              <w:top w:val="nil"/>
              <w:left w:val="nil"/>
              <w:bottom w:val="single" w:sz="4" w:space="0" w:color="293F5B"/>
              <w:right w:val="nil"/>
            </w:tcBorders>
            <w:shd w:val="clear" w:color="000000" w:fill="FFFFFF"/>
            <w:noWrap/>
            <w:vAlign w:val="center"/>
            <w:hideMark/>
          </w:tcPr>
          <w:p w14:paraId="474C1B73"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w:t>
            </w:r>
          </w:p>
        </w:tc>
      </w:tr>
      <w:tr w:rsidR="00864963" w:rsidRPr="00864963" w14:paraId="5764BB04" w14:textId="77777777" w:rsidTr="003F4D4B">
        <w:trPr>
          <w:trHeight w:hRule="exact" w:val="60"/>
        </w:trPr>
        <w:tc>
          <w:tcPr>
            <w:tcW w:w="2086" w:type="pct"/>
            <w:tcBorders>
              <w:top w:val="nil"/>
              <w:left w:val="nil"/>
              <w:bottom w:val="nil"/>
              <w:right w:val="nil"/>
            </w:tcBorders>
            <w:shd w:val="clear" w:color="000000" w:fill="FFFFFF"/>
            <w:noWrap/>
            <w:vAlign w:val="center"/>
            <w:hideMark/>
          </w:tcPr>
          <w:p w14:paraId="3E41B7A7" w14:textId="77777777" w:rsidR="003F4D4B" w:rsidRPr="00864963" w:rsidRDefault="003F4D4B" w:rsidP="003F4D4B">
            <w:pPr>
              <w:spacing w:before="0" w:after="0" w:line="240" w:lineRule="auto"/>
              <w:rPr>
                <w:rFonts w:ascii="Arial" w:hAnsi="Arial" w:cs="Arial"/>
                <w:sz w:val="16"/>
                <w:szCs w:val="16"/>
              </w:rPr>
            </w:pPr>
            <w:r w:rsidRPr="00864963">
              <w:rPr>
                <w:rFonts w:ascii="Arial" w:hAnsi="Arial" w:cs="Arial"/>
                <w:sz w:val="16"/>
                <w:szCs w:val="16"/>
              </w:rPr>
              <w:t> </w:t>
            </w:r>
          </w:p>
        </w:tc>
        <w:tc>
          <w:tcPr>
            <w:tcW w:w="457" w:type="pct"/>
            <w:tcBorders>
              <w:top w:val="nil"/>
              <w:left w:val="nil"/>
              <w:bottom w:val="nil"/>
              <w:right w:val="nil"/>
            </w:tcBorders>
            <w:shd w:val="clear" w:color="000000" w:fill="FFFFFF"/>
            <w:noWrap/>
            <w:vAlign w:val="center"/>
            <w:hideMark/>
          </w:tcPr>
          <w:p w14:paraId="7A2F63BF"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E6F2FF"/>
            <w:noWrap/>
            <w:vAlign w:val="center"/>
            <w:hideMark/>
          </w:tcPr>
          <w:p w14:paraId="07128DAD"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6DD1DFEA"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27880B72"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456" w:type="pct"/>
            <w:tcBorders>
              <w:top w:val="nil"/>
              <w:left w:val="nil"/>
              <w:bottom w:val="nil"/>
              <w:right w:val="nil"/>
            </w:tcBorders>
            <w:shd w:val="clear" w:color="000000" w:fill="FFFFFF"/>
            <w:noWrap/>
            <w:vAlign w:val="center"/>
            <w:hideMark/>
          </w:tcPr>
          <w:p w14:paraId="292BDC92"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62" w:type="pct"/>
            <w:tcBorders>
              <w:top w:val="nil"/>
              <w:left w:val="nil"/>
              <w:bottom w:val="nil"/>
              <w:right w:val="nil"/>
            </w:tcBorders>
            <w:shd w:val="clear" w:color="000000" w:fill="FFFFFF"/>
            <w:noWrap/>
            <w:vAlign w:val="center"/>
            <w:hideMark/>
          </w:tcPr>
          <w:p w14:paraId="12B9A3CF"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571" w:type="pct"/>
            <w:tcBorders>
              <w:top w:val="nil"/>
              <w:left w:val="nil"/>
              <w:bottom w:val="nil"/>
              <w:right w:val="nil"/>
            </w:tcBorders>
            <w:shd w:val="clear" w:color="000000" w:fill="FFFFFF"/>
            <w:noWrap/>
            <w:vAlign w:val="center"/>
            <w:hideMark/>
          </w:tcPr>
          <w:p w14:paraId="76CDFCB6"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r>
      <w:tr w:rsidR="00864963" w:rsidRPr="00864963" w14:paraId="7F416922" w14:textId="77777777" w:rsidTr="003F4D4B">
        <w:trPr>
          <w:trHeight w:hRule="exact" w:val="225"/>
        </w:trPr>
        <w:tc>
          <w:tcPr>
            <w:tcW w:w="2086" w:type="pct"/>
            <w:tcBorders>
              <w:top w:val="nil"/>
              <w:left w:val="nil"/>
              <w:bottom w:val="nil"/>
              <w:right w:val="nil"/>
            </w:tcBorders>
            <w:shd w:val="clear" w:color="000000" w:fill="FFFFFF"/>
            <w:noWrap/>
            <w:vAlign w:val="center"/>
            <w:hideMark/>
          </w:tcPr>
          <w:p w14:paraId="4E676DAE" w14:textId="77777777" w:rsidR="003F4D4B" w:rsidRPr="00864963" w:rsidRDefault="003F4D4B" w:rsidP="003F4D4B">
            <w:pPr>
              <w:spacing w:before="0" w:after="0" w:line="240" w:lineRule="auto"/>
              <w:rPr>
                <w:rFonts w:ascii="Arial" w:hAnsi="Arial" w:cs="Arial"/>
                <w:b/>
                <w:bCs/>
                <w:sz w:val="16"/>
                <w:szCs w:val="16"/>
              </w:rPr>
            </w:pPr>
            <w:r w:rsidRPr="00864963">
              <w:rPr>
                <w:rFonts w:ascii="Arial" w:hAnsi="Arial" w:cs="Arial"/>
                <w:b/>
                <w:bCs/>
                <w:sz w:val="16"/>
                <w:szCs w:val="16"/>
              </w:rPr>
              <w:t>2023–24 Budget fiscal balance</w:t>
            </w:r>
          </w:p>
        </w:tc>
        <w:tc>
          <w:tcPr>
            <w:tcW w:w="457" w:type="pct"/>
            <w:tcBorders>
              <w:top w:val="nil"/>
              <w:left w:val="nil"/>
              <w:bottom w:val="nil"/>
              <w:right w:val="nil"/>
            </w:tcBorders>
            <w:shd w:val="clear" w:color="000000" w:fill="FFFFFF"/>
            <w:noWrap/>
            <w:vAlign w:val="center"/>
            <w:hideMark/>
          </w:tcPr>
          <w:p w14:paraId="70E79542"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-1,462</w:t>
            </w:r>
          </w:p>
        </w:tc>
        <w:tc>
          <w:tcPr>
            <w:tcW w:w="456" w:type="pct"/>
            <w:tcBorders>
              <w:top w:val="nil"/>
              <w:left w:val="nil"/>
              <w:bottom w:val="nil"/>
              <w:right w:val="nil"/>
            </w:tcBorders>
            <w:shd w:val="clear" w:color="000000" w:fill="E6F2FF"/>
            <w:noWrap/>
            <w:vAlign w:val="center"/>
            <w:hideMark/>
          </w:tcPr>
          <w:p w14:paraId="7F55F823"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-14,144</w:t>
            </w:r>
          </w:p>
        </w:tc>
        <w:tc>
          <w:tcPr>
            <w:tcW w:w="456" w:type="pct"/>
            <w:tcBorders>
              <w:top w:val="nil"/>
              <w:left w:val="nil"/>
              <w:bottom w:val="nil"/>
              <w:right w:val="nil"/>
            </w:tcBorders>
            <w:shd w:val="clear" w:color="000000" w:fill="FFFFFF"/>
            <w:noWrap/>
            <w:vAlign w:val="center"/>
            <w:hideMark/>
          </w:tcPr>
          <w:p w14:paraId="201D5DF6"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-45,278</w:t>
            </w:r>
          </w:p>
        </w:tc>
        <w:tc>
          <w:tcPr>
            <w:tcW w:w="456" w:type="pct"/>
            <w:tcBorders>
              <w:top w:val="nil"/>
              <w:left w:val="nil"/>
              <w:bottom w:val="nil"/>
              <w:right w:val="nil"/>
            </w:tcBorders>
            <w:shd w:val="clear" w:color="000000" w:fill="FFFFFF"/>
            <w:noWrap/>
            <w:vAlign w:val="center"/>
            <w:hideMark/>
          </w:tcPr>
          <w:p w14:paraId="21AA7AF7"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-35,035</w:t>
            </w:r>
          </w:p>
        </w:tc>
        <w:tc>
          <w:tcPr>
            <w:tcW w:w="456" w:type="pct"/>
            <w:tcBorders>
              <w:top w:val="nil"/>
              <w:left w:val="nil"/>
              <w:bottom w:val="nil"/>
              <w:right w:val="nil"/>
            </w:tcBorders>
            <w:shd w:val="clear" w:color="000000" w:fill="FFFFFF"/>
            <w:noWrap/>
            <w:vAlign w:val="center"/>
            <w:hideMark/>
          </w:tcPr>
          <w:p w14:paraId="243C0BFB"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-32,813</w:t>
            </w:r>
          </w:p>
        </w:tc>
        <w:tc>
          <w:tcPr>
            <w:tcW w:w="62" w:type="pct"/>
            <w:tcBorders>
              <w:top w:val="nil"/>
              <w:left w:val="nil"/>
              <w:bottom w:val="nil"/>
              <w:right w:val="nil"/>
            </w:tcBorders>
            <w:shd w:val="clear" w:color="000000" w:fill="FFFFFF"/>
            <w:noWrap/>
            <w:vAlign w:val="center"/>
            <w:hideMark/>
          </w:tcPr>
          <w:p w14:paraId="2EA46324"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 </w:t>
            </w:r>
          </w:p>
        </w:tc>
        <w:tc>
          <w:tcPr>
            <w:tcW w:w="571" w:type="pct"/>
            <w:tcBorders>
              <w:top w:val="nil"/>
              <w:left w:val="nil"/>
              <w:bottom w:val="nil"/>
              <w:right w:val="nil"/>
            </w:tcBorders>
            <w:shd w:val="clear" w:color="000000" w:fill="FFFFFF"/>
            <w:noWrap/>
            <w:vAlign w:val="center"/>
            <w:hideMark/>
          </w:tcPr>
          <w:p w14:paraId="737C3670" w14:textId="77777777" w:rsidR="003F4D4B" w:rsidRPr="00864963" w:rsidRDefault="003F4D4B" w:rsidP="003F4D4B">
            <w:pPr>
              <w:spacing w:before="0" w:after="0" w:line="240" w:lineRule="auto"/>
              <w:jc w:val="right"/>
              <w:rPr>
                <w:rFonts w:ascii="Arial" w:hAnsi="Arial" w:cs="Arial"/>
                <w:b/>
                <w:bCs/>
                <w:sz w:val="16"/>
                <w:szCs w:val="16"/>
              </w:rPr>
            </w:pPr>
            <w:r w:rsidRPr="00864963">
              <w:rPr>
                <w:rFonts w:ascii="Arial" w:hAnsi="Arial" w:cs="Arial"/>
                <w:b/>
                <w:bCs/>
                <w:sz w:val="16"/>
                <w:szCs w:val="16"/>
              </w:rPr>
              <w:t>-128,733</w:t>
            </w:r>
          </w:p>
        </w:tc>
      </w:tr>
      <w:tr w:rsidR="00864963" w:rsidRPr="00864963" w14:paraId="181F7B11" w14:textId="77777777" w:rsidTr="003F4D4B">
        <w:trPr>
          <w:trHeight w:hRule="exact" w:val="225"/>
        </w:trPr>
        <w:tc>
          <w:tcPr>
            <w:tcW w:w="2086" w:type="pct"/>
            <w:tcBorders>
              <w:top w:val="nil"/>
              <w:left w:val="nil"/>
              <w:bottom w:val="single" w:sz="4" w:space="0" w:color="000000"/>
              <w:right w:val="nil"/>
            </w:tcBorders>
            <w:shd w:val="clear" w:color="000000" w:fill="FFFFFF"/>
            <w:noWrap/>
            <w:vAlign w:val="center"/>
            <w:hideMark/>
          </w:tcPr>
          <w:p w14:paraId="0B6B46B3" w14:textId="77777777" w:rsidR="003F4D4B" w:rsidRPr="00864963" w:rsidRDefault="003F4D4B" w:rsidP="003F4D4B">
            <w:pPr>
              <w:spacing w:before="0" w:after="0" w:line="240" w:lineRule="auto"/>
              <w:rPr>
                <w:rFonts w:ascii="Arial" w:hAnsi="Arial" w:cs="Arial"/>
                <w:sz w:val="16"/>
                <w:szCs w:val="16"/>
              </w:rPr>
            </w:pPr>
            <w:r w:rsidRPr="00864963">
              <w:rPr>
                <w:rFonts w:ascii="Arial" w:hAnsi="Arial" w:cs="Arial"/>
                <w:sz w:val="16"/>
                <w:szCs w:val="16"/>
              </w:rPr>
              <w:t>Per cent of GDP</w:t>
            </w:r>
          </w:p>
        </w:tc>
        <w:tc>
          <w:tcPr>
            <w:tcW w:w="457" w:type="pct"/>
            <w:tcBorders>
              <w:top w:val="nil"/>
              <w:left w:val="nil"/>
              <w:bottom w:val="single" w:sz="4" w:space="0" w:color="000000"/>
              <w:right w:val="nil"/>
            </w:tcBorders>
            <w:shd w:val="clear" w:color="000000" w:fill="FFFFFF"/>
            <w:noWrap/>
            <w:vAlign w:val="center"/>
            <w:hideMark/>
          </w:tcPr>
          <w:p w14:paraId="2D83F28E"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-0.1</w:t>
            </w:r>
          </w:p>
        </w:tc>
        <w:tc>
          <w:tcPr>
            <w:tcW w:w="456" w:type="pct"/>
            <w:tcBorders>
              <w:top w:val="nil"/>
              <w:left w:val="nil"/>
              <w:bottom w:val="single" w:sz="4" w:space="0" w:color="000000"/>
              <w:right w:val="nil"/>
            </w:tcBorders>
            <w:shd w:val="clear" w:color="000000" w:fill="E6F2FF"/>
            <w:noWrap/>
            <w:vAlign w:val="center"/>
            <w:hideMark/>
          </w:tcPr>
          <w:p w14:paraId="39FD0DE6"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-0.5</w:t>
            </w:r>
          </w:p>
        </w:tc>
        <w:tc>
          <w:tcPr>
            <w:tcW w:w="456" w:type="pct"/>
            <w:tcBorders>
              <w:top w:val="nil"/>
              <w:left w:val="nil"/>
              <w:bottom w:val="single" w:sz="4" w:space="0" w:color="000000"/>
              <w:right w:val="nil"/>
            </w:tcBorders>
            <w:shd w:val="clear" w:color="000000" w:fill="FFFFFF"/>
            <w:noWrap/>
            <w:vAlign w:val="center"/>
            <w:hideMark/>
          </w:tcPr>
          <w:p w14:paraId="3C0B0201"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-1.7</w:t>
            </w:r>
          </w:p>
        </w:tc>
        <w:tc>
          <w:tcPr>
            <w:tcW w:w="456" w:type="pct"/>
            <w:tcBorders>
              <w:top w:val="nil"/>
              <w:left w:val="nil"/>
              <w:bottom w:val="single" w:sz="4" w:space="0" w:color="000000"/>
              <w:right w:val="nil"/>
            </w:tcBorders>
            <w:shd w:val="clear" w:color="000000" w:fill="FFFFFF"/>
            <w:noWrap/>
            <w:vAlign w:val="center"/>
            <w:hideMark/>
          </w:tcPr>
          <w:p w14:paraId="0D58A4DA"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-1.3</w:t>
            </w:r>
          </w:p>
        </w:tc>
        <w:tc>
          <w:tcPr>
            <w:tcW w:w="456" w:type="pct"/>
            <w:tcBorders>
              <w:top w:val="nil"/>
              <w:left w:val="nil"/>
              <w:bottom w:val="single" w:sz="4" w:space="0" w:color="000000"/>
              <w:right w:val="nil"/>
            </w:tcBorders>
            <w:shd w:val="clear" w:color="000000" w:fill="FFFFFF"/>
            <w:noWrap/>
            <w:vAlign w:val="center"/>
            <w:hideMark/>
          </w:tcPr>
          <w:p w14:paraId="1CB8F36C"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-1.1</w:t>
            </w:r>
          </w:p>
        </w:tc>
        <w:tc>
          <w:tcPr>
            <w:tcW w:w="62" w:type="pct"/>
            <w:tcBorders>
              <w:top w:val="nil"/>
              <w:left w:val="nil"/>
              <w:bottom w:val="single" w:sz="4" w:space="0" w:color="000000"/>
              <w:right w:val="nil"/>
            </w:tcBorders>
            <w:shd w:val="clear" w:color="000000" w:fill="FFFFFF"/>
            <w:noWrap/>
            <w:vAlign w:val="center"/>
            <w:hideMark/>
          </w:tcPr>
          <w:p w14:paraId="7E5F40DC"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c>
          <w:tcPr>
            <w:tcW w:w="571" w:type="pct"/>
            <w:tcBorders>
              <w:top w:val="nil"/>
              <w:left w:val="nil"/>
              <w:bottom w:val="single" w:sz="4" w:space="0" w:color="000000"/>
              <w:right w:val="nil"/>
            </w:tcBorders>
            <w:shd w:val="clear" w:color="000000" w:fill="FFFFFF"/>
            <w:noWrap/>
            <w:vAlign w:val="center"/>
            <w:hideMark/>
          </w:tcPr>
          <w:p w14:paraId="274834D4" w14:textId="77777777" w:rsidR="003F4D4B" w:rsidRPr="00864963" w:rsidRDefault="003F4D4B" w:rsidP="003F4D4B">
            <w:pPr>
              <w:spacing w:before="0" w:after="0" w:line="240" w:lineRule="auto"/>
              <w:jc w:val="right"/>
              <w:rPr>
                <w:rFonts w:ascii="Arial" w:hAnsi="Arial" w:cs="Arial"/>
                <w:sz w:val="16"/>
                <w:szCs w:val="16"/>
              </w:rPr>
            </w:pPr>
            <w:r w:rsidRPr="00864963">
              <w:rPr>
                <w:rFonts w:ascii="Arial" w:hAnsi="Arial" w:cs="Arial"/>
                <w:sz w:val="16"/>
                <w:szCs w:val="16"/>
              </w:rPr>
              <w:t> </w:t>
            </w:r>
          </w:p>
        </w:tc>
      </w:tr>
    </w:tbl>
    <w:p w14:paraId="2C3AB9AD" w14:textId="0AD7FC2F" w:rsidR="00D01E96" w:rsidRPr="004E1159" w:rsidRDefault="00EA0D09" w:rsidP="00EA0D09">
      <w:pPr>
        <w:pStyle w:val="ChartandTableFootnote"/>
        <w:rPr>
          <w:rFonts w:eastAsiaTheme="minorHAnsi"/>
          <w:color w:val="auto"/>
        </w:rPr>
      </w:pPr>
      <w:r w:rsidRPr="004E1159">
        <w:rPr>
          <w:color w:val="auto"/>
        </w:rPr>
        <w:t xml:space="preserve">*Data is not available. </w:t>
      </w:r>
    </w:p>
    <w:p w14:paraId="4680168B" w14:textId="77777777" w:rsidR="00D01E96" w:rsidRPr="004E1159" w:rsidRDefault="00D01E96" w:rsidP="00D57DA8">
      <w:pPr>
        <w:pStyle w:val="ChartandTableFootnoteAlpha"/>
        <w:numPr>
          <w:ilvl w:val="0"/>
          <w:numId w:val="15"/>
        </w:numPr>
        <w:rPr>
          <w:rFonts w:eastAsiaTheme="minorHAnsi"/>
          <w:color w:val="auto"/>
        </w:rPr>
      </w:pPr>
      <w:r w:rsidRPr="004E1159">
        <w:rPr>
          <w:color w:val="auto"/>
        </w:rPr>
        <w:t>Excludes secondary impacts on public debt interest of policy decisions and offsets from the Contingency Reserve for decisions taken.</w:t>
      </w:r>
    </w:p>
    <w:p w14:paraId="3AED9DCD" w14:textId="343C15EB" w:rsidR="00D01E96" w:rsidRPr="00EA288B" w:rsidRDefault="00D01E96" w:rsidP="00D57DA8">
      <w:pPr>
        <w:pStyle w:val="ChartandTableFootnoteAlpha"/>
        <w:rPr>
          <w:rFonts w:asciiTheme="majorHAnsi" w:eastAsiaTheme="minorHAnsi" w:hAnsiTheme="majorHAnsi" w:cstheme="majorHAnsi"/>
          <w:color w:val="auto"/>
          <w:szCs w:val="16"/>
        </w:rPr>
      </w:pPr>
      <w:r w:rsidRPr="004E1159">
        <w:rPr>
          <w:color w:val="auto"/>
        </w:rPr>
        <w:t xml:space="preserve">A positive number for revenue improves the fiscal balance, while a positive number for expenses and net capital investment worsens the </w:t>
      </w:r>
      <w:r w:rsidRPr="004E1159">
        <w:rPr>
          <w:rFonts w:asciiTheme="majorHAnsi" w:hAnsiTheme="majorHAnsi" w:cstheme="majorHAnsi"/>
          <w:color w:val="auto"/>
          <w:szCs w:val="16"/>
        </w:rPr>
        <w:t xml:space="preserve">fiscal balance. </w:t>
      </w:r>
    </w:p>
    <w:p w14:paraId="48CB8A01" w14:textId="77777777" w:rsidR="00D01E96" w:rsidRPr="00EA288B" w:rsidRDefault="00D01E96" w:rsidP="00FF3EF8">
      <w:pPr>
        <w:pStyle w:val="ChartLine"/>
      </w:pPr>
    </w:p>
    <w:p w14:paraId="72B2A698" w14:textId="77777777" w:rsidR="00844907" w:rsidRDefault="00844907" w:rsidP="00D01E96">
      <w:pPr>
        <w:pStyle w:val="Heading4"/>
      </w:pPr>
      <w:r>
        <w:br w:type="page"/>
      </w:r>
    </w:p>
    <w:p w14:paraId="437A1B9C" w14:textId="5EAECB1B" w:rsidR="00D01E96" w:rsidRPr="00EA288B" w:rsidRDefault="00D01E96" w:rsidP="00D01E96">
      <w:pPr>
        <w:pStyle w:val="Heading4"/>
      </w:pPr>
      <w:r w:rsidRPr="00EA288B">
        <w:lastRenderedPageBreak/>
        <w:t>Revenue estimates</w:t>
      </w:r>
    </w:p>
    <w:p w14:paraId="7A5A322F" w14:textId="6C8B39FA" w:rsidR="00AC718C" w:rsidRPr="004E1159" w:rsidRDefault="00AC718C" w:rsidP="00AC718C">
      <w:r w:rsidRPr="004E1159">
        <w:t>Revenue is the accrual accounting equivalent of cash</w:t>
      </w:r>
      <w:r w:rsidR="00594653" w:rsidRPr="004E1159">
        <w:noBreakHyphen/>
      </w:r>
      <w:r w:rsidRPr="004E1159">
        <w:t xml:space="preserve">based receipts. Changes in revenue are generally driven by the same factors as receipts. Revenue amounts can be higher or lower than the cash equivalents as they include amounts that a taxpayer is liable to pay but has not paid. The differences between the accrual and cash amounts generally reflect timing differences. </w:t>
      </w:r>
    </w:p>
    <w:p w14:paraId="3E8201F2" w14:textId="361C08D2" w:rsidR="00D01E96" w:rsidRPr="00EA288B" w:rsidRDefault="00D01E96" w:rsidP="00D01E96">
      <w:r w:rsidRPr="004E1159">
        <w:t>Total revenue has been revised up by $</w:t>
      </w:r>
      <w:r w:rsidR="00407224" w:rsidRPr="004E1159">
        <w:t>4</w:t>
      </w:r>
      <w:r w:rsidR="005C432E" w:rsidRPr="004E1159">
        <w:t>6</w:t>
      </w:r>
      <w:r w:rsidR="00407224" w:rsidRPr="004E1159">
        <w:t>.</w:t>
      </w:r>
      <w:r w:rsidR="005C432E" w:rsidRPr="004E1159">
        <w:t>9</w:t>
      </w:r>
      <w:r w:rsidR="000A3407" w:rsidRPr="004E1159">
        <w:t xml:space="preserve"> </w:t>
      </w:r>
      <w:r w:rsidR="00F634C3" w:rsidRPr="004E1159">
        <w:t>billion</w:t>
      </w:r>
      <w:r w:rsidRPr="004E1159">
        <w:t xml:space="preserve"> in 202</w:t>
      </w:r>
      <w:r w:rsidR="00135700" w:rsidRPr="004E1159">
        <w:t>3</w:t>
      </w:r>
      <w:r w:rsidRPr="004E1159">
        <w:t>–2</w:t>
      </w:r>
      <w:r w:rsidR="00135700" w:rsidRPr="004E1159">
        <w:t>4</w:t>
      </w:r>
      <w:r w:rsidR="00745EC8" w:rsidRPr="004E1159">
        <w:t>,</w:t>
      </w:r>
      <w:r w:rsidRPr="004E1159">
        <w:t xml:space="preserve"> since </w:t>
      </w:r>
      <w:r w:rsidR="004762AD" w:rsidRPr="004E1159">
        <w:t xml:space="preserve">the </w:t>
      </w:r>
      <w:r w:rsidR="00F634C3" w:rsidRPr="004E1159">
        <w:t>October Budget</w:t>
      </w:r>
      <w:r w:rsidRPr="004E1159">
        <w:t>.</w:t>
      </w:r>
      <w:r w:rsidRPr="0013535E">
        <w:t xml:space="preserve"> </w:t>
      </w:r>
    </w:p>
    <w:p w14:paraId="10E8F4C7" w14:textId="20767C95" w:rsidR="00D01E96" w:rsidRPr="00EA288B" w:rsidRDefault="00D01E96" w:rsidP="00D01E96">
      <w:pPr>
        <w:pStyle w:val="Heading4"/>
      </w:pPr>
      <w:r w:rsidRPr="00EA288B">
        <w:t>Expense estimates</w:t>
      </w:r>
    </w:p>
    <w:p w14:paraId="1CED8BC4" w14:textId="5F395919" w:rsidR="00A30DF0" w:rsidRPr="004E1159" w:rsidRDefault="00A30DF0" w:rsidP="00D01E96">
      <w:r w:rsidRPr="004E1159">
        <w:t>Expenses are the accrual accounting equivalent of cash</w:t>
      </w:r>
      <w:r w:rsidR="00594653" w:rsidRPr="004E1159">
        <w:noBreakHyphen/>
      </w:r>
      <w:r w:rsidRPr="004E1159">
        <w:t>based payments.</w:t>
      </w:r>
    </w:p>
    <w:p w14:paraId="54031EAE" w14:textId="21ABCEF2" w:rsidR="00D01E96" w:rsidRPr="004E1159" w:rsidRDefault="00D01E96" w:rsidP="00D01E96">
      <w:r w:rsidRPr="004E1159">
        <w:t>Total expenses have been revised up by $</w:t>
      </w:r>
      <w:r w:rsidR="005C432E" w:rsidRPr="004E1159">
        <w:t>17</w:t>
      </w:r>
      <w:r w:rsidRPr="004E1159">
        <w:t>.</w:t>
      </w:r>
      <w:r w:rsidR="005C432E" w:rsidRPr="004E1159">
        <w:t>6</w:t>
      </w:r>
      <w:r w:rsidR="00F634C3" w:rsidRPr="004E1159">
        <w:t> billion</w:t>
      </w:r>
      <w:r w:rsidRPr="004E1159">
        <w:t xml:space="preserve"> in 202</w:t>
      </w:r>
      <w:r w:rsidR="00CA442D" w:rsidRPr="004E1159">
        <w:t>3</w:t>
      </w:r>
      <w:r w:rsidRPr="004E1159">
        <w:t>–2</w:t>
      </w:r>
      <w:r w:rsidR="00CA442D" w:rsidRPr="004E1159">
        <w:t>4</w:t>
      </w:r>
      <w:r w:rsidRPr="004E1159">
        <w:t xml:space="preserve"> </w:t>
      </w:r>
      <w:r w:rsidR="005F1B91" w:rsidRPr="004E1159">
        <w:t>and by $37.0 billion over 4</w:t>
      </w:r>
      <w:r w:rsidR="00E639AB">
        <w:t> </w:t>
      </w:r>
      <w:r w:rsidR="005F1B91" w:rsidRPr="004E1159">
        <w:t>years from 2022</w:t>
      </w:r>
      <w:r w:rsidR="00784625" w:rsidRPr="004E1159">
        <w:t>–</w:t>
      </w:r>
      <w:r w:rsidR="005F1B91" w:rsidRPr="004E1159">
        <w:t>23 to 2025</w:t>
      </w:r>
      <w:r w:rsidR="00784625" w:rsidRPr="004E1159">
        <w:t>–</w:t>
      </w:r>
      <w:r w:rsidR="005F1B91" w:rsidRPr="004E1159">
        <w:t>26 since the October</w:t>
      </w:r>
      <w:r w:rsidR="003E6881">
        <w:t xml:space="preserve"> Budget</w:t>
      </w:r>
      <w:r w:rsidR="005F1B91" w:rsidRPr="004E1159">
        <w:t>.</w:t>
      </w:r>
      <w:r w:rsidRPr="004E1159">
        <w:t xml:space="preserve"> </w:t>
      </w:r>
    </w:p>
    <w:p w14:paraId="16BCCF62" w14:textId="77777777" w:rsidR="00D01E96" w:rsidRPr="004E1159" w:rsidRDefault="00D01E96" w:rsidP="00D01E96">
      <w:r w:rsidRPr="004E1159">
        <w:t>Movements in expenses over the forward estimates are broadly consistent with movements in cash payments. The key exceptions include:</w:t>
      </w:r>
    </w:p>
    <w:p w14:paraId="646C91BB" w14:textId="1E2912B1" w:rsidR="00D01E96" w:rsidRPr="004E1159" w:rsidRDefault="00A1218C" w:rsidP="00D57DA8">
      <w:pPr>
        <w:pStyle w:val="Bullet"/>
        <w:numPr>
          <w:ilvl w:val="0"/>
          <w:numId w:val="4"/>
        </w:numPr>
      </w:pPr>
      <w:r w:rsidRPr="004E1159">
        <w:t>t</w:t>
      </w:r>
      <w:r w:rsidR="00D01E96" w:rsidRPr="004E1159">
        <w:t>he NDIS program, where there is an expected time lag between the receipt of reasonable and necessary support services and the lodgement of claims relating to those services</w:t>
      </w:r>
      <w:r w:rsidR="00431220" w:rsidRPr="004E1159">
        <w:t xml:space="preserve"> </w:t>
      </w:r>
    </w:p>
    <w:p w14:paraId="341F9670" w14:textId="7B3F7E7C" w:rsidR="00D01E96" w:rsidRPr="004E1159" w:rsidRDefault="00A1218C" w:rsidP="00D57DA8">
      <w:pPr>
        <w:pStyle w:val="Bullet"/>
        <w:numPr>
          <w:ilvl w:val="0"/>
          <w:numId w:val="4"/>
        </w:numPr>
      </w:pPr>
      <w:r w:rsidRPr="004E1159">
        <w:t>s</w:t>
      </w:r>
      <w:r w:rsidR="00D01E96" w:rsidRPr="004E1159">
        <w:t xml:space="preserve">uperannuation benefits programs (civilian and military), where there is a timing difference with the expense accruing during employment and cash payments occurring during retirement </w:t>
      </w:r>
    </w:p>
    <w:p w14:paraId="3ADB28EB" w14:textId="026B5FAD" w:rsidR="00D01E96" w:rsidRPr="004E1159" w:rsidRDefault="00A1218C" w:rsidP="00D57DA8">
      <w:pPr>
        <w:pStyle w:val="Bullet"/>
        <w:numPr>
          <w:ilvl w:val="0"/>
          <w:numId w:val="4"/>
        </w:numPr>
      </w:pPr>
      <w:r w:rsidRPr="004E1159">
        <w:t>p</w:t>
      </w:r>
      <w:r w:rsidR="00D01E96" w:rsidRPr="004E1159">
        <w:t>urchases of non</w:t>
      </w:r>
      <w:r w:rsidR="00594653" w:rsidRPr="004E1159">
        <w:noBreakHyphen/>
      </w:r>
      <w:r w:rsidR="00D01E96" w:rsidRPr="004E1159">
        <w:t>financial assets, which are included in cash payments but not in accrual expenses. The expense estimates include depreciation of non</w:t>
      </w:r>
      <w:r w:rsidR="00594653" w:rsidRPr="004E1159">
        <w:noBreakHyphen/>
      </w:r>
      <w:r w:rsidR="00D01E96" w:rsidRPr="004E1159">
        <w:t>financial assets rather than recognising the impact at the time of purchase.</w:t>
      </w:r>
    </w:p>
    <w:p w14:paraId="04BD9E3C" w14:textId="3020390C" w:rsidR="00D01E96" w:rsidRPr="00EA288B" w:rsidRDefault="00D01E96" w:rsidP="00D01E96">
      <w:r w:rsidRPr="004E1159">
        <w:t xml:space="preserve">Detailed information on expenses can be found in </w:t>
      </w:r>
      <w:r w:rsidRPr="004E1159">
        <w:rPr>
          <w:rStyle w:val="Emphasis"/>
        </w:rPr>
        <w:t>Statement 6:</w:t>
      </w:r>
      <w:r w:rsidRPr="004E1159">
        <w:t xml:space="preserve"> </w:t>
      </w:r>
      <w:r w:rsidRPr="004E1159">
        <w:rPr>
          <w:rStyle w:val="Emphasis"/>
        </w:rPr>
        <w:t>Expenses and Net Capital Investment.</w:t>
      </w:r>
    </w:p>
    <w:p w14:paraId="10A3D3D8" w14:textId="485E1D34" w:rsidR="00D01E96" w:rsidRPr="00EA288B" w:rsidRDefault="00D01E96" w:rsidP="00D01E96">
      <w:pPr>
        <w:pStyle w:val="Heading3"/>
      </w:pPr>
      <w:bookmarkStart w:id="41" w:name="_Toc117356574"/>
      <w:bookmarkStart w:id="42" w:name="_Toc134321305"/>
      <w:bookmarkStart w:id="43" w:name="OLE_LINK1"/>
      <w:r w:rsidRPr="00EA288B">
        <w:t>Structural budget balance estimates</w:t>
      </w:r>
      <w:bookmarkEnd w:id="41"/>
      <w:bookmarkEnd w:id="42"/>
    </w:p>
    <w:p w14:paraId="7802B7E4" w14:textId="61951A56" w:rsidR="00D01E96" w:rsidRPr="004E1159" w:rsidRDefault="00D01E96" w:rsidP="00D01E96">
      <w:r w:rsidRPr="004E1159">
        <w:t xml:space="preserve">The structural budget balance estimate adjusts the underlying cash balance to remove the </w:t>
      </w:r>
      <w:r w:rsidR="00EC160C" w:rsidRPr="004E1159">
        <w:t xml:space="preserve">estimated </w:t>
      </w:r>
      <w:r w:rsidRPr="004E1159">
        <w:t>effects of temporary factors. T</w:t>
      </w:r>
      <w:r w:rsidR="00B34F4C" w:rsidRPr="004E1159">
        <w:t xml:space="preserve">emporary </w:t>
      </w:r>
      <w:r w:rsidRPr="004E1159">
        <w:t>factors include deviations in commodity prices and economic activity from their long</w:t>
      </w:r>
      <w:r w:rsidR="00594653" w:rsidRPr="004E1159">
        <w:noBreakHyphen/>
      </w:r>
      <w:r w:rsidRPr="004E1159">
        <w:t xml:space="preserve">run levels. </w:t>
      </w:r>
      <w:r w:rsidR="00B34F4C" w:rsidRPr="004E1159">
        <w:t>T</w:t>
      </w:r>
      <w:r w:rsidRPr="004E1159">
        <w:t>he structural budget balance can provide insight into the sustainability of fiscal settings.</w:t>
      </w:r>
    </w:p>
    <w:p w14:paraId="1B55AF66" w14:textId="03B308CC" w:rsidR="00D01E96" w:rsidRPr="004E1159" w:rsidRDefault="00B34F4C" w:rsidP="00D01E96">
      <w:r w:rsidRPr="004E1159">
        <w:t xml:space="preserve">The structural balance is </w:t>
      </w:r>
      <w:r w:rsidR="00D01E96" w:rsidRPr="004E1159">
        <w:t xml:space="preserve">estimated rather than observed, </w:t>
      </w:r>
      <w:r w:rsidRPr="004E1159">
        <w:t xml:space="preserve">so it </w:t>
      </w:r>
      <w:r w:rsidR="00D01E96" w:rsidRPr="004E1159">
        <w:t xml:space="preserve">is sensitive to the assumptions and parameters that underpin it. </w:t>
      </w:r>
      <w:r w:rsidR="00C5224C" w:rsidRPr="004E1159">
        <w:t>C</w:t>
      </w:r>
      <w:r w:rsidR="00D01E96" w:rsidRPr="004E1159">
        <w:t xml:space="preserve">ommodity price volatility has increased the uncertainty around the estimate. </w:t>
      </w:r>
    </w:p>
    <w:p w14:paraId="4136A26A" w14:textId="522F82A0" w:rsidR="00D01E96" w:rsidRPr="004E1159" w:rsidRDefault="006E7330" w:rsidP="00D01E96">
      <w:pPr>
        <w:rPr>
          <w:sz w:val="22"/>
          <w:szCs w:val="22"/>
        </w:rPr>
      </w:pPr>
      <w:r w:rsidRPr="004E1159">
        <w:t>T</w:t>
      </w:r>
      <w:r w:rsidR="00D01E96" w:rsidRPr="004E1159">
        <w:t>he estimate</w:t>
      </w:r>
      <w:r w:rsidR="00EC7B6D" w:rsidRPr="004E1159">
        <w:t>d</w:t>
      </w:r>
      <w:r w:rsidR="00D01E96" w:rsidRPr="004E1159">
        <w:t xml:space="preserve"> structural budget balance </w:t>
      </w:r>
      <w:r w:rsidRPr="004E1159">
        <w:t xml:space="preserve">has improved </w:t>
      </w:r>
      <w:r w:rsidR="00D01E96" w:rsidRPr="004E1159">
        <w:t xml:space="preserve">over the forward estimates </w:t>
      </w:r>
      <w:r w:rsidRPr="004E1159">
        <w:t xml:space="preserve">compared to the </w:t>
      </w:r>
      <w:r w:rsidR="00F634C3" w:rsidRPr="004E1159">
        <w:t>October Budget</w:t>
      </w:r>
      <w:r w:rsidRPr="004E1159">
        <w:t xml:space="preserve"> </w:t>
      </w:r>
      <w:r w:rsidR="00D01E96" w:rsidRPr="004E1159">
        <w:t>(</w:t>
      </w:r>
      <w:r w:rsidR="00E21765" w:rsidRPr="004E1159">
        <w:t>Chart </w:t>
      </w:r>
      <w:r w:rsidR="00D01E96" w:rsidRPr="004E1159">
        <w:t>3.</w:t>
      </w:r>
      <w:r w:rsidR="000B35B1" w:rsidRPr="004E1159">
        <w:t>19</w:t>
      </w:r>
      <w:r w:rsidR="00D01E96" w:rsidRPr="004E1159">
        <w:t xml:space="preserve">). Over the medium term, the </w:t>
      </w:r>
      <w:r w:rsidR="00C5470B" w:rsidRPr="004E1159">
        <w:t xml:space="preserve">estimated </w:t>
      </w:r>
      <w:r w:rsidR="00D01E96" w:rsidRPr="004E1159">
        <w:lastRenderedPageBreak/>
        <w:t>structural deficit is projected to be</w:t>
      </w:r>
      <w:r w:rsidR="00D01E96" w:rsidRPr="004E1159" w:rsidDel="00CA49D9">
        <w:t xml:space="preserve"> </w:t>
      </w:r>
      <w:r w:rsidR="00F03C51" w:rsidRPr="004E1159">
        <w:t>small</w:t>
      </w:r>
      <w:r w:rsidR="00064C4E" w:rsidRPr="004E1159">
        <w:t>er</w:t>
      </w:r>
      <w:r w:rsidR="00C730D8" w:rsidRPr="004E1159">
        <w:t>, b</w:t>
      </w:r>
      <w:r w:rsidR="00FB7B37" w:rsidRPr="004E1159">
        <w:t>ut</w:t>
      </w:r>
      <w:r w:rsidR="00C730D8" w:rsidRPr="004E1159">
        <w:t xml:space="preserve"> </w:t>
      </w:r>
      <w:r w:rsidR="00D01E96" w:rsidRPr="004E1159">
        <w:t xml:space="preserve">persist. </w:t>
      </w:r>
      <w:bookmarkStart w:id="44" w:name="_Hlk134003517"/>
      <w:r w:rsidR="00D01E96" w:rsidRPr="004E1159">
        <w:t xml:space="preserve">This </w:t>
      </w:r>
      <w:r w:rsidR="00623913" w:rsidRPr="004E1159">
        <w:t>improvement</w:t>
      </w:r>
      <w:r w:rsidR="00D01E96" w:rsidRPr="004E1159">
        <w:t xml:space="preserve"> is consistent with forecast revisions to the underlying cash balance, which reflect </w:t>
      </w:r>
      <w:r w:rsidR="00184F91" w:rsidRPr="004E1159">
        <w:t xml:space="preserve">lower </w:t>
      </w:r>
      <w:r w:rsidR="00C40063" w:rsidRPr="004E1159">
        <w:t>interest</w:t>
      </w:r>
      <w:r w:rsidR="00D01E96" w:rsidRPr="004E1159">
        <w:t xml:space="preserve"> payments </w:t>
      </w:r>
      <w:r w:rsidR="00113A3C" w:rsidRPr="004E1159">
        <w:t xml:space="preserve">than </w:t>
      </w:r>
      <w:r w:rsidR="00594FDE" w:rsidRPr="004E1159">
        <w:t>were</w:t>
      </w:r>
      <w:r w:rsidR="00113A3C" w:rsidRPr="004E1159">
        <w:t xml:space="preserve"> expected in the </w:t>
      </w:r>
      <w:r w:rsidR="00F634C3" w:rsidRPr="004E1159">
        <w:t>October Budget</w:t>
      </w:r>
      <w:r w:rsidR="00113A3C" w:rsidRPr="004E1159">
        <w:t xml:space="preserve"> </w:t>
      </w:r>
      <w:r w:rsidR="00D01E96" w:rsidRPr="004E1159">
        <w:t xml:space="preserve">and </w:t>
      </w:r>
      <w:r w:rsidR="008B61A8" w:rsidRPr="004E1159">
        <w:t>a larger economy</w:t>
      </w:r>
      <w:r w:rsidR="00FE1611" w:rsidRPr="004E1159">
        <w:t>,</w:t>
      </w:r>
      <w:r w:rsidR="008B61A8" w:rsidRPr="004E1159">
        <w:t xml:space="preserve"> </w:t>
      </w:r>
      <w:r w:rsidR="00837E06" w:rsidRPr="004E1159">
        <w:t xml:space="preserve">including </w:t>
      </w:r>
      <w:r w:rsidR="005352E4" w:rsidRPr="004E1159">
        <w:t xml:space="preserve">as a result of </w:t>
      </w:r>
      <w:r w:rsidR="00C40063" w:rsidRPr="004E1159">
        <w:t>higher population and participation</w:t>
      </w:r>
      <w:bookmarkEnd w:id="44"/>
      <w:r w:rsidR="00F63FE7" w:rsidRPr="004E1159">
        <w:t>.</w:t>
      </w:r>
      <w:r w:rsidR="00D01E96" w:rsidRPr="004E1159">
        <w:t xml:space="preserve"> </w:t>
      </w:r>
    </w:p>
    <w:p w14:paraId="6801857C" w14:textId="3A581E74" w:rsidR="00D01E96" w:rsidRPr="00EA288B" w:rsidRDefault="00D01E96" w:rsidP="00D01E96">
      <w:r w:rsidRPr="004E1159">
        <w:t xml:space="preserve">Cyclical factors are estimated to positively contribute to the underlying cash balance in the near term, </w:t>
      </w:r>
      <w:r w:rsidR="00D7249D" w:rsidRPr="004E1159">
        <w:t xml:space="preserve">but not to the structural budget balance, </w:t>
      </w:r>
      <w:r w:rsidR="002A525A" w:rsidRPr="004E1159">
        <w:t xml:space="preserve">in large part </w:t>
      </w:r>
      <w:r w:rsidRPr="004E1159">
        <w:t>due to elevated commodity prices</w:t>
      </w:r>
      <w:r w:rsidR="002E63B1" w:rsidRPr="004E1159">
        <w:t xml:space="preserve"> and a strong labour market</w:t>
      </w:r>
      <w:r w:rsidRPr="004E1159">
        <w:t>. This will recede as commodity prices return to their assumed long</w:t>
      </w:r>
      <w:r w:rsidR="00594653" w:rsidRPr="004E1159">
        <w:noBreakHyphen/>
      </w:r>
      <w:r w:rsidRPr="004E1159">
        <w:t>run levels and economic activity returns to its potential level.</w:t>
      </w:r>
      <w:r w:rsidR="00E12AEA" w:rsidRPr="004E1159">
        <w:t xml:space="preserve"> </w:t>
      </w:r>
      <w:r w:rsidR="00E1654C" w:rsidRPr="004E1159">
        <w:t xml:space="preserve">Estimates take account of </w:t>
      </w:r>
      <w:r w:rsidR="003D5070" w:rsidRPr="004E1159">
        <w:t xml:space="preserve">the change in </w:t>
      </w:r>
      <w:r w:rsidR="00E12AEA" w:rsidRPr="004E1159">
        <w:t>commodity price assumptions</w:t>
      </w:r>
      <w:r w:rsidR="00196A0E" w:rsidRPr="004E1159">
        <w:t xml:space="preserve"> in this Budget</w:t>
      </w:r>
      <w:r w:rsidR="003D5070" w:rsidRPr="004E1159">
        <w:t xml:space="preserve"> (see </w:t>
      </w:r>
      <w:r w:rsidR="00C45583" w:rsidRPr="004E1159">
        <w:t>Box 2.4</w:t>
      </w:r>
      <w:r w:rsidR="003D5070" w:rsidRPr="004E1159">
        <w:t>)</w:t>
      </w:r>
      <w:r w:rsidR="002C33B9" w:rsidRPr="004E1159">
        <w:t>.</w:t>
      </w:r>
    </w:p>
    <w:bookmarkEnd w:id="43"/>
    <w:p w14:paraId="1B451945" w14:textId="753CD8DA" w:rsidR="00D01E96" w:rsidRPr="00EA288B" w:rsidRDefault="00E21765" w:rsidP="005C08EB">
      <w:pPr>
        <w:pStyle w:val="ChartMainHeading"/>
      </w:pPr>
      <w:r w:rsidRPr="004E1159">
        <w:t>Chart </w:t>
      </w:r>
      <w:r w:rsidR="00D01E96" w:rsidRPr="004E1159">
        <w:t>3.</w:t>
      </w:r>
      <w:r w:rsidR="000B35B1" w:rsidRPr="004E1159">
        <w:t>19</w:t>
      </w:r>
      <w:r w:rsidR="00D01E96" w:rsidRPr="004E1159">
        <w:t>: Structural budget balance</w:t>
      </w:r>
    </w:p>
    <w:p w14:paraId="28973C5B" w14:textId="17FCA7F9" w:rsidR="00D01E96" w:rsidRPr="00EA288B" w:rsidRDefault="0094269C" w:rsidP="00D01E96">
      <w:pPr>
        <w:pStyle w:val="ChartGraphic"/>
        <w:rPr>
          <w:rFonts w:eastAsia="Calibri"/>
        </w:rPr>
      </w:pPr>
      <w:r>
        <w:rPr>
          <w:rFonts w:eastAsia="Calibri"/>
        </w:rPr>
        <w:pict w14:anchorId="451443EC">
          <v:shape id="_x0000_i1042" type="#_x0000_t75" alt="The approach separating the budgetary impact of temporary measures from structural measures follows the methodology detailed in Treasury Working Paper 2013 01. Cyclical factors measure the estimated impact on the underlying cash bahlance from automatic stabilisers and cyclical movements in asset and commodity prices. Temporary fiscal measures comprise direct economic and health support measures initiated between the onset of the COVID 19 pandemic and the 2022–23 October Budget. Underspends in these direct economic and health support measures are not captured in the derivation of the structural budget balance, which may result in an improved structural budget balance estimate." style="width:367.5pt;height:226.3pt">
            <v:imagedata r:id="rId36" o:title=""/>
          </v:shape>
        </w:pict>
      </w:r>
    </w:p>
    <w:p w14:paraId="4CF335B7" w14:textId="0AEF0819" w:rsidR="00D01E96" w:rsidRPr="00EA288B" w:rsidRDefault="00D01E96" w:rsidP="00D01E96">
      <w:pPr>
        <w:pStyle w:val="ChartandTableFootnote"/>
        <w:rPr>
          <w:color w:val="auto"/>
        </w:rPr>
      </w:pPr>
      <w:r w:rsidRPr="00EA288B">
        <w:rPr>
          <w:color w:val="auto"/>
        </w:rPr>
        <w:t xml:space="preserve">Note: </w:t>
      </w:r>
      <w:r w:rsidRPr="00EA288B">
        <w:rPr>
          <w:color w:val="auto"/>
        </w:rPr>
        <w:tab/>
        <w:t>T</w:t>
      </w:r>
      <w:r>
        <w:t xml:space="preserve">he </w:t>
      </w:r>
      <w:r w:rsidR="00D7249D">
        <w:t>approach separating</w:t>
      </w:r>
      <w:r>
        <w:t xml:space="preserve"> the budgetary impact of temporary measures from structural measures</w:t>
      </w:r>
      <w:r w:rsidR="00D7249D">
        <w:t xml:space="preserve"> </w:t>
      </w:r>
      <w:r>
        <w:t>follows the methodology detailed in Treasury Working Paper 2013</w:t>
      </w:r>
      <w:r w:rsidR="00594653">
        <w:noBreakHyphen/>
      </w:r>
      <w:r>
        <w:t>01</w:t>
      </w:r>
      <w:r w:rsidRPr="00EA288B">
        <w:rPr>
          <w:color w:val="auto"/>
        </w:rPr>
        <w:t xml:space="preserve">. Cyclical factors measure the estimated impact on the underlying cash balance from automatic stabilisers and cyclical movements in asset and commodity prices. Temporary fiscal measures comprise direct economic and health support measures </w:t>
      </w:r>
      <w:r w:rsidR="00FF7107">
        <w:rPr>
          <w:color w:val="auto"/>
        </w:rPr>
        <w:t>initiated</w:t>
      </w:r>
      <w:r w:rsidRPr="00EA288B">
        <w:rPr>
          <w:color w:val="auto"/>
        </w:rPr>
        <w:t xml:space="preserve"> </w:t>
      </w:r>
      <w:r w:rsidR="00ED778D">
        <w:rPr>
          <w:color w:val="auto"/>
        </w:rPr>
        <w:t xml:space="preserve">between </w:t>
      </w:r>
      <w:r w:rsidRPr="00EA288B">
        <w:rPr>
          <w:color w:val="auto"/>
        </w:rPr>
        <w:t>the onset of the COVID</w:t>
      </w:r>
      <w:r w:rsidR="00594653">
        <w:rPr>
          <w:color w:val="auto"/>
        </w:rPr>
        <w:noBreakHyphen/>
      </w:r>
      <w:r w:rsidRPr="00EA288B">
        <w:rPr>
          <w:color w:val="auto"/>
        </w:rPr>
        <w:t>19 pandemic</w:t>
      </w:r>
      <w:r w:rsidR="00ED778D">
        <w:rPr>
          <w:color w:val="auto"/>
        </w:rPr>
        <w:t xml:space="preserve"> and </w:t>
      </w:r>
      <w:r w:rsidR="00FF7107">
        <w:rPr>
          <w:color w:val="auto"/>
        </w:rPr>
        <w:t xml:space="preserve">the </w:t>
      </w:r>
      <w:r w:rsidR="00ED778D">
        <w:rPr>
          <w:color w:val="auto"/>
        </w:rPr>
        <w:t>20</w:t>
      </w:r>
      <w:r w:rsidR="00FF7107">
        <w:rPr>
          <w:color w:val="auto"/>
        </w:rPr>
        <w:t>22</w:t>
      </w:r>
      <w:r w:rsidR="00235899">
        <w:rPr>
          <w:color w:val="auto"/>
        </w:rPr>
        <w:t>–</w:t>
      </w:r>
      <w:r w:rsidR="00FF7107">
        <w:rPr>
          <w:color w:val="auto"/>
        </w:rPr>
        <w:t>23 October Budget</w:t>
      </w:r>
      <w:r w:rsidRPr="00035195">
        <w:rPr>
          <w:color w:val="auto"/>
        </w:rPr>
        <w:t>.</w:t>
      </w:r>
      <w:r w:rsidRPr="00EA288B">
        <w:rPr>
          <w:color w:val="auto"/>
        </w:rPr>
        <w:t xml:space="preserve"> </w:t>
      </w:r>
      <w:r w:rsidR="00C5760C" w:rsidRPr="00EA288B">
        <w:t>Underspends in these direct economic and health support measures</w:t>
      </w:r>
      <w:r w:rsidR="00C5760C" w:rsidRPr="00EA288B" w:rsidDel="00331465">
        <w:t xml:space="preserve"> </w:t>
      </w:r>
      <w:r w:rsidR="00C5760C">
        <w:t>are not captured in the derivation of the structural budget balance, which may result in an improved structural budget balance estimate.</w:t>
      </w:r>
    </w:p>
    <w:p w14:paraId="29609256" w14:textId="3B52F64C" w:rsidR="00D01E96" w:rsidRPr="00EA288B" w:rsidRDefault="00D01E96" w:rsidP="00D01E96">
      <w:pPr>
        <w:pStyle w:val="ChartandTableFootnote"/>
        <w:rPr>
          <w:color w:val="auto"/>
        </w:rPr>
      </w:pPr>
      <w:r w:rsidRPr="00EA288B">
        <w:rPr>
          <w:color w:val="auto"/>
        </w:rPr>
        <w:t>Source:</w:t>
      </w:r>
      <w:r w:rsidRPr="00EA288B">
        <w:rPr>
          <w:color w:val="auto"/>
        </w:rPr>
        <w:tab/>
        <w:t>Treasury.</w:t>
      </w:r>
    </w:p>
    <w:p w14:paraId="78DAB372" w14:textId="28A4F5EA" w:rsidR="00D01E96" w:rsidRPr="00EA288B" w:rsidRDefault="00D01E96" w:rsidP="00FF3EF8">
      <w:pPr>
        <w:pStyle w:val="ChartLine"/>
      </w:pPr>
    </w:p>
    <w:sectPr w:rsidR="00D01E96" w:rsidRPr="00EA288B" w:rsidSect="00A26245">
      <w:headerReference w:type="even" r:id="rId37"/>
      <w:headerReference w:type="default" r:id="rId38"/>
      <w:headerReference w:type="first" r:id="rId39"/>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3CDA9" w14:textId="77777777" w:rsidR="008E31F0" w:rsidRDefault="008E31F0" w:rsidP="00E40261">
      <w:pPr>
        <w:spacing w:after="0" w:line="240" w:lineRule="auto"/>
      </w:pPr>
      <w:r>
        <w:separator/>
      </w:r>
    </w:p>
  </w:endnote>
  <w:endnote w:type="continuationSeparator" w:id="0">
    <w:p w14:paraId="5B4FC77B" w14:textId="77777777" w:rsidR="008E31F0" w:rsidRDefault="008E31F0" w:rsidP="00E40261">
      <w:pPr>
        <w:spacing w:after="0" w:line="240" w:lineRule="auto"/>
      </w:pPr>
      <w:r>
        <w:continuationSeparator/>
      </w:r>
    </w:p>
  </w:endnote>
  <w:endnote w:type="continuationNotice" w:id="1">
    <w:p w14:paraId="2EE99D3E" w14:textId="77777777" w:rsidR="008E31F0" w:rsidRDefault="008E31F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Yu Mincho Light">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F03D2" w14:textId="2225F92F" w:rsidR="00473202"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580913">
        <w:t>Statement 3: Fiscal Strategy and Outlook</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C669" w14:textId="00440D18" w:rsidR="00473202" w:rsidRDefault="003D5911" w:rsidP="00401992">
    <w:pPr>
      <w:pStyle w:val="FooterOdd"/>
      <w:rPr>
        <w:b/>
        <w:bCs/>
      </w:rPr>
    </w:pPr>
    <w:fldSimple w:instr="SUBJECT   \* MERGEFORMAT">
      <w:r w:rsidR="00580913">
        <w:t>Statement 3: Fiscal Strategy and Outlook</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B22B1" w14:textId="0357696F" w:rsidR="00473202" w:rsidRDefault="003D5911" w:rsidP="00F4572D">
    <w:pPr>
      <w:pStyle w:val="FooterOdd"/>
      <w:rPr>
        <w:b/>
        <w:bCs/>
      </w:rPr>
    </w:pPr>
    <w:fldSimple w:instr="SUBJECT   \* MERGEFORMAT">
      <w:r w:rsidR="00580913">
        <w:t>Statement 3: Fiscal Strategy and Outlook</w:t>
      </w:r>
    </w:fldSimple>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6EB8D" w14:textId="77777777" w:rsidR="008E31F0" w:rsidRPr="003C1CA4" w:rsidRDefault="008E31F0"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54C8EFE1" w14:textId="77777777" w:rsidR="008E31F0" w:rsidRDefault="008E31F0" w:rsidP="00E40261">
      <w:pPr>
        <w:spacing w:after="0" w:line="240" w:lineRule="auto"/>
      </w:pPr>
      <w:r>
        <w:continuationSeparator/>
      </w:r>
    </w:p>
  </w:footnote>
  <w:footnote w:type="continuationNotice" w:id="1">
    <w:p w14:paraId="214B821C" w14:textId="77777777" w:rsidR="008E31F0" w:rsidRDefault="008E31F0">
      <w:pPr>
        <w:spacing w:before="0" w:after="0" w:line="240" w:lineRule="auto"/>
      </w:pPr>
    </w:p>
  </w:footnote>
  <w:footnote w:id="2">
    <w:p w14:paraId="0BA1EFD0" w14:textId="50477FDF" w:rsidR="00CF1E19" w:rsidRPr="00BD211D" w:rsidRDefault="00BD211D" w:rsidP="00BD211D">
      <w:pPr>
        <w:pStyle w:val="FootnoteText"/>
      </w:pPr>
      <w:r w:rsidRPr="00BD211D">
        <w:footnoteRef/>
      </w:r>
      <w:r w:rsidR="00CF1E19" w:rsidRPr="00BD211D">
        <w:t xml:space="preserve"> </w:t>
      </w:r>
      <w:r w:rsidRPr="004E1159">
        <w:tab/>
      </w:r>
      <w:r w:rsidR="00CF1E19" w:rsidRPr="004E1159">
        <w:t>Note: disaster response funding is not included where it does not reduce the underlying risk e.g. demand driven disaster response payments.</w:t>
      </w:r>
    </w:p>
  </w:footnote>
  <w:footnote w:id="3">
    <w:p w14:paraId="5E79C06D" w14:textId="3D4662C2" w:rsidR="00CF1E19" w:rsidRPr="00BD211D" w:rsidRDefault="00BD211D" w:rsidP="00BD211D">
      <w:pPr>
        <w:pStyle w:val="FootnoteText"/>
      </w:pPr>
      <w:r w:rsidRPr="00BD211D">
        <w:footnoteRef/>
      </w:r>
      <w:r w:rsidR="00CF1E19" w:rsidRPr="00BD211D">
        <w:t xml:space="preserve"> </w:t>
      </w:r>
      <w:r w:rsidRPr="004E1159">
        <w:tab/>
      </w:r>
      <w:r w:rsidR="00CF1E19" w:rsidRPr="004E1159">
        <w:t>Note: this must be sufficiently identifiable. General Official Development Assistance (e.g. for disaster response) is currently not in scope.</w:t>
      </w:r>
    </w:p>
  </w:footnote>
  <w:footnote w:id="4">
    <w:p w14:paraId="4E2FDBBB" w14:textId="699F7A78" w:rsidR="00C56E24" w:rsidRPr="00BD211D" w:rsidRDefault="00BD211D" w:rsidP="00BD211D">
      <w:pPr>
        <w:pStyle w:val="FootnoteText"/>
      </w:pPr>
      <w:r w:rsidRPr="00BD211D">
        <w:footnoteRef/>
      </w:r>
      <w:r w:rsidR="00C56E24" w:rsidRPr="00BD211D">
        <w:t xml:space="preserve"> </w:t>
      </w:r>
      <w:r w:rsidRPr="004E1159">
        <w:tab/>
      </w:r>
      <w:r w:rsidR="00C56E24" w:rsidRPr="004E1159">
        <w:t>Tax expenditures, while included in climate</w:t>
      </w:r>
      <w:r w:rsidR="00594653" w:rsidRPr="004E1159">
        <w:noBreakHyphen/>
      </w:r>
      <w:r w:rsidR="00C56E24" w:rsidRPr="004E1159">
        <w:t>related spending in this Budget, were not included in the October 202</w:t>
      </w:r>
      <w:r w:rsidR="00991F41" w:rsidRPr="004E1159">
        <w:t>2</w:t>
      </w:r>
      <w:r w:rsidR="00FF210A" w:rsidRPr="004E1159">
        <w:t>–</w:t>
      </w:r>
      <w:r w:rsidR="00C56E24" w:rsidRPr="004E1159">
        <w:t>23 Budget table on climate spending.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E5DBA" w14:textId="0ACB987F" w:rsidR="004C3F27" w:rsidRPr="003A2B54" w:rsidRDefault="00933052" w:rsidP="003A2B54">
    <w:pPr>
      <w:pStyle w:val="Header"/>
    </w:pPr>
    <w:r>
      <w:rPr>
        <w:noProof/>
      </w:rPr>
      <w:drawing>
        <wp:anchor distT="0" distB="0" distL="114300" distR="114300" simplePos="0" relativeHeight="251658240" behindDoc="1" locked="1" layoutInCell="1" allowOverlap="1" wp14:anchorId="7010CB11" wp14:editId="4F542796">
          <wp:simplePos x="0" y="0"/>
          <wp:positionH relativeFrom="page">
            <wp:align>center</wp:align>
          </wp:positionH>
          <wp:positionV relativeFrom="page">
            <wp:align>top</wp:align>
          </wp:positionV>
          <wp:extent cx="7560000" cy="10692000"/>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8555B" w14:paraId="0C7CABAB" w14:textId="77777777" w:rsidTr="008C56E1">
      <w:trPr>
        <w:trHeight w:hRule="exact" w:val="340"/>
      </w:trPr>
      <w:tc>
        <w:tcPr>
          <w:tcW w:w="7797" w:type="dxa"/>
        </w:tcPr>
        <w:p w14:paraId="4C8103D4" w14:textId="7706742D" w:rsidR="0058555B" w:rsidRPr="00D13BF9" w:rsidRDefault="003D5911" w:rsidP="003A2B54">
          <w:pPr>
            <w:pStyle w:val="HeaderOdd"/>
          </w:pPr>
          <w:fldSimple w:instr=" TITLE   \* MERGEFORMAT ">
            <w:r w:rsidR="00580913">
              <w:t>Budget Paper No. 1</w:t>
            </w:r>
          </w:fldSimple>
          <w:r w:rsidR="0058555B" w:rsidRPr="00D13BF9">
            <w:t xml:space="preserve">  |  </w:t>
          </w:r>
          <w:r w:rsidR="0058555B" w:rsidRPr="00C9389A">
            <w:rPr>
              <w:noProof/>
              <w:position w:val="-8"/>
            </w:rPr>
            <w:drawing>
              <wp:inline distT="0" distB="0" distL="0" distR="0" wp14:anchorId="25D275D2" wp14:editId="50A18247">
                <wp:extent cx="878400" cy="1980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3E6A2992" w14:textId="07CDC3AC" w:rsidR="004C3F27" w:rsidRPr="003A2B54" w:rsidRDefault="0094345F" w:rsidP="003A2B54">
    <w:pPr>
      <w:pStyle w:val="HeaderOdd"/>
    </w:pPr>
    <w:r>
      <w:rPr>
        <w:noProof/>
      </w:rPr>
      <w:drawing>
        <wp:anchor distT="0" distB="0" distL="114300" distR="114300" simplePos="0" relativeHeight="251658246" behindDoc="1" locked="0" layoutInCell="1" allowOverlap="1" wp14:anchorId="2FC8342D" wp14:editId="5F0FC32B">
          <wp:simplePos x="0" y="0"/>
          <wp:positionH relativeFrom="page">
            <wp:align>center</wp:align>
          </wp:positionH>
          <wp:positionV relativeFrom="page">
            <wp:align>center</wp:align>
          </wp:positionV>
          <wp:extent cx="7560000" cy="10691902"/>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4959B" w14:textId="3A07206A" w:rsidR="00D87285" w:rsidRPr="003A2B54" w:rsidRDefault="00CE73F8" w:rsidP="003A2B54">
    <w:pPr>
      <w:pStyle w:val="Header"/>
    </w:pPr>
    <w:r>
      <w:rPr>
        <w:noProof/>
      </w:rPr>
      <w:drawing>
        <wp:anchor distT="0" distB="0" distL="114300" distR="114300" simplePos="0" relativeHeight="251658244" behindDoc="1" locked="1" layoutInCell="1" allowOverlap="1" wp14:anchorId="77CB6876" wp14:editId="045F70D0">
          <wp:simplePos x="0" y="0"/>
          <wp:positionH relativeFrom="page">
            <wp:align>center</wp:align>
          </wp:positionH>
          <wp:positionV relativeFrom="page">
            <wp:align>top</wp:align>
          </wp:positionV>
          <wp:extent cx="7560000" cy="10692000"/>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76DFE" w14:textId="3AD9D325" w:rsidR="00345870" w:rsidRPr="003A2B54" w:rsidRDefault="00345870" w:rsidP="003A2B54">
    <w:pPr>
      <w:pStyle w:val="Header"/>
    </w:pPr>
    <w:r>
      <w:rPr>
        <w:noProof/>
      </w:rPr>
      <w:drawing>
        <wp:anchor distT="0" distB="0" distL="114300" distR="114300" simplePos="0" relativeHeight="251658242" behindDoc="1" locked="0" layoutInCell="1" allowOverlap="1" wp14:anchorId="0C5EFA5E" wp14:editId="55ACCC86">
          <wp:simplePos x="0" y="0"/>
          <wp:positionH relativeFrom="page">
            <wp:posOffset>-1270</wp:posOffset>
          </wp:positionH>
          <wp:positionV relativeFrom="page">
            <wp:align>bottom</wp:align>
          </wp:positionV>
          <wp:extent cx="7559999" cy="10691902"/>
          <wp:effectExtent l="0" t="0" r="317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9" cy="10691902"/>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391665" w14:paraId="7FD27A4F" w14:textId="77777777" w:rsidTr="008C56E1">
      <w:trPr>
        <w:trHeight w:hRule="exact" w:val="340"/>
      </w:trPr>
      <w:tc>
        <w:tcPr>
          <w:tcW w:w="7797" w:type="dxa"/>
        </w:tcPr>
        <w:p w14:paraId="4418A082" w14:textId="4E220172" w:rsidR="00391665" w:rsidRPr="008C56E1" w:rsidRDefault="00391665" w:rsidP="008C56E1">
          <w:pPr>
            <w:pStyle w:val="HeaderEven"/>
          </w:pPr>
          <w:r w:rsidRPr="008C56E1">
            <w:rPr>
              <w:noProof/>
              <w:position w:val="-8"/>
            </w:rPr>
            <w:drawing>
              <wp:inline distT="0" distB="0" distL="0" distR="0" wp14:anchorId="48AB15CB" wp14:editId="4642E7BF">
                <wp:extent cx="878400" cy="198000"/>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580913">
              <w:t>Budget Paper No. 1</w:t>
            </w:r>
          </w:fldSimple>
        </w:p>
      </w:tc>
    </w:tr>
  </w:tbl>
  <w:p w14:paraId="331A14FC" w14:textId="20425657" w:rsidR="00B81B17" w:rsidRPr="003A2B54" w:rsidRDefault="00F4572D" w:rsidP="003A2B54">
    <w:pPr>
      <w:pStyle w:val="Header"/>
    </w:pPr>
    <w:r>
      <w:rPr>
        <w:noProof/>
      </w:rPr>
      <w:drawing>
        <wp:anchor distT="0" distB="0" distL="114300" distR="114300" simplePos="0" relativeHeight="251658241" behindDoc="1" locked="1" layoutInCell="1" allowOverlap="1" wp14:anchorId="1F8CC71A" wp14:editId="2BF6FB15">
          <wp:simplePos x="0" y="0"/>
          <wp:positionH relativeFrom="page">
            <wp:posOffset>0</wp:posOffset>
          </wp:positionH>
          <wp:positionV relativeFrom="page">
            <wp:posOffset>0</wp:posOffset>
          </wp:positionV>
          <wp:extent cx="7560000" cy="10692000"/>
          <wp:effectExtent l="0" t="0" r="3175"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3A2B54" w14:paraId="18CD6267" w14:textId="77777777" w:rsidTr="008C56E1">
      <w:trPr>
        <w:trHeight w:hRule="exact" w:val="340"/>
      </w:trPr>
      <w:tc>
        <w:tcPr>
          <w:tcW w:w="7797" w:type="dxa"/>
        </w:tcPr>
        <w:p w14:paraId="16140340" w14:textId="1B21F14B" w:rsidR="003A2B54" w:rsidRPr="00D13BF9" w:rsidRDefault="003D5911" w:rsidP="003A2B54">
          <w:pPr>
            <w:pStyle w:val="HeaderOdd"/>
          </w:pPr>
          <w:fldSimple w:instr=" TITLE   \* MERGEFORMAT ">
            <w:r w:rsidR="00580913">
              <w:t>Budget Paper No. 1</w:t>
            </w:r>
          </w:fldSimple>
          <w:r w:rsidR="003A2B54" w:rsidRPr="00D13BF9">
            <w:t xml:space="preserve">  |  </w:t>
          </w:r>
          <w:r w:rsidR="003A2B54" w:rsidRPr="00C9389A">
            <w:rPr>
              <w:noProof/>
              <w:position w:val="-8"/>
            </w:rPr>
            <w:drawing>
              <wp:inline distT="0" distB="0" distL="0" distR="0" wp14:anchorId="5C7C52ED" wp14:editId="2886460F">
                <wp:extent cx="878400" cy="198000"/>
                <wp:effectExtent l="0" t="0" r="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1A44CD15" w14:textId="77777777" w:rsidR="003A2B54" w:rsidRPr="003A2B54" w:rsidRDefault="003A2B54" w:rsidP="003A2B54">
    <w:pPr>
      <w:pStyle w:val="HeaderOdd"/>
    </w:pPr>
    <w:r>
      <w:rPr>
        <w:noProof/>
      </w:rPr>
      <w:drawing>
        <wp:anchor distT="0" distB="0" distL="114300" distR="114300" simplePos="0" relativeHeight="251658245" behindDoc="1" locked="0" layoutInCell="1" allowOverlap="1" wp14:anchorId="423A7FDF" wp14:editId="16B327E1">
          <wp:simplePos x="0" y="0"/>
          <wp:positionH relativeFrom="page">
            <wp:align>left</wp:align>
          </wp:positionH>
          <wp:positionV relativeFrom="page">
            <wp:align>top</wp:align>
          </wp:positionV>
          <wp:extent cx="7560000" cy="10691902"/>
          <wp:effectExtent l="0" t="0" r="3175"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3C34" w14:textId="65C1BE31" w:rsidR="00B81B17" w:rsidRPr="00415799" w:rsidRDefault="00415799" w:rsidP="003A2B54">
    <w:pPr>
      <w:pStyle w:val="Header"/>
    </w:pPr>
    <w:r>
      <w:rPr>
        <w:noProof/>
      </w:rPr>
      <w:drawing>
        <wp:anchor distT="0" distB="0" distL="114300" distR="114300" simplePos="0" relativeHeight="251658243" behindDoc="1" locked="0" layoutInCell="1" allowOverlap="1" wp14:anchorId="768859FE" wp14:editId="67F163DD">
          <wp:simplePos x="0" y="0"/>
          <wp:positionH relativeFrom="page">
            <wp:align>center</wp:align>
          </wp:positionH>
          <wp:positionV relativeFrom="page">
            <wp:align>center</wp:align>
          </wp:positionV>
          <wp:extent cx="7560000" cy="10691902"/>
          <wp:effectExtent l="0" t="0" r="3175"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904AA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7E15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2322B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88F4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9E9F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5C853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282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409F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FE40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6D7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BC7F2A"/>
    <w:multiLevelType w:val="multilevel"/>
    <w:tmpl w:val="FB9630B8"/>
    <w:name w:val="StandardBulletedList"/>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15:restartNumberingAfterBreak="0">
    <w:nsid w:val="10757CBC"/>
    <w:multiLevelType w:val="singleLevel"/>
    <w:tmpl w:val="F294E2F2"/>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3"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24D24BD5"/>
    <w:multiLevelType w:val="hybridMultilevel"/>
    <w:tmpl w:val="0E06374A"/>
    <w:name w:val="Box Bullet List2"/>
    <w:lvl w:ilvl="0" w:tplc="97AC2A9C">
      <w:start w:val="1"/>
      <w:numFmt w:val="bullet"/>
      <w:pStyle w:val="BoxDash"/>
      <w:lvlText w:val="‒"/>
      <w:lvlJc w:val="left"/>
      <w:pPr>
        <w:ind w:left="643" w:hanging="360"/>
      </w:pPr>
      <w:rPr>
        <w:rFonts w:ascii="Book Antiqua" w:hAnsi="Book Antiqua" w:cs="Book Antiqua" w:hint="default"/>
        <w:b w:val="0"/>
        <w:i w:val="0"/>
        <w:sz w:val="19"/>
        <w:szCs w:val="19"/>
      </w:rPr>
    </w:lvl>
    <w:lvl w:ilvl="1" w:tplc="0C090003" w:tentative="1">
      <w:start w:val="1"/>
      <w:numFmt w:val="bullet"/>
      <w:lvlText w:val="o"/>
      <w:lvlJc w:val="left"/>
      <w:pPr>
        <w:ind w:left="1363" w:hanging="360"/>
      </w:pPr>
      <w:rPr>
        <w:rFonts w:ascii="Yu Mincho Light" w:hAnsi="Yu Mincho Light" w:cs="Yu Mincho Light" w:hint="default"/>
      </w:rPr>
    </w:lvl>
    <w:lvl w:ilvl="2" w:tplc="0C090005" w:tentative="1">
      <w:start w:val="1"/>
      <w:numFmt w:val="bullet"/>
      <w:lvlText w:val=""/>
      <w:lvlJc w:val="left"/>
      <w:pPr>
        <w:ind w:left="2083" w:hanging="360"/>
      </w:pPr>
      <w:rPr>
        <w:rFonts w:ascii="Calibri" w:hAnsi="Calibri" w:hint="default"/>
      </w:rPr>
    </w:lvl>
    <w:lvl w:ilvl="3" w:tplc="0C090001" w:tentative="1">
      <w:start w:val="1"/>
      <w:numFmt w:val="bullet"/>
      <w:lvlText w:val=""/>
      <w:lvlJc w:val="left"/>
      <w:pPr>
        <w:ind w:left="2803" w:hanging="360"/>
      </w:pPr>
      <w:rPr>
        <w:rFonts w:ascii="Courier New" w:hAnsi="Courier New" w:hint="default"/>
      </w:rPr>
    </w:lvl>
    <w:lvl w:ilvl="4" w:tplc="0C090003" w:tentative="1">
      <w:start w:val="1"/>
      <w:numFmt w:val="bullet"/>
      <w:lvlText w:val="o"/>
      <w:lvlJc w:val="left"/>
      <w:pPr>
        <w:ind w:left="3523" w:hanging="360"/>
      </w:pPr>
      <w:rPr>
        <w:rFonts w:ascii="Yu Mincho Light" w:hAnsi="Yu Mincho Light" w:cs="Yu Mincho Light" w:hint="default"/>
      </w:rPr>
    </w:lvl>
    <w:lvl w:ilvl="5" w:tplc="0C090005" w:tentative="1">
      <w:start w:val="1"/>
      <w:numFmt w:val="bullet"/>
      <w:lvlText w:val=""/>
      <w:lvlJc w:val="left"/>
      <w:pPr>
        <w:ind w:left="4243" w:hanging="360"/>
      </w:pPr>
      <w:rPr>
        <w:rFonts w:ascii="Calibri" w:hAnsi="Calibri" w:hint="default"/>
      </w:rPr>
    </w:lvl>
    <w:lvl w:ilvl="6" w:tplc="0C090001" w:tentative="1">
      <w:start w:val="1"/>
      <w:numFmt w:val="bullet"/>
      <w:lvlText w:val=""/>
      <w:lvlJc w:val="left"/>
      <w:pPr>
        <w:ind w:left="4963" w:hanging="360"/>
      </w:pPr>
      <w:rPr>
        <w:rFonts w:ascii="Courier New" w:hAnsi="Courier New" w:hint="default"/>
      </w:rPr>
    </w:lvl>
    <w:lvl w:ilvl="7" w:tplc="0C090003" w:tentative="1">
      <w:start w:val="1"/>
      <w:numFmt w:val="bullet"/>
      <w:lvlText w:val="o"/>
      <w:lvlJc w:val="left"/>
      <w:pPr>
        <w:ind w:left="5683" w:hanging="360"/>
      </w:pPr>
      <w:rPr>
        <w:rFonts w:ascii="Yu Mincho Light" w:hAnsi="Yu Mincho Light" w:cs="Yu Mincho Light" w:hint="default"/>
      </w:rPr>
    </w:lvl>
    <w:lvl w:ilvl="8" w:tplc="0C090005" w:tentative="1">
      <w:start w:val="1"/>
      <w:numFmt w:val="bullet"/>
      <w:lvlText w:val=""/>
      <w:lvlJc w:val="left"/>
      <w:pPr>
        <w:ind w:left="6403" w:hanging="360"/>
      </w:pPr>
      <w:rPr>
        <w:rFonts w:ascii="Calibri" w:hAnsi="Calibri" w:hint="default"/>
      </w:rPr>
    </w:lvl>
  </w:abstractNum>
  <w:abstractNum w:abstractNumId="15"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6" w15:restartNumberingAfterBreak="0">
    <w:nsid w:val="61454E76"/>
    <w:multiLevelType w:val="multilevel"/>
    <w:tmpl w:val="B41C11F0"/>
    <w:name w:val="StandardNumberedList"/>
    <w:lvl w:ilvl="0">
      <w:start w:val="1"/>
      <w:numFmt w:val="decimal"/>
      <w:pStyle w:val="OutlineNumbered1"/>
      <w:lvlText w:val="%1."/>
      <w:lvlJc w:val="left"/>
      <w:pPr>
        <w:tabs>
          <w:tab w:val="num" w:pos="520"/>
        </w:tabs>
        <w:ind w:left="520" w:hanging="520"/>
      </w:pPr>
    </w:lvl>
    <w:lvl w:ilvl="1">
      <w:start w:val="1"/>
      <w:numFmt w:val="decimal"/>
      <w:pStyle w:val="OutlineNumbered2"/>
      <w:lvlText w:val="%1.%2."/>
      <w:lvlJc w:val="left"/>
      <w:pPr>
        <w:tabs>
          <w:tab w:val="num" w:pos="945"/>
        </w:tabs>
        <w:ind w:left="945" w:hanging="425"/>
      </w:pPr>
    </w:lvl>
    <w:lvl w:ilvl="2">
      <w:start w:val="1"/>
      <w:numFmt w:val="decimal"/>
      <w:pStyle w:val="OutlineNumbered3"/>
      <w:lvlText w:val="%1.%2.%3."/>
      <w:lvlJc w:val="left"/>
      <w:pPr>
        <w:tabs>
          <w:tab w:val="num" w:pos="1370"/>
        </w:tabs>
        <w:ind w:left="1370"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1121795">
    <w:abstractNumId w:val="15"/>
  </w:num>
  <w:num w:numId="2" w16cid:durableId="1051804856">
    <w:abstractNumId w:val="12"/>
  </w:num>
  <w:num w:numId="3" w16cid:durableId="130365962">
    <w:abstractNumId w:val="11"/>
  </w:num>
  <w:num w:numId="4" w16cid:durableId="1289164570">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6292827">
    <w:abstractNumId w:val="14"/>
  </w:num>
  <w:num w:numId="6" w16cid:durableId="418213915">
    <w:abstractNumId w:val="16"/>
  </w:num>
  <w:num w:numId="7" w16cid:durableId="90977177">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44959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389064">
    <w:abstractNumId w:val="13"/>
  </w:num>
  <w:num w:numId="10" w16cid:durableId="7842776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1708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026081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42857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83510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52570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5703218">
    <w:abstractNumId w:val="9"/>
  </w:num>
  <w:num w:numId="17" w16cid:durableId="1953129198">
    <w:abstractNumId w:val="7"/>
  </w:num>
  <w:num w:numId="18" w16cid:durableId="385300502">
    <w:abstractNumId w:val="6"/>
  </w:num>
  <w:num w:numId="19" w16cid:durableId="1800804423">
    <w:abstractNumId w:val="5"/>
  </w:num>
  <w:num w:numId="20" w16cid:durableId="263535320">
    <w:abstractNumId w:val="4"/>
  </w:num>
  <w:num w:numId="21" w16cid:durableId="557547108">
    <w:abstractNumId w:val="8"/>
  </w:num>
  <w:num w:numId="22" w16cid:durableId="133640306">
    <w:abstractNumId w:val="3"/>
  </w:num>
  <w:num w:numId="23" w16cid:durableId="874387470">
    <w:abstractNumId w:val="2"/>
  </w:num>
  <w:num w:numId="24" w16cid:durableId="362360879">
    <w:abstractNumId w:val="1"/>
  </w:num>
  <w:num w:numId="25" w16cid:durableId="679284745">
    <w:abstractNumId w:val="0"/>
  </w:num>
  <w:num w:numId="26" w16cid:durableId="18562692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567861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0"/>
  <w:defaultTabStop w:val="720"/>
  <w:evenAndOddHeaders/>
  <w:characterSpacingControl w:val="doNotCompress"/>
  <w:hdrShapeDefaults>
    <o:shapedefaults v:ext="edit" spidmax="206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OIClassificationInHeader" w:val="False"/>
    <w:docVar w:name="SecurityClassificationInHeader" w:val="False"/>
    <w:docVar w:name="SecurityDLMInHeader" w:val="False"/>
  </w:docVars>
  <w:rsids>
    <w:rsidRoot w:val="004802FB"/>
    <w:rsid w:val="000000DE"/>
    <w:rsid w:val="000000EC"/>
    <w:rsid w:val="0000012B"/>
    <w:rsid w:val="0000029F"/>
    <w:rsid w:val="000002B2"/>
    <w:rsid w:val="000002C2"/>
    <w:rsid w:val="0000038D"/>
    <w:rsid w:val="0000040B"/>
    <w:rsid w:val="000004EA"/>
    <w:rsid w:val="000005AA"/>
    <w:rsid w:val="00000641"/>
    <w:rsid w:val="0000066C"/>
    <w:rsid w:val="00000684"/>
    <w:rsid w:val="00000714"/>
    <w:rsid w:val="00000885"/>
    <w:rsid w:val="00000897"/>
    <w:rsid w:val="000008B3"/>
    <w:rsid w:val="0000093B"/>
    <w:rsid w:val="00000971"/>
    <w:rsid w:val="000009B6"/>
    <w:rsid w:val="00000A0F"/>
    <w:rsid w:val="00000A58"/>
    <w:rsid w:val="00000AB8"/>
    <w:rsid w:val="00000AFF"/>
    <w:rsid w:val="00000CA9"/>
    <w:rsid w:val="00000D46"/>
    <w:rsid w:val="00000D52"/>
    <w:rsid w:val="00000D82"/>
    <w:rsid w:val="00000D9B"/>
    <w:rsid w:val="00000E1A"/>
    <w:rsid w:val="00000E72"/>
    <w:rsid w:val="00000EBA"/>
    <w:rsid w:val="00000F76"/>
    <w:rsid w:val="00000FDF"/>
    <w:rsid w:val="00001168"/>
    <w:rsid w:val="00001210"/>
    <w:rsid w:val="00001220"/>
    <w:rsid w:val="00001289"/>
    <w:rsid w:val="00001338"/>
    <w:rsid w:val="00001359"/>
    <w:rsid w:val="00001374"/>
    <w:rsid w:val="000013DE"/>
    <w:rsid w:val="000013E6"/>
    <w:rsid w:val="00001475"/>
    <w:rsid w:val="00001501"/>
    <w:rsid w:val="0000153D"/>
    <w:rsid w:val="0000157F"/>
    <w:rsid w:val="000015B1"/>
    <w:rsid w:val="00001620"/>
    <w:rsid w:val="0000167A"/>
    <w:rsid w:val="00001717"/>
    <w:rsid w:val="00001744"/>
    <w:rsid w:val="0000177C"/>
    <w:rsid w:val="000018B4"/>
    <w:rsid w:val="0000190D"/>
    <w:rsid w:val="00001993"/>
    <w:rsid w:val="00001A4E"/>
    <w:rsid w:val="00001C6B"/>
    <w:rsid w:val="00001CB1"/>
    <w:rsid w:val="00001D7A"/>
    <w:rsid w:val="00001E63"/>
    <w:rsid w:val="00001E75"/>
    <w:rsid w:val="00001E76"/>
    <w:rsid w:val="00001E9C"/>
    <w:rsid w:val="00001F3C"/>
    <w:rsid w:val="00001F7D"/>
    <w:rsid w:val="00001FB6"/>
    <w:rsid w:val="0000205B"/>
    <w:rsid w:val="0000214B"/>
    <w:rsid w:val="00002170"/>
    <w:rsid w:val="00002218"/>
    <w:rsid w:val="00002249"/>
    <w:rsid w:val="0000246D"/>
    <w:rsid w:val="000024C0"/>
    <w:rsid w:val="000024D3"/>
    <w:rsid w:val="00002500"/>
    <w:rsid w:val="00002558"/>
    <w:rsid w:val="000025A2"/>
    <w:rsid w:val="00002632"/>
    <w:rsid w:val="00002643"/>
    <w:rsid w:val="0000271E"/>
    <w:rsid w:val="00002739"/>
    <w:rsid w:val="00002839"/>
    <w:rsid w:val="00002889"/>
    <w:rsid w:val="000029C4"/>
    <w:rsid w:val="00002A14"/>
    <w:rsid w:val="00002A2A"/>
    <w:rsid w:val="00002A2D"/>
    <w:rsid w:val="00002A52"/>
    <w:rsid w:val="00002ACD"/>
    <w:rsid w:val="00002BEE"/>
    <w:rsid w:val="00002BF1"/>
    <w:rsid w:val="00002CB8"/>
    <w:rsid w:val="00002E2A"/>
    <w:rsid w:val="00002F00"/>
    <w:rsid w:val="00002FE2"/>
    <w:rsid w:val="00003036"/>
    <w:rsid w:val="00003038"/>
    <w:rsid w:val="000030FA"/>
    <w:rsid w:val="00003175"/>
    <w:rsid w:val="00003291"/>
    <w:rsid w:val="000032B9"/>
    <w:rsid w:val="000032F4"/>
    <w:rsid w:val="0000333B"/>
    <w:rsid w:val="000033C6"/>
    <w:rsid w:val="00003500"/>
    <w:rsid w:val="00003597"/>
    <w:rsid w:val="00003678"/>
    <w:rsid w:val="00003721"/>
    <w:rsid w:val="0000373C"/>
    <w:rsid w:val="000037AC"/>
    <w:rsid w:val="000037F6"/>
    <w:rsid w:val="00003861"/>
    <w:rsid w:val="000038F8"/>
    <w:rsid w:val="00003A4E"/>
    <w:rsid w:val="00003AEE"/>
    <w:rsid w:val="00003C04"/>
    <w:rsid w:val="00003C0C"/>
    <w:rsid w:val="00003CAA"/>
    <w:rsid w:val="00003D55"/>
    <w:rsid w:val="00003D6F"/>
    <w:rsid w:val="00003D7A"/>
    <w:rsid w:val="00003DE0"/>
    <w:rsid w:val="00003E75"/>
    <w:rsid w:val="0000404A"/>
    <w:rsid w:val="000040C0"/>
    <w:rsid w:val="000041A1"/>
    <w:rsid w:val="000041D8"/>
    <w:rsid w:val="00004263"/>
    <w:rsid w:val="000042ED"/>
    <w:rsid w:val="0000452E"/>
    <w:rsid w:val="00004589"/>
    <w:rsid w:val="000047F4"/>
    <w:rsid w:val="00004859"/>
    <w:rsid w:val="000048E1"/>
    <w:rsid w:val="00004925"/>
    <w:rsid w:val="000049F8"/>
    <w:rsid w:val="00004A62"/>
    <w:rsid w:val="00004A73"/>
    <w:rsid w:val="00004B51"/>
    <w:rsid w:val="00004C26"/>
    <w:rsid w:val="00004D2F"/>
    <w:rsid w:val="00004D4F"/>
    <w:rsid w:val="00004E43"/>
    <w:rsid w:val="00004E58"/>
    <w:rsid w:val="00004E7F"/>
    <w:rsid w:val="00004E82"/>
    <w:rsid w:val="00004EF0"/>
    <w:rsid w:val="00004F4A"/>
    <w:rsid w:val="000050CF"/>
    <w:rsid w:val="000050D6"/>
    <w:rsid w:val="000051EC"/>
    <w:rsid w:val="00005264"/>
    <w:rsid w:val="00005278"/>
    <w:rsid w:val="00005290"/>
    <w:rsid w:val="000052A6"/>
    <w:rsid w:val="0000534C"/>
    <w:rsid w:val="0000542A"/>
    <w:rsid w:val="000054E4"/>
    <w:rsid w:val="0000558E"/>
    <w:rsid w:val="000055C0"/>
    <w:rsid w:val="0000566D"/>
    <w:rsid w:val="00005723"/>
    <w:rsid w:val="000057EB"/>
    <w:rsid w:val="000058B7"/>
    <w:rsid w:val="00005AFD"/>
    <w:rsid w:val="00005BD3"/>
    <w:rsid w:val="00005C96"/>
    <w:rsid w:val="00005D6E"/>
    <w:rsid w:val="00005D8E"/>
    <w:rsid w:val="00005DA0"/>
    <w:rsid w:val="00005DB1"/>
    <w:rsid w:val="00005EF6"/>
    <w:rsid w:val="00005F7D"/>
    <w:rsid w:val="00006014"/>
    <w:rsid w:val="0000604A"/>
    <w:rsid w:val="0000604C"/>
    <w:rsid w:val="00006140"/>
    <w:rsid w:val="00006210"/>
    <w:rsid w:val="00006297"/>
    <w:rsid w:val="000062C3"/>
    <w:rsid w:val="000062DF"/>
    <w:rsid w:val="000063D0"/>
    <w:rsid w:val="000063E1"/>
    <w:rsid w:val="000063E5"/>
    <w:rsid w:val="00006405"/>
    <w:rsid w:val="000064A8"/>
    <w:rsid w:val="000064FA"/>
    <w:rsid w:val="00006540"/>
    <w:rsid w:val="00006658"/>
    <w:rsid w:val="000066CA"/>
    <w:rsid w:val="000066E3"/>
    <w:rsid w:val="00006718"/>
    <w:rsid w:val="00006855"/>
    <w:rsid w:val="000068B9"/>
    <w:rsid w:val="000068E8"/>
    <w:rsid w:val="0000694D"/>
    <w:rsid w:val="00006967"/>
    <w:rsid w:val="000069D8"/>
    <w:rsid w:val="00006A4E"/>
    <w:rsid w:val="00006B81"/>
    <w:rsid w:val="00006C51"/>
    <w:rsid w:val="00006CC0"/>
    <w:rsid w:val="00006D17"/>
    <w:rsid w:val="00006D24"/>
    <w:rsid w:val="00006D4C"/>
    <w:rsid w:val="00006E50"/>
    <w:rsid w:val="00006F88"/>
    <w:rsid w:val="00006FF7"/>
    <w:rsid w:val="00007008"/>
    <w:rsid w:val="00007014"/>
    <w:rsid w:val="0000720D"/>
    <w:rsid w:val="0000736D"/>
    <w:rsid w:val="000074B8"/>
    <w:rsid w:val="0000753F"/>
    <w:rsid w:val="0000756B"/>
    <w:rsid w:val="0000759B"/>
    <w:rsid w:val="000075B8"/>
    <w:rsid w:val="00007643"/>
    <w:rsid w:val="0000765D"/>
    <w:rsid w:val="000076E3"/>
    <w:rsid w:val="000077B1"/>
    <w:rsid w:val="000078F7"/>
    <w:rsid w:val="00007903"/>
    <w:rsid w:val="00007923"/>
    <w:rsid w:val="00007967"/>
    <w:rsid w:val="000079F1"/>
    <w:rsid w:val="00007B66"/>
    <w:rsid w:val="00007BA7"/>
    <w:rsid w:val="00007BBD"/>
    <w:rsid w:val="00007C44"/>
    <w:rsid w:val="00007C93"/>
    <w:rsid w:val="00007CBD"/>
    <w:rsid w:val="00007CED"/>
    <w:rsid w:val="00007DA0"/>
    <w:rsid w:val="00007DD3"/>
    <w:rsid w:val="00007DE0"/>
    <w:rsid w:val="00007E4A"/>
    <w:rsid w:val="00007F09"/>
    <w:rsid w:val="00007F0D"/>
    <w:rsid w:val="00007F25"/>
    <w:rsid w:val="00007F34"/>
    <w:rsid w:val="00007F3D"/>
    <w:rsid w:val="00007F8E"/>
    <w:rsid w:val="00007FBE"/>
    <w:rsid w:val="000100CB"/>
    <w:rsid w:val="0001012C"/>
    <w:rsid w:val="000101D3"/>
    <w:rsid w:val="0001023E"/>
    <w:rsid w:val="0001026E"/>
    <w:rsid w:val="000102EC"/>
    <w:rsid w:val="0001031B"/>
    <w:rsid w:val="00010375"/>
    <w:rsid w:val="0001037E"/>
    <w:rsid w:val="000103B2"/>
    <w:rsid w:val="00010467"/>
    <w:rsid w:val="000104B1"/>
    <w:rsid w:val="000104BF"/>
    <w:rsid w:val="00010520"/>
    <w:rsid w:val="0001057F"/>
    <w:rsid w:val="00010580"/>
    <w:rsid w:val="000105E2"/>
    <w:rsid w:val="000105FE"/>
    <w:rsid w:val="00010688"/>
    <w:rsid w:val="000106AF"/>
    <w:rsid w:val="00010802"/>
    <w:rsid w:val="00010827"/>
    <w:rsid w:val="000108DE"/>
    <w:rsid w:val="00010950"/>
    <w:rsid w:val="000109DB"/>
    <w:rsid w:val="00010A1D"/>
    <w:rsid w:val="00010AB8"/>
    <w:rsid w:val="00010AC4"/>
    <w:rsid w:val="00010AE2"/>
    <w:rsid w:val="00010B39"/>
    <w:rsid w:val="00010BBF"/>
    <w:rsid w:val="00010CD6"/>
    <w:rsid w:val="00010CF0"/>
    <w:rsid w:val="00010D31"/>
    <w:rsid w:val="00010E69"/>
    <w:rsid w:val="00011114"/>
    <w:rsid w:val="00011169"/>
    <w:rsid w:val="000111D8"/>
    <w:rsid w:val="000112AE"/>
    <w:rsid w:val="00011314"/>
    <w:rsid w:val="00011333"/>
    <w:rsid w:val="00011353"/>
    <w:rsid w:val="00011359"/>
    <w:rsid w:val="00011386"/>
    <w:rsid w:val="000114D6"/>
    <w:rsid w:val="0001155C"/>
    <w:rsid w:val="000115E8"/>
    <w:rsid w:val="0001165F"/>
    <w:rsid w:val="00011786"/>
    <w:rsid w:val="000118D8"/>
    <w:rsid w:val="0001194C"/>
    <w:rsid w:val="0001196D"/>
    <w:rsid w:val="000119DA"/>
    <w:rsid w:val="00011A78"/>
    <w:rsid w:val="00011B57"/>
    <w:rsid w:val="00011B8E"/>
    <w:rsid w:val="00011D55"/>
    <w:rsid w:val="00011DBB"/>
    <w:rsid w:val="00011E20"/>
    <w:rsid w:val="00011E25"/>
    <w:rsid w:val="00011F22"/>
    <w:rsid w:val="00011FC8"/>
    <w:rsid w:val="000120A2"/>
    <w:rsid w:val="000120BC"/>
    <w:rsid w:val="00012143"/>
    <w:rsid w:val="000121C1"/>
    <w:rsid w:val="0001229B"/>
    <w:rsid w:val="00012351"/>
    <w:rsid w:val="000123CC"/>
    <w:rsid w:val="00012434"/>
    <w:rsid w:val="00012501"/>
    <w:rsid w:val="0001252E"/>
    <w:rsid w:val="00012591"/>
    <w:rsid w:val="00012594"/>
    <w:rsid w:val="0001259D"/>
    <w:rsid w:val="000126A6"/>
    <w:rsid w:val="000126C4"/>
    <w:rsid w:val="0001287B"/>
    <w:rsid w:val="000128C0"/>
    <w:rsid w:val="000128E2"/>
    <w:rsid w:val="0001290E"/>
    <w:rsid w:val="00012971"/>
    <w:rsid w:val="0001297E"/>
    <w:rsid w:val="00012A83"/>
    <w:rsid w:val="00012ABB"/>
    <w:rsid w:val="00012CCE"/>
    <w:rsid w:val="00012D3A"/>
    <w:rsid w:val="00012E69"/>
    <w:rsid w:val="00012F85"/>
    <w:rsid w:val="0001305D"/>
    <w:rsid w:val="0001310C"/>
    <w:rsid w:val="00013127"/>
    <w:rsid w:val="00013167"/>
    <w:rsid w:val="000131BD"/>
    <w:rsid w:val="000132BC"/>
    <w:rsid w:val="00013341"/>
    <w:rsid w:val="0001336C"/>
    <w:rsid w:val="00013389"/>
    <w:rsid w:val="000133D1"/>
    <w:rsid w:val="000133D9"/>
    <w:rsid w:val="0001342C"/>
    <w:rsid w:val="0001349F"/>
    <w:rsid w:val="000134A9"/>
    <w:rsid w:val="000134D5"/>
    <w:rsid w:val="00013558"/>
    <w:rsid w:val="0001356B"/>
    <w:rsid w:val="000135D2"/>
    <w:rsid w:val="00013629"/>
    <w:rsid w:val="00013718"/>
    <w:rsid w:val="0001372A"/>
    <w:rsid w:val="000137C0"/>
    <w:rsid w:val="000137F2"/>
    <w:rsid w:val="00013811"/>
    <w:rsid w:val="00013890"/>
    <w:rsid w:val="000138E5"/>
    <w:rsid w:val="0001398A"/>
    <w:rsid w:val="000139B5"/>
    <w:rsid w:val="000139D4"/>
    <w:rsid w:val="00013A00"/>
    <w:rsid w:val="00013A07"/>
    <w:rsid w:val="00013B08"/>
    <w:rsid w:val="00013B0A"/>
    <w:rsid w:val="00013C59"/>
    <w:rsid w:val="00013CA2"/>
    <w:rsid w:val="00013CA9"/>
    <w:rsid w:val="00013CCE"/>
    <w:rsid w:val="00013D64"/>
    <w:rsid w:val="00013D8F"/>
    <w:rsid w:val="00013E93"/>
    <w:rsid w:val="00013EA8"/>
    <w:rsid w:val="00013F58"/>
    <w:rsid w:val="00013F73"/>
    <w:rsid w:val="00013F81"/>
    <w:rsid w:val="0001415B"/>
    <w:rsid w:val="000141C7"/>
    <w:rsid w:val="0001432B"/>
    <w:rsid w:val="0001446B"/>
    <w:rsid w:val="000144BC"/>
    <w:rsid w:val="000144DA"/>
    <w:rsid w:val="000144E3"/>
    <w:rsid w:val="0001455E"/>
    <w:rsid w:val="000145D9"/>
    <w:rsid w:val="00014644"/>
    <w:rsid w:val="00014659"/>
    <w:rsid w:val="00014670"/>
    <w:rsid w:val="00014687"/>
    <w:rsid w:val="000146A7"/>
    <w:rsid w:val="000146D1"/>
    <w:rsid w:val="00014701"/>
    <w:rsid w:val="00014702"/>
    <w:rsid w:val="00014753"/>
    <w:rsid w:val="000147D1"/>
    <w:rsid w:val="00014812"/>
    <w:rsid w:val="00014825"/>
    <w:rsid w:val="00014870"/>
    <w:rsid w:val="0001495A"/>
    <w:rsid w:val="00014A44"/>
    <w:rsid w:val="00014A70"/>
    <w:rsid w:val="00014A99"/>
    <w:rsid w:val="00014AB2"/>
    <w:rsid w:val="00014AC8"/>
    <w:rsid w:val="00014B38"/>
    <w:rsid w:val="00014B76"/>
    <w:rsid w:val="00014C88"/>
    <w:rsid w:val="00014C96"/>
    <w:rsid w:val="00014CAC"/>
    <w:rsid w:val="00014CCB"/>
    <w:rsid w:val="00014CDA"/>
    <w:rsid w:val="00014E0B"/>
    <w:rsid w:val="00014E3C"/>
    <w:rsid w:val="00014F43"/>
    <w:rsid w:val="00015027"/>
    <w:rsid w:val="00015073"/>
    <w:rsid w:val="000150D9"/>
    <w:rsid w:val="000150DB"/>
    <w:rsid w:val="00015102"/>
    <w:rsid w:val="0001518C"/>
    <w:rsid w:val="00015259"/>
    <w:rsid w:val="0001528D"/>
    <w:rsid w:val="0001532C"/>
    <w:rsid w:val="0001539A"/>
    <w:rsid w:val="000153EA"/>
    <w:rsid w:val="000154B9"/>
    <w:rsid w:val="00015583"/>
    <w:rsid w:val="000155B1"/>
    <w:rsid w:val="000156A4"/>
    <w:rsid w:val="000156C9"/>
    <w:rsid w:val="00015725"/>
    <w:rsid w:val="00015856"/>
    <w:rsid w:val="00015885"/>
    <w:rsid w:val="0001591A"/>
    <w:rsid w:val="00015929"/>
    <w:rsid w:val="0001593B"/>
    <w:rsid w:val="00015983"/>
    <w:rsid w:val="000159AA"/>
    <w:rsid w:val="000159CB"/>
    <w:rsid w:val="000159D0"/>
    <w:rsid w:val="000159F4"/>
    <w:rsid w:val="00015A40"/>
    <w:rsid w:val="00015B06"/>
    <w:rsid w:val="00015CCB"/>
    <w:rsid w:val="00015D7C"/>
    <w:rsid w:val="00015EB8"/>
    <w:rsid w:val="00015F5A"/>
    <w:rsid w:val="00015F68"/>
    <w:rsid w:val="00015FBA"/>
    <w:rsid w:val="00016044"/>
    <w:rsid w:val="000160AA"/>
    <w:rsid w:val="000160B5"/>
    <w:rsid w:val="000160CB"/>
    <w:rsid w:val="000161E3"/>
    <w:rsid w:val="00016218"/>
    <w:rsid w:val="0001621F"/>
    <w:rsid w:val="00016239"/>
    <w:rsid w:val="00016309"/>
    <w:rsid w:val="000163C0"/>
    <w:rsid w:val="00016411"/>
    <w:rsid w:val="0001647A"/>
    <w:rsid w:val="000164A2"/>
    <w:rsid w:val="000164D0"/>
    <w:rsid w:val="00016527"/>
    <w:rsid w:val="0001660F"/>
    <w:rsid w:val="00016638"/>
    <w:rsid w:val="000166CF"/>
    <w:rsid w:val="00016708"/>
    <w:rsid w:val="00016785"/>
    <w:rsid w:val="00016850"/>
    <w:rsid w:val="000168E2"/>
    <w:rsid w:val="00016A97"/>
    <w:rsid w:val="00016AEB"/>
    <w:rsid w:val="00016BEC"/>
    <w:rsid w:val="00016C5C"/>
    <w:rsid w:val="00016C6B"/>
    <w:rsid w:val="00016CC7"/>
    <w:rsid w:val="00016CF3"/>
    <w:rsid w:val="00016D7D"/>
    <w:rsid w:val="00016E0E"/>
    <w:rsid w:val="00016E4D"/>
    <w:rsid w:val="00016EC1"/>
    <w:rsid w:val="00016EE2"/>
    <w:rsid w:val="00016FE2"/>
    <w:rsid w:val="00017060"/>
    <w:rsid w:val="0001716F"/>
    <w:rsid w:val="0001724E"/>
    <w:rsid w:val="00017257"/>
    <w:rsid w:val="0001727B"/>
    <w:rsid w:val="000172A1"/>
    <w:rsid w:val="00017358"/>
    <w:rsid w:val="00017513"/>
    <w:rsid w:val="0001752D"/>
    <w:rsid w:val="000175A7"/>
    <w:rsid w:val="00017660"/>
    <w:rsid w:val="000177E3"/>
    <w:rsid w:val="00017823"/>
    <w:rsid w:val="0001799C"/>
    <w:rsid w:val="00017B20"/>
    <w:rsid w:val="00017B3D"/>
    <w:rsid w:val="00017CCD"/>
    <w:rsid w:val="00017D59"/>
    <w:rsid w:val="00017E51"/>
    <w:rsid w:val="00017F46"/>
    <w:rsid w:val="00017F6C"/>
    <w:rsid w:val="00017FD2"/>
    <w:rsid w:val="0002001C"/>
    <w:rsid w:val="00020080"/>
    <w:rsid w:val="000200AC"/>
    <w:rsid w:val="000200B0"/>
    <w:rsid w:val="00020149"/>
    <w:rsid w:val="0002014E"/>
    <w:rsid w:val="00020168"/>
    <w:rsid w:val="00020172"/>
    <w:rsid w:val="00020182"/>
    <w:rsid w:val="000201DD"/>
    <w:rsid w:val="0002020F"/>
    <w:rsid w:val="00020359"/>
    <w:rsid w:val="0002038F"/>
    <w:rsid w:val="000205AA"/>
    <w:rsid w:val="000205EF"/>
    <w:rsid w:val="00020702"/>
    <w:rsid w:val="00020798"/>
    <w:rsid w:val="000207BD"/>
    <w:rsid w:val="000207EB"/>
    <w:rsid w:val="00020870"/>
    <w:rsid w:val="0002097F"/>
    <w:rsid w:val="000209B2"/>
    <w:rsid w:val="000209F7"/>
    <w:rsid w:val="00020A10"/>
    <w:rsid w:val="00020A1B"/>
    <w:rsid w:val="00020AC2"/>
    <w:rsid w:val="00020ADD"/>
    <w:rsid w:val="00020B5B"/>
    <w:rsid w:val="00020B69"/>
    <w:rsid w:val="00020C96"/>
    <w:rsid w:val="00020DAD"/>
    <w:rsid w:val="00020DFC"/>
    <w:rsid w:val="00020E88"/>
    <w:rsid w:val="00020E8A"/>
    <w:rsid w:val="00020F33"/>
    <w:rsid w:val="00020F57"/>
    <w:rsid w:val="000210C9"/>
    <w:rsid w:val="0002116B"/>
    <w:rsid w:val="0002118C"/>
    <w:rsid w:val="00021190"/>
    <w:rsid w:val="0002126E"/>
    <w:rsid w:val="00021348"/>
    <w:rsid w:val="000214AE"/>
    <w:rsid w:val="0002150F"/>
    <w:rsid w:val="000215C4"/>
    <w:rsid w:val="000216B8"/>
    <w:rsid w:val="000218AD"/>
    <w:rsid w:val="000218EE"/>
    <w:rsid w:val="000219E8"/>
    <w:rsid w:val="00021A00"/>
    <w:rsid w:val="00021A50"/>
    <w:rsid w:val="00021A98"/>
    <w:rsid w:val="00021A9B"/>
    <w:rsid w:val="00021BDD"/>
    <w:rsid w:val="00021C07"/>
    <w:rsid w:val="00021C4B"/>
    <w:rsid w:val="00021DA2"/>
    <w:rsid w:val="00021DDE"/>
    <w:rsid w:val="00021F84"/>
    <w:rsid w:val="00021FA1"/>
    <w:rsid w:val="00021FA3"/>
    <w:rsid w:val="00021FFD"/>
    <w:rsid w:val="00022050"/>
    <w:rsid w:val="0002212D"/>
    <w:rsid w:val="0002213D"/>
    <w:rsid w:val="000221A2"/>
    <w:rsid w:val="000221ED"/>
    <w:rsid w:val="00022244"/>
    <w:rsid w:val="0002229C"/>
    <w:rsid w:val="0002237F"/>
    <w:rsid w:val="00022389"/>
    <w:rsid w:val="00022393"/>
    <w:rsid w:val="00022394"/>
    <w:rsid w:val="000223AD"/>
    <w:rsid w:val="000223D6"/>
    <w:rsid w:val="0002247E"/>
    <w:rsid w:val="00022575"/>
    <w:rsid w:val="000225EF"/>
    <w:rsid w:val="00022622"/>
    <w:rsid w:val="000226AF"/>
    <w:rsid w:val="000226D9"/>
    <w:rsid w:val="00022742"/>
    <w:rsid w:val="00022785"/>
    <w:rsid w:val="000227BA"/>
    <w:rsid w:val="0002283F"/>
    <w:rsid w:val="00022846"/>
    <w:rsid w:val="0002286A"/>
    <w:rsid w:val="000228EC"/>
    <w:rsid w:val="0002292B"/>
    <w:rsid w:val="0002296A"/>
    <w:rsid w:val="00022985"/>
    <w:rsid w:val="00022A08"/>
    <w:rsid w:val="00022A4B"/>
    <w:rsid w:val="00022A82"/>
    <w:rsid w:val="00022A83"/>
    <w:rsid w:val="00022A8A"/>
    <w:rsid w:val="00022A9D"/>
    <w:rsid w:val="00022BCE"/>
    <w:rsid w:val="00022DB5"/>
    <w:rsid w:val="00022F36"/>
    <w:rsid w:val="00022FC4"/>
    <w:rsid w:val="0002308A"/>
    <w:rsid w:val="000230E0"/>
    <w:rsid w:val="00023161"/>
    <w:rsid w:val="00023193"/>
    <w:rsid w:val="00023211"/>
    <w:rsid w:val="0002324C"/>
    <w:rsid w:val="000232CA"/>
    <w:rsid w:val="0002331E"/>
    <w:rsid w:val="000233DE"/>
    <w:rsid w:val="0002340A"/>
    <w:rsid w:val="000234AE"/>
    <w:rsid w:val="00023571"/>
    <w:rsid w:val="00023669"/>
    <w:rsid w:val="000236A9"/>
    <w:rsid w:val="000236C0"/>
    <w:rsid w:val="000236DD"/>
    <w:rsid w:val="0002377E"/>
    <w:rsid w:val="000237A6"/>
    <w:rsid w:val="000237E6"/>
    <w:rsid w:val="00023822"/>
    <w:rsid w:val="0002387C"/>
    <w:rsid w:val="0002388E"/>
    <w:rsid w:val="000238B4"/>
    <w:rsid w:val="000238CF"/>
    <w:rsid w:val="00023929"/>
    <w:rsid w:val="0002395A"/>
    <w:rsid w:val="0002395F"/>
    <w:rsid w:val="00023972"/>
    <w:rsid w:val="0002397A"/>
    <w:rsid w:val="000239D1"/>
    <w:rsid w:val="000239FE"/>
    <w:rsid w:val="00023A03"/>
    <w:rsid w:val="00023B18"/>
    <w:rsid w:val="00023B57"/>
    <w:rsid w:val="00023BA4"/>
    <w:rsid w:val="00023BAB"/>
    <w:rsid w:val="00023C56"/>
    <w:rsid w:val="00023C5A"/>
    <w:rsid w:val="00023CFF"/>
    <w:rsid w:val="00023D09"/>
    <w:rsid w:val="00023D92"/>
    <w:rsid w:val="00023D9C"/>
    <w:rsid w:val="00023DFF"/>
    <w:rsid w:val="00023E19"/>
    <w:rsid w:val="00023E8A"/>
    <w:rsid w:val="00023E9F"/>
    <w:rsid w:val="00023EFF"/>
    <w:rsid w:val="00023F00"/>
    <w:rsid w:val="00023F5C"/>
    <w:rsid w:val="00023FA2"/>
    <w:rsid w:val="00024019"/>
    <w:rsid w:val="00024093"/>
    <w:rsid w:val="00024095"/>
    <w:rsid w:val="0002411B"/>
    <w:rsid w:val="00024175"/>
    <w:rsid w:val="0002421B"/>
    <w:rsid w:val="0002423F"/>
    <w:rsid w:val="00024557"/>
    <w:rsid w:val="000245DC"/>
    <w:rsid w:val="000245DD"/>
    <w:rsid w:val="00024602"/>
    <w:rsid w:val="00024659"/>
    <w:rsid w:val="000246B2"/>
    <w:rsid w:val="000246DC"/>
    <w:rsid w:val="00024702"/>
    <w:rsid w:val="00024769"/>
    <w:rsid w:val="00024783"/>
    <w:rsid w:val="000247B4"/>
    <w:rsid w:val="000247C3"/>
    <w:rsid w:val="000247DB"/>
    <w:rsid w:val="000247DC"/>
    <w:rsid w:val="00024822"/>
    <w:rsid w:val="00024931"/>
    <w:rsid w:val="0002496E"/>
    <w:rsid w:val="00024B0F"/>
    <w:rsid w:val="00024B46"/>
    <w:rsid w:val="00024B98"/>
    <w:rsid w:val="00024BA4"/>
    <w:rsid w:val="00024BAB"/>
    <w:rsid w:val="00024C23"/>
    <w:rsid w:val="00024C64"/>
    <w:rsid w:val="00024C76"/>
    <w:rsid w:val="00024D03"/>
    <w:rsid w:val="00024E1E"/>
    <w:rsid w:val="00024E85"/>
    <w:rsid w:val="00024EA4"/>
    <w:rsid w:val="00024EF0"/>
    <w:rsid w:val="00024EF5"/>
    <w:rsid w:val="00024F66"/>
    <w:rsid w:val="00024F72"/>
    <w:rsid w:val="00025093"/>
    <w:rsid w:val="00025095"/>
    <w:rsid w:val="000250A2"/>
    <w:rsid w:val="00025137"/>
    <w:rsid w:val="0002516E"/>
    <w:rsid w:val="000251B9"/>
    <w:rsid w:val="000251ED"/>
    <w:rsid w:val="00025204"/>
    <w:rsid w:val="00025228"/>
    <w:rsid w:val="0002524D"/>
    <w:rsid w:val="0002535D"/>
    <w:rsid w:val="0002538F"/>
    <w:rsid w:val="000254F0"/>
    <w:rsid w:val="000255AC"/>
    <w:rsid w:val="000255B4"/>
    <w:rsid w:val="00025639"/>
    <w:rsid w:val="00025731"/>
    <w:rsid w:val="00025794"/>
    <w:rsid w:val="0002584E"/>
    <w:rsid w:val="0002585E"/>
    <w:rsid w:val="0002586B"/>
    <w:rsid w:val="000258B3"/>
    <w:rsid w:val="0002599A"/>
    <w:rsid w:val="00025B05"/>
    <w:rsid w:val="00025C0A"/>
    <w:rsid w:val="00025C9A"/>
    <w:rsid w:val="00025D2B"/>
    <w:rsid w:val="00025DE3"/>
    <w:rsid w:val="00025E1F"/>
    <w:rsid w:val="0002611F"/>
    <w:rsid w:val="00026159"/>
    <w:rsid w:val="000261C3"/>
    <w:rsid w:val="00026229"/>
    <w:rsid w:val="000262C3"/>
    <w:rsid w:val="000263D3"/>
    <w:rsid w:val="000263D9"/>
    <w:rsid w:val="00026452"/>
    <w:rsid w:val="00026458"/>
    <w:rsid w:val="00026499"/>
    <w:rsid w:val="00026551"/>
    <w:rsid w:val="00026619"/>
    <w:rsid w:val="00026643"/>
    <w:rsid w:val="00026644"/>
    <w:rsid w:val="000266E2"/>
    <w:rsid w:val="000266EF"/>
    <w:rsid w:val="000266F1"/>
    <w:rsid w:val="00026876"/>
    <w:rsid w:val="00026888"/>
    <w:rsid w:val="000268A5"/>
    <w:rsid w:val="000268A8"/>
    <w:rsid w:val="0002690F"/>
    <w:rsid w:val="00026923"/>
    <w:rsid w:val="00026992"/>
    <w:rsid w:val="000269CE"/>
    <w:rsid w:val="00026B5D"/>
    <w:rsid w:val="00026B81"/>
    <w:rsid w:val="00026BCC"/>
    <w:rsid w:val="00026BDC"/>
    <w:rsid w:val="00026BDD"/>
    <w:rsid w:val="00026C0D"/>
    <w:rsid w:val="00026C80"/>
    <w:rsid w:val="00026CCD"/>
    <w:rsid w:val="00026CD5"/>
    <w:rsid w:val="00026D4E"/>
    <w:rsid w:val="00026EA2"/>
    <w:rsid w:val="00026EBA"/>
    <w:rsid w:val="00026FFA"/>
    <w:rsid w:val="00027095"/>
    <w:rsid w:val="0002710A"/>
    <w:rsid w:val="00027182"/>
    <w:rsid w:val="00027198"/>
    <w:rsid w:val="000271C3"/>
    <w:rsid w:val="00027395"/>
    <w:rsid w:val="000273A5"/>
    <w:rsid w:val="000273D1"/>
    <w:rsid w:val="000273EF"/>
    <w:rsid w:val="000273FE"/>
    <w:rsid w:val="000274E4"/>
    <w:rsid w:val="000274FE"/>
    <w:rsid w:val="0002751E"/>
    <w:rsid w:val="000275FF"/>
    <w:rsid w:val="00027631"/>
    <w:rsid w:val="0002789D"/>
    <w:rsid w:val="000278AC"/>
    <w:rsid w:val="00027ACF"/>
    <w:rsid w:val="00027CEA"/>
    <w:rsid w:val="00027D45"/>
    <w:rsid w:val="00027D87"/>
    <w:rsid w:val="00027D95"/>
    <w:rsid w:val="00027D9B"/>
    <w:rsid w:val="00027DC2"/>
    <w:rsid w:val="00027E88"/>
    <w:rsid w:val="00027F50"/>
    <w:rsid w:val="00030068"/>
    <w:rsid w:val="00030131"/>
    <w:rsid w:val="00030157"/>
    <w:rsid w:val="000302A1"/>
    <w:rsid w:val="000302EB"/>
    <w:rsid w:val="0003031F"/>
    <w:rsid w:val="000304FA"/>
    <w:rsid w:val="00030531"/>
    <w:rsid w:val="0003057A"/>
    <w:rsid w:val="000305AF"/>
    <w:rsid w:val="00030660"/>
    <w:rsid w:val="0003066A"/>
    <w:rsid w:val="000307CC"/>
    <w:rsid w:val="0003087C"/>
    <w:rsid w:val="000309CC"/>
    <w:rsid w:val="000309CF"/>
    <w:rsid w:val="000309D1"/>
    <w:rsid w:val="00030A0B"/>
    <w:rsid w:val="00030A48"/>
    <w:rsid w:val="00030CF0"/>
    <w:rsid w:val="00030D4B"/>
    <w:rsid w:val="00030DAB"/>
    <w:rsid w:val="00030DE0"/>
    <w:rsid w:val="00030E48"/>
    <w:rsid w:val="00030ECF"/>
    <w:rsid w:val="00030ED8"/>
    <w:rsid w:val="00030EEF"/>
    <w:rsid w:val="00030EF4"/>
    <w:rsid w:val="0003100C"/>
    <w:rsid w:val="0003103C"/>
    <w:rsid w:val="00031090"/>
    <w:rsid w:val="000310A0"/>
    <w:rsid w:val="000310C1"/>
    <w:rsid w:val="00031151"/>
    <w:rsid w:val="0003115B"/>
    <w:rsid w:val="000311EB"/>
    <w:rsid w:val="0003129E"/>
    <w:rsid w:val="000312CB"/>
    <w:rsid w:val="000315A2"/>
    <w:rsid w:val="0003161A"/>
    <w:rsid w:val="00031684"/>
    <w:rsid w:val="00031762"/>
    <w:rsid w:val="00031780"/>
    <w:rsid w:val="0003178A"/>
    <w:rsid w:val="00031825"/>
    <w:rsid w:val="0003182C"/>
    <w:rsid w:val="00031987"/>
    <w:rsid w:val="00031998"/>
    <w:rsid w:val="000319F1"/>
    <w:rsid w:val="00031AF4"/>
    <w:rsid w:val="00031B4C"/>
    <w:rsid w:val="00031B61"/>
    <w:rsid w:val="00031B8C"/>
    <w:rsid w:val="00031C25"/>
    <w:rsid w:val="00031C67"/>
    <w:rsid w:val="00031CEE"/>
    <w:rsid w:val="00031DC4"/>
    <w:rsid w:val="00031EAD"/>
    <w:rsid w:val="00031EB6"/>
    <w:rsid w:val="00031ED3"/>
    <w:rsid w:val="00031F35"/>
    <w:rsid w:val="00031FC8"/>
    <w:rsid w:val="000320B0"/>
    <w:rsid w:val="00032123"/>
    <w:rsid w:val="0003216C"/>
    <w:rsid w:val="0003239C"/>
    <w:rsid w:val="00032410"/>
    <w:rsid w:val="00032551"/>
    <w:rsid w:val="00032646"/>
    <w:rsid w:val="00032689"/>
    <w:rsid w:val="000326DD"/>
    <w:rsid w:val="0003280C"/>
    <w:rsid w:val="0003281D"/>
    <w:rsid w:val="00032996"/>
    <w:rsid w:val="000329E1"/>
    <w:rsid w:val="00032A1F"/>
    <w:rsid w:val="00032A77"/>
    <w:rsid w:val="00032B15"/>
    <w:rsid w:val="00032B27"/>
    <w:rsid w:val="00032C27"/>
    <w:rsid w:val="00032D31"/>
    <w:rsid w:val="00032D6D"/>
    <w:rsid w:val="00032DA2"/>
    <w:rsid w:val="00032DDD"/>
    <w:rsid w:val="00032ED5"/>
    <w:rsid w:val="00032EE4"/>
    <w:rsid w:val="00032EEA"/>
    <w:rsid w:val="00032F0D"/>
    <w:rsid w:val="00033004"/>
    <w:rsid w:val="000330A4"/>
    <w:rsid w:val="00033244"/>
    <w:rsid w:val="00033248"/>
    <w:rsid w:val="00033265"/>
    <w:rsid w:val="00033289"/>
    <w:rsid w:val="000332BC"/>
    <w:rsid w:val="000332F2"/>
    <w:rsid w:val="000332F6"/>
    <w:rsid w:val="00033338"/>
    <w:rsid w:val="0003339C"/>
    <w:rsid w:val="00033405"/>
    <w:rsid w:val="000334A9"/>
    <w:rsid w:val="000335DC"/>
    <w:rsid w:val="000336AE"/>
    <w:rsid w:val="000337C3"/>
    <w:rsid w:val="0003382F"/>
    <w:rsid w:val="0003387A"/>
    <w:rsid w:val="000338AD"/>
    <w:rsid w:val="0003395E"/>
    <w:rsid w:val="0003398C"/>
    <w:rsid w:val="00033A20"/>
    <w:rsid w:val="00033A98"/>
    <w:rsid w:val="00033AA3"/>
    <w:rsid w:val="00033ABC"/>
    <w:rsid w:val="00033AF3"/>
    <w:rsid w:val="00033B09"/>
    <w:rsid w:val="00033B1E"/>
    <w:rsid w:val="00033B3C"/>
    <w:rsid w:val="00033B63"/>
    <w:rsid w:val="00033BF7"/>
    <w:rsid w:val="00033C4E"/>
    <w:rsid w:val="00033D65"/>
    <w:rsid w:val="00033E30"/>
    <w:rsid w:val="00033EA7"/>
    <w:rsid w:val="00033F00"/>
    <w:rsid w:val="00033F41"/>
    <w:rsid w:val="00033F77"/>
    <w:rsid w:val="00034031"/>
    <w:rsid w:val="00034044"/>
    <w:rsid w:val="0003415E"/>
    <w:rsid w:val="0003415F"/>
    <w:rsid w:val="00034166"/>
    <w:rsid w:val="000341B3"/>
    <w:rsid w:val="00034254"/>
    <w:rsid w:val="00034264"/>
    <w:rsid w:val="0003426A"/>
    <w:rsid w:val="0003436A"/>
    <w:rsid w:val="000344B8"/>
    <w:rsid w:val="00034539"/>
    <w:rsid w:val="00034568"/>
    <w:rsid w:val="000345C2"/>
    <w:rsid w:val="000345E9"/>
    <w:rsid w:val="0003464B"/>
    <w:rsid w:val="000346A4"/>
    <w:rsid w:val="000346C8"/>
    <w:rsid w:val="000346EE"/>
    <w:rsid w:val="00034786"/>
    <w:rsid w:val="000347CD"/>
    <w:rsid w:val="000348D5"/>
    <w:rsid w:val="00034930"/>
    <w:rsid w:val="000349DE"/>
    <w:rsid w:val="00034AAE"/>
    <w:rsid w:val="00034AB3"/>
    <w:rsid w:val="00034B52"/>
    <w:rsid w:val="00034CB2"/>
    <w:rsid w:val="00034D5B"/>
    <w:rsid w:val="00034D91"/>
    <w:rsid w:val="00034DA8"/>
    <w:rsid w:val="00034DAB"/>
    <w:rsid w:val="00034E93"/>
    <w:rsid w:val="00034EED"/>
    <w:rsid w:val="00034F2D"/>
    <w:rsid w:val="00034F5E"/>
    <w:rsid w:val="00034F64"/>
    <w:rsid w:val="00034F98"/>
    <w:rsid w:val="00034F9E"/>
    <w:rsid w:val="00035066"/>
    <w:rsid w:val="000350FC"/>
    <w:rsid w:val="00035195"/>
    <w:rsid w:val="000351C0"/>
    <w:rsid w:val="000351E1"/>
    <w:rsid w:val="00035217"/>
    <w:rsid w:val="0003524C"/>
    <w:rsid w:val="000352B0"/>
    <w:rsid w:val="0003532E"/>
    <w:rsid w:val="00035381"/>
    <w:rsid w:val="00035444"/>
    <w:rsid w:val="00035472"/>
    <w:rsid w:val="00035491"/>
    <w:rsid w:val="000354B2"/>
    <w:rsid w:val="000354E4"/>
    <w:rsid w:val="0003558E"/>
    <w:rsid w:val="00035671"/>
    <w:rsid w:val="000356C1"/>
    <w:rsid w:val="000356D0"/>
    <w:rsid w:val="00035776"/>
    <w:rsid w:val="0003581D"/>
    <w:rsid w:val="0003595E"/>
    <w:rsid w:val="0003597E"/>
    <w:rsid w:val="00035987"/>
    <w:rsid w:val="00035996"/>
    <w:rsid w:val="000359CF"/>
    <w:rsid w:val="000359D7"/>
    <w:rsid w:val="00035A7E"/>
    <w:rsid w:val="00035AA8"/>
    <w:rsid w:val="00035AF9"/>
    <w:rsid w:val="00035B24"/>
    <w:rsid w:val="00035B30"/>
    <w:rsid w:val="00035B6C"/>
    <w:rsid w:val="00035BAB"/>
    <w:rsid w:val="00035BAD"/>
    <w:rsid w:val="00035BFF"/>
    <w:rsid w:val="00035C09"/>
    <w:rsid w:val="00035C1F"/>
    <w:rsid w:val="00035CC0"/>
    <w:rsid w:val="00035CC4"/>
    <w:rsid w:val="00035D8D"/>
    <w:rsid w:val="00035DA1"/>
    <w:rsid w:val="00035DB0"/>
    <w:rsid w:val="00035DEB"/>
    <w:rsid w:val="00035E10"/>
    <w:rsid w:val="00035EFD"/>
    <w:rsid w:val="00035EFE"/>
    <w:rsid w:val="00035F53"/>
    <w:rsid w:val="00035F6A"/>
    <w:rsid w:val="00035F96"/>
    <w:rsid w:val="0003600E"/>
    <w:rsid w:val="00036051"/>
    <w:rsid w:val="000360FA"/>
    <w:rsid w:val="00036209"/>
    <w:rsid w:val="00036253"/>
    <w:rsid w:val="000362E1"/>
    <w:rsid w:val="0003635E"/>
    <w:rsid w:val="00036391"/>
    <w:rsid w:val="000365C0"/>
    <w:rsid w:val="00036602"/>
    <w:rsid w:val="00036624"/>
    <w:rsid w:val="0003664C"/>
    <w:rsid w:val="000366B4"/>
    <w:rsid w:val="000366D5"/>
    <w:rsid w:val="000367A2"/>
    <w:rsid w:val="00036807"/>
    <w:rsid w:val="000369D4"/>
    <w:rsid w:val="00036A36"/>
    <w:rsid w:val="00036AB6"/>
    <w:rsid w:val="00036B12"/>
    <w:rsid w:val="00036B41"/>
    <w:rsid w:val="00036B5B"/>
    <w:rsid w:val="00036B6C"/>
    <w:rsid w:val="00036B6E"/>
    <w:rsid w:val="00036BEA"/>
    <w:rsid w:val="00036C01"/>
    <w:rsid w:val="00036C3B"/>
    <w:rsid w:val="00036CAA"/>
    <w:rsid w:val="00036CFB"/>
    <w:rsid w:val="00036DD4"/>
    <w:rsid w:val="00036EA8"/>
    <w:rsid w:val="00036EFB"/>
    <w:rsid w:val="00036F2F"/>
    <w:rsid w:val="00036FC2"/>
    <w:rsid w:val="00036FC4"/>
    <w:rsid w:val="00037013"/>
    <w:rsid w:val="0003701C"/>
    <w:rsid w:val="00037034"/>
    <w:rsid w:val="000370AD"/>
    <w:rsid w:val="000371D6"/>
    <w:rsid w:val="0003724C"/>
    <w:rsid w:val="0003737C"/>
    <w:rsid w:val="000373B4"/>
    <w:rsid w:val="000373D5"/>
    <w:rsid w:val="00037495"/>
    <w:rsid w:val="000375DD"/>
    <w:rsid w:val="00037673"/>
    <w:rsid w:val="000376E4"/>
    <w:rsid w:val="00037780"/>
    <w:rsid w:val="000377A5"/>
    <w:rsid w:val="000377FC"/>
    <w:rsid w:val="0003787C"/>
    <w:rsid w:val="00037912"/>
    <w:rsid w:val="00037914"/>
    <w:rsid w:val="00037964"/>
    <w:rsid w:val="00037A92"/>
    <w:rsid w:val="00037AB4"/>
    <w:rsid w:val="00037AE9"/>
    <w:rsid w:val="00037B13"/>
    <w:rsid w:val="00037B61"/>
    <w:rsid w:val="00037B74"/>
    <w:rsid w:val="00037BE4"/>
    <w:rsid w:val="00037C29"/>
    <w:rsid w:val="00037D31"/>
    <w:rsid w:val="00037D97"/>
    <w:rsid w:val="00037DC2"/>
    <w:rsid w:val="00037E61"/>
    <w:rsid w:val="00037EFE"/>
    <w:rsid w:val="00037F0B"/>
    <w:rsid w:val="00037F5A"/>
    <w:rsid w:val="00037F84"/>
    <w:rsid w:val="00040045"/>
    <w:rsid w:val="00040080"/>
    <w:rsid w:val="00040128"/>
    <w:rsid w:val="0004015A"/>
    <w:rsid w:val="00040160"/>
    <w:rsid w:val="0004022C"/>
    <w:rsid w:val="00040239"/>
    <w:rsid w:val="000402D4"/>
    <w:rsid w:val="00040526"/>
    <w:rsid w:val="00040783"/>
    <w:rsid w:val="000407BF"/>
    <w:rsid w:val="00040808"/>
    <w:rsid w:val="000409A2"/>
    <w:rsid w:val="000409B3"/>
    <w:rsid w:val="000409BB"/>
    <w:rsid w:val="00040A88"/>
    <w:rsid w:val="00040AB6"/>
    <w:rsid w:val="00040AF4"/>
    <w:rsid w:val="00040B33"/>
    <w:rsid w:val="00040B6F"/>
    <w:rsid w:val="00040C53"/>
    <w:rsid w:val="00040CC5"/>
    <w:rsid w:val="00040D30"/>
    <w:rsid w:val="00040D47"/>
    <w:rsid w:val="00040DC0"/>
    <w:rsid w:val="00040DC2"/>
    <w:rsid w:val="00040E51"/>
    <w:rsid w:val="00040E92"/>
    <w:rsid w:val="00040EED"/>
    <w:rsid w:val="00040F11"/>
    <w:rsid w:val="00040F3F"/>
    <w:rsid w:val="00040FE0"/>
    <w:rsid w:val="0004107E"/>
    <w:rsid w:val="0004118E"/>
    <w:rsid w:val="0004120E"/>
    <w:rsid w:val="00041393"/>
    <w:rsid w:val="0004150D"/>
    <w:rsid w:val="0004156D"/>
    <w:rsid w:val="00041678"/>
    <w:rsid w:val="0004169E"/>
    <w:rsid w:val="000416D7"/>
    <w:rsid w:val="000416F4"/>
    <w:rsid w:val="00041719"/>
    <w:rsid w:val="00041793"/>
    <w:rsid w:val="00041878"/>
    <w:rsid w:val="00041940"/>
    <w:rsid w:val="000419D6"/>
    <w:rsid w:val="00041A8A"/>
    <w:rsid w:val="00041AAC"/>
    <w:rsid w:val="00041AC2"/>
    <w:rsid w:val="00041B18"/>
    <w:rsid w:val="00041B48"/>
    <w:rsid w:val="00041B9C"/>
    <w:rsid w:val="00041BB0"/>
    <w:rsid w:val="00041C8E"/>
    <w:rsid w:val="00041DAC"/>
    <w:rsid w:val="00041E81"/>
    <w:rsid w:val="00041E89"/>
    <w:rsid w:val="00041F1D"/>
    <w:rsid w:val="00041FC9"/>
    <w:rsid w:val="0004207B"/>
    <w:rsid w:val="0004210C"/>
    <w:rsid w:val="00042141"/>
    <w:rsid w:val="000423A1"/>
    <w:rsid w:val="0004266B"/>
    <w:rsid w:val="00042708"/>
    <w:rsid w:val="0004281E"/>
    <w:rsid w:val="00042852"/>
    <w:rsid w:val="0004285F"/>
    <w:rsid w:val="000428EA"/>
    <w:rsid w:val="0004290B"/>
    <w:rsid w:val="00042B43"/>
    <w:rsid w:val="00042B5B"/>
    <w:rsid w:val="00042C79"/>
    <w:rsid w:val="00042CD6"/>
    <w:rsid w:val="00042D82"/>
    <w:rsid w:val="00042E9E"/>
    <w:rsid w:val="00042F47"/>
    <w:rsid w:val="00042F77"/>
    <w:rsid w:val="00042F7E"/>
    <w:rsid w:val="00042F86"/>
    <w:rsid w:val="00043102"/>
    <w:rsid w:val="00043128"/>
    <w:rsid w:val="00043129"/>
    <w:rsid w:val="00043138"/>
    <w:rsid w:val="000431BA"/>
    <w:rsid w:val="00043311"/>
    <w:rsid w:val="00043394"/>
    <w:rsid w:val="000433B1"/>
    <w:rsid w:val="000433DB"/>
    <w:rsid w:val="0004347E"/>
    <w:rsid w:val="000434C6"/>
    <w:rsid w:val="0004352E"/>
    <w:rsid w:val="000435CE"/>
    <w:rsid w:val="000435D8"/>
    <w:rsid w:val="000436DA"/>
    <w:rsid w:val="000436E6"/>
    <w:rsid w:val="00043725"/>
    <w:rsid w:val="0004387E"/>
    <w:rsid w:val="0004394F"/>
    <w:rsid w:val="00043A54"/>
    <w:rsid w:val="00043A56"/>
    <w:rsid w:val="00043AD7"/>
    <w:rsid w:val="00043AFD"/>
    <w:rsid w:val="00043BC3"/>
    <w:rsid w:val="00043C3C"/>
    <w:rsid w:val="00043CCE"/>
    <w:rsid w:val="00043D15"/>
    <w:rsid w:val="00043E84"/>
    <w:rsid w:val="00043ED4"/>
    <w:rsid w:val="00043F01"/>
    <w:rsid w:val="00044018"/>
    <w:rsid w:val="000440E7"/>
    <w:rsid w:val="000441E1"/>
    <w:rsid w:val="0004429B"/>
    <w:rsid w:val="000442FB"/>
    <w:rsid w:val="000442FC"/>
    <w:rsid w:val="000443B4"/>
    <w:rsid w:val="0004441D"/>
    <w:rsid w:val="0004444E"/>
    <w:rsid w:val="000444CC"/>
    <w:rsid w:val="0004451E"/>
    <w:rsid w:val="00044584"/>
    <w:rsid w:val="000446EA"/>
    <w:rsid w:val="000446F9"/>
    <w:rsid w:val="000447DE"/>
    <w:rsid w:val="000447FA"/>
    <w:rsid w:val="00044853"/>
    <w:rsid w:val="000448A5"/>
    <w:rsid w:val="0004490A"/>
    <w:rsid w:val="0004490D"/>
    <w:rsid w:val="0004493C"/>
    <w:rsid w:val="00044994"/>
    <w:rsid w:val="00044A17"/>
    <w:rsid w:val="00044A85"/>
    <w:rsid w:val="00044B56"/>
    <w:rsid w:val="00044D53"/>
    <w:rsid w:val="00044E1B"/>
    <w:rsid w:val="00044E3D"/>
    <w:rsid w:val="00044E53"/>
    <w:rsid w:val="00044E9C"/>
    <w:rsid w:val="00044EF3"/>
    <w:rsid w:val="00044F2B"/>
    <w:rsid w:val="00044F6F"/>
    <w:rsid w:val="00044FBE"/>
    <w:rsid w:val="000450AF"/>
    <w:rsid w:val="00045218"/>
    <w:rsid w:val="00045222"/>
    <w:rsid w:val="0004522F"/>
    <w:rsid w:val="0004530A"/>
    <w:rsid w:val="00045322"/>
    <w:rsid w:val="000453AA"/>
    <w:rsid w:val="000455BB"/>
    <w:rsid w:val="000456ED"/>
    <w:rsid w:val="0004571D"/>
    <w:rsid w:val="0004583D"/>
    <w:rsid w:val="0004588F"/>
    <w:rsid w:val="00045A01"/>
    <w:rsid w:val="00045A30"/>
    <w:rsid w:val="00045AA0"/>
    <w:rsid w:val="00045B5B"/>
    <w:rsid w:val="00045C2A"/>
    <w:rsid w:val="00045CEA"/>
    <w:rsid w:val="00045DFA"/>
    <w:rsid w:val="00045EB9"/>
    <w:rsid w:val="00045FCF"/>
    <w:rsid w:val="0004604E"/>
    <w:rsid w:val="0004606C"/>
    <w:rsid w:val="00046239"/>
    <w:rsid w:val="000462EA"/>
    <w:rsid w:val="000465A9"/>
    <w:rsid w:val="00046622"/>
    <w:rsid w:val="0004665C"/>
    <w:rsid w:val="000466E2"/>
    <w:rsid w:val="00046701"/>
    <w:rsid w:val="000467C5"/>
    <w:rsid w:val="000467F2"/>
    <w:rsid w:val="000468D4"/>
    <w:rsid w:val="00046923"/>
    <w:rsid w:val="00046924"/>
    <w:rsid w:val="0004692D"/>
    <w:rsid w:val="000469F0"/>
    <w:rsid w:val="00046A37"/>
    <w:rsid w:val="00046BCB"/>
    <w:rsid w:val="00046BDC"/>
    <w:rsid w:val="00046BEB"/>
    <w:rsid w:val="00046C7E"/>
    <w:rsid w:val="00046F38"/>
    <w:rsid w:val="00046F8A"/>
    <w:rsid w:val="00046F8B"/>
    <w:rsid w:val="00047077"/>
    <w:rsid w:val="00047109"/>
    <w:rsid w:val="00047112"/>
    <w:rsid w:val="00047223"/>
    <w:rsid w:val="00047261"/>
    <w:rsid w:val="000472D8"/>
    <w:rsid w:val="0004732C"/>
    <w:rsid w:val="0004735D"/>
    <w:rsid w:val="000473BB"/>
    <w:rsid w:val="00047569"/>
    <w:rsid w:val="000475B8"/>
    <w:rsid w:val="000475FA"/>
    <w:rsid w:val="00047784"/>
    <w:rsid w:val="000477A1"/>
    <w:rsid w:val="000477AD"/>
    <w:rsid w:val="0004783B"/>
    <w:rsid w:val="00047932"/>
    <w:rsid w:val="00047944"/>
    <w:rsid w:val="00047982"/>
    <w:rsid w:val="000479F0"/>
    <w:rsid w:val="00047A43"/>
    <w:rsid w:val="00047B1D"/>
    <w:rsid w:val="00047B81"/>
    <w:rsid w:val="00047BA1"/>
    <w:rsid w:val="00047BA8"/>
    <w:rsid w:val="00047C63"/>
    <w:rsid w:val="00047CD6"/>
    <w:rsid w:val="00047D44"/>
    <w:rsid w:val="00047E2A"/>
    <w:rsid w:val="00047E52"/>
    <w:rsid w:val="00047E7E"/>
    <w:rsid w:val="00047EBE"/>
    <w:rsid w:val="00047EF0"/>
    <w:rsid w:val="00047F3E"/>
    <w:rsid w:val="00047F44"/>
    <w:rsid w:val="00047F97"/>
    <w:rsid w:val="00047FFC"/>
    <w:rsid w:val="000500EF"/>
    <w:rsid w:val="00050114"/>
    <w:rsid w:val="000501C8"/>
    <w:rsid w:val="0005025A"/>
    <w:rsid w:val="00050268"/>
    <w:rsid w:val="000503A9"/>
    <w:rsid w:val="000503DA"/>
    <w:rsid w:val="0005045A"/>
    <w:rsid w:val="000504A5"/>
    <w:rsid w:val="000504BB"/>
    <w:rsid w:val="000504EF"/>
    <w:rsid w:val="00050568"/>
    <w:rsid w:val="0005067A"/>
    <w:rsid w:val="00050717"/>
    <w:rsid w:val="00050756"/>
    <w:rsid w:val="000508F5"/>
    <w:rsid w:val="000509CD"/>
    <w:rsid w:val="00050A20"/>
    <w:rsid w:val="00050A2F"/>
    <w:rsid w:val="00050A5B"/>
    <w:rsid w:val="00050A8D"/>
    <w:rsid w:val="00050A99"/>
    <w:rsid w:val="00050ABB"/>
    <w:rsid w:val="00050AD2"/>
    <w:rsid w:val="00050AF7"/>
    <w:rsid w:val="00050B44"/>
    <w:rsid w:val="00050B45"/>
    <w:rsid w:val="00050BBF"/>
    <w:rsid w:val="00050D3C"/>
    <w:rsid w:val="00050D48"/>
    <w:rsid w:val="00050DAA"/>
    <w:rsid w:val="00050DC0"/>
    <w:rsid w:val="00050E19"/>
    <w:rsid w:val="00050E2A"/>
    <w:rsid w:val="00050E32"/>
    <w:rsid w:val="00050E8D"/>
    <w:rsid w:val="00050EDD"/>
    <w:rsid w:val="00050F03"/>
    <w:rsid w:val="00050F78"/>
    <w:rsid w:val="00050F91"/>
    <w:rsid w:val="00050F96"/>
    <w:rsid w:val="00051027"/>
    <w:rsid w:val="00051118"/>
    <w:rsid w:val="00051378"/>
    <w:rsid w:val="00051410"/>
    <w:rsid w:val="00051429"/>
    <w:rsid w:val="00051445"/>
    <w:rsid w:val="000514AC"/>
    <w:rsid w:val="000517F1"/>
    <w:rsid w:val="00051804"/>
    <w:rsid w:val="00051937"/>
    <w:rsid w:val="00051988"/>
    <w:rsid w:val="000519D4"/>
    <w:rsid w:val="000519F2"/>
    <w:rsid w:val="00051A17"/>
    <w:rsid w:val="00051A3A"/>
    <w:rsid w:val="00051A66"/>
    <w:rsid w:val="00051A7D"/>
    <w:rsid w:val="00051B04"/>
    <w:rsid w:val="00051B6E"/>
    <w:rsid w:val="00051BAC"/>
    <w:rsid w:val="00051DF9"/>
    <w:rsid w:val="00051E04"/>
    <w:rsid w:val="00051E40"/>
    <w:rsid w:val="00051E91"/>
    <w:rsid w:val="00051F8F"/>
    <w:rsid w:val="00051FCA"/>
    <w:rsid w:val="0005200C"/>
    <w:rsid w:val="00052082"/>
    <w:rsid w:val="00052085"/>
    <w:rsid w:val="0005213F"/>
    <w:rsid w:val="00052155"/>
    <w:rsid w:val="00052163"/>
    <w:rsid w:val="00052190"/>
    <w:rsid w:val="00052213"/>
    <w:rsid w:val="00052284"/>
    <w:rsid w:val="00052290"/>
    <w:rsid w:val="00052332"/>
    <w:rsid w:val="0005237B"/>
    <w:rsid w:val="000524F9"/>
    <w:rsid w:val="00052569"/>
    <w:rsid w:val="000525B6"/>
    <w:rsid w:val="000525CB"/>
    <w:rsid w:val="000525DC"/>
    <w:rsid w:val="000526B2"/>
    <w:rsid w:val="0005274B"/>
    <w:rsid w:val="00052761"/>
    <w:rsid w:val="000527EE"/>
    <w:rsid w:val="00052832"/>
    <w:rsid w:val="00052901"/>
    <w:rsid w:val="00052910"/>
    <w:rsid w:val="000529A3"/>
    <w:rsid w:val="000529DE"/>
    <w:rsid w:val="00052A85"/>
    <w:rsid w:val="00052B30"/>
    <w:rsid w:val="00052B5B"/>
    <w:rsid w:val="00052B65"/>
    <w:rsid w:val="00052C97"/>
    <w:rsid w:val="00052CA5"/>
    <w:rsid w:val="00052E19"/>
    <w:rsid w:val="00052E3F"/>
    <w:rsid w:val="00052E45"/>
    <w:rsid w:val="00052F22"/>
    <w:rsid w:val="00052F25"/>
    <w:rsid w:val="00052FAE"/>
    <w:rsid w:val="000530EF"/>
    <w:rsid w:val="00053116"/>
    <w:rsid w:val="000531B2"/>
    <w:rsid w:val="00053254"/>
    <w:rsid w:val="000532FD"/>
    <w:rsid w:val="00053337"/>
    <w:rsid w:val="0005340F"/>
    <w:rsid w:val="0005349F"/>
    <w:rsid w:val="00053540"/>
    <w:rsid w:val="00053565"/>
    <w:rsid w:val="00053576"/>
    <w:rsid w:val="00053583"/>
    <w:rsid w:val="000535E8"/>
    <w:rsid w:val="00053694"/>
    <w:rsid w:val="00053784"/>
    <w:rsid w:val="0005382D"/>
    <w:rsid w:val="00053852"/>
    <w:rsid w:val="0005392F"/>
    <w:rsid w:val="00053B59"/>
    <w:rsid w:val="00053B6A"/>
    <w:rsid w:val="00053C16"/>
    <w:rsid w:val="00053C58"/>
    <w:rsid w:val="00053C96"/>
    <w:rsid w:val="00053EB7"/>
    <w:rsid w:val="00053ED5"/>
    <w:rsid w:val="00053F51"/>
    <w:rsid w:val="00053FC0"/>
    <w:rsid w:val="00053FDC"/>
    <w:rsid w:val="00054019"/>
    <w:rsid w:val="00054025"/>
    <w:rsid w:val="0005403E"/>
    <w:rsid w:val="0005405D"/>
    <w:rsid w:val="0005408B"/>
    <w:rsid w:val="000540A4"/>
    <w:rsid w:val="000540D7"/>
    <w:rsid w:val="000541FB"/>
    <w:rsid w:val="0005432F"/>
    <w:rsid w:val="00054348"/>
    <w:rsid w:val="00054351"/>
    <w:rsid w:val="00054365"/>
    <w:rsid w:val="00054376"/>
    <w:rsid w:val="000543DC"/>
    <w:rsid w:val="0005447C"/>
    <w:rsid w:val="000544D9"/>
    <w:rsid w:val="00054526"/>
    <w:rsid w:val="0005453C"/>
    <w:rsid w:val="0005464C"/>
    <w:rsid w:val="000546EB"/>
    <w:rsid w:val="00054768"/>
    <w:rsid w:val="0005479E"/>
    <w:rsid w:val="0005483F"/>
    <w:rsid w:val="00054960"/>
    <w:rsid w:val="0005498E"/>
    <w:rsid w:val="000549A2"/>
    <w:rsid w:val="000549EB"/>
    <w:rsid w:val="00054A16"/>
    <w:rsid w:val="00054B31"/>
    <w:rsid w:val="00054B83"/>
    <w:rsid w:val="00054C1E"/>
    <w:rsid w:val="00054C7E"/>
    <w:rsid w:val="00054EA9"/>
    <w:rsid w:val="00054EB6"/>
    <w:rsid w:val="00054F0E"/>
    <w:rsid w:val="00055043"/>
    <w:rsid w:val="000550D0"/>
    <w:rsid w:val="000550D3"/>
    <w:rsid w:val="000550DB"/>
    <w:rsid w:val="000551A1"/>
    <w:rsid w:val="00055326"/>
    <w:rsid w:val="00055332"/>
    <w:rsid w:val="00055383"/>
    <w:rsid w:val="00055414"/>
    <w:rsid w:val="000554A7"/>
    <w:rsid w:val="0005550E"/>
    <w:rsid w:val="0005554B"/>
    <w:rsid w:val="00055584"/>
    <w:rsid w:val="00055625"/>
    <w:rsid w:val="00055671"/>
    <w:rsid w:val="000556A4"/>
    <w:rsid w:val="00055712"/>
    <w:rsid w:val="00055794"/>
    <w:rsid w:val="00055834"/>
    <w:rsid w:val="000558A2"/>
    <w:rsid w:val="000559A0"/>
    <w:rsid w:val="00055ABB"/>
    <w:rsid w:val="00055B36"/>
    <w:rsid w:val="00055B41"/>
    <w:rsid w:val="00055B4D"/>
    <w:rsid w:val="00055C7A"/>
    <w:rsid w:val="00055CDC"/>
    <w:rsid w:val="00055CDF"/>
    <w:rsid w:val="00055D2B"/>
    <w:rsid w:val="00055D61"/>
    <w:rsid w:val="00055D76"/>
    <w:rsid w:val="00055E2C"/>
    <w:rsid w:val="00055E8D"/>
    <w:rsid w:val="00055EFF"/>
    <w:rsid w:val="00055F52"/>
    <w:rsid w:val="00055F8A"/>
    <w:rsid w:val="00055FD6"/>
    <w:rsid w:val="00055FF7"/>
    <w:rsid w:val="000560E2"/>
    <w:rsid w:val="00056197"/>
    <w:rsid w:val="000561E7"/>
    <w:rsid w:val="000562E2"/>
    <w:rsid w:val="00056313"/>
    <w:rsid w:val="00056407"/>
    <w:rsid w:val="0005656F"/>
    <w:rsid w:val="000565C2"/>
    <w:rsid w:val="00056648"/>
    <w:rsid w:val="0005672A"/>
    <w:rsid w:val="0005672F"/>
    <w:rsid w:val="00056848"/>
    <w:rsid w:val="0005691F"/>
    <w:rsid w:val="00056945"/>
    <w:rsid w:val="0005695E"/>
    <w:rsid w:val="0005699E"/>
    <w:rsid w:val="000569EC"/>
    <w:rsid w:val="00056A54"/>
    <w:rsid w:val="00056A5E"/>
    <w:rsid w:val="00056AE6"/>
    <w:rsid w:val="00056AFE"/>
    <w:rsid w:val="00056BD6"/>
    <w:rsid w:val="00056CDB"/>
    <w:rsid w:val="00056D1D"/>
    <w:rsid w:val="00056D8F"/>
    <w:rsid w:val="00056DB8"/>
    <w:rsid w:val="00056E08"/>
    <w:rsid w:val="00056E68"/>
    <w:rsid w:val="00056EA1"/>
    <w:rsid w:val="00056F78"/>
    <w:rsid w:val="000570A8"/>
    <w:rsid w:val="000570FD"/>
    <w:rsid w:val="0005713A"/>
    <w:rsid w:val="0005716B"/>
    <w:rsid w:val="00057172"/>
    <w:rsid w:val="000571B8"/>
    <w:rsid w:val="0005723A"/>
    <w:rsid w:val="00057370"/>
    <w:rsid w:val="000575B6"/>
    <w:rsid w:val="000575CC"/>
    <w:rsid w:val="000575DA"/>
    <w:rsid w:val="00057617"/>
    <w:rsid w:val="00057776"/>
    <w:rsid w:val="000579AF"/>
    <w:rsid w:val="00057A61"/>
    <w:rsid w:val="00057AAA"/>
    <w:rsid w:val="00057ABD"/>
    <w:rsid w:val="00057AF7"/>
    <w:rsid w:val="00057B48"/>
    <w:rsid w:val="00057BDD"/>
    <w:rsid w:val="00057C46"/>
    <w:rsid w:val="00057C6B"/>
    <w:rsid w:val="00057C74"/>
    <w:rsid w:val="00057CC5"/>
    <w:rsid w:val="00057ED5"/>
    <w:rsid w:val="00057F12"/>
    <w:rsid w:val="00057FB0"/>
    <w:rsid w:val="00057FC1"/>
    <w:rsid w:val="0006000B"/>
    <w:rsid w:val="000600FF"/>
    <w:rsid w:val="0006024B"/>
    <w:rsid w:val="0006028D"/>
    <w:rsid w:val="000602D2"/>
    <w:rsid w:val="000602EC"/>
    <w:rsid w:val="00060419"/>
    <w:rsid w:val="000604A2"/>
    <w:rsid w:val="000604A7"/>
    <w:rsid w:val="000604BC"/>
    <w:rsid w:val="000604C5"/>
    <w:rsid w:val="0006053B"/>
    <w:rsid w:val="00060573"/>
    <w:rsid w:val="00060644"/>
    <w:rsid w:val="000607D5"/>
    <w:rsid w:val="000607F8"/>
    <w:rsid w:val="0006089C"/>
    <w:rsid w:val="00060955"/>
    <w:rsid w:val="00060A08"/>
    <w:rsid w:val="00060A55"/>
    <w:rsid w:val="00060AAA"/>
    <w:rsid w:val="00060AC0"/>
    <w:rsid w:val="00060AF6"/>
    <w:rsid w:val="00060B62"/>
    <w:rsid w:val="00060BE8"/>
    <w:rsid w:val="00060C73"/>
    <w:rsid w:val="00060E0E"/>
    <w:rsid w:val="00060E73"/>
    <w:rsid w:val="00060EFF"/>
    <w:rsid w:val="00060F3F"/>
    <w:rsid w:val="00061044"/>
    <w:rsid w:val="00061147"/>
    <w:rsid w:val="0006117F"/>
    <w:rsid w:val="00061180"/>
    <w:rsid w:val="00061210"/>
    <w:rsid w:val="0006123D"/>
    <w:rsid w:val="000612A8"/>
    <w:rsid w:val="000612DC"/>
    <w:rsid w:val="0006149D"/>
    <w:rsid w:val="000614B1"/>
    <w:rsid w:val="00061500"/>
    <w:rsid w:val="00061569"/>
    <w:rsid w:val="000615E3"/>
    <w:rsid w:val="0006160E"/>
    <w:rsid w:val="00061661"/>
    <w:rsid w:val="000616A0"/>
    <w:rsid w:val="000616D7"/>
    <w:rsid w:val="000617BA"/>
    <w:rsid w:val="0006181A"/>
    <w:rsid w:val="0006188D"/>
    <w:rsid w:val="000618DE"/>
    <w:rsid w:val="00061978"/>
    <w:rsid w:val="00061999"/>
    <w:rsid w:val="00061AC5"/>
    <w:rsid w:val="00061AEC"/>
    <w:rsid w:val="00061B57"/>
    <w:rsid w:val="00061BE9"/>
    <w:rsid w:val="00061E07"/>
    <w:rsid w:val="00061E57"/>
    <w:rsid w:val="00062064"/>
    <w:rsid w:val="00062078"/>
    <w:rsid w:val="000620D1"/>
    <w:rsid w:val="0006218A"/>
    <w:rsid w:val="00062225"/>
    <w:rsid w:val="0006227D"/>
    <w:rsid w:val="000622DA"/>
    <w:rsid w:val="00062317"/>
    <w:rsid w:val="0006239D"/>
    <w:rsid w:val="000623FA"/>
    <w:rsid w:val="000624B1"/>
    <w:rsid w:val="00062519"/>
    <w:rsid w:val="0006253A"/>
    <w:rsid w:val="00062695"/>
    <w:rsid w:val="000626B3"/>
    <w:rsid w:val="000626D0"/>
    <w:rsid w:val="00062711"/>
    <w:rsid w:val="00062728"/>
    <w:rsid w:val="00062785"/>
    <w:rsid w:val="0006285F"/>
    <w:rsid w:val="00062889"/>
    <w:rsid w:val="00062919"/>
    <w:rsid w:val="00062943"/>
    <w:rsid w:val="0006295D"/>
    <w:rsid w:val="0006298F"/>
    <w:rsid w:val="000629F2"/>
    <w:rsid w:val="000629FE"/>
    <w:rsid w:val="00062A14"/>
    <w:rsid w:val="00062A1E"/>
    <w:rsid w:val="00062A44"/>
    <w:rsid w:val="00062A4C"/>
    <w:rsid w:val="00062A4D"/>
    <w:rsid w:val="00062AFF"/>
    <w:rsid w:val="00062B3D"/>
    <w:rsid w:val="00062B3F"/>
    <w:rsid w:val="00062BAA"/>
    <w:rsid w:val="00062C1F"/>
    <w:rsid w:val="00062D10"/>
    <w:rsid w:val="00062D11"/>
    <w:rsid w:val="00062D8A"/>
    <w:rsid w:val="00062DCE"/>
    <w:rsid w:val="00062DDC"/>
    <w:rsid w:val="00062E51"/>
    <w:rsid w:val="00062F2D"/>
    <w:rsid w:val="00062F77"/>
    <w:rsid w:val="00062F7F"/>
    <w:rsid w:val="00062F99"/>
    <w:rsid w:val="00062FDA"/>
    <w:rsid w:val="00063159"/>
    <w:rsid w:val="000631EC"/>
    <w:rsid w:val="000632E3"/>
    <w:rsid w:val="00063334"/>
    <w:rsid w:val="00063359"/>
    <w:rsid w:val="000634BE"/>
    <w:rsid w:val="00063504"/>
    <w:rsid w:val="00063546"/>
    <w:rsid w:val="0006354D"/>
    <w:rsid w:val="000635BE"/>
    <w:rsid w:val="000635CA"/>
    <w:rsid w:val="00063615"/>
    <w:rsid w:val="0006363C"/>
    <w:rsid w:val="00063640"/>
    <w:rsid w:val="00063658"/>
    <w:rsid w:val="000636F1"/>
    <w:rsid w:val="000636FC"/>
    <w:rsid w:val="0006376C"/>
    <w:rsid w:val="00063777"/>
    <w:rsid w:val="00063865"/>
    <w:rsid w:val="000638BE"/>
    <w:rsid w:val="00063919"/>
    <w:rsid w:val="00063920"/>
    <w:rsid w:val="0006398B"/>
    <w:rsid w:val="000639D5"/>
    <w:rsid w:val="000639F6"/>
    <w:rsid w:val="00063A0C"/>
    <w:rsid w:val="00063A0D"/>
    <w:rsid w:val="00063A15"/>
    <w:rsid w:val="00063A61"/>
    <w:rsid w:val="00063AD6"/>
    <w:rsid w:val="00063AFE"/>
    <w:rsid w:val="00063B2D"/>
    <w:rsid w:val="00063B35"/>
    <w:rsid w:val="00063C5D"/>
    <w:rsid w:val="00063D43"/>
    <w:rsid w:val="00063D4D"/>
    <w:rsid w:val="00063DAD"/>
    <w:rsid w:val="00063F60"/>
    <w:rsid w:val="000641B7"/>
    <w:rsid w:val="00064295"/>
    <w:rsid w:val="00064305"/>
    <w:rsid w:val="0006433E"/>
    <w:rsid w:val="0006442D"/>
    <w:rsid w:val="00064461"/>
    <w:rsid w:val="0006449E"/>
    <w:rsid w:val="00064501"/>
    <w:rsid w:val="0006459B"/>
    <w:rsid w:val="0006469B"/>
    <w:rsid w:val="000646A9"/>
    <w:rsid w:val="000646EC"/>
    <w:rsid w:val="0006475D"/>
    <w:rsid w:val="0006480A"/>
    <w:rsid w:val="0006483A"/>
    <w:rsid w:val="0006485E"/>
    <w:rsid w:val="000648B2"/>
    <w:rsid w:val="000648D4"/>
    <w:rsid w:val="000649EF"/>
    <w:rsid w:val="00064A3C"/>
    <w:rsid w:val="00064AB3"/>
    <w:rsid w:val="00064BF0"/>
    <w:rsid w:val="00064C41"/>
    <w:rsid w:val="00064C4E"/>
    <w:rsid w:val="00064C75"/>
    <w:rsid w:val="00064D16"/>
    <w:rsid w:val="00064E2F"/>
    <w:rsid w:val="00064E48"/>
    <w:rsid w:val="00064E6A"/>
    <w:rsid w:val="00064FB6"/>
    <w:rsid w:val="00065029"/>
    <w:rsid w:val="00065063"/>
    <w:rsid w:val="00065294"/>
    <w:rsid w:val="00065401"/>
    <w:rsid w:val="00065475"/>
    <w:rsid w:val="00065597"/>
    <w:rsid w:val="000655E1"/>
    <w:rsid w:val="000656CD"/>
    <w:rsid w:val="000656E9"/>
    <w:rsid w:val="000656FE"/>
    <w:rsid w:val="0006570D"/>
    <w:rsid w:val="000657B9"/>
    <w:rsid w:val="0006580C"/>
    <w:rsid w:val="0006581C"/>
    <w:rsid w:val="00065911"/>
    <w:rsid w:val="00065B61"/>
    <w:rsid w:val="00065E13"/>
    <w:rsid w:val="00065E86"/>
    <w:rsid w:val="00065F45"/>
    <w:rsid w:val="00065FE9"/>
    <w:rsid w:val="00065FEF"/>
    <w:rsid w:val="00066056"/>
    <w:rsid w:val="000660D4"/>
    <w:rsid w:val="000661BB"/>
    <w:rsid w:val="000661ED"/>
    <w:rsid w:val="000661F7"/>
    <w:rsid w:val="00066256"/>
    <w:rsid w:val="0006628C"/>
    <w:rsid w:val="000662C5"/>
    <w:rsid w:val="0006631E"/>
    <w:rsid w:val="00066597"/>
    <w:rsid w:val="0006664D"/>
    <w:rsid w:val="00066681"/>
    <w:rsid w:val="000666A0"/>
    <w:rsid w:val="000666FE"/>
    <w:rsid w:val="00066704"/>
    <w:rsid w:val="00066949"/>
    <w:rsid w:val="00066962"/>
    <w:rsid w:val="0006699F"/>
    <w:rsid w:val="00066A35"/>
    <w:rsid w:val="00066ACA"/>
    <w:rsid w:val="00066BA1"/>
    <w:rsid w:val="00066C1F"/>
    <w:rsid w:val="00066C2A"/>
    <w:rsid w:val="00066C87"/>
    <w:rsid w:val="00066DF0"/>
    <w:rsid w:val="00066E92"/>
    <w:rsid w:val="00066F93"/>
    <w:rsid w:val="0006706C"/>
    <w:rsid w:val="0006707E"/>
    <w:rsid w:val="00067119"/>
    <w:rsid w:val="00067184"/>
    <w:rsid w:val="000671AB"/>
    <w:rsid w:val="000671C5"/>
    <w:rsid w:val="00067324"/>
    <w:rsid w:val="0006732B"/>
    <w:rsid w:val="00067402"/>
    <w:rsid w:val="00067412"/>
    <w:rsid w:val="00067576"/>
    <w:rsid w:val="0006760B"/>
    <w:rsid w:val="0006763D"/>
    <w:rsid w:val="00067642"/>
    <w:rsid w:val="000676A3"/>
    <w:rsid w:val="00067817"/>
    <w:rsid w:val="00067888"/>
    <w:rsid w:val="000678EF"/>
    <w:rsid w:val="0006793F"/>
    <w:rsid w:val="000679C6"/>
    <w:rsid w:val="00067A02"/>
    <w:rsid w:val="00067A15"/>
    <w:rsid w:val="00067A57"/>
    <w:rsid w:val="00067AE0"/>
    <w:rsid w:val="00067B38"/>
    <w:rsid w:val="00067BB1"/>
    <w:rsid w:val="00067C13"/>
    <w:rsid w:val="00067C1A"/>
    <w:rsid w:val="00067C64"/>
    <w:rsid w:val="00067CBA"/>
    <w:rsid w:val="00067D8A"/>
    <w:rsid w:val="00067E2B"/>
    <w:rsid w:val="00067E43"/>
    <w:rsid w:val="00067E74"/>
    <w:rsid w:val="00067F7F"/>
    <w:rsid w:val="00067F92"/>
    <w:rsid w:val="0007004A"/>
    <w:rsid w:val="00070188"/>
    <w:rsid w:val="000702B5"/>
    <w:rsid w:val="000702D5"/>
    <w:rsid w:val="000702E9"/>
    <w:rsid w:val="00070334"/>
    <w:rsid w:val="00070443"/>
    <w:rsid w:val="000704AE"/>
    <w:rsid w:val="000704D8"/>
    <w:rsid w:val="0007057D"/>
    <w:rsid w:val="0007061F"/>
    <w:rsid w:val="0007063E"/>
    <w:rsid w:val="00070704"/>
    <w:rsid w:val="00070710"/>
    <w:rsid w:val="0007072D"/>
    <w:rsid w:val="00070768"/>
    <w:rsid w:val="0007076A"/>
    <w:rsid w:val="000707A8"/>
    <w:rsid w:val="00070844"/>
    <w:rsid w:val="00070AD0"/>
    <w:rsid w:val="00070B2D"/>
    <w:rsid w:val="00070B6C"/>
    <w:rsid w:val="00070B9D"/>
    <w:rsid w:val="00070B9F"/>
    <w:rsid w:val="00070BF4"/>
    <w:rsid w:val="00070C08"/>
    <w:rsid w:val="00070DB7"/>
    <w:rsid w:val="00070EA8"/>
    <w:rsid w:val="00070EE3"/>
    <w:rsid w:val="00070F5A"/>
    <w:rsid w:val="00070F70"/>
    <w:rsid w:val="00070FFB"/>
    <w:rsid w:val="000710DC"/>
    <w:rsid w:val="0007111E"/>
    <w:rsid w:val="0007119B"/>
    <w:rsid w:val="000711FC"/>
    <w:rsid w:val="00071203"/>
    <w:rsid w:val="00071211"/>
    <w:rsid w:val="000712AF"/>
    <w:rsid w:val="000712C3"/>
    <w:rsid w:val="0007134A"/>
    <w:rsid w:val="0007136C"/>
    <w:rsid w:val="000713A4"/>
    <w:rsid w:val="000714C7"/>
    <w:rsid w:val="000715BB"/>
    <w:rsid w:val="0007161B"/>
    <w:rsid w:val="000716B6"/>
    <w:rsid w:val="00071745"/>
    <w:rsid w:val="00071748"/>
    <w:rsid w:val="00071753"/>
    <w:rsid w:val="000717E6"/>
    <w:rsid w:val="0007187D"/>
    <w:rsid w:val="00071949"/>
    <w:rsid w:val="00071962"/>
    <w:rsid w:val="0007197C"/>
    <w:rsid w:val="000719DD"/>
    <w:rsid w:val="000719E9"/>
    <w:rsid w:val="00071A33"/>
    <w:rsid w:val="00071A73"/>
    <w:rsid w:val="00071AF9"/>
    <w:rsid w:val="00071B19"/>
    <w:rsid w:val="00071B4C"/>
    <w:rsid w:val="00071B52"/>
    <w:rsid w:val="00071B73"/>
    <w:rsid w:val="00071B7E"/>
    <w:rsid w:val="00071BE7"/>
    <w:rsid w:val="00071CC1"/>
    <w:rsid w:val="00071D1C"/>
    <w:rsid w:val="00071E15"/>
    <w:rsid w:val="00071E1C"/>
    <w:rsid w:val="00071E5A"/>
    <w:rsid w:val="00071E62"/>
    <w:rsid w:val="00071ED6"/>
    <w:rsid w:val="00071EE2"/>
    <w:rsid w:val="00071EF1"/>
    <w:rsid w:val="00071F13"/>
    <w:rsid w:val="00071FAE"/>
    <w:rsid w:val="00071FE7"/>
    <w:rsid w:val="00071FEB"/>
    <w:rsid w:val="00071FFD"/>
    <w:rsid w:val="000720A8"/>
    <w:rsid w:val="0007213C"/>
    <w:rsid w:val="00072269"/>
    <w:rsid w:val="000722C7"/>
    <w:rsid w:val="000722F4"/>
    <w:rsid w:val="00072326"/>
    <w:rsid w:val="00072427"/>
    <w:rsid w:val="000724D1"/>
    <w:rsid w:val="00072646"/>
    <w:rsid w:val="000726C1"/>
    <w:rsid w:val="00072729"/>
    <w:rsid w:val="000727CA"/>
    <w:rsid w:val="000727CB"/>
    <w:rsid w:val="0007280C"/>
    <w:rsid w:val="0007281F"/>
    <w:rsid w:val="000728D7"/>
    <w:rsid w:val="00072903"/>
    <w:rsid w:val="0007299F"/>
    <w:rsid w:val="000729CE"/>
    <w:rsid w:val="00072A58"/>
    <w:rsid w:val="00072AC9"/>
    <w:rsid w:val="00072B0C"/>
    <w:rsid w:val="00072B21"/>
    <w:rsid w:val="00072C1B"/>
    <w:rsid w:val="00072C2C"/>
    <w:rsid w:val="00072C49"/>
    <w:rsid w:val="00072CC4"/>
    <w:rsid w:val="00072EC4"/>
    <w:rsid w:val="00072ED8"/>
    <w:rsid w:val="00072EDC"/>
    <w:rsid w:val="00072EF9"/>
    <w:rsid w:val="00072F62"/>
    <w:rsid w:val="00072F8E"/>
    <w:rsid w:val="00072FB1"/>
    <w:rsid w:val="00073038"/>
    <w:rsid w:val="00073076"/>
    <w:rsid w:val="0007311B"/>
    <w:rsid w:val="000733A3"/>
    <w:rsid w:val="000733BA"/>
    <w:rsid w:val="0007341A"/>
    <w:rsid w:val="0007349C"/>
    <w:rsid w:val="000736AC"/>
    <w:rsid w:val="00073751"/>
    <w:rsid w:val="000737C5"/>
    <w:rsid w:val="00073806"/>
    <w:rsid w:val="000739A1"/>
    <w:rsid w:val="000739A3"/>
    <w:rsid w:val="000739A8"/>
    <w:rsid w:val="00073B1F"/>
    <w:rsid w:val="00073B9F"/>
    <w:rsid w:val="00073BC0"/>
    <w:rsid w:val="00073C1B"/>
    <w:rsid w:val="00073CEE"/>
    <w:rsid w:val="00073DE9"/>
    <w:rsid w:val="00073E63"/>
    <w:rsid w:val="00073E87"/>
    <w:rsid w:val="00073E96"/>
    <w:rsid w:val="00073EA1"/>
    <w:rsid w:val="00073F89"/>
    <w:rsid w:val="0007400A"/>
    <w:rsid w:val="00074035"/>
    <w:rsid w:val="0007409C"/>
    <w:rsid w:val="00074132"/>
    <w:rsid w:val="00074145"/>
    <w:rsid w:val="0007417A"/>
    <w:rsid w:val="000741CE"/>
    <w:rsid w:val="000741D4"/>
    <w:rsid w:val="000741E9"/>
    <w:rsid w:val="0007425A"/>
    <w:rsid w:val="000742D4"/>
    <w:rsid w:val="00074318"/>
    <w:rsid w:val="0007448F"/>
    <w:rsid w:val="000744B1"/>
    <w:rsid w:val="000744C4"/>
    <w:rsid w:val="000744D9"/>
    <w:rsid w:val="00074528"/>
    <w:rsid w:val="0007453D"/>
    <w:rsid w:val="0007468B"/>
    <w:rsid w:val="000746AF"/>
    <w:rsid w:val="0007477C"/>
    <w:rsid w:val="00074832"/>
    <w:rsid w:val="0007484E"/>
    <w:rsid w:val="0007488B"/>
    <w:rsid w:val="000748B3"/>
    <w:rsid w:val="00074970"/>
    <w:rsid w:val="000749A3"/>
    <w:rsid w:val="000749CE"/>
    <w:rsid w:val="00074A41"/>
    <w:rsid w:val="00074A4A"/>
    <w:rsid w:val="00074B83"/>
    <w:rsid w:val="00074BC4"/>
    <w:rsid w:val="00074BEB"/>
    <w:rsid w:val="00074C2E"/>
    <w:rsid w:val="00074C42"/>
    <w:rsid w:val="00074C62"/>
    <w:rsid w:val="00074CD2"/>
    <w:rsid w:val="00074D0D"/>
    <w:rsid w:val="00074D70"/>
    <w:rsid w:val="00074DF0"/>
    <w:rsid w:val="00074E61"/>
    <w:rsid w:val="00074E97"/>
    <w:rsid w:val="00074EFF"/>
    <w:rsid w:val="00074F30"/>
    <w:rsid w:val="00074FF7"/>
    <w:rsid w:val="0007503D"/>
    <w:rsid w:val="0007503E"/>
    <w:rsid w:val="000750BE"/>
    <w:rsid w:val="00075152"/>
    <w:rsid w:val="000752AD"/>
    <w:rsid w:val="000754B4"/>
    <w:rsid w:val="000754FE"/>
    <w:rsid w:val="00075601"/>
    <w:rsid w:val="000758AE"/>
    <w:rsid w:val="0007592A"/>
    <w:rsid w:val="00075970"/>
    <w:rsid w:val="000759B0"/>
    <w:rsid w:val="000759D2"/>
    <w:rsid w:val="000759EF"/>
    <w:rsid w:val="00075A12"/>
    <w:rsid w:val="00075A5A"/>
    <w:rsid w:val="00075B76"/>
    <w:rsid w:val="00075D33"/>
    <w:rsid w:val="00075D95"/>
    <w:rsid w:val="00075DD8"/>
    <w:rsid w:val="00075ED9"/>
    <w:rsid w:val="00075F60"/>
    <w:rsid w:val="00075F62"/>
    <w:rsid w:val="00075FDD"/>
    <w:rsid w:val="0007600C"/>
    <w:rsid w:val="00076052"/>
    <w:rsid w:val="000760BB"/>
    <w:rsid w:val="00076202"/>
    <w:rsid w:val="00076208"/>
    <w:rsid w:val="00076228"/>
    <w:rsid w:val="00076230"/>
    <w:rsid w:val="00076320"/>
    <w:rsid w:val="0007632B"/>
    <w:rsid w:val="00076382"/>
    <w:rsid w:val="000763AA"/>
    <w:rsid w:val="000764F2"/>
    <w:rsid w:val="0007651F"/>
    <w:rsid w:val="000765B9"/>
    <w:rsid w:val="00076781"/>
    <w:rsid w:val="000767DF"/>
    <w:rsid w:val="00076955"/>
    <w:rsid w:val="00076964"/>
    <w:rsid w:val="0007697C"/>
    <w:rsid w:val="0007698B"/>
    <w:rsid w:val="000769D6"/>
    <w:rsid w:val="00076ACA"/>
    <w:rsid w:val="00076B86"/>
    <w:rsid w:val="00076C24"/>
    <w:rsid w:val="00076C42"/>
    <w:rsid w:val="00076C86"/>
    <w:rsid w:val="00076C8D"/>
    <w:rsid w:val="00076C98"/>
    <w:rsid w:val="00076CD0"/>
    <w:rsid w:val="00076CE5"/>
    <w:rsid w:val="00076CE9"/>
    <w:rsid w:val="00076CF4"/>
    <w:rsid w:val="00076E06"/>
    <w:rsid w:val="00076E0E"/>
    <w:rsid w:val="00076F4E"/>
    <w:rsid w:val="00076FAC"/>
    <w:rsid w:val="00077055"/>
    <w:rsid w:val="00077126"/>
    <w:rsid w:val="00077145"/>
    <w:rsid w:val="000772FE"/>
    <w:rsid w:val="00077351"/>
    <w:rsid w:val="0007735C"/>
    <w:rsid w:val="0007735E"/>
    <w:rsid w:val="000773E6"/>
    <w:rsid w:val="00077536"/>
    <w:rsid w:val="0007753B"/>
    <w:rsid w:val="000775C9"/>
    <w:rsid w:val="00077618"/>
    <w:rsid w:val="00077672"/>
    <w:rsid w:val="000776D1"/>
    <w:rsid w:val="000776F6"/>
    <w:rsid w:val="000779B3"/>
    <w:rsid w:val="00077ADA"/>
    <w:rsid w:val="00077AE7"/>
    <w:rsid w:val="00077B53"/>
    <w:rsid w:val="00077C3A"/>
    <w:rsid w:val="00077CD5"/>
    <w:rsid w:val="00077CDD"/>
    <w:rsid w:val="00077D8B"/>
    <w:rsid w:val="00077DE9"/>
    <w:rsid w:val="00077DF1"/>
    <w:rsid w:val="00077E0E"/>
    <w:rsid w:val="00077EA0"/>
    <w:rsid w:val="00077F1A"/>
    <w:rsid w:val="00077F6E"/>
    <w:rsid w:val="0008014A"/>
    <w:rsid w:val="0008017A"/>
    <w:rsid w:val="000801A0"/>
    <w:rsid w:val="000803A4"/>
    <w:rsid w:val="0008044D"/>
    <w:rsid w:val="0008048E"/>
    <w:rsid w:val="0008067C"/>
    <w:rsid w:val="000806E1"/>
    <w:rsid w:val="00080744"/>
    <w:rsid w:val="0008076A"/>
    <w:rsid w:val="000807C9"/>
    <w:rsid w:val="000807F1"/>
    <w:rsid w:val="00080819"/>
    <w:rsid w:val="0008083C"/>
    <w:rsid w:val="0008093B"/>
    <w:rsid w:val="000809F2"/>
    <w:rsid w:val="00080A07"/>
    <w:rsid w:val="00080AC8"/>
    <w:rsid w:val="00080B90"/>
    <w:rsid w:val="00080BAA"/>
    <w:rsid w:val="00080CBE"/>
    <w:rsid w:val="00080CE2"/>
    <w:rsid w:val="00080D6D"/>
    <w:rsid w:val="00080EB5"/>
    <w:rsid w:val="00080ECE"/>
    <w:rsid w:val="00080EE3"/>
    <w:rsid w:val="00080EE9"/>
    <w:rsid w:val="00081025"/>
    <w:rsid w:val="000810CD"/>
    <w:rsid w:val="00081115"/>
    <w:rsid w:val="00081120"/>
    <w:rsid w:val="00081122"/>
    <w:rsid w:val="0008120A"/>
    <w:rsid w:val="0008123E"/>
    <w:rsid w:val="000813CD"/>
    <w:rsid w:val="000813E0"/>
    <w:rsid w:val="000813EE"/>
    <w:rsid w:val="00081422"/>
    <w:rsid w:val="000815C9"/>
    <w:rsid w:val="000815D0"/>
    <w:rsid w:val="000815EE"/>
    <w:rsid w:val="00081617"/>
    <w:rsid w:val="0008165F"/>
    <w:rsid w:val="000816C7"/>
    <w:rsid w:val="000816F7"/>
    <w:rsid w:val="00081701"/>
    <w:rsid w:val="00081753"/>
    <w:rsid w:val="000817DD"/>
    <w:rsid w:val="0008189D"/>
    <w:rsid w:val="0008192F"/>
    <w:rsid w:val="0008196D"/>
    <w:rsid w:val="0008197D"/>
    <w:rsid w:val="000819A1"/>
    <w:rsid w:val="00081A21"/>
    <w:rsid w:val="00081A67"/>
    <w:rsid w:val="00081A9D"/>
    <w:rsid w:val="00081CB9"/>
    <w:rsid w:val="00081D0D"/>
    <w:rsid w:val="00081D2D"/>
    <w:rsid w:val="00081D6C"/>
    <w:rsid w:val="00081DD8"/>
    <w:rsid w:val="00081DF0"/>
    <w:rsid w:val="00081ECC"/>
    <w:rsid w:val="00081F4A"/>
    <w:rsid w:val="00081F5E"/>
    <w:rsid w:val="00081FFB"/>
    <w:rsid w:val="0008209F"/>
    <w:rsid w:val="00082245"/>
    <w:rsid w:val="00082308"/>
    <w:rsid w:val="00082420"/>
    <w:rsid w:val="0008249E"/>
    <w:rsid w:val="000824F6"/>
    <w:rsid w:val="0008254B"/>
    <w:rsid w:val="0008258E"/>
    <w:rsid w:val="00082599"/>
    <w:rsid w:val="0008265B"/>
    <w:rsid w:val="000826D1"/>
    <w:rsid w:val="000826DB"/>
    <w:rsid w:val="00082735"/>
    <w:rsid w:val="0008274A"/>
    <w:rsid w:val="000827BF"/>
    <w:rsid w:val="000827CB"/>
    <w:rsid w:val="00082846"/>
    <w:rsid w:val="00082856"/>
    <w:rsid w:val="000828CF"/>
    <w:rsid w:val="0008298A"/>
    <w:rsid w:val="00082AE0"/>
    <w:rsid w:val="00082BA5"/>
    <w:rsid w:val="00082BD9"/>
    <w:rsid w:val="00082C22"/>
    <w:rsid w:val="00082C98"/>
    <w:rsid w:val="00082CC5"/>
    <w:rsid w:val="00082D37"/>
    <w:rsid w:val="00082D4C"/>
    <w:rsid w:val="00082D64"/>
    <w:rsid w:val="00082DBE"/>
    <w:rsid w:val="00082DC6"/>
    <w:rsid w:val="00082DD9"/>
    <w:rsid w:val="00082E24"/>
    <w:rsid w:val="00082E58"/>
    <w:rsid w:val="00082E80"/>
    <w:rsid w:val="00082E85"/>
    <w:rsid w:val="00082EAF"/>
    <w:rsid w:val="00082FAD"/>
    <w:rsid w:val="000830F2"/>
    <w:rsid w:val="0008311B"/>
    <w:rsid w:val="000831A2"/>
    <w:rsid w:val="00083230"/>
    <w:rsid w:val="0008326E"/>
    <w:rsid w:val="00083283"/>
    <w:rsid w:val="000832E3"/>
    <w:rsid w:val="000832EB"/>
    <w:rsid w:val="000832EC"/>
    <w:rsid w:val="00083359"/>
    <w:rsid w:val="000833C2"/>
    <w:rsid w:val="0008351D"/>
    <w:rsid w:val="00083564"/>
    <w:rsid w:val="00083659"/>
    <w:rsid w:val="00083685"/>
    <w:rsid w:val="000836B3"/>
    <w:rsid w:val="0008373D"/>
    <w:rsid w:val="00083753"/>
    <w:rsid w:val="000837C7"/>
    <w:rsid w:val="000837F8"/>
    <w:rsid w:val="00083815"/>
    <w:rsid w:val="0008382E"/>
    <w:rsid w:val="00083831"/>
    <w:rsid w:val="00083862"/>
    <w:rsid w:val="0008399A"/>
    <w:rsid w:val="00083A32"/>
    <w:rsid w:val="00083AFC"/>
    <w:rsid w:val="00083B45"/>
    <w:rsid w:val="00083B4C"/>
    <w:rsid w:val="00083C00"/>
    <w:rsid w:val="00083CA5"/>
    <w:rsid w:val="00083CBE"/>
    <w:rsid w:val="00083D3D"/>
    <w:rsid w:val="00083D9A"/>
    <w:rsid w:val="00083EF9"/>
    <w:rsid w:val="00083F0A"/>
    <w:rsid w:val="00083F63"/>
    <w:rsid w:val="00083F78"/>
    <w:rsid w:val="0008407E"/>
    <w:rsid w:val="000840F1"/>
    <w:rsid w:val="00084159"/>
    <w:rsid w:val="0008429C"/>
    <w:rsid w:val="000842A0"/>
    <w:rsid w:val="000842C9"/>
    <w:rsid w:val="0008433D"/>
    <w:rsid w:val="000843A9"/>
    <w:rsid w:val="0008446A"/>
    <w:rsid w:val="0008446D"/>
    <w:rsid w:val="00084471"/>
    <w:rsid w:val="0008447F"/>
    <w:rsid w:val="0008454A"/>
    <w:rsid w:val="000845AD"/>
    <w:rsid w:val="0008461A"/>
    <w:rsid w:val="00084641"/>
    <w:rsid w:val="00084780"/>
    <w:rsid w:val="000847E8"/>
    <w:rsid w:val="000847F9"/>
    <w:rsid w:val="00084872"/>
    <w:rsid w:val="000848CC"/>
    <w:rsid w:val="000848FB"/>
    <w:rsid w:val="00084958"/>
    <w:rsid w:val="00084984"/>
    <w:rsid w:val="00084A33"/>
    <w:rsid w:val="00084B53"/>
    <w:rsid w:val="00084BD4"/>
    <w:rsid w:val="00084D93"/>
    <w:rsid w:val="00084E4A"/>
    <w:rsid w:val="00084EFA"/>
    <w:rsid w:val="00084F02"/>
    <w:rsid w:val="00084F69"/>
    <w:rsid w:val="00084F91"/>
    <w:rsid w:val="00084FE7"/>
    <w:rsid w:val="00084FFD"/>
    <w:rsid w:val="00085013"/>
    <w:rsid w:val="0008509E"/>
    <w:rsid w:val="000851F6"/>
    <w:rsid w:val="00085205"/>
    <w:rsid w:val="00085228"/>
    <w:rsid w:val="000852AA"/>
    <w:rsid w:val="0008538C"/>
    <w:rsid w:val="00085473"/>
    <w:rsid w:val="00085488"/>
    <w:rsid w:val="00085497"/>
    <w:rsid w:val="00085551"/>
    <w:rsid w:val="00085622"/>
    <w:rsid w:val="0008563E"/>
    <w:rsid w:val="00085652"/>
    <w:rsid w:val="00085736"/>
    <w:rsid w:val="00085748"/>
    <w:rsid w:val="0008574B"/>
    <w:rsid w:val="0008592A"/>
    <w:rsid w:val="00085955"/>
    <w:rsid w:val="00085978"/>
    <w:rsid w:val="0008597F"/>
    <w:rsid w:val="0008598A"/>
    <w:rsid w:val="000859C8"/>
    <w:rsid w:val="00085CEA"/>
    <w:rsid w:val="00085D03"/>
    <w:rsid w:val="00085D40"/>
    <w:rsid w:val="00085DA3"/>
    <w:rsid w:val="00085DFC"/>
    <w:rsid w:val="00085E16"/>
    <w:rsid w:val="00085F02"/>
    <w:rsid w:val="00085F7E"/>
    <w:rsid w:val="00086065"/>
    <w:rsid w:val="000860D9"/>
    <w:rsid w:val="00086132"/>
    <w:rsid w:val="00086146"/>
    <w:rsid w:val="0008614D"/>
    <w:rsid w:val="00086166"/>
    <w:rsid w:val="00086263"/>
    <w:rsid w:val="000862A2"/>
    <w:rsid w:val="0008636D"/>
    <w:rsid w:val="00086395"/>
    <w:rsid w:val="00086470"/>
    <w:rsid w:val="00086706"/>
    <w:rsid w:val="0008670D"/>
    <w:rsid w:val="000867A2"/>
    <w:rsid w:val="00086807"/>
    <w:rsid w:val="0008691F"/>
    <w:rsid w:val="000869A9"/>
    <w:rsid w:val="00086AB5"/>
    <w:rsid w:val="00086AE3"/>
    <w:rsid w:val="00086B07"/>
    <w:rsid w:val="00086B0A"/>
    <w:rsid w:val="00086B96"/>
    <w:rsid w:val="00086BA4"/>
    <w:rsid w:val="00086BF0"/>
    <w:rsid w:val="00086C36"/>
    <w:rsid w:val="00086CA7"/>
    <w:rsid w:val="00086CF9"/>
    <w:rsid w:val="00086D6A"/>
    <w:rsid w:val="00086D72"/>
    <w:rsid w:val="00086D7E"/>
    <w:rsid w:val="00086DB8"/>
    <w:rsid w:val="00086DE8"/>
    <w:rsid w:val="00086DFB"/>
    <w:rsid w:val="00086E3F"/>
    <w:rsid w:val="00086E47"/>
    <w:rsid w:val="00086EA7"/>
    <w:rsid w:val="000870AA"/>
    <w:rsid w:val="000870ED"/>
    <w:rsid w:val="00087159"/>
    <w:rsid w:val="000871BB"/>
    <w:rsid w:val="00087313"/>
    <w:rsid w:val="00087393"/>
    <w:rsid w:val="000873AA"/>
    <w:rsid w:val="00087422"/>
    <w:rsid w:val="0008744A"/>
    <w:rsid w:val="00087454"/>
    <w:rsid w:val="000874B8"/>
    <w:rsid w:val="000875FE"/>
    <w:rsid w:val="000876DC"/>
    <w:rsid w:val="00087709"/>
    <w:rsid w:val="00087724"/>
    <w:rsid w:val="00087840"/>
    <w:rsid w:val="00087871"/>
    <w:rsid w:val="000878EB"/>
    <w:rsid w:val="000879B3"/>
    <w:rsid w:val="000879EB"/>
    <w:rsid w:val="00087A0A"/>
    <w:rsid w:val="00087A10"/>
    <w:rsid w:val="00087A30"/>
    <w:rsid w:val="00087A77"/>
    <w:rsid w:val="00087B08"/>
    <w:rsid w:val="00087C82"/>
    <w:rsid w:val="00087CA9"/>
    <w:rsid w:val="00087CD1"/>
    <w:rsid w:val="00087D39"/>
    <w:rsid w:val="00087D50"/>
    <w:rsid w:val="00087D65"/>
    <w:rsid w:val="00087D6A"/>
    <w:rsid w:val="00087D6F"/>
    <w:rsid w:val="00087DD6"/>
    <w:rsid w:val="00087E07"/>
    <w:rsid w:val="00087E7C"/>
    <w:rsid w:val="00087F67"/>
    <w:rsid w:val="00087F83"/>
    <w:rsid w:val="00090054"/>
    <w:rsid w:val="00090097"/>
    <w:rsid w:val="000900C0"/>
    <w:rsid w:val="000900C6"/>
    <w:rsid w:val="000900FC"/>
    <w:rsid w:val="000902CC"/>
    <w:rsid w:val="000902E8"/>
    <w:rsid w:val="000903A7"/>
    <w:rsid w:val="00090438"/>
    <w:rsid w:val="00090455"/>
    <w:rsid w:val="000904D9"/>
    <w:rsid w:val="000904FB"/>
    <w:rsid w:val="0009071A"/>
    <w:rsid w:val="000907AF"/>
    <w:rsid w:val="0009080A"/>
    <w:rsid w:val="000908F4"/>
    <w:rsid w:val="00090961"/>
    <w:rsid w:val="00090999"/>
    <w:rsid w:val="000909F3"/>
    <w:rsid w:val="00090A7F"/>
    <w:rsid w:val="00090AE9"/>
    <w:rsid w:val="00090AEC"/>
    <w:rsid w:val="00090B48"/>
    <w:rsid w:val="00090D04"/>
    <w:rsid w:val="00090DC0"/>
    <w:rsid w:val="00090DCA"/>
    <w:rsid w:val="00090DF8"/>
    <w:rsid w:val="00090E39"/>
    <w:rsid w:val="00090EB5"/>
    <w:rsid w:val="00090EFD"/>
    <w:rsid w:val="00090F66"/>
    <w:rsid w:val="00090F85"/>
    <w:rsid w:val="00090FF6"/>
    <w:rsid w:val="00091026"/>
    <w:rsid w:val="00091094"/>
    <w:rsid w:val="000911B5"/>
    <w:rsid w:val="00091212"/>
    <w:rsid w:val="00091247"/>
    <w:rsid w:val="00091267"/>
    <w:rsid w:val="00091281"/>
    <w:rsid w:val="000912B0"/>
    <w:rsid w:val="000912D9"/>
    <w:rsid w:val="0009138F"/>
    <w:rsid w:val="00091422"/>
    <w:rsid w:val="00091491"/>
    <w:rsid w:val="000914F2"/>
    <w:rsid w:val="00091548"/>
    <w:rsid w:val="00091557"/>
    <w:rsid w:val="00091569"/>
    <w:rsid w:val="00091629"/>
    <w:rsid w:val="00091735"/>
    <w:rsid w:val="0009175D"/>
    <w:rsid w:val="0009178C"/>
    <w:rsid w:val="00091835"/>
    <w:rsid w:val="00091844"/>
    <w:rsid w:val="000918DF"/>
    <w:rsid w:val="000918E0"/>
    <w:rsid w:val="000918E2"/>
    <w:rsid w:val="00091910"/>
    <w:rsid w:val="00091993"/>
    <w:rsid w:val="000919D3"/>
    <w:rsid w:val="00091A4F"/>
    <w:rsid w:val="00091B51"/>
    <w:rsid w:val="00091BE5"/>
    <w:rsid w:val="00091D81"/>
    <w:rsid w:val="00091E61"/>
    <w:rsid w:val="00091E74"/>
    <w:rsid w:val="00091F84"/>
    <w:rsid w:val="000920F7"/>
    <w:rsid w:val="00092125"/>
    <w:rsid w:val="00092207"/>
    <w:rsid w:val="000922E3"/>
    <w:rsid w:val="000922F7"/>
    <w:rsid w:val="000923A6"/>
    <w:rsid w:val="00092474"/>
    <w:rsid w:val="0009247C"/>
    <w:rsid w:val="00092508"/>
    <w:rsid w:val="0009255C"/>
    <w:rsid w:val="00092565"/>
    <w:rsid w:val="0009262B"/>
    <w:rsid w:val="0009263E"/>
    <w:rsid w:val="00092653"/>
    <w:rsid w:val="0009269F"/>
    <w:rsid w:val="00092742"/>
    <w:rsid w:val="0009274D"/>
    <w:rsid w:val="00092762"/>
    <w:rsid w:val="00092773"/>
    <w:rsid w:val="00092795"/>
    <w:rsid w:val="000928DB"/>
    <w:rsid w:val="0009298B"/>
    <w:rsid w:val="00092A0E"/>
    <w:rsid w:val="00092A7E"/>
    <w:rsid w:val="00092D1F"/>
    <w:rsid w:val="00092DB0"/>
    <w:rsid w:val="00092DD1"/>
    <w:rsid w:val="00092E70"/>
    <w:rsid w:val="00092F26"/>
    <w:rsid w:val="00092F45"/>
    <w:rsid w:val="0009310C"/>
    <w:rsid w:val="00093157"/>
    <w:rsid w:val="0009322E"/>
    <w:rsid w:val="0009323A"/>
    <w:rsid w:val="000932DD"/>
    <w:rsid w:val="00093552"/>
    <w:rsid w:val="00093597"/>
    <w:rsid w:val="000935E9"/>
    <w:rsid w:val="000935F6"/>
    <w:rsid w:val="000935FD"/>
    <w:rsid w:val="0009367C"/>
    <w:rsid w:val="000936BC"/>
    <w:rsid w:val="0009374F"/>
    <w:rsid w:val="00093829"/>
    <w:rsid w:val="000938AC"/>
    <w:rsid w:val="000938EB"/>
    <w:rsid w:val="00093A0A"/>
    <w:rsid w:val="00093A29"/>
    <w:rsid w:val="00093A77"/>
    <w:rsid w:val="00093AEA"/>
    <w:rsid w:val="00093C16"/>
    <w:rsid w:val="00093C6B"/>
    <w:rsid w:val="00093CBD"/>
    <w:rsid w:val="00093D81"/>
    <w:rsid w:val="00093DA3"/>
    <w:rsid w:val="00093E23"/>
    <w:rsid w:val="00093EB1"/>
    <w:rsid w:val="00093F90"/>
    <w:rsid w:val="00094027"/>
    <w:rsid w:val="00094150"/>
    <w:rsid w:val="00094317"/>
    <w:rsid w:val="00094384"/>
    <w:rsid w:val="0009447B"/>
    <w:rsid w:val="00094562"/>
    <w:rsid w:val="00094604"/>
    <w:rsid w:val="00094667"/>
    <w:rsid w:val="00094778"/>
    <w:rsid w:val="0009477C"/>
    <w:rsid w:val="0009486D"/>
    <w:rsid w:val="000948BC"/>
    <w:rsid w:val="000949C6"/>
    <w:rsid w:val="00094A29"/>
    <w:rsid w:val="00094A63"/>
    <w:rsid w:val="00094ABC"/>
    <w:rsid w:val="00094BEC"/>
    <w:rsid w:val="00094D4D"/>
    <w:rsid w:val="00094D53"/>
    <w:rsid w:val="00094EE0"/>
    <w:rsid w:val="00094EF7"/>
    <w:rsid w:val="00094FA5"/>
    <w:rsid w:val="00094FF7"/>
    <w:rsid w:val="00095013"/>
    <w:rsid w:val="0009502D"/>
    <w:rsid w:val="0009509F"/>
    <w:rsid w:val="000952E3"/>
    <w:rsid w:val="00095300"/>
    <w:rsid w:val="00095579"/>
    <w:rsid w:val="000955F1"/>
    <w:rsid w:val="0009564E"/>
    <w:rsid w:val="00095670"/>
    <w:rsid w:val="000956DA"/>
    <w:rsid w:val="0009571A"/>
    <w:rsid w:val="0009589E"/>
    <w:rsid w:val="000958AB"/>
    <w:rsid w:val="00095A43"/>
    <w:rsid w:val="00095AEA"/>
    <w:rsid w:val="00095B9A"/>
    <w:rsid w:val="00095DC4"/>
    <w:rsid w:val="00095E7D"/>
    <w:rsid w:val="00095F0E"/>
    <w:rsid w:val="00095F3C"/>
    <w:rsid w:val="00095F45"/>
    <w:rsid w:val="00095F8A"/>
    <w:rsid w:val="00095FC3"/>
    <w:rsid w:val="000960B8"/>
    <w:rsid w:val="00096125"/>
    <w:rsid w:val="0009624B"/>
    <w:rsid w:val="0009628C"/>
    <w:rsid w:val="0009632E"/>
    <w:rsid w:val="00096356"/>
    <w:rsid w:val="000964B2"/>
    <w:rsid w:val="0009651C"/>
    <w:rsid w:val="00096596"/>
    <w:rsid w:val="000965C1"/>
    <w:rsid w:val="000965D4"/>
    <w:rsid w:val="0009663B"/>
    <w:rsid w:val="0009666D"/>
    <w:rsid w:val="000966B8"/>
    <w:rsid w:val="000966C2"/>
    <w:rsid w:val="00096719"/>
    <w:rsid w:val="00096749"/>
    <w:rsid w:val="00096809"/>
    <w:rsid w:val="000968E2"/>
    <w:rsid w:val="00096964"/>
    <w:rsid w:val="00096976"/>
    <w:rsid w:val="000969EF"/>
    <w:rsid w:val="00096B59"/>
    <w:rsid w:val="00096BC7"/>
    <w:rsid w:val="00096BDA"/>
    <w:rsid w:val="00096C32"/>
    <w:rsid w:val="00096CAB"/>
    <w:rsid w:val="00096CD2"/>
    <w:rsid w:val="00096D8F"/>
    <w:rsid w:val="00096DA1"/>
    <w:rsid w:val="00096DEE"/>
    <w:rsid w:val="00096E78"/>
    <w:rsid w:val="00096F09"/>
    <w:rsid w:val="00096F16"/>
    <w:rsid w:val="00096F45"/>
    <w:rsid w:val="00097088"/>
    <w:rsid w:val="0009729E"/>
    <w:rsid w:val="000972B2"/>
    <w:rsid w:val="000972C9"/>
    <w:rsid w:val="000972D1"/>
    <w:rsid w:val="0009741B"/>
    <w:rsid w:val="000974A7"/>
    <w:rsid w:val="000974D9"/>
    <w:rsid w:val="0009759E"/>
    <w:rsid w:val="00097626"/>
    <w:rsid w:val="00097668"/>
    <w:rsid w:val="00097680"/>
    <w:rsid w:val="000976C6"/>
    <w:rsid w:val="000978C2"/>
    <w:rsid w:val="00097949"/>
    <w:rsid w:val="0009797F"/>
    <w:rsid w:val="0009798F"/>
    <w:rsid w:val="00097A46"/>
    <w:rsid w:val="00097B2B"/>
    <w:rsid w:val="00097B8E"/>
    <w:rsid w:val="00097C1B"/>
    <w:rsid w:val="00097D62"/>
    <w:rsid w:val="00097D87"/>
    <w:rsid w:val="00097DF6"/>
    <w:rsid w:val="00097E37"/>
    <w:rsid w:val="00097E59"/>
    <w:rsid w:val="00097F16"/>
    <w:rsid w:val="00097F1A"/>
    <w:rsid w:val="00097F8B"/>
    <w:rsid w:val="00097FD4"/>
    <w:rsid w:val="00097FDC"/>
    <w:rsid w:val="000A0068"/>
    <w:rsid w:val="000A00C2"/>
    <w:rsid w:val="000A01A2"/>
    <w:rsid w:val="000A020C"/>
    <w:rsid w:val="000A0462"/>
    <w:rsid w:val="000A053B"/>
    <w:rsid w:val="000A05FF"/>
    <w:rsid w:val="000A0772"/>
    <w:rsid w:val="000A07C9"/>
    <w:rsid w:val="000A08B8"/>
    <w:rsid w:val="000A0957"/>
    <w:rsid w:val="000A098B"/>
    <w:rsid w:val="000A0A9F"/>
    <w:rsid w:val="000A0ADD"/>
    <w:rsid w:val="000A0AEF"/>
    <w:rsid w:val="000A0B2B"/>
    <w:rsid w:val="000A0C55"/>
    <w:rsid w:val="000A0CC5"/>
    <w:rsid w:val="000A0D6F"/>
    <w:rsid w:val="000A0DE4"/>
    <w:rsid w:val="000A0E43"/>
    <w:rsid w:val="000A0E48"/>
    <w:rsid w:val="000A0ED4"/>
    <w:rsid w:val="000A0F0A"/>
    <w:rsid w:val="000A0FB9"/>
    <w:rsid w:val="000A109C"/>
    <w:rsid w:val="000A1199"/>
    <w:rsid w:val="000A11C6"/>
    <w:rsid w:val="000A135F"/>
    <w:rsid w:val="000A13AD"/>
    <w:rsid w:val="000A13C3"/>
    <w:rsid w:val="000A1404"/>
    <w:rsid w:val="000A1405"/>
    <w:rsid w:val="000A1495"/>
    <w:rsid w:val="000A1537"/>
    <w:rsid w:val="000A1580"/>
    <w:rsid w:val="000A1586"/>
    <w:rsid w:val="000A158F"/>
    <w:rsid w:val="000A15D0"/>
    <w:rsid w:val="000A1704"/>
    <w:rsid w:val="000A17C7"/>
    <w:rsid w:val="000A1851"/>
    <w:rsid w:val="000A1892"/>
    <w:rsid w:val="000A193E"/>
    <w:rsid w:val="000A1986"/>
    <w:rsid w:val="000A19C8"/>
    <w:rsid w:val="000A1A03"/>
    <w:rsid w:val="000A1A42"/>
    <w:rsid w:val="000A1A72"/>
    <w:rsid w:val="000A1A9E"/>
    <w:rsid w:val="000A1C5C"/>
    <w:rsid w:val="000A1D73"/>
    <w:rsid w:val="000A1E06"/>
    <w:rsid w:val="000A1E3B"/>
    <w:rsid w:val="000A1F58"/>
    <w:rsid w:val="000A1FD1"/>
    <w:rsid w:val="000A202E"/>
    <w:rsid w:val="000A2058"/>
    <w:rsid w:val="000A20CE"/>
    <w:rsid w:val="000A216D"/>
    <w:rsid w:val="000A2238"/>
    <w:rsid w:val="000A238C"/>
    <w:rsid w:val="000A23E0"/>
    <w:rsid w:val="000A2402"/>
    <w:rsid w:val="000A2563"/>
    <w:rsid w:val="000A2578"/>
    <w:rsid w:val="000A25C7"/>
    <w:rsid w:val="000A260C"/>
    <w:rsid w:val="000A264F"/>
    <w:rsid w:val="000A2669"/>
    <w:rsid w:val="000A2693"/>
    <w:rsid w:val="000A27C7"/>
    <w:rsid w:val="000A281C"/>
    <w:rsid w:val="000A2864"/>
    <w:rsid w:val="000A2909"/>
    <w:rsid w:val="000A2A97"/>
    <w:rsid w:val="000A2AE7"/>
    <w:rsid w:val="000A2B9F"/>
    <w:rsid w:val="000A2BA1"/>
    <w:rsid w:val="000A2D27"/>
    <w:rsid w:val="000A2D2A"/>
    <w:rsid w:val="000A2F73"/>
    <w:rsid w:val="000A2FE2"/>
    <w:rsid w:val="000A2FE6"/>
    <w:rsid w:val="000A3025"/>
    <w:rsid w:val="000A3109"/>
    <w:rsid w:val="000A311C"/>
    <w:rsid w:val="000A311F"/>
    <w:rsid w:val="000A3179"/>
    <w:rsid w:val="000A320A"/>
    <w:rsid w:val="000A32A3"/>
    <w:rsid w:val="000A32AB"/>
    <w:rsid w:val="000A333E"/>
    <w:rsid w:val="000A33A7"/>
    <w:rsid w:val="000A3407"/>
    <w:rsid w:val="000A345E"/>
    <w:rsid w:val="000A3460"/>
    <w:rsid w:val="000A355B"/>
    <w:rsid w:val="000A3573"/>
    <w:rsid w:val="000A3647"/>
    <w:rsid w:val="000A3673"/>
    <w:rsid w:val="000A36C5"/>
    <w:rsid w:val="000A377A"/>
    <w:rsid w:val="000A3958"/>
    <w:rsid w:val="000A3B80"/>
    <w:rsid w:val="000A3C66"/>
    <w:rsid w:val="000A3CD4"/>
    <w:rsid w:val="000A3D59"/>
    <w:rsid w:val="000A3DCA"/>
    <w:rsid w:val="000A3E0E"/>
    <w:rsid w:val="000A3EA5"/>
    <w:rsid w:val="000A3EA6"/>
    <w:rsid w:val="000A4029"/>
    <w:rsid w:val="000A4124"/>
    <w:rsid w:val="000A41B5"/>
    <w:rsid w:val="000A4252"/>
    <w:rsid w:val="000A4287"/>
    <w:rsid w:val="000A429C"/>
    <w:rsid w:val="000A4460"/>
    <w:rsid w:val="000A447A"/>
    <w:rsid w:val="000A447E"/>
    <w:rsid w:val="000A451B"/>
    <w:rsid w:val="000A46E9"/>
    <w:rsid w:val="000A4710"/>
    <w:rsid w:val="000A4714"/>
    <w:rsid w:val="000A4763"/>
    <w:rsid w:val="000A48E2"/>
    <w:rsid w:val="000A4937"/>
    <w:rsid w:val="000A4977"/>
    <w:rsid w:val="000A49E5"/>
    <w:rsid w:val="000A4A5C"/>
    <w:rsid w:val="000A4AB3"/>
    <w:rsid w:val="000A4CA8"/>
    <w:rsid w:val="000A4CE7"/>
    <w:rsid w:val="000A4DC4"/>
    <w:rsid w:val="000A4DD0"/>
    <w:rsid w:val="000A4E20"/>
    <w:rsid w:val="000A4E53"/>
    <w:rsid w:val="000A4E66"/>
    <w:rsid w:val="000A4EDF"/>
    <w:rsid w:val="000A4F03"/>
    <w:rsid w:val="000A4F28"/>
    <w:rsid w:val="000A4F7D"/>
    <w:rsid w:val="000A4FBC"/>
    <w:rsid w:val="000A507D"/>
    <w:rsid w:val="000A522D"/>
    <w:rsid w:val="000A52FB"/>
    <w:rsid w:val="000A53F2"/>
    <w:rsid w:val="000A544C"/>
    <w:rsid w:val="000A54C3"/>
    <w:rsid w:val="000A5518"/>
    <w:rsid w:val="000A5626"/>
    <w:rsid w:val="000A56B7"/>
    <w:rsid w:val="000A56D1"/>
    <w:rsid w:val="000A5761"/>
    <w:rsid w:val="000A5785"/>
    <w:rsid w:val="000A57EA"/>
    <w:rsid w:val="000A5823"/>
    <w:rsid w:val="000A584E"/>
    <w:rsid w:val="000A597C"/>
    <w:rsid w:val="000A59A2"/>
    <w:rsid w:val="000A59C2"/>
    <w:rsid w:val="000A5B49"/>
    <w:rsid w:val="000A5B61"/>
    <w:rsid w:val="000A5BBF"/>
    <w:rsid w:val="000A5BCA"/>
    <w:rsid w:val="000A5BEF"/>
    <w:rsid w:val="000A5CB6"/>
    <w:rsid w:val="000A5D9A"/>
    <w:rsid w:val="000A5E63"/>
    <w:rsid w:val="000A5E7A"/>
    <w:rsid w:val="000A5F24"/>
    <w:rsid w:val="000A5F81"/>
    <w:rsid w:val="000A5F9D"/>
    <w:rsid w:val="000A5FCE"/>
    <w:rsid w:val="000A614C"/>
    <w:rsid w:val="000A622A"/>
    <w:rsid w:val="000A6369"/>
    <w:rsid w:val="000A63B4"/>
    <w:rsid w:val="000A6428"/>
    <w:rsid w:val="000A64CF"/>
    <w:rsid w:val="000A6582"/>
    <w:rsid w:val="000A6592"/>
    <w:rsid w:val="000A6612"/>
    <w:rsid w:val="000A666C"/>
    <w:rsid w:val="000A675A"/>
    <w:rsid w:val="000A683E"/>
    <w:rsid w:val="000A685F"/>
    <w:rsid w:val="000A68E1"/>
    <w:rsid w:val="000A691E"/>
    <w:rsid w:val="000A6A48"/>
    <w:rsid w:val="000A6BF5"/>
    <w:rsid w:val="000A6C13"/>
    <w:rsid w:val="000A6C1D"/>
    <w:rsid w:val="000A6C34"/>
    <w:rsid w:val="000A6C7B"/>
    <w:rsid w:val="000A6DB6"/>
    <w:rsid w:val="000A6DEF"/>
    <w:rsid w:val="000A6ED1"/>
    <w:rsid w:val="000A6F5F"/>
    <w:rsid w:val="000A7109"/>
    <w:rsid w:val="000A7123"/>
    <w:rsid w:val="000A719C"/>
    <w:rsid w:val="000A71EB"/>
    <w:rsid w:val="000A736E"/>
    <w:rsid w:val="000A75C8"/>
    <w:rsid w:val="000A75F8"/>
    <w:rsid w:val="000A7613"/>
    <w:rsid w:val="000A7639"/>
    <w:rsid w:val="000A7794"/>
    <w:rsid w:val="000A77E7"/>
    <w:rsid w:val="000A7821"/>
    <w:rsid w:val="000A7838"/>
    <w:rsid w:val="000A79AE"/>
    <w:rsid w:val="000A7A0D"/>
    <w:rsid w:val="000A7AC2"/>
    <w:rsid w:val="000A7CCF"/>
    <w:rsid w:val="000A7D32"/>
    <w:rsid w:val="000A7E46"/>
    <w:rsid w:val="000A7E6F"/>
    <w:rsid w:val="000A7F4F"/>
    <w:rsid w:val="000A7F79"/>
    <w:rsid w:val="000AD735"/>
    <w:rsid w:val="000B002F"/>
    <w:rsid w:val="000B02F7"/>
    <w:rsid w:val="000B032D"/>
    <w:rsid w:val="000B0353"/>
    <w:rsid w:val="000B0383"/>
    <w:rsid w:val="000B0390"/>
    <w:rsid w:val="000B05B5"/>
    <w:rsid w:val="000B062D"/>
    <w:rsid w:val="000B0903"/>
    <w:rsid w:val="000B0908"/>
    <w:rsid w:val="000B0A5C"/>
    <w:rsid w:val="000B0A7C"/>
    <w:rsid w:val="000B0AA7"/>
    <w:rsid w:val="000B0B23"/>
    <w:rsid w:val="000B0B59"/>
    <w:rsid w:val="000B0B62"/>
    <w:rsid w:val="000B0B8D"/>
    <w:rsid w:val="000B0BE8"/>
    <w:rsid w:val="000B0CAE"/>
    <w:rsid w:val="000B0D06"/>
    <w:rsid w:val="000B0EB3"/>
    <w:rsid w:val="000B1047"/>
    <w:rsid w:val="000B11A9"/>
    <w:rsid w:val="000B11FA"/>
    <w:rsid w:val="000B1253"/>
    <w:rsid w:val="000B12D1"/>
    <w:rsid w:val="000B12F6"/>
    <w:rsid w:val="000B1323"/>
    <w:rsid w:val="000B133E"/>
    <w:rsid w:val="000B136C"/>
    <w:rsid w:val="000B13FD"/>
    <w:rsid w:val="000B142C"/>
    <w:rsid w:val="000B15AC"/>
    <w:rsid w:val="000B15C6"/>
    <w:rsid w:val="000B1620"/>
    <w:rsid w:val="000B1688"/>
    <w:rsid w:val="000B1744"/>
    <w:rsid w:val="000B175B"/>
    <w:rsid w:val="000B1922"/>
    <w:rsid w:val="000B195F"/>
    <w:rsid w:val="000B19F9"/>
    <w:rsid w:val="000B1B24"/>
    <w:rsid w:val="000B1B70"/>
    <w:rsid w:val="000B1CEE"/>
    <w:rsid w:val="000B1E35"/>
    <w:rsid w:val="000B1E4F"/>
    <w:rsid w:val="000B1F0F"/>
    <w:rsid w:val="000B206B"/>
    <w:rsid w:val="000B2109"/>
    <w:rsid w:val="000B212E"/>
    <w:rsid w:val="000B21B2"/>
    <w:rsid w:val="000B229D"/>
    <w:rsid w:val="000B22EB"/>
    <w:rsid w:val="000B2338"/>
    <w:rsid w:val="000B244C"/>
    <w:rsid w:val="000B244D"/>
    <w:rsid w:val="000B2460"/>
    <w:rsid w:val="000B2563"/>
    <w:rsid w:val="000B2585"/>
    <w:rsid w:val="000B2712"/>
    <w:rsid w:val="000B2764"/>
    <w:rsid w:val="000B27C3"/>
    <w:rsid w:val="000B28C6"/>
    <w:rsid w:val="000B28D0"/>
    <w:rsid w:val="000B2918"/>
    <w:rsid w:val="000B29F1"/>
    <w:rsid w:val="000B2A97"/>
    <w:rsid w:val="000B2B24"/>
    <w:rsid w:val="000B2B2F"/>
    <w:rsid w:val="000B2B3C"/>
    <w:rsid w:val="000B2CC8"/>
    <w:rsid w:val="000B2CE7"/>
    <w:rsid w:val="000B2D20"/>
    <w:rsid w:val="000B2E8B"/>
    <w:rsid w:val="000B3009"/>
    <w:rsid w:val="000B300F"/>
    <w:rsid w:val="000B3047"/>
    <w:rsid w:val="000B30AC"/>
    <w:rsid w:val="000B31F9"/>
    <w:rsid w:val="000B3213"/>
    <w:rsid w:val="000B3220"/>
    <w:rsid w:val="000B3234"/>
    <w:rsid w:val="000B32F1"/>
    <w:rsid w:val="000B331F"/>
    <w:rsid w:val="000B33BD"/>
    <w:rsid w:val="000B3409"/>
    <w:rsid w:val="000B3530"/>
    <w:rsid w:val="000B3545"/>
    <w:rsid w:val="000B35B1"/>
    <w:rsid w:val="000B35D8"/>
    <w:rsid w:val="000B3630"/>
    <w:rsid w:val="000B36CF"/>
    <w:rsid w:val="000B3764"/>
    <w:rsid w:val="000B3773"/>
    <w:rsid w:val="000B37D1"/>
    <w:rsid w:val="000B3809"/>
    <w:rsid w:val="000B380F"/>
    <w:rsid w:val="000B382B"/>
    <w:rsid w:val="000B38A8"/>
    <w:rsid w:val="000B399D"/>
    <w:rsid w:val="000B39F0"/>
    <w:rsid w:val="000B3B28"/>
    <w:rsid w:val="000B3B8E"/>
    <w:rsid w:val="000B3C0E"/>
    <w:rsid w:val="000B3C32"/>
    <w:rsid w:val="000B3CB2"/>
    <w:rsid w:val="000B3CE2"/>
    <w:rsid w:val="000B3D9C"/>
    <w:rsid w:val="000B3DAA"/>
    <w:rsid w:val="000B3E93"/>
    <w:rsid w:val="000B3EFE"/>
    <w:rsid w:val="000B4015"/>
    <w:rsid w:val="000B405F"/>
    <w:rsid w:val="000B4085"/>
    <w:rsid w:val="000B4166"/>
    <w:rsid w:val="000B426A"/>
    <w:rsid w:val="000B441C"/>
    <w:rsid w:val="000B4569"/>
    <w:rsid w:val="000B4592"/>
    <w:rsid w:val="000B4594"/>
    <w:rsid w:val="000B4617"/>
    <w:rsid w:val="000B4650"/>
    <w:rsid w:val="000B467D"/>
    <w:rsid w:val="000B4729"/>
    <w:rsid w:val="000B472C"/>
    <w:rsid w:val="000B473F"/>
    <w:rsid w:val="000B477E"/>
    <w:rsid w:val="000B482D"/>
    <w:rsid w:val="000B48FF"/>
    <w:rsid w:val="000B495A"/>
    <w:rsid w:val="000B4A3A"/>
    <w:rsid w:val="000B4A72"/>
    <w:rsid w:val="000B4ABE"/>
    <w:rsid w:val="000B4AF7"/>
    <w:rsid w:val="000B4B62"/>
    <w:rsid w:val="000B4BD7"/>
    <w:rsid w:val="000B4C62"/>
    <w:rsid w:val="000B4C6D"/>
    <w:rsid w:val="000B4D4F"/>
    <w:rsid w:val="000B4E56"/>
    <w:rsid w:val="000B4EE4"/>
    <w:rsid w:val="000B4F46"/>
    <w:rsid w:val="000B4F6B"/>
    <w:rsid w:val="000B4FCB"/>
    <w:rsid w:val="000B50AF"/>
    <w:rsid w:val="000B5121"/>
    <w:rsid w:val="000B514B"/>
    <w:rsid w:val="000B5152"/>
    <w:rsid w:val="000B5165"/>
    <w:rsid w:val="000B51C4"/>
    <w:rsid w:val="000B51E7"/>
    <w:rsid w:val="000B524F"/>
    <w:rsid w:val="000B5549"/>
    <w:rsid w:val="000B5585"/>
    <w:rsid w:val="000B5601"/>
    <w:rsid w:val="000B56FC"/>
    <w:rsid w:val="000B5742"/>
    <w:rsid w:val="000B578D"/>
    <w:rsid w:val="000B57DF"/>
    <w:rsid w:val="000B57EB"/>
    <w:rsid w:val="000B585A"/>
    <w:rsid w:val="000B586E"/>
    <w:rsid w:val="000B5884"/>
    <w:rsid w:val="000B588D"/>
    <w:rsid w:val="000B588E"/>
    <w:rsid w:val="000B589B"/>
    <w:rsid w:val="000B58D8"/>
    <w:rsid w:val="000B5930"/>
    <w:rsid w:val="000B598D"/>
    <w:rsid w:val="000B5A48"/>
    <w:rsid w:val="000B5B59"/>
    <w:rsid w:val="000B5D10"/>
    <w:rsid w:val="000B5D44"/>
    <w:rsid w:val="000B5D73"/>
    <w:rsid w:val="000B5DAD"/>
    <w:rsid w:val="000B5E5A"/>
    <w:rsid w:val="000B5EAD"/>
    <w:rsid w:val="000B5F72"/>
    <w:rsid w:val="000B5F87"/>
    <w:rsid w:val="000B5F8B"/>
    <w:rsid w:val="000B6033"/>
    <w:rsid w:val="000B6069"/>
    <w:rsid w:val="000B6131"/>
    <w:rsid w:val="000B6161"/>
    <w:rsid w:val="000B61BA"/>
    <w:rsid w:val="000B6336"/>
    <w:rsid w:val="000B637D"/>
    <w:rsid w:val="000B6482"/>
    <w:rsid w:val="000B6523"/>
    <w:rsid w:val="000B654E"/>
    <w:rsid w:val="000B6564"/>
    <w:rsid w:val="000B6594"/>
    <w:rsid w:val="000B65E3"/>
    <w:rsid w:val="000B662C"/>
    <w:rsid w:val="000B6659"/>
    <w:rsid w:val="000B6663"/>
    <w:rsid w:val="000B66BC"/>
    <w:rsid w:val="000B66E1"/>
    <w:rsid w:val="000B66F7"/>
    <w:rsid w:val="000B6739"/>
    <w:rsid w:val="000B6799"/>
    <w:rsid w:val="000B68A3"/>
    <w:rsid w:val="000B68FC"/>
    <w:rsid w:val="000B6B06"/>
    <w:rsid w:val="000B6B36"/>
    <w:rsid w:val="000B6B49"/>
    <w:rsid w:val="000B6C22"/>
    <w:rsid w:val="000B6CBD"/>
    <w:rsid w:val="000B6DB5"/>
    <w:rsid w:val="000B6DBF"/>
    <w:rsid w:val="000B6E81"/>
    <w:rsid w:val="000B6EB6"/>
    <w:rsid w:val="000B7054"/>
    <w:rsid w:val="000B7101"/>
    <w:rsid w:val="000B71DF"/>
    <w:rsid w:val="000B72F4"/>
    <w:rsid w:val="000B73DD"/>
    <w:rsid w:val="000B7429"/>
    <w:rsid w:val="000B7540"/>
    <w:rsid w:val="000B7541"/>
    <w:rsid w:val="000B7565"/>
    <w:rsid w:val="000B75E2"/>
    <w:rsid w:val="000B75F1"/>
    <w:rsid w:val="000B764E"/>
    <w:rsid w:val="000B769C"/>
    <w:rsid w:val="000B76C2"/>
    <w:rsid w:val="000B76EE"/>
    <w:rsid w:val="000B7744"/>
    <w:rsid w:val="000B7819"/>
    <w:rsid w:val="000B78BE"/>
    <w:rsid w:val="000B78DC"/>
    <w:rsid w:val="000B7942"/>
    <w:rsid w:val="000B7973"/>
    <w:rsid w:val="000B797A"/>
    <w:rsid w:val="000B7981"/>
    <w:rsid w:val="000B7A0A"/>
    <w:rsid w:val="000B7A0C"/>
    <w:rsid w:val="000B7B56"/>
    <w:rsid w:val="000B7B6B"/>
    <w:rsid w:val="000B7D6D"/>
    <w:rsid w:val="000B7DAB"/>
    <w:rsid w:val="000B7DDC"/>
    <w:rsid w:val="000B7E40"/>
    <w:rsid w:val="000B7F08"/>
    <w:rsid w:val="000B7F2C"/>
    <w:rsid w:val="000B7F5F"/>
    <w:rsid w:val="000B7FF8"/>
    <w:rsid w:val="000C0030"/>
    <w:rsid w:val="000C0077"/>
    <w:rsid w:val="000C00CC"/>
    <w:rsid w:val="000C0151"/>
    <w:rsid w:val="000C015A"/>
    <w:rsid w:val="000C015D"/>
    <w:rsid w:val="000C024A"/>
    <w:rsid w:val="000C0281"/>
    <w:rsid w:val="000C02DC"/>
    <w:rsid w:val="000C04AB"/>
    <w:rsid w:val="000C04BF"/>
    <w:rsid w:val="000C055E"/>
    <w:rsid w:val="000C056E"/>
    <w:rsid w:val="000C05D0"/>
    <w:rsid w:val="000C0695"/>
    <w:rsid w:val="000C0889"/>
    <w:rsid w:val="000C09D7"/>
    <w:rsid w:val="000C0A4A"/>
    <w:rsid w:val="000C0A5B"/>
    <w:rsid w:val="000C0AA6"/>
    <w:rsid w:val="000C0ACE"/>
    <w:rsid w:val="000C0ADD"/>
    <w:rsid w:val="000C0C39"/>
    <w:rsid w:val="000C0C84"/>
    <w:rsid w:val="000C0D54"/>
    <w:rsid w:val="000C0D70"/>
    <w:rsid w:val="000C0D76"/>
    <w:rsid w:val="000C0DA8"/>
    <w:rsid w:val="000C105F"/>
    <w:rsid w:val="000C1070"/>
    <w:rsid w:val="000C1078"/>
    <w:rsid w:val="000C1110"/>
    <w:rsid w:val="000C111D"/>
    <w:rsid w:val="000C11D9"/>
    <w:rsid w:val="000C1208"/>
    <w:rsid w:val="000C130D"/>
    <w:rsid w:val="000C13A6"/>
    <w:rsid w:val="000C145A"/>
    <w:rsid w:val="000C150E"/>
    <w:rsid w:val="000C1588"/>
    <w:rsid w:val="000C15CD"/>
    <w:rsid w:val="000C1665"/>
    <w:rsid w:val="000C169A"/>
    <w:rsid w:val="000C16EB"/>
    <w:rsid w:val="000C1844"/>
    <w:rsid w:val="000C1907"/>
    <w:rsid w:val="000C1972"/>
    <w:rsid w:val="000C1A5E"/>
    <w:rsid w:val="000C1B54"/>
    <w:rsid w:val="000C1C23"/>
    <w:rsid w:val="000C1C26"/>
    <w:rsid w:val="000C1C86"/>
    <w:rsid w:val="000C1C9A"/>
    <w:rsid w:val="000C1D36"/>
    <w:rsid w:val="000C1F06"/>
    <w:rsid w:val="000C208A"/>
    <w:rsid w:val="000C20C9"/>
    <w:rsid w:val="000C211D"/>
    <w:rsid w:val="000C217F"/>
    <w:rsid w:val="000C2334"/>
    <w:rsid w:val="000C2374"/>
    <w:rsid w:val="000C242C"/>
    <w:rsid w:val="000C256D"/>
    <w:rsid w:val="000C2571"/>
    <w:rsid w:val="000C260F"/>
    <w:rsid w:val="000C264E"/>
    <w:rsid w:val="000C2878"/>
    <w:rsid w:val="000C293C"/>
    <w:rsid w:val="000C299C"/>
    <w:rsid w:val="000C29FF"/>
    <w:rsid w:val="000C2A87"/>
    <w:rsid w:val="000C2ACA"/>
    <w:rsid w:val="000C2B2A"/>
    <w:rsid w:val="000C2B95"/>
    <w:rsid w:val="000C2BA3"/>
    <w:rsid w:val="000C2BBD"/>
    <w:rsid w:val="000C2BBE"/>
    <w:rsid w:val="000C2BCA"/>
    <w:rsid w:val="000C2C53"/>
    <w:rsid w:val="000C2E78"/>
    <w:rsid w:val="000C2E93"/>
    <w:rsid w:val="000C302E"/>
    <w:rsid w:val="000C3043"/>
    <w:rsid w:val="000C305D"/>
    <w:rsid w:val="000C306A"/>
    <w:rsid w:val="000C315F"/>
    <w:rsid w:val="000C31AF"/>
    <w:rsid w:val="000C328C"/>
    <w:rsid w:val="000C32C1"/>
    <w:rsid w:val="000C33AF"/>
    <w:rsid w:val="000C3429"/>
    <w:rsid w:val="000C345E"/>
    <w:rsid w:val="000C353D"/>
    <w:rsid w:val="000C36A3"/>
    <w:rsid w:val="000C36DC"/>
    <w:rsid w:val="000C36EC"/>
    <w:rsid w:val="000C3768"/>
    <w:rsid w:val="000C3778"/>
    <w:rsid w:val="000C378F"/>
    <w:rsid w:val="000C3807"/>
    <w:rsid w:val="000C3866"/>
    <w:rsid w:val="000C3A53"/>
    <w:rsid w:val="000C3A8B"/>
    <w:rsid w:val="000C3ABA"/>
    <w:rsid w:val="000C3B23"/>
    <w:rsid w:val="000C3C3C"/>
    <w:rsid w:val="000C3D13"/>
    <w:rsid w:val="000C3DAC"/>
    <w:rsid w:val="000C3DE9"/>
    <w:rsid w:val="000C3E38"/>
    <w:rsid w:val="000C3EE2"/>
    <w:rsid w:val="000C3F29"/>
    <w:rsid w:val="000C4071"/>
    <w:rsid w:val="000C4097"/>
    <w:rsid w:val="000C415E"/>
    <w:rsid w:val="000C4222"/>
    <w:rsid w:val="000C42A0"/>
    <w:rsid w:val="000C431D"/>
    <w:rsid w:val="000C43AB"/>
    <w:rsid w:val="000C43FE"/>
    <w:rsid w:val="000C459C"/>
    <w:rsid w:val="000C45AC"/>
    <w:rsid w:val="000C45F2"/>
    <w:rsid w:val="000C46CF"/>
    <w:rsid w:val="000C4905"/>
    <w:rsid w:val="000C4909"/>
    <w:rsid w:val="000C499F"/>
    <w:rsid w:val="000C49B5"/>
    <w:rsid w:val="000C49EB"/>
    <w:rsid w:val="000C4A71"/>
    <w:rsid w:val="000C4A7E"/>
    <w:rsid w:val="000C4AD4"/>
    <w:rsid w:val="000C4CAC"/>
    <w:rsid w:val="000C4CFA"/>
    <w:rsid w:val="000C4D91"/>
    <w:rsid w:val="000C4E43"/>
    <w:rsid w:val="000C4E76"/>
    <w:rsid w:val="000C4E86"/>
    <w:rsid w:val="000C4EC1"/>
    <w:rsid w:val="000C4F42"/>
    <w:rsid w:val="000C4F9D"/>
    <w:rsid w:val="000C4F9F"/>
    <w:rsid w:val="000C4FF5"/>
    <w:rsid w:val="000C50F5"/>
    <w:rsid w:val="000C5166"/>
    <w:rsid w:val="000C519F"/>
    <w:rsid w:val="000C5232"/>
    <w:rsid w:val="000C527C"/>
    <w:rsid w:val="000C5294"/>
    <w:rsid w:val="000C5307"/>
    <w:rsid w:val="000C5308"/>
    <w:rsid w:val="000C5411"/>
    <w:rsid w:val="000C542F"/>
    <w:rsid w:val="000C5483"/>
    <w:rsid w:val="000C550D"/>
    <w:rsid w:val="000C5606"/>
    <w:rsid w:val="000C5668"/>
    <w:rsid w:val="000C56BB"/>
    <w:rsid w:val="000C5867"/>
    <w:rsid w:val="000C58C0"/>
    <w:rsid w:val="000C59D0"/>
    <w:rsid w:val="000C59ED"/>
    <w:rsid w:val="000C5A21"/>
    <w:rsid w:val="000C5CFB"/>
    <w:rsid w:val="000C5D33"/>
    <w:rsid w:val="000C5D6A"/>
    <w:rsid w:val="000C5D81"/>
    <w:rsid w:val="000C5E69"/>
    <w:rsid w:val="000C5ED9"/>
    <w:rsid w:val="000C5F24"/>
    <w:rsid w:val="000C5F58"/>
    <w:rsid w:val="000C5FCE"/>
    <w:rsid w:val="000C6122"/>
    <w:rsid w:val="000C6187"/>
    <w:rsid w:val="000C6189"/>
    <w:rsid w:val="000C61DA"/>
    <w:rsid w:val="000C62C5"/>
    <w:rsid w:val="000C6341"/>
    <w:rsid w:val="000C638A"/>
    <w:rsid w:val="000C646A"/>
    <w:rsid w:val="000C6548"/>
    <w:rsid w:val="000C6596"/>
    <w:rsid w:val="000C65C5"/>
    <w:rsid w:val="000C6655"/>
    <w:rsid w:val="000C66D2"/>
    <w:rsid w:val="000C6776"/>
    <w:rsid w:val="000C692A"/>
    <w:rsid w:val="000C6AFB"/>
    <w:rsid w:val="000C6B33"/>
    <w:rsid w:val="000C6B48"/>
    <w:rsid w:val="000C6B51"/>
    <w:rsid w:val="000C6B77"/>
    <w:rsid w:val="000C6BFF"/>
    <w:rsid w:val="000C6CB5"/>
    <w:rsid w:val="000C6CC2"/>
    <w:rsid w:val="000C6D3C"/>
    <w:rsid w:val="000C6DC4"/>
    <w:rsid w:val="000C6DDE"/>
    <w:rsid w:val="000C6E3B"/>
    <w:rsid w:val="000C6E8E"/>
    <w:rsid w:val="000C6F2E"/>
    <w:rsid w:val="000C6F39"/>
    <w:rsid w:val="000C6FFC"/>
    <w:rsid w:val="000C705C"/>
    <w:rsid w:val="000C7098"/>
    <w:rsid w:val="000C719D"/>
    <w:rsid w:val="000C72C5"/>
    <w:rsid w:val="000C72F3"/>
    <w:rsid w:val="000C7408"/>
    <w:rsid w:val="000C7455"/>
    <w:rsid w:val="000C7488"/>
    <w:rsid w:val="000C755C"/>
    <w:rsid w:val="000C7575"/>
    <w:rsid w:val="000C764C"/>
    <w:rsid w:val="000C76EC"/>
    <w:rsid w:val="000C77A3"/>
    <w:rsid w:val="000C7885"/>
    <w:rsid w:val="000C791D"/>
    <w:rsid w:val="000C79A5"/>
    <w:rsid w:val="000C7A10"/>
    <w:rsid w:val="000C7BB0"/>
    <w:rsid w:val="000C7C0E"/>
    <w:rsid w:val="000C7C88"/>
    <w:rsid w:val="000C7CAE"/>
    <w:rsid w:val="000C7D26"/>
    <w:rsid w:val="000C7D50"/>
    <w:rsid w:val="000C7DB3"/>
    <w:rsid w:val="000C7DCA"/>
    <w:rsid w:val="000C7EAC"/>
    <w:rsid w:val="000C7EDF"/>
    <w:rsid w:val="000C7F5C"/>
    <w:rsid w:val="000C7F9D"/>
    <w:rsid w:val="000C7FC1"/>
    <w:rsid w:val="000C7FE4"/>
    <w:rsid w:val="000D00C5"/>
    <w:rsid w:val="000D00C7"/>
    <w:rsid w:val="000D00F3"/>
    <w:rsid w:val="000D0175"/>
    <w:rsid w:val="000D01A0"/>
    <w:rsid w:val="000D0240"/>
    <w:rsid w:val="000D026B"/>
    <w:rsid w:val="000D030B"/>
    <w:rsid w:val="000D0487"/>
    <w:rsid w:val="000D0495"/>
    <w:rsid w:val="000D0510"/>
    <w:rsid w:val="000D0567"/>
    <w:rsid w:val="000D060A"/>
    <w:rsid w:val="000D0678"/>
    <w:rsid w:val="000D06AF"/>
    <w:rsid w:val="000D06DB"/>
    <w:rsid w:val="000D0711"/>
    <w:rsid w:val="000D0727"/>
    <w:rsid w:val="000D0731"/>
    <w:rsid w:val="000D0738"/>
    <w:rsid w:val="000D07BB"/>
    <w:rsid w:val="000D07F6"/>
    <w:rsid w:val="000D0910"/>
    <w:rsid w:val="000D0974"/>
    <w:rsid w:val="000D09CC"/>
    <w:rsid w:val="000D0A77"/>
    <w:rsid w:val="000D0B55"/>
    <w:rsid w:val="000D0C30"/>
    <w:rsid w:val="000D0C34"/>
    <w:rsid w:val="000D0C97"/>
    <w:rsid w:val="000D0CC7"/>
    <w:rsid w:val="000D0CE3"/>
    <w:rsid w:val="000D0D4D"/>
    <w:rsid w:val="000D0D8E"/>
    <w:rsid w:val="000D0DE6"/>
    <w:rsid w:val="000D0F71"/>
    <w:rsid w:val="000D0F7C"/>
    <w:rsid w:val="000D0FA7"/>
    <w:rsid w:val="000D104B"/>
    <w:rsid w:val="000D1053"/>
    <w:rsid w:val="000D10BF"/>
    <w:rsid w:val="000D112E"/>
    <w:rsid w:val="000D129E"/>
    <w:rsid w:val="000D12A1"/>
    <w:rsid w:val="000D12BB"/>
    <w:rsid w:val="000D1367"/>
    <w:rsid w:val="000D13D8"/>
    <w:rsid w:val="000D141D"/>
    <w:rsid w:val="000D1467"/>
    <w:rsid w:val="000D1474"/>
    <w:rsid w:val="000D1574"/>
    <w:rsid w:val="000D15B5"/>
    <w:rsid w:val="000D1619"/>
    <w:rsid w:val="000D16E4"/>
    <w:rsid w:val="000D17ED"/>
    <w:rsid w:val="000D186B"/>
    <w:rsid w:val="000D187F"/>
    <w:rsid w:val="000D189C"/>
    <w:rsid w:val="000D18F3"/>
    <w:rsid w:val="000D194B"/>
    <w:rsid w:val="000D1AEF"/>
    <w:rsid w:val="000D1C8C"/>
    <w:rsid w:val="000D1D31"/>
    <w:rsid w:val="000D1DF9"/>
    <w:rsid w:val="000D1EE1"/>
    <w:rsid w:val="000D1F0E"/>
    <w:rsid w:val="000D1F0F"/>
    <w:rsid w:val="000D1F13"/>
    <w:rsid w:val="000D1F22"/>
    <w:rsid w:val="000D1F39"/>
    <w:rsid w:val="000D1FE0"/>
    <w:rsid w:val="000D203A"/>
    <w:rsid w:val="000D2078"/>
    <w:rsid w:val="000D2136"/>
    <w:rsid w:val="000D2167"/>
    <w:rsid w:val="000D2169"/>
    <w:rsid w:val="000D2213"/>
    <w:rsid w:val="000D23AE"/>
    <w:rsid w:val="000D23D2"/>
    <w:rsid w:val="000D2464"/>
    <w:rsid w:val="000D24B0"/>
    <w:rsid w:val="000D2505"/>
    <w:rsid w:val="000D25E1"/>
    <w:rsid w:val="000D25EE"/>
    <w:rsid w:val="000D25FB"/>
    <w:rsid w:val="000D266B"/>
    <w:rsid w:val="000D278B"/>
    <w:rsid w:val="000D27BC"/>
    <w:rsid w:val="000D2806"/>
    <w:rsid w:val="000D2998"/>
    <w:rsid w:val="000D29AB"/>
    <w:rsid w:val="000D2B35"/>
    <w:rsid w:val="000D2B6A"/>
    <w:rsid w:val="000D2C09"/>
    <w:rsid w:val="000D2C8A"/>
    <w:rsid w:val="000D2C8B"/>
    <w:rsid w:val="000D2CFF"/>
    <w:rsid w:val="000D2D31"/>
    <w:rsid w:val="000D2E08"/>
    <w:rsid w:val="000D2E5C"/>
    <w:rsid w:val="000D2EAE"/>
    <w:rsid w:val="000D2F06"/>
    <w:rsid w:val="000D2F36"/>
    <w:rsid w:val="000D3025"/>
    <w:rsid w:val="000D3037"/>
    <w:rsid w:val="000D314B"/>
    <w:rsid w:val="000D316C"/>
    <w:rsid w:val="000D31BF"/>
    <w:rsid w:val="000D3248"/>
    <w:rsid w:val="000D32A5"/>
    <w:rsid w:val="000D33DA"/>
    <w:rsid w:val="000D3419"/>
    <w:rsid w:val="000D343A"/>
    <w:rsid w:val="000D34F0"/>
    <w:rsid w:val="000D350B"/>
    <w:rsid w:val="000D36AA"/>
    <w:rsid w:val="000D3773"/>
    <w:rsid w:val="000D37A5"/>
    <w:rsid w:val="000D38B4"/>
    <w:rsid w:val="000D3972"/>
    <w:rsid w:val="000D39AD"/>
    <w:rsid w:val="000D3A80"/>
    <w:rsid w:val="000D3AC6"/>
    <w:rsid w:val="000D3AE4"/>
    <w:rsid w:val="000D3BB1"/>
    <w:rsid w:val="000D3C2D"/>
    <w:rsid w:val="000D3CBB"/>
    <w:rsid w:val="000D3CF0"/>
    <w:rsid w:val="000D3CF8"/>
    <w:rsid w:val="000D4080"/>
    <w:rsid w:val="000D40F3"/>
    <w:rsid w:val="000D4122"/>
    <w:rsid w:val="000D4198"/>
    <w:rsid w:val="000D4287"/>
    <w:rsid w:val="000D4393"/>
    <w:rsid w:val="000D449A"/>
    <w:rsid w:val="000D44CB"/>
    <w:rsid w:val="000D4529"/>
    <w:rsid w:val="000D45A7"/>
    <w:rsid w:val="000D45B8"/>
    <w:rsid w:val="000D45DD"/>
    <w:rsid w:val="000D45FF"/>
    <w:rsid w:val="000D4634"/>
    <w:rsid w:val="000D46BD"/>
    <w:rsid w:val="000D46F3"/>
    <w:rsid w:val="000D476D"/>
    <w:rsid w:val="000D48CD"/>
    <w:rsid w:val="000D48FC"/>
    <w:rsid w:val="000D4938"/>
    <w:rsid w:val="000D4A63"/>
    <w:rsid w:val="000D4B39"/>
    <w:rsid w:val="000D4B77"/>
    <w:rsid w:val="000D4C00"/>
    <w:rsid w:val="000D4CAF"/>
    <w:rsid w:val="000D4D46"/>
    <w:rsid w:val="000D4D8A"/>
    <w:rsid w:val="000D4E83"/>
    <w:rsid w:val="000D4F2B"/>
    <w:rsid w:val="000D4F67"/>
    <w:rsid w:val="000D4F7F"/>
    <w:rsid w:val="000D4F9E"/>
    <w:rsid w:val="000D5029"/>
    <w:rsid w:val="000D5065"/>
    <w:rsid w:val="000D50E2"/>
    <w:rsid w:val="000D5209"/>
    <w:rsid w:val="000D527A"/>
    <w:rsid w:val="000D52E1"/>
    <w:rsid w:val="000D530E"/>
    <w:rsid w:val="000D533D"/>
    <w:rsid w:val="000D53AA"/>
    <w:rsid w:val="000D53E2"/>
    <w:rsid w:val="000D53F8"/>
    <w:rsid w:val="000D548D"/>
    <w:rsid w:val="000D5497"/>
    <w:rsid w:val="000D5550"/>
    <w:rsid w:val="000D562B"/>
    <w:rsid w:val="000D5656"/>
    <w:rsid w:val="000D58DA"/>
    <w:rsid w:val="000D59C8"/>
    <w:rsid w:val="000D5B4C"/>
    <w:rsid w:val="000D5C38"/>
    <w:rsid w:val="000D5EB3"/>
    <w:rsid w:val="000D5EF0"/>
    <w:rsid w:val="000D6075"/>
    <w:rsid w:val="000D614B"/>
    <w:rsid w:val="000D6191"/>
    <w:rsid w:val="000D6262"/>
    <w:rsid w:val="000D62FC"/>
    <w:rsid w:val="000D62FE"/>
    <w:rsid w:val="000D6333"/>
    <w:rsid w:val="000D6369"/>
    <w:rsid w:val="000D636C"/>
    <w:rsid w:val="000D6385"/>
    <w:rsid w:val="000D6401"/>
    <w:rsid w:val="000D64BB"/>
    <w:rsid w:val="000D659F"/>
    <w:rsid w:val="000D6607"/>
    <w:rsid w:val="000D6672"/>
    <w:rsid w:val="000D66BC"/>
    <w:rsid w:val="000D66F6"/>
    <w:rsid w:val="000D6744"/>
    <w:rsid w:val="000D677B"/>
    <w:rsid w:val="000D67A5"/>
    <w:rsid w:val="000D67BF"/>
    <w:rsid w:val="000D6804"/>
    <w:rsid w:val="000D686F"/>
    <w:rsid w:val="000D68CA"/>
    <w:rsid w:val="000D68D9"/>
    <w:rsid w:val="000D6953"/>
    <w:rsid w:val="000D6954"/>
    <w:rsid w:val="000D6975"/>
    <w:rsid w:val="000D6999"/>
    <w:rsid w:val="000D69DA"/>
    <w:rsid w:val="000D6A33"/>
    <w:rsid w:val="000D6ACE"/>
    <w:rsid w:val="000D6AE3"/>
    <w:rsid w:val="000D6AF0"/>
    <w:rsid w:val="000D6AF6"/>
    <w:rsid w:val="000D6B76"/>
    <w:rsid w:val="000D6B78"/>
    <w:rsid w:val="000D6BCC"/>
    <w:rsid w:val="000D6BE5"/>
    <w:rsid w:val="000D6C6E"/>
    <w:rsid w:val="000D6CDF"/>
    <w:rsid w:val="000D6D61"/>
    <w:rsid w:val="000D6EB6"/>
    <w:rsid w:val="000D6ED5"/>
    <w:rsid w:val="000D7014"/>
    <w:rsid w:val="000D7053"/>
    <w:rsid w:val="000D7059"/>
    <w:rsid w:val="000D7109"/>
    <w:rsid w:val="000D7203"/>
    <w:rsid w:val="000D720D"/>
    <w:rsid w:val="000D7257"/>
    <w:rsid w:val="000D73F4"/>
    <w:rsid w:val="000D7528"/>
    <w:rsid w:val="000D7588"/>
    <w:rsid w:val="000D7589"/>
    <w:rsid w:val="000D76B5"/>
    <w:rsid w:val="000D76D9"/>
    <w:rsid w:val="000D770E"/>
    <w:rsid w:val="000D7815"/>
    <w:rsid w:val="000D7877"/>
    <w:rsid w:val="000D7884"/>
    <w:rsid w:val="000D7897"/>
    <w:rsid w:val="000D78F4"/>
    <w:rsid w:val="000D78FF"/>
    <w:rsid w:val="000D795B"/>
    <w:rsid w:val="000D795F"/>
    <w:rsid w:val="000D79D2"/>
    <w:rsid w:val="000D7A40"/>
    <w:rsid w:val="000D7A4F"/>
    <w:rsid w:val="000D7AA4"/>
    <w:rsid w:val="000D7B46"/>
    <w:rsid w:val="000D7BA0"/>
    <w:rsid w:val="000D7BA8"/>
    <w:rsid w:val="000D7BB4"/>
    <w:rsid w:val="000D7BBC"/>
    <w:rsid w:val="000D7C32"/>
    <w:rsid w:val="000D7DDB"/>
    <w:rsid w:val="000D7E86"/>
    <w:rsid w:val="000D7E93"/>
    <w:rsid w:val="000D7F2F"/>
    <w:rsid w:val="000E003B"/>
    <w:rsid w:val="000E008C"/>
    <w:rsid w:val="000E0114"/>
    <w:rsid w:val="000E0126"/>
    <w:rsid w:val="000E0159"/>
    <w:rsid w:val="000E01BA"/>
    <w:rsid w:val="000E0201"/>
    <w:rsid w:val="000E02B7"/>
    <w:rsid w:val="000E035F"/>
    <w:rsid w:val="000E03C1"/>
    <w:rsid w:val="000E0405"/>
    <w:rsid w:val="000E0460"/>
    <w:rsid w:val="000E04AF"/>
    <w:rsid w:val="000E0658"/>
    <w:rsid w:val="000E0698"/>
    <w:rsid w:val="000E070F"/>
    <w:rsid w:val="000E072E"/>
    <w:rsid w:val="000E07C9"/>
    <w:rsid w:val="000E07EA"/>
    <w:rsid w:val="000E08AA"/>
    <w:rsid w:val="000E08BF"/>
    <w:rsid w:val="000E0931"/>
    <w:rsid w:val="000E0937"/>
    <w:rsid w:val="000E0993"/>
    <w:rsid w:val="000E09D1"/>
    <w:rsid w:val="000E0ABD"/>
    <w:rsid w:val="000E0B0B"/>
    <w:rsid w:val="000E0B1D"/>
    <w:rsid w:val="000E0B76"/>
    <w:rsid w:val="000E0BC9"/>
    <w:rsid w:val="000E0CB0"/>
    <w:rsid w:val="000E0EBC"/>
    <w:rsid w:val="000E0EE4"/>
    <w:rsid w:val="000E0F03"/>
    <w:rsid w:val="000E0F08"/>
    <w:rsid w:val="000E0F36"/>
    <w:rsid w:val="000E1013"/>
    <w:rsid w:val="000E105B"/>
    <w:rsid w:val="000E1070"/>
    <w:rsid w:val="000E11E1"/>
    <w:rsid w:val="000E1200"/>
    <w:rsid w:val="000E13B3"/>
    <w:rsid w:val="000E149B"/>
    <w:rsid w:val="000E1519"/>
    <w:rsid w:val="000E169C"/>
    <w:rsid w:val="000E1754"/>
    <w:rsid w:val="000E1877"/>
    <w:rsid w:val="000E188B"/>
    <w:rsid w:val="000E18A6"/>
    <w:rsid w:val="000E199D"/>
    <w:rsid w:val="000E19B9"/>
    <w:rsid w:val="000E1A41"/>
    <w:rsid w:val="000E1ABD"/>
    <w:rsid w:val="000E1B0E"/>
    <w:rsid w:val="000E1B66"/>
    <w:rsid w:val="000E1BED"/>
    <w:rsid w:val="000E1CA7"/>
    <w:rsid w:val="000E1E35"/>
    <w:rsid w:val="000E1E61"/>
    <w:rsid w:val="000E1F14"/>
    <w:rsid w:val="000E1FE3"/>
    <w:rsid w:val="000E203C"/>
    <w:rsid w:val="000E20C4"/>
    <w:rsid w:val="000E20E7"/>
    <w:rsid w:val="000E21E7"/>
    <w:rsid w:val="000E22C1"/>
    <w:rsid w:val="000E22FA"/>
    <w:rsid w:val="000E2472"/>
    <w:rsid w:val="000E25DD"/>
    <w:rsid w:val="000E2661"/>
    <w:rsid w:val="000E27DD"/>
    <w:rsid w:val="000E27FB"/>
    <w:rsid w:val="000E2882"/>
    <w:rsid w:val="000E2993"/>
    <w:rsid w:val="000E2A26"/>
    <w:rsid w:val="000E2B1F"/>
    <w:rsid w:val="000E2B9E"/>
    <w:rsid w:val="000E2BE1"/>
    <w:rsid w:val="000E2C19"/>
    <w:rsid w:val="000E2D36"/>
    <w:rsid w:val="000E2DB6"/>
    <w:rsid w:val="000E2DEE"/>
    <w:rsid w:val="000E2E0F"/>
    <w:rsid w:val="000E2EF4"/>
    <w:rsid w:val="000E2FC6"/>
    <w:rsid w:val="000E3036"/>
    <w:rsid w:val="000E3093"/>
    <w:rsid w:val="000E3143"/>
    <w:rsid w:val="000E3150"/>
    <w:rsid w:val="000E3183"/>
    <w:rsid w:val="000E3206"/>
    <w:rsid w:val="000E3212"/>
    <w:rsid w:val="000E3223"/>
    <w:rsid w:val="000E3247"/>
    <w:rsid w:val="000E3345"/>
    <w:rsid w:val="000E3362"/>
    <w:rsid w:val="000E337B"/>
    <w:rsid w:val="000E33BF"/>
    <w:rsid w:val="000E33E1"/>
    <w:rsid w:val="000E3450"/>
    <w:rsid w:val="000E3475"/>
    <w:rsid w:val="000E347A"/>
    <w:rsid w:val="000E34F1"/>
    <w:rsid w:val="000E34F9"/>
    <w:rsid w:val="000E3679"/>
    <w:rsid w:val="000E374B"/>
    <w:rsid w:val="000E3858"/>
    <w:rsid w:val="000E38B4"/>
    <w:rsid w:val="000E38C1"/>
    <w:rsid w:val="000E39E3"/>
    <w:rsid w:val="000E3ABA"/>
    <w:rsid w:val="000E3AFF"/>
    <w:rsid w:val="000E3BAB"/>
    <w:rsid w:val="000E3D2D"/>
    <w:rsid w:val="000E3EE2"/>
    <w:rsid w:val="000E3F30"/>
    <w:rsid w:val="000E3FA2"/>
    <w:rsid w:val="000E4098"/>
    <w:rsid w:val="000E4175"/>
    <w:rsid w:val="000E41A5"/>
    <w:rsid w:val="000E41BC"/>
    <w:rsid w:val="000E41C7"/>
    <w:rsid w:val="000E427A"/>
    <w:rsid w:val="000E42C0"/>
    <w:rsid w:val="000E431D"/>
    <w:rsid w:val="000E433F"/>
    <w:rsid w:val="000E4396"/>
    <w:rsid w:val="000E43AF"/>
    <w:rsid w:val="000E43FA"/>
    <w:rsid w:val="000E444D"/>
    <w:rsid w:val="000E4460"/>
    <w:rsid w:val="000E446F"/>
    <w:rsid w:val="000E44CB"/>
    <w:rsid w:val="000E452B"/>
    <w:rsid w:val="000E45D6"/>
    <w:rsid w:val="000E46D0"/>
    <w:rsid w:val="000E46D2"/>
    <w:rsid w:val="000E480B"/>
    <w:rsid w:val="000E480F"/>
    <w:rsid w:val="000E486B"/>
    <w:rsid w:val="000E4870"/>
    <w:rsid w:val="000E4886"/>
    <w:rsid w:val="000E489C"/>
    <w:rsid w:val="000E4971"/>
    <w:rsid w:val="000E4A34"/>
    <w:rsid w:val="000E4AF5"/>
    <w:rsid w:val="000E4BDD"/>
    <w:rsid w:val="000E4C47"/>
    <w:rsid w:val="000E4C5C"/>
    <w:rsid w:val="000E4C71"/>
    <w:rsid w:val="000E4C83"/>
    <w:rsid w:val="000E4C8E"/>
    <w:rsid w:val="000E4CF4"/>
    <w:rsid w:val="000E4D19"/>
    <w:rsid w:val="000E4D88"/>
    <w:rsid w:val="000E4DE3"/>
    <w:rsid w:val="000E4EB9"/>
    <w:rsid w:val="000E4EE6"/>
    <w:rsid w:val="000E4F0A"/>
    <w:rsid w:val="000E4F25"/>
    <w:rsid w:val="000E4FCF"/>
    <w:rsid w:val="000E500E"/>
    <w:rsid w:val="000E5102"/>
    <w:rsid w:val="000E5163"/>
    <w:rsid w:val="000E516C"/>
    <w:rsid w:val="000E517F"/>
    <w:rsid w:val="000E51A5"/>
    <w:rsid w:val="000E52C8"/>
    <w:rsid w:val="000E5350"/>
    <w:rsid w:val="000E5368"/>
    <w:rsid w:val="000E539D"/>
    <w:rsid w:val="000E5423"/>
    <w:rsid w:val="000E545F"/>
    <w:rsid w:val="000E5467"/>
    <w:rsid w:val="000E5507"/>
    <w:rsid w:val="000E5522"/>
    <w:rsid w:val="000E5554"/>
    <w:rsid w:val="000E556A"/>
    <w:rsid w:val="000E56AD"/>
    <w:rsid w:val="000E56DF"/>
    <w:rsid w:val="000E589A"/>
    <w:rsid w:val="000E590C"/>
    <w:rsid w:val="000E5995"/>
    <w:rsid w:val="000E5A03"/>
    <w:rsid w:val="000E5A0F"/>
    <w:rsid w:val="000E5A15"/>
    <w:rsid w:val="000E5A44"/>
    <w:rsid w:val="000E5AE2"/>
    <w:rsid w:val="000E5C6E"/>
    <w:rsid w:val="000E5CD1"/>
    <w:rsid w:val="000E5D33"/>
    <w:rsid w:val="000E5D49"/>
    <w:rsid w:val="000E5D5F"/>
    <w:rsid w:val="000E5E3A"/>
    <w:rsid w:val="000E5F0E"/>
    <w:rsid w:val="000E5F8B"/>
    <w:rsid w:val="000E6003"/>
    <w:rsid w:val="000E60D9"/>
    <w:rsid w:val="000E6139"/>
    <w:rsid w:val="000E6209"/>
    <w:rsid w:val="000E630F"/>
    <w:rsid w:val="000E63D3"/>
    <w:rsid w:val="000E63F2"/>
    <w:rsid w:val="000E6447"/>
    <w:rsid w:val="000E6458"/>
    <w:rsid w:val="000E64A5"/>
    <w:rsid w:val="000E652F"/>
    <w:rsid w:val="000E6530"/>
    <w:rsid w:val="000E6571"/>
    <w:rsid w:val="000E65AF"/>
    <w:rsid w:val="000E65B3"/>
    <w:rsid w:val="000E665E"/>
    <w:rsid w:val="000E6688"/>
    <w:rsid w:val="000E6711"/>
    <w:rsid w:val="000E6716"/>
    <w:rsid w:val="000E676E"/>
    <w:rsid w:val="000E68C4"/>
    <w:rsid w:val="000E68CC"/>
    <w:rsid w:val="000E695E"/>
    <w:rsid w:val="000E69BB"/>
    <w:rsid w:val="000E69E0"/>
    <w:rsid w:val="000E6A06"/>
    <w:rsid w:val="000E6B69"/>
    <w:rsid w:val="000E6B7B"/>
    <w:rsid w:val="000E6BF9"/>
    <w:rsid w:val="000E6C12"/>
    <w:rsid w:val="000E6C39"/>
    <w:rsid w:val="000E6C3A"/>
    <w:rsid w:val="000E6CF7"/>
    <w:rsid w:val="000E6D79"/>
    <w:rsid w:val="000E6DED"/>
    <w:rsid w:val="000E6E08"/>
    <w:rsid w:val="000E6E25"/>
    <w:rsid w:val="000E6E74"/>
    <w:rsid w:val="000E6EEE"/>
    <w:rsid w:val="000E6F01"/>
    <w:rsid w:val="000E7045"/>
    <w:rsid w:val="000E7080"/>
    <w:rsid w:val="000E70D1"/>
    <w:rsid w:val="000E7256"/>
    <w:rsid w:val="000E727D"/>
    <w:rsid w:val="000E727E"/>
    <w:rsid w:val="000E7309"/>
    <w:rsid w:val="000E731E"/>
    <w:rsid w:val="000E734A"/>
    <w:rsid w:val="000E736F"/>
    <w:rsid w:val="000E73A1"/>
    <w:rsid w:val="000E73C1"/>
    <w:rsid w:val="000E75BD"/>
    <w:rsid w:val="000E7752"/>
    <w:rsid w:val="000E7A08"/>
    <w:rsid w:val="000E7A81"/>
    <w:rsid w:val="000E7ABA"/>
    <w:rsid w:val="000E7B1C"/>
    <w:rsid w:val="000E7B46"/>
    <w:rsid w:val="000E7B4F"/>
    <w:rsid w:val="000E7B60"/>
    <w:rsid w:val="000E7B61"/>
    <w:rsid w:val="000E7BEB"/>
    <w:rsid w:val="000E7CC0"/>
    <w:rsid w:val="000E7D56"/>
    <w:rsid w:val="000E7D79"/>
    <w:rsid w:val="000E7DD7"/>
    <w:rsid w:val="000E7DFB"/>
    <w:rsid w:val="000E7E7B"/>
    <w:rsid w:val="000E7EB2"/>
    <w:rsid w:val="000ECDEF"/>
    <w:rsid w:val="000F0088"/>
    <w:rsid w:val="000F010D"/>
    <w:rsid w:val="000F016F"/>
    <w:rsid w:val="000F02EA"/>
    <w:rsid w:val="000F02F0"/>
    <w:rsid w:val="000F02F1"/>
    <w:rsid w:val="000F042C"/>
    <w:rsid w:val="000F046C"/>
    <w:rsid w:val="000F049B"/>
    <w:rsid w:val="000F0504"/>
    <w:rsid w:val="000F05C7"/>
    <w:rsid w:val="000F0602"/>
    <w:rsid w:val="000F0620"/>
    <w:rsid w:val="000F07B7"/>
    <w:rsid w:val="000F07F9"/>
    <w:rsid w:val="000F0843"/>
    <w:rsid w:val="000F085E"/>
    <w:rsid w:val="000F0861"/>
    <w:rsid w:val="000F09A2"/>
    <w:rsid w:val="000F0A11"/>
    <w:rsid w:val="000F0A24"/>
    <w:rsid w:val="000F0AB0"/>
    <w:rsid w:val="000F0C15"/>
    <w:rsid w:val="000F0C3A"/>
    <w:rsid w:val="000F0C50"/>
    <w:rsid w:val="000F0C5F"/>
    <w:rsid w:val="000F0C8A"/>
    <w:rsid w:val="000F0DED"/>
    <w:rsid w:val="000F0DF6"/>
    <w:rsid w:val="000F0E33"/>
    <w:rsid w:val="000F0E80"/>
    <w:rsid w:val="000F0EC4"/>
    <w:rsid w:val="000F0FF5"/>
    <w:rsid w:val="000F101D"/>
    <w:rsid w:val="000F1047"/>
    <w:rsid w:val="000F106B"/>
    <w:rsid w:val="000F10C7"/>
    <w:rsid w:val="000F117D"/>
    <w:rsid w:val="000F124B"/>
    <w:rsid w:val="000F12D1"/>
    <w:rsid w:val="000F12F9"/>
    <w:rsid w:val="000F1467"/>
    <w:rsid w:val="000F14B5"/>
    <w:rsid w:val="000F1524"/>
    <w:rsid w:val="000F1639"/>
    <w:rsid w:val="000F165E"/>
    <w:rsid w:val="000F16A7"/>
    <w:rsid w:val="000F176D"/>
    <w:rsid w:val="000F17AC"/>
    <w:rsid w:val="000F17CD"/>
    <w:rsid w:val="000F18CD"/>
    <w:rsid w:val="000F1C3B"/>
    <w:rsid w:val="000F1C3C"/>
    <w:rsid w:val="000F1CD5"/>
    <w:rsid w:val="000F1D34"/>
    <w:rsid w:val="000F1D71"/>
    <w:rsid w:val="000F1DB6"/>
    <w:rsid w:val="000F1DD3"/>
    <w:rsid w:val="000F1E2D"/>
    <w:rsid w:val="000F1EAB"/>
    <w:rsid w:val="000F1EEC"/>
    <w:rsid w:val="000F1F08"/>
    <w:rsid w:val="000F1F4A"/>
    <w:rsid w:val="000F1F8D"/>
    <w:rsid w:val="000F213F"/>
    <w:rsid w:val="000F21BF"/>
    <w:rsid w:val="000F220F"/>
    <w:rsid w:val="000F22F5"/>
    <w:rsid w:val="000F232C"/>
    <w:rsid w:val="000F23AE"/>
    <w:rsid w:val="000F2440"/>
    <w:rsid w:val="000F246F"/>
    <w:rsid w:val="000F2492"/>
    <w:rsid w:val="000F24D1"/>
    <w:rsid w:val="000F257B"/>
    <w:rsid w:val="000F25F6"/>
    <w:rsid w:val="000F265D"/>
    <w:rsid w:val="000F271F"/>
    <w:rsid w:val="000F2862"/>
    <w:rsid w:val="000F286D"/>
    <w:rsid w:val="000F2891"/>
    <w:rsid w:val="000F29D1"/>
    <w:rsid w:val="000F2AA7"/>
    <w:rsid w:val="000F2B6F"/>
    <w:rsid w:val="000F2C34"/>
    <w:rsid w:val="000F2C7D"/>
    <w:rsid w:val="000F2C9C"/>
    <w:rsid w:val="000F2CCC"/>
    <w:rsid w:val="000F2CEC"/>
    <w:rsid w:val="000F2D98"/>
    <w:rsid w:val="000F2DB5"/>
    <w:rsid w:val="000F2E4A"/>
    <w:rsid w:val="000F2E9C"/>
    <w:rsid w:val="000F2F68"/>
    <w:rsid w:val="000F3041"/>
    <w:rsid w:val="000F30D6"/>
    <w:rsid w:val="000F3107"/>
    <w:rsid w:val="000F31A1"/>
    <w:rsid w:val="000F31B2"/>
    <w:rsid w:val="000F324C"/>
    <w:rsid w:val="000F32A2"/>
    <w:rsid w:val="000F32C0"/>
    <w:rsid w:val="000F33D0"/>
    <w:rsid w:val="000F340C"/>
    <w:rsid w:val="000F349F"/>
    <w:rsid w:val="000F34FE"/>
    <w:rsid w:val="000F3527"/>
    <w:rsid w:val="000F354E"/>
    <w:rsid w:val="000F35EF"/>
    <w:rsid w:val="000F371F"/>
    <w:rsid w:val="000F3725"/>
    <w:rsid w:val="000F372B"/>
    <w:rsid w:val="000F37F2"/>
    <w:rsid w:val="000F38FB"/>
    <w:rsid w:val="000F3B61"/>
    <w:rsid w:val="000F3BA5"/>
    <w:rsid w:val="000F3D09"/>
    <w:rsid w:val="000F3EB3"/>
    <w:rsid w:val="000F3F8A"/>
    <w:rsid w:val="000F4008"/>
    <w:rsid w:val="000F4038"/>
    <w:rsid w:val="000F4043"/>
    <w:rsid w:val="000F4064"/>
    <w:rsid w:val="000F4100"/>
    <w:rsid w:val="000F410A"/>
    <w:rsid w:val="000F4220"/>
    <w:rsid w:val="000F426C"/>
    <w:rsid w:val="000F42C4"/>
    <w:rsid w:val="000F4316"/>
    <w:rsid w:val="000F431F"/>
    <w:rsid w:val="000F436C"/>
    <w:rsid w:val="000F4472"/>
    <w:rsid w:val="000F44EB"/>
    <w:rsid w:val="000F44F7"/>
    <w:rsid w:val="000F450F"/>
    <w:rsid w:val="000F4565"/>
    <w:rsid w:val="000F459A"/>
    <w:rsid w:val="000F45C1"/>
    <w:rsid w:val="000F45C8"/>
    <w:rsid w:val="000F4679"/>
    <w:rsid w:val="000F46AF"/>
    <w:rsid w:val="000F46E9"/>
    <w:rsid w:val="000F497E"/>
    <w:rsid w:val="000F4AAC"/>
    <w:rsid w:val="000F4ACF"/>
    <w:rsid w:val="000F4B21"/>
    <w:rsid w:val="000F4C69"/>
    <w:rsid w:val="000F4D4F"/>
    <w:rsid w:val="000F4F08"/>
    <w:rsid w:val="000F4F24"/>
    <w:rsid w:val="000F508D"/>
    <w:rsid w:val="000F50B8"/>
    <w:rsid w:val="000F5248"/>
    <w:rsid w:val="000F542A"/>
    <w:rsid w:val="000F54B4"/>
    <w:rsid w:val="000F54F0"/>
    <w:rsid w:val="000F55A2"/>
    <w:rsid w:val="000F566C"/>
    <w:rsid w:val="000F575C"/>
    <w:rsid w:val="000F5A35"/>
    <w:rsid w:val="000F5AD1"/>
    <w:rsid w:val="000F5B85"/>
    <w:rsid w:val="000F5B9A"/>
    <w:rsid w:val="000F5BA8"/>
    <w:rsid w:val="000F5BB7"/>
    <w:rsid w:val="000F5BD1"/>
    <w:rsid w:val="000F5C96"/>
    <w:rsid w:val="000F5CBF"/>
    <w:rsid w:val="000F5CD4"/>
    <w:rsid w:val="000F5E4D"/>
    <w:rsid w:val="000F5F2E"/>
    <w:rsid w:val="000F5F3F"/>
    <w:rsid w:val="000F6068"/>
    <w:rsid w:val="000F62F3"/>
    <w:rsid w:val="000F6358"/>
    <w:rsid w:val="000F638C"/>
    <w:rsid w:val="000F6438"/>
    <w:rsid w:val="000F64EC"/>
    <w:rsid w:val="000F652B"/>
    <w:rsid w:val="000F66BC"/>
    <w:rsid w:val="000F66D4"/>
    <w:rsid w:val="000F6792"/>
    <w:rsid w:val="000F681B"/>
    <w:rsid w:val="000F687D"/>
    <w:rsid w:val="000F6885"/>
    <w:rsid w:val="000F6891"/>
    <w:rsid w:val="000F68BC"/>
    <w:rsid w:val="000F68F6"/>
    <w:rsid w:val="000F68F7"/>
    <w:rsid w:val="000F695C"/>
    <w:rsid w:val="000F6974"/>
    <w:rsid w:val="000F6A28"/>
    <w:rsid w:val="000F6A54"/>
    <w:rsid w:val="000F6A6C"/>
    <w:rsid w:val="000F6A83"/>
    <w:rsid w:val="000F6AE2"/>
    <w:rsid w:val="000F6B1B"/>
    <w:rsid w:val="000F6C1C"/>
    <w:rsid w:val="000F6CF6"/>
    <w:rsid w:val="000F6D4A"/>
    <w:rsid w:val="000F6D5F"/>
    <w:rsid w:val="000F6D87"/>
    <w:rsid w:val="000F6D93"/>
    <w:rsid w:val="000F6DB5"/>
    <w:rsid w:val="000F6DC4"/>
    <w:rsid w:val="000F6DEF"/>
    <w:rsid w:val="000F6E00"/>
    <w:rsid w:val="000F6E30"/>
    <w:rsid w:val="000F6E66"/>
    <w:rsid w:val="000F6ECF"/>
    <w:rsid w:val="000F6ED0"/>
    <w:rsid w:val="000F6F5D"/>
    <w:rsid w:val="000F6F66"/>
    <w:rsid w:val="000F6F8C"/>
    <w:rsid w:val="000F6FF9"/>
    <w:rsid w:val="000F702E"/>
    <w:rsid w:val="000F7100"/>
    <w:rsid w:val="000F7124"/>
    <w:rsid w:val="000F71B1"/>
    <w:rsid w:val="000F725F"/>
    <w:rsid w:val="000F7276"/>
    <w:rsid w:val="000F7297"/>
    <w:rsid w:val="000F72D7"/>
    <w:rsid w:val="000F7363"/>
    <w:rsid w:val="000F7418"/>
    <w:rsid w:val="000F7452"/>
    <w:rsid w:val="000F7462"/>
    <w:rsid w:val="000F7495"/>
    <w:rsid w:val="000F74DA"/>
    <w:rsid w:val="000F7539"/>
    <w:rsid w:val="000F75AA"/>
    <w:rsid w:val="000F75B3"/>
    <w:rsid w:val="000F75FC"/>
    <w:rsid w:val="000F7617"/>
    <w:rsid w:val="000F76E0"/>
    <w:rsid w:val="000F7897"/>
    <w:rsid w:val="000F796B"/>
    <w:rsid w:val="000F799E"/>
    <w:rsid w:val="000F79AE"/>
    <w:rsid w:val="000F7A6B"/>
    <w:rsid w:val="000F7AC9"/>
    <w:rsid w:val="000F7BAC"/>
    <w:rsid w:val="000F7C98"/>
    <w:rsid w:val="000F7D9E"/>
    <w:rsid w:val="000F7DE8"/>
    <w:rsid w:val="000F7EA9"/>
    <w:rsid w:val="000F7EDA"/>
    <w:rsid w:val="000F7F2B"/>
    <w:rsid w:val="000F7F88"/>
    <w:rsid w:val="00100045"/>
    <w:rsid w:val="0010009F"/>
    <w:rsid w:val="0010015C"/>
    <w:rsid w:val="001001EF"/>
    <w:rsid w:val="001001F9"/>
    <w:rsid w:val="00100253"/>
    <w:rsid w:val="00100303"/>
    <w:rsid w:val="001003DA"/>
    <w:rsid w:val="00100419"/>
    <w:rsid w:val="0010041B"/>
    <w:rsid w:val="001004C2"/>
    <w:rsid w:val="0010058C"/>
    <w:rsid w:val="001006D7"/>
    <w:rsid w:val="001006F2"/>
    <w:rsid w:val="00100779"/>
    <w:rsid w:val="00100787"/>
    <w:rsid w:val="0010081A"/>
    <w:rsid w:val="00100890"/>
    <w:rsid w:val="00100895"/>
    <w:rsid w:val="001009FD"/>
    <w:rsid w:val="00100A07"/>
    <w:rsid w:val="00100A5B"/>
    <w:rsid w:val="00100B06"/>
    <w:rsid w:val="00100B28"/>
    <w:rsid w:val="00100CB1"/>
    <w:rsid w:val="00100CFB"/>
    <w:rsid w:val="00100D46"/>
    <w:rsid w:val="00100D8B"/>
    <w:rsid w:val="00100D98"/>
    <w:rsid w:val="00100E00"/>
    <w:rsid w:val="00100E07"/>
    <w:rsid w:val="00100E6D"/>
    <w:rsid w:val="00100F13"/>
    <w:rsid w:val="00100F41"/>
    <w:rsid w:val="00100F5E"/>
    <w:rsid w:val="00100F7B"/>
    <w:rsid w:val="00100F8C"/>
    <w:rsid w:val="00100FB9"/>
    <w:rsid w:val="00101108"/>
    <w:rsid w:val="0010113D"/>
    <w:rsid w:val="00101170"/>
    <w:rsid w:val="00101298"/>
    <w:rsid w:val="001012EA"/>
    <w:rsid w:val="0010130F"/>
    <w:rsid w:val="0010135B"/>
    <w:rsid w:val="0010137B"/>
    <w:rsid w:val="00101482"/>
    <w:rsid w:val="001014E6"/>
    <w:rsid w:val="00101511"/>
    <w:rsid w:val="001015A6"/>
    <w:rsid w:val="00101732"/>
    <w:rsid w:val="001017A8"/>
    <w:rsid w:val="001017C0"/>
    <w:rsid w:val="00101856"/>
    <w:rsid w:val="0010194D"/>
    <w:rsid w:val="001019F8"/>
    <w:rsid w:val="00101A5F"/>
    <w:rsid w:val="00101A7E"/>
    <w:rsid w:val="00101BB8"/>
    <w:rsid w:val="00101BEF"/>
    <w:rsid w:val="00101C21"/>
    <w:rsid w:val="00101C2F"/>
    <w:rsid w:val="00101CCB"/>
    <w:rsid w:val="00101E90"/>
    <w:rsid w:val="00101F49"/>
    <w:rsid w:val="0010201B"/>
    <w:rsid w:val="00102114"/>
    <w:rsid w:val="001021CB"/>
    <w:rsid w:val="001021D7"/>
    <w:rsid w:val="001021F3"/>
    <w:rsid w:val="00102323"/>
    <w:rsid w:val="00102327"/>
    <w:rsid w:val="00102358"/>
    <w:rsid w:val="0010249D"/>
    <w:rsid w:val="00102547"/>
    <w:rsid w:val="00102664"/>
    <w:rsid w:val="0010266B"/>
    <w:rsid w:val="00102677"/>
    <w:rsid w:val="001026EA"/>
    <w:rsid w:val="00102717"/>
    <w:rsid w:val="001027F5"/>
    <w:rsid w:val="0010283E"/>
    <w:rsid w:val="00102876"/>
    <w:rsid w:val="001028E6"/>
    <w:rsid w:val="00102943"/>
    <w:rsid w:val="00102989"/>
    <w:rsid w:val="001029A2"/>
    <w:rsid w:val="00102A96"/>
    <w:rsid w:val="00102AA7"/>
    <w:rsid w:val="00102B6A"/>
    <w:rsid w:val="00102B99"/>
    <w:rsid w:val="00102BB0"/>
    <w:rsid w:val="00102C89"/>
    <w:rsid w:val="00102E64"/>
    <w:rsid w:val="00102EB4"/>
    <w:rsid w:val="00102F90"/>
    <w:rsid w:val="00102FD4"/>
    <w:rsid w:val="00102FD8"/>
    <w:rsid w:val="00102FDF"/>
    <w:rsid w:val="00103017"/>
    <w:rsid w:val="0010318F"/>
    <w:rsid w:val="001031CB"/>
    <w:rsid w:val="001032BB"/>
    <w:rsid w:val="001033B1"/>
    <w:rsid w:val="00103411"/>
    <w:rsid w:val="0010343E"/>
    <w:rsid w:val="00103493"/>
    <w:rsid w:val="00103543"/>
    <w:rsid w:val="001035DA"/>
    <w:rsid w:val="00103660"/>
    <w:rsid w:val="001037AC"/>
    <w:rsid w:val="00103862"/>
    <w:rsid w:val="001038AE"/>
    <w:rsid w:val="001038C3"/>
    <w:rsid w:val="00103A5F"/>
    <w:rsid w:val="00103A91"/>
    <w:rsid w:val="00103AC7"/>
    <w:rsid w:val="00103AFF"/>
    <w:rsid w:val="00103B33"/>
    <w:rsid w:val="00103DBA"/>
    <w:rsid w:val="00103E69"/>
    <w:rsid w:val="00103E73"/>
    <w:rsid w:val="00103EEB"/>
    <w:rsid w:val="00103EEF"/>
    <w:rsid w:val="00103F57"/>
    <w:rsid w:val="00103F64"/>
    <w:rsid w:val="00103F65"/>
    <w:rsid w:val="00104040"/>
    <w:rsid w:val="00104048"/>
    <w:rsid w:val="001040AC"/>
    <w:rsid w:val="00104174"/>
    <w:rsid w:val="0010419E"/>
    <w:rsid w:val="00104230"/>
    <w:rsid w:val="00104255"/>
    <w:rsid w:val="001042E8"/>
    <w:rsid w:val="00104471"/>
    <w:rsid w:val="00104480"/>
    <w:rsid w:val="00104497"/>
    <w:rsid w:val="00104520"/>
    <w:rsid w:val="00104571"/>
    <w:rsid w:val="001045CF"/>
    <w:rsid w:val="00104612"/>
    <w:rsid w:val="0010465B"/>
    <w:rsid w:val="00104768"/>
    <w:rsid w:val="00104776"/>
    <w:rsid w:val="0010479D"/>
    <w:rsid w:val="001047B5"/>
    <w:rsid w:val="00104804"/>
    <w:rsid w:val="00104806"/>
    <w:rsid w:val="0010487A"/>
    <w:rsid w:val="001048A9"/>
    <w:rsid w:val="00104994"/>
    <w:rsid w:val="001049AC"/>
    <w:rsid w:val="00104A1B"/>
    <w:rsid w:val="00104AD2"/>
    <w:rsid w:val="00104AF3"/>
    <w:rsid w:val="00104D55"/>
    <w:rsid w:val="00104DB5"/>
    <w:rsid w:val="00104DCB"/>
    <w:rsid w:val="00104DEA"/>
    <w:rsid w:val="00104EC4"/>
    <w:rsid w:val="00104F35"/>
    <w:rsid w:val="00104F7F"/>
    <w:rsid w:val="001050B5"/>
    <w:rsid w:val="0010519B"/>
    <w:rsid w:val="001052BC"/>
    <w:rsid w:val="001052DB"/>
    <w:rsid w:val="00105300"/>
    <w:rsid w:val="001053C1"/>
    <w:rsid w:val="001054DE"/>
    <w:rsid w:val="00105500"/>
    <w:rsid w:val="00105614"/>
    <w:rsid w:val="00105634"/>
    <w:rsid w:val="001057C9"/>
    <w:rsid w:val="00105A37"/>
    <w:rsid w:val="00105AE9"/>
    <w:rsid w:val="00105BA8"/>
    <w:rsid w:val="00105C3D"/>
    <w:rsid w:val="00105C3F"/>
    <w:rsid w:val="00105C5D"/>
    <w:rsid w:val="00105D1B"/>
    <w:rsid w:val="00105EA7"/>
    <w:rsid w:val="00105F7B"/>
    <w:rsid w:val="00105FA2"/>
    <w:rsid w:val="00106009"/>
    <w:rsid w:val="00106018"/>
    <w:rsid w:val="00106041"/>
    <w:rsid w:val="001060A3"/>
    <w:rsid w:val="001060BF"/>
    <w:rsid w:val="0010616B"/>
    <w:rsid w:val="0010619C"/>
    <w:rsid w:val="00106273"/>
    <w:rsid w:val="001062A4"/>
    <w:rsid w:val="001062FE"/>
    <w:rsid w:val="00106323"/>
    <w:rsid w:val="001063CF"/>
    <w:rsid w:val="001063FA"/>
    <w:rsid w:val="00106422"/>
    <w:rsid w:val="001064C4"/>
    <w:rsid w:val="001064F6"/>
    <w:rsid w:val="00106512"/>
    <w:rsid w:val="00106544"/>
    <w:rsid w:val="00106592"/>
    <w:rsid w:val="0010660A"/>
    <w:rsid w:val="0010665D"/>
    <w:rsid w:val="001066E8"/>
    <w:rsid w:val="00106714"/>
    <w:rsid w:val="00106737"/>
    <w:rsid w:val="001067D6"/>
    <w:rsid w:val="001068CB"/>
    <w:rsid w:val="001068FC"/>
    <w:rsid w:val="001069AC"/>
    <w:rsid w:val="001069DD"/>
    <w:rsid w:val="00106A2E"/>
    <w:rsid w:val="00106B5C"/>
    <w:rsid w:val="00106B76"/>
    <w:rsid w:val="00106BE7"/>
    <w:rsid w:val="00106D25"/>
    <w:rsid w:val="00106D9E"/>
    <w:rsid w:val="00106E12"/>
    <w:rsid w:val="00106E1F"/>
    <w:rsid w:val="00106E87"/>
    <w:rsid w:val="00106FF4"/>
    <w:rsid w:val="0010703E"/>
    <w:rsid w:val="00107058"/>
    <w:rsid w:val="001072CF"/>
    <w:rsid w:val="00107331"/>
    <w:rsid w:val="00107355"/>
    <w:rsid w:val="0010741D"/>
    <w:rsid w:val="00107730"/>
    <w:rsid w:val="001079BA"/>
    <w:rsid w:val="001079C6"/>
    <w:rsid w:val="00107A4D"/>
    <w:rsid w:val="00107A89"/>
    <w:rsid w:val="00107BCC"/>
    <w:rsid w:val="00107BCE"/>
    <w:rsid w:val="00107BDF"/>
    <w:rsid w:val="00107C72"/>
    <w:rsid w:val="00107CD6"/>
    <w:rsid w:val="00107E25"/>
    <w:rsid w:val="00107ED5"/>
    <w:rsid w:val="00107F4E"/>
    <w:rsid w:val="00107F6A"/>
    <w:rsid w:val="00107FD3"/>
    <w:rsid w:val="00110042"/>
    <w:rsid w:val="00110087"/>
    <w:rsid w:val="001100A5"/>
    <w:rsid w:val="001100E8"/>
    <w:rsid w:val="0011011E"/>
    <w:rsid w:val="00110397"/>
    <w:rsid w:val="0011046C"/>
    <w:rsid w:val="001104AF"/>
    <w:rsid w:val="00110500"/>
    <w:rsid w:val="0011050C"/>
    <w:rsid w:val="0011068E"/>
    <w:rsid w:val="00110770"/>
    <w:rsid w:val="001107D9"/>
    <w:rsid w:val="001108F4"/>
    <w:rsid w:val="001109DF"/>
    <w:rsid w:val="001109F8"/>
    <w:rsid w:val="00110A01"/>
    <w:rsid w:val="00110A10"/>
    <w:rsid w:val="00110A44"/>
    <w:rsid w:val="00110A53"/>
    <w:rsid w:val="00110A59"/>
    <w:rsid w:val="00110A64"/>
    <w:rsid w:val="00110AAC"/>
    <w:rsid w:val="00110B2F"/>
    <w:rsid w:val="00110B50"/>
    <w:rsid w:val="00110B88"/>
    <w:rsid w:val="00110BAE"/>
    <w:rsid w:val="00110C65"/>
    <w:rsid w:val="00110E21"/>
    <w:rsid w:val="00110F8C"/>
    <w:rsid w:val="0011101A"/>
    <w:rsid w:val="00111160"/>
    <w:rsid w:val="001111BE"/>
    <w:rsid w:val="001111D6"/>
    <w:rsid w:val="001111F3"/>
    <w:rsid w:val="0011133D"/>
    <w:rsid w:val="001114AF"/>
    <w:rsid w:val="001114CB"/>
    <w:rsid w:val="00111555"/>
    <w:rsid w:val="0011155E"/>
    <w:rsid w:val="001116DE"/>
    <w:rsid w:val="00111724"/>
    <w:rsid w:val="00111726"/>
    <w:rsid w:val="00111738"/>
    <w:rsid w:val="0011175D"/>
    <w:rsid w:val="001117FA"/>
    <w:rsid w:val="00111917"/>
    <w:rsid w:val="00111A0D"/>
    <w:rsid w:val="00111A1A"/>
    <w:rsid w:val="00111A31"/>
    <w:rsid w:val="00111A41"/>
    <w:rsid w:val="00111A56"/>
    <w:rsid w:val="00111A8A"/>
    <w:rsid w:val="00111B3C"/>
    <w:rsid w:val="00111B73"/>
    <w:rsid w:val="00111BB4"/>
    <w:rsid w:val="00111C2D"/>
    <w:rsid w:val="00111D21"/>
    <w:rsid w:val="00111D84"/>
    <w:rsid w:val="00111D8A"/>
    <w:rsid w:val="00111D9E"/>
    <w:rsid w:val="00111EE0"/>
    <w:rsid w:val="00111FEC"/>
    <w:rsid w:val="00112088"/>
    <w:rsid w:val="00112099"/>
    <w:rsid w:val="001120A1"/>
    <w:rsid w:val="00112112"/>
    <w:rsid w:val="00112266"/>
    <w:rsid w:val="001122B0"/>
    <w:rsid w:val="00112312"/>
    <w:rsid w:val="00112377"/>
    <w:rsid w:val="0011238D"/>
    <w:rsid w:val="0011244E"/>
    <w:rsid w:val="00112609"/>
    <w:rsid w:val="00112637"/>
    <w:rsid w:val="00112639"/>
    <w:rsid w:val="00112686"/>
    <w:rsid w:val="001126AA"/>
    <w:rsid w:val="00112750"/>
    <w:rsid w:val="00112754"/>
    <w:rsid w:val="001127ED"/>
    <w:rsid w:val="00112817"/>
    <w:rsid w:val="0011281C"/>
    <w:rsid w:val="001128BA"/>
    <w:rsid w:val="00112A12"/>
    <w:rsid w:val="00112AE7"/>
    <w:rsid w:val="00112B0E"/>
    <w:rsid w:val="00112C23"/>
    <w:rsid w:val="00112C5D"/>
    <w:rsid w:val="00112C91"/>
    <w:rsid w:val="00112D18"/>
    <w:rsid w:val="00112D52"/>
    <w:rsid w:val="00112E33"/>
    <w:rsid w:val="00112EEF"/>
    <w:rsid w:val="00112EF3"/>
    <w:rsid w:val="00112F33"/>
    <w:rsid w:val="00112FA5"/>
    <w:rsid w:val="0011302B"/>
    <w:rsid w:val="00113037"/>
    <w:rsid w:val="0011303A"/>
    <w:rsid w:val="001130C5"/>
    <w:rsid w:val="00113116"/>
    <w:rsid w:val="00113179"/>
    <w:rsid w:val="001131B0"/>
    <w:rsid w:val="001132BC"/>
    <w:rsid w:val="001132E3"/>
    <w:rsid w:val="00113378"/>
    <w:rsid w:val="0011341B"/>
    <w:rsid w:val="00113421"/>
    <w:rsid w:val="00113470"/>
    <w:rsid w:val="0011350B"/>
    <w:rsid w:val="0011352C"/>
    <w:rsid w:val="001135D1"/>
    <w:rsid w:val="001135D5"/>
    <w:rsid w:val="00113802"/>
    <w:rsid w:val="001139CE"/>
    <w:rsid w:val="001139D3"/>
    <w:rsid w:val="00113A3C"/>
    <w:rsid w:val="00113A78"/>
    <w:rsid w:val="00113BCD"/>
    <w:rsid w:val="00113DD8"/>
    <w:rsid w:val="00113E22"/>
    <w:rsid w:val="00113E55"/>
    <w:rsid w:val="00113E8E"/>
    <w:rsid w:val="00113E94"/>
    <w:rsid w:val="00113EE4"/>
    <w:rsid w:val="00113F40"/>
    <w:rsid w:val="00113F4F"/>
    <w:rsid w:val="00114017"/>
    <w:rsid w:val="001140A0"/>
    <w:rsid w:val="00114153"/>
    <w:rsid w:val="001141C4"/>
    <w:rsid w:val="0011425B"/>
    <w:rsid w:val="001142CD"/>
    <w:rsid w:val="00114302"/>
    <w:rsid w:val="00114351"/>
    <w:rsid w:val="00114424"/>
    <w:rsid w:val="001144B3"/>
    <w:rsid w:val="00114666"/>
    <w:rsid w:val="0011469A"/>
    <w:rsid w:val="00114906"/>
    <w:rsid w:val="0011498C"/>
    <w:rsid w:val="00114A26"/>
    <w:rsid w:val="00114A43"/>
    <w:rsid w:val="00114A45"/>
    <w:rsid w:val="00114A78"/>
    <w:rsid w:val="00114AE1"/>
    <w:rsid w:val="00114B6A"/>
    <w:rsid w:val="00114BF5"/>
    <w:rsid w:val="00114C4C"/>
    <w:rsid w:val="00114D1E"/>
    <w:rsid w:val="00114D84"/>
    <w:rsid w:val="00114E04"/>
    <w:rsid w:val="00114E4E"/>
    <w:rsid w:val="00114E98"/>
    <w:rsid w:val="00114EBD"/>
    <w:rsid w:val="00114F6F"/>
    <w:rsid w:val="00114FBF"/>
    <w:rsid w:val="001150B7"/>
    <w:rsid w:val="0011526F"/>
    <w:rsid w:val="00115281"/>
    <w:rsid w:val="00115350"/>
    <w:rsid w:val="00115380"/>
    <w:rsid w:val="001155B4"/>
    <w:rsid w:val="00115684"/>
    <w:rsid w:val="001157E7"/>
    <w:rsid w:val="00115846"/>
    <w:rsid w:val="001158BF"/>
    <w:rsid w:val="00115918"/>
    <w:rsid w:val="00115941"/>
    <w:rsid w:val="0011596C"/>
    <w:rsid w:val="00115985"/>
    <w:rsid w:val="00115A68"/>
    <w:rsid w:val="00115B07"/>
    <w:rsid w:val="00115B65"/>
    <w:rsid w:val="00115BC5"/>
    <w:rsid w:val="00115BF1"/>
    <w:rsid w:val="00115CEE"/>
    <w:rsid w:val="00115DF9"/>
    <w:rsid w:val="00115F01"/>
    <w:rsid w:val="00116277"/>
    <w:rsid w:val="0011628D"/>
    <w:rsid w:val="001162A5"/>
    <w:rsid w:val="001162AA"/>
    <w:rsid w:val="001162C4"/>
    <w:rsid w:val="0011633F"/>
    <w:rsid w:val="001163D1"/>
    <w:rsid w:val="0011649E"/>
    <w:rsid w:val="001164C1"/>
    <w:rsid w:val="00116506"/>
    <w:rsid w:val="00116600"/>
    <w:rsid w:val="00116673"/>
    <w:rsid w:val="001166B5"/>
    <w:rsid w:val="00116744"/>
    <w:rsid w:val="00116829"/>
    <w:rsid w:val="0011682E"/>
    <w:rsid w:val="00116899"/>
    <w:rsid w:val="001168DC"/>
    <w:rsid w:val="0011699B"/>
    <w:rsid w:val="00116A6C"/>
    <w:rsid w:val="00116D8E"/>
    <w:rsid w:val="00116DA9"/>
    <w:rsid w:val="00116E10"/>
    <w:rsid w:val="00116F0C"/>
    <w:rsid w:val="00116F67"/>
    <w:rsid w:val="00116FA6"/>
    <w:rsid w:val="00117041"/>
    <w:rsid w:val="0011704E"/>
    <w:rsid w:val="001170F9"/>
    <w:rsid w:val="001171AD"/>
    <w:rsid w:val="00117218"/>
    <w:rsid w:val="00117289"/>
    <w:rsid w:val="001173A4"/>
    <w:rsid w:val="00117408"/>
    <w:rsid w:val="00117513"/>
    <w:rsid w:val="0011757D"/>
    <w:rsid w:val="001175F9"/>
    <w:rsid w:val="0011767C"/>
    <w:rsid w:val="001176AE"/>
    <w:rsid w:val="0011773B"/>
    <w:rsid w:val="00117881"/>
    <w:rsid w:val="001178A4"/>
    <w:rsid w:val="001179A0"/>
    <w:rsid w:val="00117A39"/>
    <w:rsid w:val="00117A8E"/>
    <w:rsid w:val="00117C3D"/>
    <w:rsid w:val="00117CA6"/>
    <w:rsid w:val="00117CAB"/>
    <w:rsid w:val="00117CC6"/>
    <w:rsid w:val="00117DA1"/>
    <w:rsid w:val="00117E6F"/>
    <w:rsid w:val="00117F3A"/>
    <w:rsid w:val="00117F5B"/>
    <w:rsid w:val="00117FB9"/>
    <w:rsid w:val="00120006"/>
    <w:rsid w:val="00120195"/>
    <w:rsid w:val="0012019F"/>
    <w:rsid w:val="001202BD"/>
    <w:rsid w:val="001202C3"/>
    <w:rsid w:val="001203F1"/>
    <w:rsid w:val="00120400"/>
    <w:rsid w:val="001204AD"/>
    <w:rsid w:val="001204E7"/>
    <w:rsid w:val="0012055B"/>
    <w:rsid w:val="001205F2"/>
    <w:rsid w:val="0012070A"/>
    <w:rsid w:val="00120735"/>
    <w:rsid w:val="00120751"/>
    <w:rsid w:val="00120789"/>
    <w:rsid w:val="0012081D"/>
    <w:rsid w:val="0012090E"/>
    <w:rsid w:val="00120A09"/>
    <w:rsid w:val="00120A9E"/>
    <w:rsid w:val="00120AC8"/>
    <w:rsid w:val="00120C06"/>
    <w:rsid w:val="00120C80"/>
    <w:rsid w:val="00120D9D"/>
    <w:rsid w:val="00120DF0"/>
    <w:rsid w:val="00120E48"/>
    <w:rsid w:val="00120EE2"/>
    <w:rsid w:val="001210EB"/>
    <w:rsid w:val="00121198"/>
    <w:rsid w:val="001211DF"/>
    <w:rsid w:val="00121262"/>
    <w:rsid w:val="00121288"/>
    <w:rsid w:val="001213DE"/>
    <w:rsid w:val="00121453"/>
    <w:rsid w:val="00121478"/>
    <w:rsid w:val="00121569"/>
    <w:rsid w:val="00121573"/>
    <w:rsid w:val="001216AB"/>
    <w:rsid w:val="001216E4"/>
    <w:rsid w:val="00121731"/>
    <w:rsid w:val="001217B2"/>
    <w:rsid w:val="001218EF"/>
    <w:rsid w:val="00121900"/>
    <w:rsid w:val="00121926"/>
    <w:rsid w:val="00121A9D"/>
    <w:rsid w:val="00121B51"/>
    <w:rsid w:val="00121B77"/>
    <w:rsid w:val="00121B9A"/>
    <w:rsid w:val="00121C3F"/>
    <w:rsid w:val="00121C42"/>
    <w:rsid w:val="00121D42"/>
    <w:rsid w:val="00121F4D"/>
    <w:rsid w:val="00121F53"/>
    <w:rsid w:val="00121FA2"/>
    <w:rsid w:val="00121FC3"/>
    <w:rsid w:val="0012203D"/>
    <w:rsid w:val="001220A5"/>
    <w:rsid w:val="001220C5"/>
    <w:rsid w:val="00122152"/>
    <w:rsid w:val="0012244C"/>
    <w:rsid w:val="001225F3"/>
    <w:rsid w:val="00122682"/>
    <w:rsid w:val="001226A0"/>
    <w:rsid w:val="001226CB"/>
    <w:rsid w:val="00122772"/>
    <w:rsid w:val="0012279B"/>
    <w:rsid w:val="00122826"/>
    <w:rsid w:val="00122B08"/>
    <w:rsid w:val="00122D02"/>
    <w:rsid w:val="00122D71"/>
    <w:rsid w:val="00122DA5"/>
    <w:rsid w:val="00122EE0"/>
    <w:rsid w:val="00122F1B"/>
    <w:rsid w:val="00122F34"/>
    <w:rsid w:val="00122F57"/>
    <w:rsid w:val="00122FA7"/>
    <w:rsid w:val="00123154"/>
    <w:rsid w:val="00123156"/>
    <w:rsid w:val="00123217"/>
    <w:rsid w:val="00123242"/>
    <w:rsid w:val="0012325A"/>
    <w:rsid w:val="001232CB"/>
    <w:rsid w:val="0012330C"/>
    <w:rsid w:val="0012332B"/>
    <w:rsid w:val="001233B5"/>
    <w:rsid w:val="0012359C"/>
    <w:rsid w:val="0012369C"/>
    <w:rsid w:val="00123773"/>
    <w:rsid w:val="0012377C"/>
    <w:rsid w:val="001237AF"/>
    <w:rsid w:val="001237C8"/>
    <w:rsid w:val="00123812"/>
    <w:rsid w:val="00123814"/>
    <w:rsid w:val="0012382C"/>
    <w:rsid w:val="0012383C"/>
    <w:rsid w:val="00123982"/>
    <w:rsid w:val="001239F7"/>
    <w:rsid w:val="00123A2B"/>
    <w:rsid w:val="00123AA4"/>
    <w:rsid w:val="00123B00"/>
    <w:rsid w:val="00123B61"/>
    <w:rsid w:val="00123D16"/>
    <w:rsid w:val="00123D70"/>
    <w:rsid w:val="00123DF8"/>
    <w:rsid w:val="00123E0B"/>
    <w:rsid w:val="00123E6F"/>
    <w:rsid w:val="00123EFE"/>
    <w:rsid w:val="00123F14"/>
    <w:rsid w:val="00123F73"/>
    <w:rsid w:val="00124012"/>
    <w:rsid w:val="00124025"/>
    <w:rsid w:val="00124036"/>
    <w:rsid w:val="001240D2"/>
    <w:rsid w:val="00124185"/>
    <w:rsid w:val="001242A6"/>
    <w:rsid w:val="001242E2"/>
    <w:rsid w:val="00124300"/>
    <w:rsid w:val="0012431F"/>
    <w:rsid w:val="00124374"/>
    <w:rsid w:val="001243BF"/>
    <w:rsid w:val="00124476"/>
    <w:rsid w:val="0012469E"/>
    <w:rsid w:val="001246D7"/>
    <w:rsid w:val="0012472C"/>
    <w:rsid w:val="00124730"/>
    <w:rsid w:val="001247AB"/>
    <w:rsid w:val="00124856"/>
    <w:rsid w:val="00124872"/>
    <w:rsid w:val="001248B0"/>
    <w:rsid w:val="0012492D"/>
    <w:rsid w:val="00124AAA"/>
    <w:rsid w:val="00124B68"/>
    <w:rsid w:val="00124BA8"/>
    <w:rsid w:val="00124BF8"/>
    <w:rsid w:val="00124C7E"/>
    <w:rsid w:val="00124C8F"/>
    <w:rsid w:val="00124CB5"/>
    <w:rsid w:val="00124D88"/>
    <w:rsid w:val="00124DAA"/>
    <w:rsid w:val="00124E18"/>
    <w:rsid w:val="00124F35"/>
    <w:rsid w:val="00124F3A"/>
    <w:rsid w:val="00125042"/>
    <w:rsid w:val="00125167"/>
    <w:rsid w:val="00125222"/>
    <w:rsid w:val="00125465"/>
    <w:rsid w:val="001254C6"/>
    <w:rsid w:val="001254F6"/>
    <w:rsid w:val="0012552A"/>
    <w:rsid w:val="0012557D"/>
    <w:rsid w:val="00125743"/>
    <w:rsid w:val="0012575C"/>
    <w:rsid w:val="0012582E"/>
    <w:rsid w:val="00125859"/>
    <w:rsid w:val="00125890"/>
    <w:rsid w:val="001258E0"/>
    <w:rsid w:val="0012591C"/>
    <w:rsid w:val="0012596A"/>
    <w:rsid w:val="00125A15"/>
    <w:rsid w:val="00125A88"/>
    <w:rsid w:val="00125A8B"/>
    <w:rsid w:val="00125AFB"/>
    <w:rsid w:val="00125B9B"/>
    <w:rsid w:val="00125C6D"/>
    <w:rsid w:val="00125D1D"/>
    <w:rsid w:val="00125DBD"/>
    <w:rsid w:val="00125DEF"/>
    <w:rsid w:val="00125F9E"/>
    <w:rsid w:val="00126049"/>
    <w:rsid w:val="0012604B"/>
    <w:rsid w:val="00126064"/>
    <w:rsid w:val="00126083"/>
    <w:rsid w:val="001260A2"/>
    <w:rsid w:val="00126134"/>
    <w:rsid w:val="0012627C"/>
    <w:rsid w:val="0012631F"/>
    <w:rsid w:val="00126334"/>
    <w:rsid w:val="00126368"/>
    <w:rsid w:val="00126471"/>
    <w:rsid w:val="00126651"/>
    <w:rsid w:val="00126728"/>
    <w:rsid w:val="0012673B"/>
    <w:rsid w:val="001267A3"/>
    <w:rsid w:val="001267A8"/>
    <w:rsid w:val="001267CA"/>
    <w:rsid w:val="001268FF"/>
    <w:rsid w:val="00126904"/>
    <w:rsid w:val="001269C1"/>
    <w:rsid w:val="001269EF"/>
    <w:rsid w:val="00126A24"/>
    <w:rsid w:val="00126AD2"/>
    <w:rsid w:val="00126AEB"/>
    <w:rsid w:val="00126CEA"/>
    <w:rsid w:val="00126CF4"/>
    <w:rsid w:val="00126D00"/>
    <w:rsid w:val="00126D81"/>
    <w:rsid w:val="00126E74"/>
    <w:rsid w:val="00126EC3"/>
    <w:rsid w:val="00126FB8"/>
    <w:rsid w:val="0012702D"/>
    <w:rsid w:val="0012705A"/>
    <w:rsid w:val="00127093"/>
    <w:rsid w:val="00127122"/>
    <w:rsid w:val="00127130"/>
    <w:rsid w:val="00127150"/>
    <w:rsid w:val="001271E7"/>
    <w:rsid w:val="00127345"/>
    <w:rsid w:val="001273AC"/>
    <w:rsid w:val="00127451"/>
    <w:rsid w:val="0012748D"/>
    <w:rsid w:val="001275F9"/>
    <w:rsid w:val="00127768"/>
    <w:rsid w:val="0012784E"/>
    <w:rsid w:val="0012790B"/>
    <w:rsid w:val="0012790C"/>
    <w:rsid w:val="0012794B"/>
    <w:rsid w:val="00127979"/>
    <w:rsid w:val="001279D4"/>
    <w:rsid w:val="001279F7"/>
    <w:rsid w:val="00127A08"/>
    <w:rsid w:val="00127A28"/>
    <w:rsid w:val="00127AA3"/>
    <w:rsid w:val="00127B3A"/>
    <w:rsid w:val="00127B95"/>
    <w:rsid w:val="00127D62"/>
    <w:rsid w:val="00127DD0"/>
    <w:rsid w:val="00127E9A"/>
    <w:rsid w:val="00127EC8"/>
    <w:rsid w:val="00127F1F"/>
    <w:rsid w:val="00127F50"/>
    <w:rsid w:val="0013002B"/>
    <w:rsid w:val="00130055"/>
    <w:rsid w:val="00130197"/>
    <w:rsid w:val="001302D8"/>
    <w:rsid w:val="001302F1"/>
    <w:rsid w:val="0013036B"/>
    <w:rsid w:val="001304BF"/>
    <w:rsid w:val="001306B3"/>
    <w:rsid w:val="001306E9"/>
    <w:rsid w:val="001307B1"/>
    <w:rsid w:val="001307F5"/>
    <w:rsid w:val="00130828"/>
    <w:rsid w:val="0013086C"/>
    <w:rsid w:val="00130891"/>
    <w:rsid w:val="00130952"/>
    <w:rsid w:val="00130954"/>
    <w:rsid w:val="001309DE"/>
    <w:rsid w:val="00130A83"/>
    <w:rsid w:val="00130BB1"/>
    <w:rsid w:val="00130BF4"/>
    <w:rsid w:val="00130C13"/>
    <w:rsid w:val="00130D9F"/>
    <w:rsid w:val="00130DAB"/>
    <w:rsid w:val="00130DF8"/>
    <w:rsid w:val="00130E07"/>
    <w:rsid w:val="00130E5C"/>
    <w:rsid w:val="00130E81"/>
    <w:rsid w:val="00130EB3"/>
    <w:rsid w:val="00131089"/>
    <w:rsid w:val="001311E4"/>
    <w:rsid w:val="00131281"/>
    <w:rsid w:val="00131329"/>
    <w:rsid w:val="001313A9"/>
    <w:rsid w:val="00131427"/>
    <w:rsid w:val="0013148D"/>
    <w:rsid w:val="00131499"/>
    <w:rsid w:val="001314CA"/>
    <w:rsid w:val="001314CC"/>
    <w:rsid w:val="001314D2"/>
    <w:rsid w:val="001316D3"/>
    <w:rsid w:val="00131700"/>
    <w:rsid w:val="001317B9"/>
    <w:rsid w:val="0013187C"/>
    <w:rsid w:val="00131904"/>
    <w:rsid w:val="001319B6"/>
    <w:rsid w:val="00131A6D"/>
    <w:rsid w:val="00131BAE"/>
    <w:rsid w:val="00131BD2"/>
    <w:rsid w:val="00131C45"/>
    <w:rsid w:val="00131CF4"/>
    <w:rsid w:val="00131D4A"/>
    <w:rsid w:val="00131E0C"/>
    <w:rsid w:val="00131E1E"/>
    <w:rsid w:val="00131E3C"/>
    <w:rsid w:val="00131EB0"/>
    <w:rsid w:val="00131F26"/>
    <w:rsid w:val="0013201C"/>
    <w:rsid w:val="001321A5"/>
    <w:rsid w:val="0013220D"/>
    <w:rsid w:val="00132217"/>
    <w:rsid w:val="0013227B"/>
    <w:rsid w:val="00132284"/>
    <w:rsid w:val="00132319"/>
    <w:rsid w:val="00132392"/>
    <w:rsid w:val="001323D7"/>
    <w:rsid w:val="0013247B"/>
    <w:rsid w:val="0013250D"/>
    <w:rsid w:val="001325A3"/>
    <w:rsid w:val="001325CF"/>
    <w:rsid w:val="0013260A"/>
    <w:rsid w:val="00132685"/>
    <w:rsid w:val="001326D3"/>
    <w:rsid w:val="001326F3"/>
    <w:rsid w:val="00132763"/>
    <w:rsid w:val="001327BD"/>
    <w:rsid w:val="001327D0"/>
    <w:rsid w:val="001327E2"/>
    <w:rsid w:val="001329EF"/>
    <w:rsid w:val="00132A5A"/>
    <w:rsid w:val="00132AAF"/>
    <w:rsid w:val="00132ADE"/>
    <w:rsid w:val="00132BA2"/>
    <w:rsid w:val="00132BEA"/>
    <w:rsid w:val="00132BF5"/>
    <w:rsid w:val="00132C99"/>
    <w:rsid w:val="00132CE7"/>
    <w:rsid w:val="00132CEF"/>
    <w:rsid w:val="00132D47"/>
    <w:rsid w:val="00132DA1"/>
    <w:rsid w:val="00132ECC"/>
    <w:rsid w:val="00132F2E"/>
    <w:rsid w:val="00132F57"/>
    <w:rsid w:val="001330DE"/>
    <w:rsid w:val="00133149"/>
    <w:rsid w:val="001331CF"/>
    <w:rsid w:val="001331FE"/>
    <w:rsid w:val="001332D4"/>
    <w:rsid w:val="00133366"/>
    <w:rsid w:val="001333AC"/>
    <w:rsid w:val="001334A7"/>
    <w:rsid w:val="001334E5"/>
    <w:rsid w:val="0013353D"/>
    <w:rsid w:val="00133574"/>
    <w:rsid w:val="001335FA"/>
    <w:rsid w:val="001336E5"/>
    <w:rsid w:val="001337FD"/>
    <w:rsid w:val="00133886"/>
    <w:rsid w:val="001338E6"/>
    <w:rsid w:val="0013390A"/>
    <w:rsid w:val="001339BD"/>
    <w:rsid w:val="001339D6"/>
    <w:rsid w:val="00133B2D"/>
    <w:rsid w:val="00133BBA"/>
    <w:rsid w:val="00133BBB"/>
    <w:rsid w:val="00133CEA"/>
    <w:rsid w:val="00133CF1"/>
    <w:rsid w:val="00133D33"/>
    <w:rsid w:val="00133E99"/>
    <w:rsid w:val="00133FBD"/>
    <w:rsid w:val="0013403D"/>
    <w:rsid w:val="0013408F"/>
    <w:rsid w:val="00134100"/>
    <w:rsid w:val="0013411C"/>
    <w:rsid w:val="00134155"/>
    <w:rsid w:val="00134173"/>
    <w:rsid w:val="0013417E"/>
    <w:rsid w:val="0013418D"/>
    <w:rsid w:val="0013421E"/>
    <w:rsid w:val="0013424D"/>
    <w:rsid w:val="00134280"/>
    <w:rsid w:val="001342DF"/>
    <w:rsid w:val="001342E6"/>
    <w:rsid w:val="00134304"/>
    <w:rsid w:val="00134319"/>
    <w:rsid w:val="001343C5"/>
    <w:rsid w:val="001343EB"/>
    <w:rsid w:val="001344F3"/>
    <w:rsid w:val="00134509"/>
    <w:rsid w:val="001345A2"/>
    <w:rsid w:val="001345CB"/>
    <w:rsid w:val="00134697"/>
    <w:rsid w:val="0013469B"/>
    <w:rsid w:val="00134726"/>
    <w:rsid w:val="00134798"/>
    <w:rsid w:val="00134800"/>
    <w:rsid w:val="001348CB"/>
    <w:rsid w:val="001349F2"/>
    <w:rsid w:val="00134A38"/>
    <w:rsid w:val="00134A64"/>
    <w:rsid w:val="00134A96"/>
    <w:rsid w:val="00134BFA"/>
    <w:rsid w:val="00134CE3"/>
    <w:rsid w:val="00134D6C"/>
    <w:rsid w:val="00134DDC"/>
    <w:rsid w:val="00134DFA"/>
    <w:rsid w:val="00134EAA"/>
    <w:rsid w:val="00134F38"/>
    <w:rsid w:val="00134F75"/>
    <w:rsid w:val="00134F83"/>
    <w:rsid w:val="0013504A"/>
    <w:rsid w:val="001350A7"/>
    <w:rsid w:val="001350F5"/>
    <w:rsid w:val="00135100"/>
    <w:rsid w:val="0013511E"/>
    <w:rsid w:val="0013520B"/>
    <w:rsid w:val="00135334"/>
    <w:rsid w:val="00135344"/>
    <w:rsid w:val="0013535D"/>
    <w:rsid w:val="0013535E"/>
    <w:rsid w:val="00135460"/>
    <w:rsid w:val="00135479"/>
    <w:rsid w:val="00135521"/>
    <w:rsid w:val="001355C7"/>
    <w:rsid w:val="00135641"/>
    <w:rsid w:val="001356E4"/>
    <w:rsid w:val="00135700"/>
    <w:rsid w:val="0013580B"/>
    <w:rsid w:val="00135867"/>
    <w:rsid w:val="00135941"/>
    <w:rsid w:val="0013595D"/>
    <w:rsid w:val="0013596F"/>
    <w:rsid w:val="001359A6"/>
    <w:rsid w:val="001359D0"/>
    <w:rsid w:val="001359D1"/>
    <w:rsid w:val="00135B3C"/>
    <w:rsid w:val="00135BC1"/>
    <w:rsid w:val="00135BD7"/>
    <w:rsid w:val="00135C15"/>
    <w:rsid w:val="00135E26"/>
    <w:rsid w:val="00135E7B"/>
    <w:rsid w:val="00135FD9"/>
    <w:rsid w:val="00135FE2"/>
    <w:rsid w:val="00136017"/>
    <w:rsid w:val="0013602C"/>
    <w:rsid w:val="0013605B"/>
    <w:rsid w:val="00136078"/>
    <w:rsid w:val="001360D2"/>
    <w:rsid w:val="001361FC"/>
    <w:rsid w:val="00136248"/>
    <w:rsid w:val="0013637F"/>
    <w:rsid w:val="00136447"/>
    <w:rsid w:val="001364A7"/>
    <w:rsid w:val="0013650C"/>
    <w:rsid w:val="00136566"/>
    <w:rsid w:val="0013657F"/>
    <w:rsid w:val="001365E2"/>
    <w:rsid w:val="0013677C"/>
    <w:rsid w:val="001368C7"/>
    <w:rsid w:val="00136A57"/>
    <w:rsid w:val="00136A5E"/>
    <w:rsid w:val="00136A65"/>
    <w:rsid w:val="00136AA0"/>
    <w:rsid w:val="00136AD7"/>
    <w:rsid w:val="00136BE5"/>
    <w:rsid w:val="00136D83"/>
    <w:rsid w:val="00136DCF"/>
    <w:rsid w:val="00136DDF"/>
    <w:rsid w:val="00136E5D"/>
    <w:rsid w:val="00136FE7"/>
    <w:rsid w:val="0013702C"/>
    <w:rsid w:val="0013704E"/>
    <w:rsid w:val="001371E7"/>
    <w:rsid w:val="00137361"/>
    <w:rsid w:val="00137439"/>
    <w:rsid w:val="001374BF"/>
    <w:rsid w:val="001375AC"/>
    <w:rsid w:val="001376A3"/>
    <w:rsid w:val="001377ED"/>
    <w:rsid w:val="00137810"/>
    <w:rsid w:val="00137834"/>
    <w:rsid w:val="0013785D"/>
    <w:rsid w:val="001378B9"/>
    <w:rsid w:val="00137959"/>
    <w:rsid w:val="001379F6"/>
    <w:rsid w:val="00137A17"/>
    <w:rsid w:val="00137C40"/>
    <w:rsid w:val="00137C83"/>
    <w:rsid w:val="00137DB0"/>
    <w:rsid w:val="00137E2D"/>
    <w:rsid w:val="00137EBD"/>
    <w:rsid w:val="00137EE0"/>
    <w:rsid w:val="00137F0A"/>
    <w:rsid w:val="0013FC31"/>
    <w:rsid w:val="00140071"/>
    <w:rsid w:val="00140207"/>
    <w:rsid w:val="001402FD"/>
    <w:rsid w:val="0014038F"/>
    <w:rsid w:val="00140399"/>
    <w:rsid w:val="00140520"/>
    <w:rsid w:val="00140570"/>
    <w:rsid w:val="001405E0"/>
    <w:rsid w:val="001406B1"/>
    <w:rsid w:val="001406CA"/>
    <w:rsid w:val="00140708"/>
    <w:rsid w:val="0014073F"/>
    <w:rsid w:val="001407F6"/>
    <w:rsid w:val="001409F4"/>
    <w:rsid w:val="00140A17"/>
    <w:rsid w:val="00140B03"/>
    <w:rsid w:val="00140B2F"/>
    <w:rsid w:val="00140B39"/>
    <w:rsid w:val="00140CCE"/>
    <w:rsid w:val="00140CE4"/>
    <w:rsid w:val="00140D68"/>
    <w:rsid w:val="00140DA1"/>
    <w:rsid w:val="00140E0F"/>
    <w:rsid w:val="00140E40"/>
    <w:rsid w:val="00140E6E"/>
    <w:rsid w:val="00140FC9"/>
    <w:rsid w:val="00141099"/>
    <w:rsid w:val="00141113"/>
    <w:rsid w:val="001412AD"/>
    <w:rsid w:val="001412DB"/>
    <w:rsid w:val="00141312"/>
    <w:rsid w:val="001413B5"/>
    <w:rsid w:val="00141520"/>
    <w:rsid w:val="001416DD"/>
    <w:rsid w:val="001416E8"/>
    <w:rsid w:val="00141798"/>
    <w:rsid w:val="001417A6"/>
    <w:rsid w:val="001417EB"/>
    <w:rsid w:val="0014180E"/>
    <w:rsid w:val="001418B8"/>
    <w:rsid w:val="001419DF"/>
    <w:rsid w:val="001419E8"/>
    <w:rsid w:val="001419FA"/>
    <w:rsid w:val="00141AAB"/>
    <w:rsid w:val="00141AD0"/>
    <w:rsid w:val="00141B3B"/>
    <w:rsid w:val="00141BB0"/>
    <w:rsid w:val="00141C19"/>
    <w:rsid w:val="00141C3E"/>
    <w:rsid w:val="00141C40"/>
    <w:rsid w:val="00141C47"/>
    <w:rsid w:val="00141CC2"/>
    <w:rsid w:val="00141D33"/>
    <w:rsid w:val="00141D39"/>
    <w:rsid w:val="00141D6A"/>
    <w:rsid w:val="00141D90"/>
    <w:rsid w:val="00141DAF"/>
    <w:rsid w:val="00141DC2"/>
    <w:rsid w:val="00141E0E"/>
    <w:rsid w:val="00141E17"/>
    <w:rsid w:val="00141E19"/>
    <w:rsid w:val="00141E6E"/>
    <w:rsid w:val="00141E8B"/>
    <w:rsid w:val="00141F8D"/>
    <w:rsid w:val="00142010"/>
    <w:rsid w:val="00142078"/>
    <w:rsid w:val="001420BD"/>
    <w:rsid w:val="00142176"/>
    <w:rsid w:val="00142193"/>
    <w:rsid w:val="0014229D"/>
    <w:rsid w:val="00142348"/>
    <w:rsid w:val="001424B5"/>
    <w:rsid w:val="001424DD"/>
    <w:rsid w:val="001425A8"/>
    <w:rsid w:val="00142606"/>
    <w:rsid w:val="0014263B"/>
    <w:rsid w:val="0014270A"/>
    <w:rsid w:val="00142768"/>
    <w:rsid w:val="00142809"/>
    <w:rsid w:val="00142873"/>
    <w:rsid w:val="001428E2"/>
    <w:rsid w:val="001428E3"/>
    <w:rsid w:val="001429A7"/>
    <w:rsid w:val="001429A8"/>
    <w:rsid w:val="00142A85"/>
    <w:rsid w:val="00142AF3"/>
    <w:rsid w:val="00142BC9"/>
    <w:rsid w:val="00142BD6"/>
    <w:rsid w:val="00142C04"/>
    <w:rsid w:val="00142D62"/>
    <w:rsid w:val="00142DC2"/>
    <w:rsid w:val="00142E76"/>
    <w:rsid w:val="00142F78"/>
    <w:rsid w:val="00142FC1"/>
    <w:rsid w:val="00142FC3"/>
    <w:rsid w:val="00143058"/>
    <w:rsid w:val="001430DF"/>
    <w:rsid w:val="001430F4"/>
    <w:rsid w:val="0014318C"/>
    <w:rsid w:val="0014319D"/>
    <w:rsid w:val="001431E5"/>
    <w:rsid w:val="001431F7"/>
    <w:rsid w:val="00143271"/>
    <w:rsid w:val="00143295"/>
    <w:rsid w:val="00143366"/>
    <w:rsid w:val="001433C1"/>
    <w:rsid w:val="00143558"/>
    <w:rsid w:val="00143570"/>
    <w:rsid w:val="0014362D"/>
    <w:rsid w:val="00143686"/>
    <w:rsid w:val="001436E6"/>
    <w:rsid w:val="00143725"/>
    <w:rsid w:val="0014373B"/>
    <w:rsid w:val="0014374F"/>
    <w:rsid w:val="00143818"/>
    <w:rsid w:val="0014389C"/>
    <w:rsid w:val="00143A09"/>
    <w:rsid w:val="00143A27"/>
    <w:rsid w:val="00143A56"/>
    <w:rsid w:val="00143A5A"/>
    <w:rsid w:val="00143A7B"/>
    <w:rsid w:val="00143A9A"/>
    <w:rsid w:val="00143AC4"/>
    <w:rsid w:val="00143B23"/>
    <w:rsid w:val="00143BF9"/>
    <w:rsid w:val="00143C7C"/>
    <w:rsid w:val="00143CFD"/>
    <w:rsid w:val="00143DB7"/>
    <w:rsid w:val="00143E52"/>
    <w:rsid w:val="00144028"/>
    <w:rsid w:val="00144063"/>
    <w:rsid w:val="00144091"/>
    <w:rsid w:val="001440A4"/>
    <w:rsid w:val="0014419F"/>
    <w:rsid w:val="0014424F"/>
    <w:rsid w:val="0014435C"/>
    <w:rsid w:val="00144379"/>
    <w:rsid w:val="0014440B"/>
    <w:rsid w:val="00144414"/>
    <w:rsid w:val="0014460C"/>
    <w:rsid w:val="0014466E"/>
    <w:rsid w:val="00144704"/>
    <w:rsid w:val="00144711"/>
    <w:rsid w:val="00144714"/>
    <w:rsid w:val="00144996"/>
    <w:rsid w:val="00144A31"/>
    <w:rsid w:val="00144AEE"/>
    <w:rsid w:val="00144BE0"/>
    <w:rsid w:val="00144CFC"/>
    <w:rsid w:val="00144D03"/>
    <w:rsid w:val="00144D5C"/>
    <w:rsid w:val="00144E81"/>
    <w:rsid w:val="00144F95"/>
    <w:rsid w:val="00144FA5"/>
    <w:rsid w:val="001450BA"/>
    <w:rsid w:val="0014522E"/>
    <w:rsid w:val="001452D6"/>
    <w:rsid w:val="001454C6"/>
    <w:rsid w:val="001454F2"/>
    <w:rsid w:val="00145575"/>
    <w:rsid w:val="0014566D"/>
    <w:rsid w:val="001456EA"/>
    <w:rsid w:val="001456FC"/>
    <w:rsid w:val="00145727"/>
    <w:rsid w:val="0014574A"/>
    <w:rsid w:val="00145784"/>
    <w:rsid w:val="0014597E"/>
    <w:rsid w:val="001459B0"/>
    <w:rsid w:val="00145ACC"/>
    <w:rsid w:val="00145B12"/>
    <w:rsid w:val="00145B18"/>
    <w:rsid w:val="00145B26"/>
    <w:rsid w:val="00145C2A"/>
    <w:rsid w:val="00145C4F"/>
    <w:rsid w:val="00145CB8"/>
    <w:rsid w:val="00145CBC"/>
    <w:rsid w:val="00145D47"/>
    <w:rsid w:val="00145DA8"/>
    <w:rsid w:val="00145EFC"/>
    <w:rsid w:val="00145F6B"/>
    <w:rsid w:val="00145F89"/>
    <w:rsid w:val="00146037"/>
    <w:rsid w:val="00146082"/>
    <w:rsid w:val="0014609B"/>
    <w:rsid w:val="00146125"/>
    <w:rsid w:val="00146199"/>
    <w:rsid w:val="0014619A"/>
    <w:rsid w:val="00146247"/>
    <w:rsid w:val="001462AD"/>
    <w:rsid w:val="001462CB"/>
    <w:rsid w:val="001462F8"/>
    <w:rsid w:val="001462FD"/>
    <w:rsid w:val="0014630A"/>
    <w:rsid w:val="00146344"/>
    <w:rsid w:val="001464C1"/>
    <w:rsid w:val="001465EE"/>
    <w:rsid w:val="00146654"/>
    <w:rsid w:val="0014668F"/>
    <w:rsid w:val="001466AA"/>
    <w:rsid w:val="001466AE"/>
    <w:rsid w:val="001466DD"/>
    <w:rsid w:val="0014672E"/>
    <w:rsid w:val="0014674D"/>
    <w:rsid w:val="00146987"/>
    <w:rsid w:val="001469CB"/>
    <w:rsid w:val="00146A0A"/>
    <w:rsid w:val="00146B8C"/>
    <w:rsid w:val="00146C27"/>
    <w:rsid w:val="00146C2D"/>
    <w:rsid w:val="00146D00"/>
    <w:rsid w:val="00146EB0"/>
    <w:rsid w:val="00146F62"/>
    <w:rsid w:val="00146F75"/>
    <w:rsid w:val="001470D0"/>
    <w:rsid w:val="00147160"/>
    <w:rsid w:val="001471A2"/>
    <w:rsid w:val="0014721D"/>
    <w:rsid w:val="00147241"/>
    <w:rsid w:val="0014724B"/>
    <w:rsid w:val="0014727D"/>
    <w:rsid w:val="001472CA"/>
    <w:rsid w:val="001472FE"/>
    <w:rsid w:val="00147343"/>
    <w:rsid w:val="0014740A"/>
    <w:rsid w:val="00147426"/>
    <w:rsid w:val="00147498"/>
    <w:rsid w:val="001474C0"/>
    <w:rsid w:val="00147561"/>
    <w:rsid w:val="0014757A"/>
    <w:rsid w:val="001475F9"/>
    <w:rsid w:val="0014760E"/>
    <w:rsid w:val="001476A5"/>
    <w:rsid w:val="00147745"/>
    <w:rsid w:val="001477F0"/>
    <w:rsid w:val="00147857"/>
    <w:rsid w:val="001478EF"/>
    <w:rsid w:val="00147957"/>
    <w:rsid w:val="00147989"/>
    <w:rsid w:val="001479AF"/>
    <w:rsid w:val="00147AC2"/>
    <w:rsid w:val="00147B5C"/>
    <w:rsid w:val="00147BC2"/>
    <w:rsid w:val="00147BF7"/>
    <w:rsid w:val="00147C4E"/>
    <w:rsid w:val="00147C4F"/>
    <w:rsid w:val="00147D22"/>
    <w:rsid w:val="00147D34"/>
    <w:rsid w:val="00147D86"/>
    <w:rsid w:val="00150024"/>
    <w:rsid w:val="001500B6"/>
    <w:rsid w:val="0015013D"/>
    <w:rsid w:val="00150147"/>
    <w:rsid w:val="001501E4"/>
    <w:rsid w:val="00150202"/>
    <w:rsid w:val="001502B9"/>
    <w:rsid w:val="00150310"/>
    <w:rsid w:val="001503F5"/>
    <w:rsid w:val="0015044A"/>
    <w:rsid w:val="00150623"/>
    <w:rsid w:val="00150698"/>
    <w:rsid w:val="001506C0"/>
    <w:rsid w:val="001506EC"/>
    <w:rsid w:val="001507BD"/>
    <w:rsid w:val="001507D6"/>
    <w:rsid w:val="001508B3"/>
    <w:rsid w:val="0015091F"/>
    <w:rsid w:val="00150955"/>
    <w:rsid w:val="00150AC8"/>
    <w:rsid w:val="00150B23"/>
    <w:rsid w:val="00150BDB"/>
    <w:rsid w:val="00150C78"/>
    <w:rsid w:val="00150D3F"/>
    <w:rsid w:val="00150DAB"/>
    <w:rsid w:val="00150E75"/>
    <w:rsid w:val="00150E7D"/>
    <w:rsid w:val="00150F70"/>
    <w:rsid w:val="001510C3"/>
    <w:rsid w:val="00151153"/>
    <w:rsid w:val="00151154"/>
    <w:rsid w:val="00151190"/>
    <w:rsid w:val="001511AC"/>
    <w:rsid w:val="0015120D"/>
    <w:rsid w:val="00151226"/>
    <w:rsid w:val="00151228"/>
    <w:rsid w:val="0015124A"/>
    <w:rsid w:val="001512E2"/>
    <w:rsid w:val="001512E9"/>
    <w:rsid w:val="0015133E"/>
    <w:rsid w:val="0015135F"/>
    <w:rsid w:val="0015143B"/>
    <w:rsid w:val="00151456"/>
    <w:rsid w:val="0015148C"/>
    <w:rsid w:val="0015149A"/>
    <w:rsid w:val="001514B1"/>
    <w:rsid w:val="001514CE"/>
    <w:rsid w:val="0015150A"/>
    <w:rsid w:val="00151519"/>
    <w:rsid w:val="0015158E"/>
    <w:rsid w:val="001515EF"/>
    <w:rsid w:val="001516AF"/>
    <w:rsid w:val="001516F1"/>
    <w:rsid w:val="00151710"/>
    <w:rsid w:val="00151737"/>
    <w:rsid w:val="00151763"/>
    <w:rsid w:val="00151787"/>
    <w:rsid w:val="001517BD"/>
    <w:rsid w:val="001517CB"/>
    <w:rsid w:val="0015183E"/>
    <w:rsid w:val="001518F7"/>
    <w:rsid w:val="0015195E"/>
    <w:rsid w:val="00151A40"/>
    <w:rsid w:val="00151A6C"/>
    <w:rsid w:val="00151B4A"/>
    <w:rsid w:val="00151B71"/>
    <w:rsid w:val="00151B7D"/>
    <w:rsid w:val="00151BF9"/>
    <w:rsid w:val="00151C2A"/>
    <w:rsid w:val="00151C34"/>
    <w:rsid w:val="00151D18"/>
    <w:rsid w:val="00151D89"/>
    <w:rsid w:val="00151DAF"/>
    <w:rsid w:val="00151EC5"/>
    <w:rsid w:val="00151EFB"/>
    <w:rsid w:val="00151F48"/>
    <w:rsid w:val="00151FEB"/>
    <w:rsid w:val="0015201A"/>
    <w:rsid w:val="00152172"/>
    <w:rsid w:val="00152189"/>
    <w:rsid w:val="001521DF"/>
    <w:rsid w:val="00152229"/>
    <w:rsid w:val="001522E1"/>
    <w:rsid w:val="001522ED"/>
    <w:rsid w:val="0015232B"/>
    <w:rsid w:val="0015233F"/>
    <w:rsid w:val="00152349"/>
    <w:rsid w:val="0015239F"/>
    <w:rsid w:val="001523C6"/>
    <w:rsid w:val="001523CA"/>
    <w:rsid w:val="00152422"/>
    <w:rsid w:val="001524BF"/>
    <w:rsid w:val="001524E1"/>
    <w:rsid w:val="00152559"/>
    <w:rsid w:val="00152584"/>
    <w:rsid w:val="001525E0"/>
    <w:rsid w:val="001525F6"/>
    <w:rsid w:val="00152611"/>
    <w:rsid w:val="001527A4"/>
    <w:rsid w:val="001527D7"/>
    <w:rsid w:val="00152850"/>
    <w:rsid w:val="001528CE"/>
    <w:rsid w:val="00152AE2"/>
    <w:rsid w:val="00152B63"/>
    <w:rsid w:val="00152B69"/>
    <w:rsid w:val="00152B96"/>
    <w:rsid w:val="00152BB2"/>
    <w:rsid w:val="00152D7A"/>
    <w:rsid w:val="00152EC2"/>
    <w:rsid w:val="00152F0F"/>
    <w:rsid w:val="00152FB9"/>
    <w:rsid w:val="00152FBB"/>
    <w:rsid w:val="00153071"/>
    <w:rsid w:val="001530F3"/>
    <w:rsid w:val="001530FC"/>
    <w:rsid w:val="001531A8"/>
    <w:rsid w:val="001531E2"/>
    <w:rsid w:val="001531E6"/>
    <w:rsid w:val="00153220"/>
    <w:rsid w:val="00153240"/>
    <w:rsid w:val="00153242"/>
    <w:rsid w:val="001532BB"/>
    <w:rsid w:val="00153333"/>
    <w:rsid w:val="00153353"/>
    <w:rsid w:val="001533B8"/>
    <w:rsid w:val="001533C0"/>
    <w:rsid w:val="001533CC"/>
    <w:rsid w:val="001533D9"/>
    <w:rsid w:val="001533F4"/>
    <w:rsid w:val="0015342D"/>
    <w:rsid w:val="0015345F"/>
    <w:rsid w:val="00153471"/>
    <w:rsid w:val="001534DD"/>
    <w:rsid w:val="001535A0"/>
    <w:rsid w:val="001535A1"/>
    <w:rsid w:val="001535F6"/>
    <w:rsid w:val="00153737"/>
    <w:rsid w:val="001537AC"/>
    <w:rsid w:val="001537BA"/>
    <w:rsid w:val="00153880"/>
    <w:rsid w:val="0015393A"/>
    <w:rsid w:val="001539C9"/>
    <w:rsid w:val="001539EA"/>
    <w:rsid w:val="00153A49"/>
    <w:rsid w:val="00153AAC"/>
    <w:rsid w:val="00153ACE"/>
    <w:rsid w:val="00153AF2"/>
    <w:rsid w:val="00153AFD"/>
    <w:rsid w:val="00153CA7"/>
    <w:rsid w:val="00153CD4"/>
    <w:rsid w:val="00153CF5"/>
    <w:rsid w:val="00153D41"/>
    <w:rsid w:val="00153D78"/>
    <w:rsid w:val="00153D99"/>
    <w:rsid w:val="00153DD5"/>
    <w:rsid w:val="00153EB9"/>
    <w:rsid w:val="00153F34"/>
    <w:rsid w:val="00153F7F"/>
    <w:rsid w:val="00153F92"/>
    <w:rsid w:val="00153FCF"/>
    <w:rsid w:val="00154014"/>
    <w:rsid w:val="0015401C"/>
    <w:rsid w:val="001541EF"/>
    <w:rsid w:val="00154225"/>
    <w:rsid w:val="0015424B"/>
    <w:rsid w:val="00154340"/>
    <w:rsid w:val="00154563"/>
    <w:rsid w:val="00154587"/>
    <w:rsid w:val="00154712"/>
    <w:rsid w:val="00154797"/>
    <w:rsid w:val="001547A6"/>
    <w:rsid w:val="001547E9"/>
    <w:rsid w:val="00154842"/>
    <w:rsid w:val="001548B2"/>
    <w:rsid w:val="001548F6"/>
    <w:rsid w:val="00154911"/>
    <w:rsid w:val="00154926"/>
    <w:rsid w:val="00154948"/>
    <w:rsid w:val="00154983"/>
    <w:rsid w:val="00154A40"/>
    <w:rsid w:val="00154A64"/>
    <w:rsid w:val="00154A72"/>
    <w:rsid w:val="00154A87"/>
    <w:rsid w:val="00154AB7"/>
    <w:rsid w:val="00154B08"/>
    <w:rsid w:val="00154B1A"/>
    <w:rsid w:val="00154B7E"/>
    <w:rsid w:val="00154BBD"/>
    <w:rsid w:val="00154CC8"/>
    <w:rsid w:val="00154D89"/>
    <w:rsid w:val="00154EF8"/>
    <w:rsid w:val="00154F6F"/>
    <w:rsid w:val="00154FDD"/>
    <w:rsid w:val="0015500F"/>
    <w:rsid w:val="0015502B"/>
    <w:rsid w:val="001550DF"/>
    <w:rsid w:val="00155160"/>
    <w:rsid w:val="001551BF"/>
    <w:rsid w:val="0015522D"/>
    <w:rsid w:val="001552BF"/>
    <w:rsid w:val="00155361"/>
    <w:rsid w:val="00155362"/>
    <w:rsid w:val="00155388"/>
    <w:rsid w:val="00155392"/>
    <w:rsid w:val="001553A0"/>
    <w:rsid w:val="001554CC"/>
    <w:rsid w:val="00155558"/>
    <w:rsid w:val="0015556D"/>
    <w:rsid w:val="0015574D"/>
    <w:rsid w:val="001557B8"/>
    <w:rsid w:val="001557C2"/>
    <w:rsid w:val="001558F3"/>
    <w:rsid w:val="0015597A"/>
    <w:rsid w:val="00155983"/>
    <w:rsid w:val="001559E0"/>
    <w:rsid w:val="00155A28"/>
    <w:rsid w:val="00155A6B"/>
    <w:rsid w:val="00155AE3"/>
    <w:rsid w:val="00155AF7"/>
    <w:rsid w:val="00155B48"/>
    <w:rsid w:val="00155B53"/>
    <w:rsid w:val="00155BD2"/>
    <w:rsid w:val="00155C91"/>
    <w:rsid w:val="00155CD0"/>
    <w:rsid w:val="00155D0E"/>
    <w:rsid w:val="00155D71"/>
    <w:rsid w:val="00155DC9"/>
    <w:rsid w:val="00155E1D"/>
    <w:rsid w:val="00155EBF"/>
    <w:rsid w:val="00155EED"/>
    <w:rsid w:val="00155F24"/>
    <w:rsid w:val="00155F53"/>
    <w:rsid w:val="00156065"/>
    <w:rsid w:val="00156069"/>
    <w:rsid w:val="00156135"/>
    <w:rsid w:val="0015615C"/>
    <w:rsid w:val="0015620D"/>
    <w:rsid w:val="00156214"/>
    <w:rsid w:val="0015629C"/>
    <w:rsid w:val="001562DC"/>
    <w:rsid w:val="00156381"/>
    <w:rsid w:val="001563DB"/>
    <w:rsid w:val="001563FD"/>
    <w:rsid w:val="0015644F"/>
    <w:rsid w:val="001564F6"/>
    <w:rsid w:val="00156527"/>
    <w:rsid w:val="00156532"/>
    <w:rsid w:val="00156570"/>
    <w:rsid w:val="001565BA"/>
    <w:rsid w:val="00156608"/>
    <w:rsid w:val="00156615"/>
    <w:rsid w:val="00156625"/>
    <w:rsid w:val="00156746"/>
    <w:rsid w:val="0015688C"/>
    <w:rsid w:val="001568BC"/>
    <w:rsid w:val="00156941"/>
    <w:rsid w:val="00156946"/>
    <w:rsid w:val="001569E9"/>
    <w:rsid w:val="001569EA"/>
    <w:rsid w:val="001569F5"/>
    <w:rsid w:val="00156A45"/>
    <w:rsid w:val="00156AAD"/>
    <w:rsid w:val="00156ABC"/>
    <w:rsid w:val="00156B60"/>
    <w:rsid w:val="00156BC5"/>
    <w:rsid w:val="00156C78"/>
    <w:rsid w:val="00156CAC"/>
    <w:rsid w:val="00156CF1"/>
    <w:rsid w:val="00156D6E"/>
    <w:rsid w:val="00156E04"/>
    <w:rsid w:val="00156F6D"/>
    <w:rsid w:val="00156F99"/>
    <w:rsid w:val="0015701A"/>
    <w:rsid w:val="0015717C"/>
    <w:rsid w:val="001571A8"/>
    <w:rsid w:val="0015748C"/>
    <w:rsid w:val="001575C0"/>
    <w:rsid w:val="001577B9"/>
    <w:rsid w:val="001577BD"/>
    <w:rsid w:val="001577E9"/>
    <w:rsid w:val="00157862"/>
    <w:rsid w:val="001578CA"/>
    <w:rsid w:val="001578EA"/>
    <w:rsid w:val="00157979"/>
    <w:rsid w:val="00157B1B"/>
    <w:rsid w:val="00157B20"/>
    <w:rsid w:val="00157B83"/>
    <w:rsid w:val="00157C2E"/>
    <w:rsid w:val="00157C60"/>
    <w:rsid w:val="00157D0D"/>
    <w:rsid w:val="00157D2E"/>
    <w:rsid w:val="00157DEE"/>
    <w:rsid w:val="00157E21"/>
    <w:rsid w:val="00157E91"/>
    <w:rsid w:val="00157EAA"/>
    <w:rsid w:val="00157EB8"/>
    <w:rsid w:val="00157EC1"/>
    <w:rsid w:val="00157EC9"/>
    <w:rsid w:val="00157F05"/>
    <w:rsid w:val="00157F21"/>
    <w:rsid w:val="00157F45"/>
    <w:rsid w:val="0016000E"/>
    <w:rsid w:val="00160021"/>
    <w:rsid w:val="0016002A"/>
    <w:rsid w:val="00160056"/>
    <w:rsid w:val="0016008C"/>
    <w:rsid w:val="00160094"/>
    <w:rsid w:val="001600CA"/>
    <w:rsid w:val="001600D1"/>
    <w:rsid w:val="001600F6"/>
    <w:rsid w:val="00160184"/>
    <w:rsid w:val="00160332"/>
    <w:rsid w:val="0016067F"/>
    <w:rsid w:val="0016068A"/>
    <w:rsid w:val="001606DC"/>
    <w:rsid w:val="001606EB"/>
    <w:rsid w:val="0016070C"/>
    <w:rsid w:val="00160779"/>
    <w:rsid w:val="001607A0"/>
    <w:rsid w:val="001607B3"/>
    <w:rsid w:val="00160928"/>
    <w:rsid w:val="00160973"/>
    <w:rsid w:val="001609D1"/>
    <w:rsid w:val="00160A94"/>
    <w:rsid w:val="00160ADB"/>
    <w:rsid w:val="00160C63"/>
    <w:rsid w:val="00160CF3"/>
    <w:rsid w:val="00160D24"/>
    <w:rsid w:val="00160D37"/>
    <w:rsid w:val="00160DB7"/>
    <w:rsid w:val="00160DC5"/>
    <w:rsid w:val="00161064"/>
    <w:rsid w:val="001610F4"/>
    <w:rsid w:val="001611A2"/>
    <w:rsid w:val="00161201"/>
    <w:rsid w:val="001612B6"/>
    <w:rsid w:val="00161321"/>
    <w:rsid w:val="00161393"/>
    <w:rsid w:val="001613AA"/>
    <w:rsid w:val="001613D4"/>
    <w:rsid w:val="00161402"/>
    <w:rsid w:val="00161405"/>
    <w:rsid w:val="00161464"/>
    <w:rsid w:val="001614DE"/>
    <w:rsid w:val="0016156A"/>
    <w:rsid w:val="00161636"/>
    <w:rsid w:val="001616E6"/>
    <w:rsid w:val="001617D7"/>
    <w:rsid w:val="0016188C"/>
    <w:rsid w:val="0016195E"/>
    <w:rsid w:val="00161987"/>
    <w:rsid w:val="00161C25"/>
    <w:rsid w:val="00161C2C"/>
    <w:rsid w:val="00161C5B"/>
    <w:rsid w:val="00161CB2"/>
    <w:rsid w:val="00161EE6"/>
    <w:rsid w:val="00161F99"/>
    <w:rsid w:val="00161FF9"/>
    <w:rsid w:val="001620FC"/>
    <w:rsid w:val="00162183"/>
    <w:rsid w:val="00162193"/>
    <w:rsid w:val="00162362"/>
    <w:rsid w:val="00162369"/>
    <w:rsid w:val="001623A5"/>
    <w:rsid w:val="00162414"/>
    <w:rsid w:val="00162498"/>
    <w:rsid w:val="0016257F"/>
    <w:rsid w:val="001625BD"/>
    <w:rsid w:val="00162618"/>
    <w:rsid w:val="00162648"/>
    <w:rsid w:val="00162651"/>
    <w:rsid w:val="0016270E"/>
    <w:rsid w:val="001627D6"/>
    <w:rsid w:val="001627EE"/>
    <w:rsid w:val="001627F5"/>
    <w:rsid w:val="0016284A"/>
    <w:rsid w:val="00162907"/>
    <w:rsid w:val="00162999"/>
    <w:rsid w:val="001629C8"/>
    <w:rsid w:val="00162A12"/>
    <w:rsid w:val="00162B6F"/>
    <w:rsid w:val="00162B7C"/>
    <w:rsid w:val="00162B9D"/>
    <w:rsid w:val="00162C2B"/>
    <w:rsid w:val="00162CBE"/>
    <w:rsid w:val="00162CFE"/>
    <w:rsid w:val="00162DD6"/>
    <w:rsid w:val="00162DE5"/>
    <w:rsid w:val="00162E56"/>
    <w:rsid w:val="00162F5C"/>
    <w:rsid w:val="0016303C"/>
    <w:rsid w:val="00163105"/>
    <w:rsid w:val="001631D7"/>
    <w:rsid w:val="001631F5"/>
    <w:rsid w:val="00163242"/>
    <w:rsid w:val="0016325E"/>
    <w:rsid w:val="00163279"/>
    <w:rsid w:val="001633A2"/>
    <w:rsid w:val="0016354B"/>
    <w:rsid w:val="001635EE"/>
    <w:rsid w:val="001636B9"/>
    <w:rsid w:val="00163746"/>
    <w:rsid w:val="001638F4"/>
    <w:rsid w:val="0016393E"/>
    <w:rsid w:val="001639AF"/>
    <w:rsid w:val="001639F4"/>
    <w:rsid w:val="00163A4D"/>
    <w:rsid w:val="00163A94"/>
    <w:rsid w:val="00163B02"/>
    <w:rsid w:val="00163C3F"/>
    <w:rsid w:val="00163C6A"/>
    <w:rsid w:val="00163C6C"/>
    <w:rsid w:val="00163C82"/>
    <w:rsid w:val="00163CE1"/>
    <w:rsid w:val="00163D34"/>
    <w:rsid w:val="00163DCE"/>
    <w:rsid w:val="00163DF5"/>
    <w:rsid w:val="00163F39"/>
    <w:rsid w:val="00163F66"/>
    <w:rsid w:val="00163FEF"/>
    <w:rsid w:val="00164122"/>
    <w:rsid w:val="00164165"/>
    <w:rsid w:val="0016437F"/>
    <w:rsid w:val="00164469"/>
    <w:rsid w:val="001644E7"/>
    <w:rsid w:val="00164562"/>
    <w:rsid w:val="001647BE"/>
    <w:rsid w:val="001647C3"/>
    <w:rsid w:val="001647DA"/>
    <w:rsid w:val="001647DF"/>
    <w:rsid w:val="001649DD"/>
    <w:rsid w:val="00164A44"/>
    <w:rsid w:val="00164B57"/>
    <w:rsid w:val="00164B8C"/>
    <w:rsid w:val="00164C15"/>
    <w:rsid w:val="00164CD0"/>
    <w:rsid w:val="00164D30"/>
    <w:rsid w:val="00164D33"/>
    <w:rsid w:val="00164D5C"/>
    <w:rsid w:val="00164E95"/>
    <w:rsid w:val="00164F08"/>
    <w:rsid w:val="00164F39"/>
    <w:rsid w:val="0016504F"/>
    <w:rsid w:val="00165065"/>
    <w:rsid w:val="0016509E"/>
    <w:rsid w:val="0016509F"/>
    <w:rsid w:val="00165104"/>
    <w:rsid w:val="00165232"/>
    <w:rsid w:val="0016524D"/>
    <w:rsid w:val="00165301"/>
    <w:rsid w:val="00165306"/>
    <w:rsid w:val="0016532B"/>
    <w:rsid w:val="00165348"/>
    <w:rsid w:val="00165409"/>
    <w:rsid w:val="00165477"/>
    <w:rsid w:val="0016550E"/>
    <w:rsid w:val="0016559C"/>
    <w:rsid w:val="00165679"/>
    <w:rsid w:val="0016568A"/>
    <w:rsid w:val="001657AD"/>
    <w:rsid w:val="001659ED"/>
    <w:rsid w:val="00165A25"/>
    <w:rsid w:val="00165A2F"/>
    <w:rsid w:val="00165BC5"/>
    <w:rsid w:val="00165BCC"/>
    <w:rsid w:val="00165C10"/>
    <w:rsid w:val="00165C6A"/>
    <w:rsid w:val="00165CAA"/>
    <w:rsid w:val="00165CE7"/>
    <w:rsid w:val="00165D13"/>
    <w:rsid w:val="00165D52"/>
    <w:rsid w:val="00165D64"/>
    <w:rsid w:val="00165E9C"/>
    <w:rsid w:val="00165EAE"/>
    <w:rsid w:val="00165FEB"/>
    <w:rsid w:val="00166014"/>
    <w:rsid w:val="00166016"/>
    <w:rsid w:val="001660CC"/>
    <w:rsid w:val="001660D5"/>
    <w:rsid w:val="001660DA"/>
    <w:rsid w:val="00166131"/>
    <w:rsid w:val="00166173"/>
    <w:rsid w:val="00166205"/>
    <w:rsid w:val="0016626C"/>
    <w:rsid w:val="00166305"/>
    <w:rsid w:val="00166356"/>
    <w:rsid w:val="0016639A"/>
    <w:rsid w:val="001663E3"/>
    <w:rsid w:val="00166415"/>
    <w:rsid w:val="00166458"/>
    <w:rsid w:val="001664BA"/>
    <w:rsid w:val="00166520"/>
    <w:rsid w:val="00166543"/>
    <w:rsid w:val="00166555"/>
    <w:rsid w:val="0016658E"/>
    <w:rsid w:val="0016661D"/>
    <w:rsid w:val="00166656"/>
    <w:rsid w:val="00166722"/>
    <w:rsid w:val="00166800"/>
    <w:rsid w:val="001668C8"/>
    <w:rsid w:val="0016696A"/>
    <w:rsid w:val="00166999"/>
    <w:rsid w:val="00166A6E"/>
    <w:rsid w:val="00166AC3"/>
    <w:rsid w:val="00166B1D"/>
    <w:rsid w:val="00166BB4"/>
    <w:rsid w:val="00166BC4"/>
    <w:rsid w:val="00166C3B"/>
    <w:rsid w:val="00166CEB"/>
    <w:rsid w:val="00166D0B"/>
    <w:rsid w:val="00166D19"/>
    <w:rsid w:val="00166D49"/>
    <w:rsid w:val="00166D7E"/>
    <w:rsid w:val="00166DEB"/>
    <w:rsid w:val="00166E0C"/>
    <w:rsid w:val="00166F5F"/>
    <w:rsid w:val="00166F98"/>
    <w:rsid w:val="0016715F"/>
    <w:rsid w:val="00167180"/>
    <w:rsid w:val="001671CB"/>
    <w:rsid w:val="00167222"/>
    <w:rsid w:val="001672A5"/>
    <w:rsid w:val="00167378"/>
    <w:rsid w:val="0016743E"/>
    <w:rsid w:val="0016758A"/>
    <w:rsid w:val="001675EF"/>
    <w:rsid w:val="001675FC"/>
    <w:rsid w:val="001676D6"/>
    <w:rsid w:val="00167753"/>
    <w:rsid w:val="0016778A"/>
    <w:rsid w:val="001677E8"/>
    <w:rsid w:val="00167819"/>
    <w:rsid w:val="00167905"/>
    <w:rsid w:val="001679DC"/>
    <w:rsid w:val="00167A61"/>
    <w:rsid w:val="00167AB2"/>
    <w:rsid w:val="00167ACD"/>
    <w:rsid w:val="00167AEF"/>
    <w:rsid w:val="00167B0C"/>
    <w:rsid w:val="00167B64"/>
    <w:rsid w:val="00167BF5"/>
    <w:rsid w:val="00167C79"/>
    <w:rsid w:val="00167D2E"/>
    <w:rsid w:val="00167D3D"/>
    <w:rsid w:val="00167D91"/>
    <w:rsid w:val="00167DC5"/>
    <w:rsid w:val="00167E5B"/>
    <w:rsid w:val="00167F3C"/>
    <w:rsid w:val="0017009C"/>
    <w:rsid w:val="001700CE"/>
    <w:rsid w:val="001700F4"/>
    <w:rsid w:val="001700F9"/>
    <w:rsid w:val="0017011D"/>
    <w:rsid w:val="00170162"/>
    <w:rsid w:val="00170163"/>
    <w:rsid w:val="00170201"/>
    <w:rsid w:val="00170262"/>
    <w:rsid w:val="0017029C"/>
    <w:rsid w:val="00170398"/>
    <w:rsid w:val="0017043E"/>
    <w:rsid w:val="00170457"/>
    <w:rsid w:val="0017046E"/>
    <w:rsid w:val="0017050F"/>
    <w:rsid w:val="0017055E"/>
    <w:rsid w:val="00170583"/>
    <w:rsid w:val="001708E6"/>
    <w:rsid w:val="00170904"/>
    <w:rsid w:val="0017098A"/>
    <w:rsid w:val="001709F0"/>
    <w:rsid w:val="00170A9B"/>
    <w:rsid w:val="00170B40"/>
    <w:rsid w:val="00170B7B"/>
    <w:rsid w:val="00170BFE"/>
    <w:rsid w:val="00170C20"/>
    <w:rsid w:val="00170C25"/>
    <w:rsid w:val="00170C8F"/>
    <w:rsid w:val="00170D11"/>
    <w:rsid w:val="00170D87"/>
    <w:rsid w:val="00170D97"/>
    <w:rsid w:val="00170ECD"/>
    <w:rsid w:val="00170FC1"/>
    <w:rsid w:val="0017111B"/>
    <w:rsid w:val="0017111C"/>
    <w:rsid w:val="0017113C"/>
    <w:rsid w:val="00171231"/>
    <w:rsid w:val="00171273"/>
    <w:rsid w:val="00171358"/>
    <w:rsid w:val="001713B8"/>
    <w:rsid w:val="00171466"/>
    <w:rsid w:val="00171537"/>
    <w:rsid w:val="00171538"/>
    <w:rsid w:val="001715CF"/>
    <w:rsid w:val="001716C3"/>
    <w:rsid w:val="0017171E"/>
    <w:rsid w:val="001717F2"/>
    <w:rsid w:val="0017186B"/>
    <w:rsid w:val="001718E9"/>
    <w:rsid w:val="0017195E"/>
    <w:rsid w:val="001719BA"/>
    <w:rsid w:val="00171A51"/>
    <w:rsid w:val="00171A57"/>
    <w:rsid w:val="00171AD0"/>
    <w:rsid w:val="00171B07"/>
    <w:rsid w:val="00171B52"/>
    <w:rsid w:val="00171B97"/>
    <w:rsid w:val="00171BFE"/>
    <w:rsid w:val="00171C3B"/>
    <w:rsid w:val="00171C61"/>
    <w:rsid w:val="00171C93"/>
    <w:rsid w:val="00171CBD"/>
    <w:rsid w:val="00171D00"/>
    <w:rsid w:val="00171D0A"/>
    <w:rsid w:val="00171DAB"/>
    <w:rsid w:val="00171E56"/>
    <w:rsid w:val="00171EAC"/>
    <w:rsid w:val="00171F04"/>
    <w:rsid w:val="00171F4C"/>
    <w:rsid w:val="00171F55"/>
    <w:rsid w:val="00171FA0"/>
    <w:rsid w:val="00171FAE"/>
    <w:rsid w:val="0017200F"/>
    <w:rsid w:val="00172094"/>
    <w:rsid w:val="001720A9"/>
    <w:rsid w:val="00172137"/>
    <w:rsid w:val="001721AB"/>
    <w:rsid w:val="001721E7"/>
    <w:rsid w:val="00172242"/>
    <w:rsid w:val="001722D8"/>
    <w:rsid w:val="00172433"/>
    <w:rsid w:val="001724B5"/>
    <w:rsid w:val="00172505"/>
    <w:rsid w:val="00172557"/>
    <w:rsid w:val="001725EA"/>
    <w:rsid w:val="00172665"/>
    <w:rsid w:val="00172680"/>
    <w:rsid w:val="00172746"/>
    <w:rsid w:val="0017283D"/>
    <w:rsid w:val="00172847"/>
    <w:rsid w:val="0017288E"/>
    <w:rsid w:val="001728E3"/>
    <w:rsid w:val="0017291F"/>
    <w:rsid w:val="00172936"/>
    <w:rsid w:val="001729F6"/>
    <w:rsid w:val="00172A3D"/>
    <w:rsid w:val="00172C71"/>
    <w:rsid w:val="00172CCA"/>
    <w:rsid w:val="00172CFE"/>
    <w:rsid w:val="00172D0B"/>
    <w:rsid w:val="00172D55"/>
    <w:rsid w:val="00172DFF"/>
    <w:rsid w:val="00172E6F"/>
    <w:rsid w:val="00172ED0"/>
    <w:rsid w:val="00172EDE"/>
    <w:rsid w:val="00173074"/>
    <w:rsid w:val="00173157"/>
    <w:rsid w:val="0017327E"/>
    <w:rsid w:val="00173388"/>
    <w:rsid w:val="001733A9"/>
    <w:rsid w:val="001733D0"/>
    <w:rsid w:val="001733EB"/>
    <w:rsid w:val="0017346B"/>
    <w:rsid w:val="00173495"/>
    <w:rsid w:val="00173583"/>
    <w:rsid w:val="001735B1"/>
    <w:rsid w:val="00173730"/>
    <w:rsid w:val="0017386F"/>
    <w:rsid w:val="00173871"/>
    <w:rsid w:val="001738F6"/>
    <w:rsid w:val="00173A20"/>
    <w:rsid w:val="00173AAB"/>
    <w:rsid w:val="00173AB0"/>
    <w:rsid w:val="00173ACF"/>
    <w:rsid w:val="00173B0B"/>
    <w:rsid w:val="00173B13"/>
    <w:rsid w:val="00173B20"/>
    <w:rsid w:val="00173B4C"/>
    <w:rsid w:val="00173B5A"/>
    <w:rsid w:val="00173B98"/>
    <w:rsid w:val="00173BFC"/>
    <w:rsid w:val="00173C4D"/>
    <w:rsid w:val="00173C9B"/>
    <w:rsid w:val="00173E17"/>
    <w:rsid w:val="00173F45"/>
    <w:rsid w:val="0017411F"/>
    <w:rsid w:val="00174179"/>
    <w:rsid w:val="0017421D"/>
    <w:rsid w:val="00174284"/>
    <w:rsid w:val="001742E6"/>
    <w:rsid w:val="0017443D"/>
    <w:rsid w:val="00174551"/>
    <w:rsid w:val="00174568"/>
    <w:rsid w:val="00174747"/>
    <w:rsid w:val="00174789"/>
    <w:rsid w:val="0017483F"/>
    <w:rsid w:val="00174A72"/>
    <w:rsid w:val="00174A7A"/>
    <w:rsid w:val="00174BC7"/>
    <w:rsid w:val="00174BE1"/>
    <w:rsid w:val="00174BF6"/>
    <w:rsid w:val="00174CF0"/>
    <w:rsid w:val="00174CFF"/>
    <w:rsid w:val="00174D47"/>
    <w:rsid w:val="00174D90"/>
    <w:rsid w:val="00174E67"/>
    <w:rsid w:val="00174E88"/>
    <w:rsid w:val="00174F34"/>
    <w:rsid w:val="00174FA4"/>
    <w:rsid w:val="0017502B"/>
    <w:rsid w:val="0017515B"/>
    <w:rsid w:val="0017517C"/>
    <w:rsid w:val="001751A5"/>
    <w:rsid w:val="001752D4"/>
    <w:rsid w:val="0017537A"/>
    <w:rsid w:val="0017537C"/>
    <w:rsid w:val="00175384"/>
    <w:rsid w:val="001753F9"/>
    <w:rsid w:val="001753FB"/>
    <w:rsid w:val="00175455"/>
    <w:rsid w:val="00175484"/>
    <w:rsid w:val="001754AC"/>
    <w:rsid w:val="001756AF"/>
    <w:rsid w:val="00175720"/>
    <w:rsid w:val="00175891"/>
    <w:rsid w:val="001758EF"/>
    <w:rsid w:val="00175908"/>
    <w:rsid w:val="00175912"/>
    <w:rsid w:val="0017592F"/>
    <w:rsid w:val="00175972"/>
    <w:rsid w:val="00175CF4"/>
    <w:rsid w:val="00175D18"/>
    <w:rsid w:val="00175D39"/>
    <w:rsid w:val="00175E34"/>
    <w:rsid w:val="00175E44"/>
    <w:rsid w:val="00175E4B"/>
    <w:rsid w:val="00175E4D"/>
    <w:rsid w:val="00175EAA"/>
    <w:rsid w:val="00175FDC"/>
    <w:rsid w:val="0017600B"/>
    <w:rsid w:val="0017600F"/>
    <w:rsid w:val="00176017"/>
    <w:rsid w:val="00176029"/>
    <w:rsid w:val="00176061"/>
    <w:rsid w:val="001760B3"/>
    <w:rsid w:val="001760B9"/>
    <w:rsid w:val="001760D1"/>
    <w:rsid w:val="001760F1"/>
    <w:rsid w:val="00176110"/>
    <w:rsid w:val="00176113"/>
    <w:rsid w:val="00176146"/>
    <w:rsid w:val="00176173"/>
    <w:rsid w:val="00176189"/>
    <w:rsid w:val="0017628A"/>
    <w:rsid w:val="001762EB"/>
    <w:rsid w:val="00176425"/>
    <w:rsid w:val="00176468"/>
    <w:rsid w:val="00176472"/>
    <w:rsid w:val="00176556"/>
    <w:rsid w:val="0017656C"/>
    <w:rsid w:val="00176581"/>
    <w:rsid w:val="001766C1"/>
    <w:rsid w:val="00176745"/>
    <w:rsid w:val="001767EE"/>
    <w:rsid w:val="0017688B"/>
    <w:rsid w:val="00176A81"/>
    <w:rsid w:val="00176B5D"/>
    <w:rsid w:val="00176B63"/>
    <w:rsid w:val="00176B71"/>
    <w:rsid w:val="00176B80"/>
    <w:rsid w:val="00176C69"/>
    <w:rsid w:val="00176C75"/>
    <w:rsid w:val="00176C81"/>
    <w:rsid w:val="00176CC4"/>
    <w:rsid w:val="00176CC5"/>
    <w:rsid w:val="00176CC8"/>
    <w:rsid w:val="00176D1C"/>
    <w:rsid w:val="00176D81"/>
    <w:rsid w:val="00176DE4"/>
    <w:rsid w:val="00176E3A"/>
    <w:rsid w:val="00176E3D"/>
    <w:rsid w:val="00176E8B"/>
    <w:rsid w:val="00176ECC"/>
    <w:rsid w:val="00176F34"/>
    <w:rsid w:val="00177028"/>
    <w:rsid w:val="00177065"/>
    <w:rsid w:val="00177075"/>
    <w:rsid w:val="001770A9"/>
    <w:rsid w:val="001770D9"/>
    <w:rsid w:val="0017717B"/>
    <w:rsid w:val="001771F6"/>
    <w:rsid w:val="0017720E"/>
    <w:rsid w:val="00177292"/>
    <w:rsid w:val="00177334"/>
    <w:rsid w:val="00177354"/>
    <w:rsid w:val="0017739E"/>
    <w:rsid w:val="00177439"/>
    <w:rsid w:val="0017745C"/>
    <w:rsid w:val="00177508"/>
    <w:rsid w:val="00177673"/>
    <w:rsid w:val="001776FF"/>
    <w:rsid w:val="00177716"/>
    <w:rsid w:val="00177941"/>
    <w:rsid w:val="00177993"/>
    <w:rsid w:val="001779E3"/>
    <w:rsid w:val="00177A19"/>
    <w:rsid w:val="00177A7C"/>
    <w:rsid w:val="00177A8A"/>
    <w:rsid w:val="00177BCB"/>
    <w:rsid w:val="00177C7F"/>
    <w:rsid w:val="00177C91"/>
    <w:rsid w:val="00177CD7"/>
    <w:rsid w:val="00177E49"/>
    <w:rsid w:val="00177FAA"/>
    <w:rsid w:val="00180118"/>
    <w:rsid w:val="0018011F"/>
    <w:rsid w:val="001801D5"/>
    <w:rsid w:val="00180244"/>
    <w:rsid w:val="0018026A"/>
    <w:rsid w:val="0018026F"/>
    <w:rsid w:val="001802B4"/>
    <w:rsid w:val="001802E6"/>
    <w:rsid w:val="00180329"/>
    <w:rsid w:val="0018038F"/>
    <w:rsid w:val="00180409"/>
    <w:rsid w:val="0018042A"/>
    <w:rsid w:val="00180500"/>
    <w:rsid w:val="001806B2"/>
    <w:rsid w:val="00180720"/>
    <w:rsid w:val="0018082F"/>
    <w:rsid w:val="0018088F"/>
    <w:rsid w:val="00180912"/>
    <w:rsid w:val="00180996"/>
    <w:rsid w:val="00180C17"/>
    <w:rsid w:val="00180D45"/>
    <w:rsid w:val="00180DC4"/>
    <w:rsid w:val="00180E80"/>
    <w:rsid w:val="00180E8E"/>
    <w:rsid w:val="00180ED4"/>
    <w:rsid w:val="00181048"/>
    <w:rsid w:val="001810BF"/>
    <w:rsid w:val="0018112D"/>
    <w:rsid w:val="001811C0"/>
    <w:rsid w:val="00181206"/>
    <w:rsid w:val="00181223"/>
    <w:rsid w:val="00181422"/>
    <w:rsid w:val="0018150C"/>
    <w:rsid w:val="0018160B"/>
    <w:rsid w:val="001816C0"/>
    <w:rsid w:val="00181729"/>
    <w:rsid w:val="00181744"/>
    <w:rsid w:val="001819F7"/>
    <w:rsid w:val="00181A00"/>
    <w:rsid w:val="00181A14"/>
    <w:rsid w:val="00181B0D"/>
    <w:rsid w:val="00181B59"/>
    <w:rsid w:val="00181B9B"/>
    <w:rsid w:val="00181BA3"/>
    <w:rsid w:val="00181BA9"/>
    <w:rsid w:val="00181BF2"/>
    <w:rsid w:val="00181C28"/>
    <w:rsid w:val="00181CE8"/>
    <w:rsid w:val="00181D53"/>
    <w:rsid w:val="00181D95"/>
    <w:rsid w:val="00181E6F"/>
    <w:rsid w:val="00181E73"/>
    <w:rsid w:val="00181E92"/>
    <w:rsid w:val="001820BA"/>
    <w:rsid w:val="001820F7"/>
    <w:rsid w:val="00182187"/>
    <w:rsid w:val="001821A9"/>
    <w:rsid w:val="0018227F"/>
    <w:rsid w:val="00182311"/>
    <w:rsid w:val="00182375"/>
    <w:rsid w:val="00182396"/>
    <w:rsid w:val="001823DB"/>
    <w:rsid w:val="00182441"/>
    <w:rsid w:val="0018256C"/>
    <w:rsid w:val="0018259D"/>
    <w:rsid w:val="001825F8"/>
    <w:rsid w:val="00182620"/>
    <w:rsid w:val="00182654"/>
    <w:rsid w:val="00182672"/>
    <w:rsid w:val="0018272A"/>
    <w:rsid w:val="00182818"/>
    <w:rsid w:val="0018298D"/>
    <w:rsid w:val="00182A93"/>
    <w:rsid w:val="00182A96"/>
    <w:rsid w:val="00182C10"/>
    <w:rsid w:val="00182CC6"/>
    <w:rsid w:val="00182D56"/>
    <w:rsid w:val="00182DCD"/>
    <w:rsid w:val="00182DFC"/>
    <w:rsid w:val="00182E01"/>
    <w:rsid w:val="00182E2D"/>
    <w:rsid w:val="00182ED3"/>
    <w:rsid w:val="00182FAD"/>
    <w:rsid w:val="00183018"/>
    <w:rsid w:val="0018306D"/>
    <w:rsid w:val="00183095"/>
    <w:rsid w:val="00183174"/>
    <w:rsid w:val="00183185"/>
    <w:rsid w:val="00183241"/>
    <w:rsid w:val="001833B4"/>
    <w:rsid w:val="0018347A"/>
    <w:rsid w:val="001834AD"/>
    <w:rsid w:val="001834B2"/>
    <w:rsid w:val="001834D1"/>
    <w:rsid w:val="00183525"/>
    <w:rsid w:val="0018359B"/>
    <w:rsid w:val="001835F5"/>
    <w:rsid w:val="00183635"/>
    <w:rsid w:val="0018364B"/>
    <w:rsid w:val="00183720"/>
    <w:rsid w:val="00183750"/>
    <w:rsid w:val="00183767"/>
    <w:rsid w:val="001837C2"/>
    <w:rsid w:val="001837D1"/>
    <w:rsid w:val="001837E6"/>
    <w:rsid w:val="0018381E"/>
    <w:rsid w:val="001838A6"/>
    <w:rsid w:val="0018394D"/>
    <w:rsid w:val="001839E3"/>
    <w:rsid w:val="00183A1F"/>
    <w:rsid w:val="00183A75"/>
    <w:rsid w:val="00183B4B"/>
    <w:rsid w:val="00183B94"/>
    <w:rsid w:val="00183B96"/>
    <w:rsid w:val="00183BBB"/>
    <w:rsid w:val="00183C44"/>
    <w:rsid w:val="00183CAC"/>
    <w:rsid w:val="00183D05"/>
    <w:rsid w:val="00183D62"/>
    <w:rsid w:val="00183E1E"/>
    <w:rsid w:val="00183E66"/>
    <w:rsid w:val="00183F00"/>
    <w:rsid w:val="00183F8F"/>
    <w:rsid w:val="00183FA4"/>
    <w:rsid w:val="00183FBC"/>
    <w:rsid w:val="00183FC9"/>
    <w:rsid w:val="00183FE8"/>
    <w:rsid w:val="00184006"/>
    <w:rsid w:val="0018405D"/>
    <w:rsid w:val="0018406F"/>
    <w:rsid w:val="001840DF"/>
    <w:rsid w:val="0018410C"/>
    <w:rsid w:val="0018413F"/>
    <w:rsid w:val="0018418B"/>
    <w:rsid w:val="00184230"/>
    <w:rsid w:val="00184281"/>
    <w:rsid w:val="001842A7"/>
    <w:rsid w:val="001843D7"/>
    <w:rsid w:val="00184451"/>
    <w:rsid w:val="0018450B"/>
    <w:rsid w:val="0018460E"/>
    <w:rsid w:val="0018465B"/>
    <w:rsid w:val="00184688"/>
    <w:rsid w:val="001846F5"/>
    <w:rsid w:val="00184771"/>
    <w:rsid w:val="001847D9"/>
    <w:rsid w:val="00184808"/>
    <w:rsid w:val="00184876"/>
    <w:rsid w:val="001848CE"/>
    <w:rsid w:val="001848D1"/>
    <w:rsid w:val="00184960"/>
    <w:rsid w:val="00184A02"/>
    <w:rsid w:val="00184A2C"/>
    <w:rsid w:val="00184A4C"/>
    <w:rsid w:val="00184AE7"/>
    <w:rsid w:val="00184B31"/>
    <w:rsid w:val="00184B7E"/>
    <w:rsid w:val="00184BFE"/>
    <w:rsid w:val="00184C1A"/>
    <w:rsid w:val="00184C46"/>
    <w:rsid w:val="00184C4F"/>
    <w:rsid w:val="00184C8F"/>
    <w:rsid w:val="00184D71"/>
    <w:rsid w:val="00184D9C"/>
    <w:rsid w:val="00184E6F"/>
    <w:rsid w:val="00184F12"/>
    <w:rsid w:val="00184F91"/>
    <w:rsid w:val="001850F8"/>
    <w:rsid w:val="0018510E"/>
    <w:rsid w:val="00185149"/>
    <w:rsid w:val="0018531A"/>
    <w:rsid w:val="0018546D"/>
    <w:rsid w:val="001854E1"/>
    <w:rsid w:val="001855AA"/>
    <w:rsid w:val="001855E8"/>
    <w:rsid w:val="0018567E"/>
    <w:rsid w:val="00185701"/>
    <w:rsid w:val="00185709"/>
    <w:rsid w:val="00185718"/>
    <w:rsid w:val="001857C1"/>
    <w:rsid w:val="0018591B"/>
    <w:rsid w:val="001859C7"/>
    <w:rsid w:val="00185A45"/>
    <w:rsid w:val="00185AB1"/>
    <w:rsid w:val="00185ACC"/>
    <w:rsid w:val="00185AD8"/>
    <w:rsid w:val="00185AEF"/>
    <w:rsid w:val="00185BBF"/>
    <w:rsid w:val="00185C5B"/>
    <w:rsid w:val="00185C64"/>
    <w:rsid w:val="00185CAC"/>
    <w:rsid w:val="00185CB4"/>
    <w:rsid w:val="00185CE4"/>
    <w:rsid w:val="00185D95"/>
    <w:rsid w:val="00185E0C"/>
    <w:rsid w:val="00185ED3"/>
    <w:rsid w:val="00186069"/>
    <w:rsid w:val="00186091"/>
    <w:rsid w:val="0018614D"/>
    <w:rsid w:val="00186210"/>
    <w:rsid w:val="00186242"/>
    <w:rsid w:val="00186255"/>
    <w:rsid w:val="001862BE"/>
    <w:rsid w:val="0018644B"/>
    <w:rsid w:val="0018663B"/>
    <w:rsid w:val="00186732"/>
    <w:rsid w:val="00186737"/>
    <w:rsid w:val="001868C8"/>
    <w:rsid w:val="00186922"/>
    <w:rsid w:val="00186A3A"/>
    <w:rsid w:val="00186B07"/>
    <w:rsid w:val="00186BBD"/>
    <w:rsid w:val="00186C9E"/>
    <w:rsid w:val="00186D46"/>
    <w:rsid w:val="00186DA2"/>
    <w:rsid w:val="00186DF3"/>
    <w:rsid w:val="00186ED9"/>
    <w:rsid w:val="00186F0F"/>
    <w:rsid w:val="00186FAF"/>
    <w:rsid w:val="00186FEB"/>
    <w:rsid w:val="0018701F"/>
    <w:rsid w:val="001870D4"/>
    <w:rsid w:val="00187173"/>
    <w:rsid w:val="00187197"/>
    <w:rsid w:val="001871E3"/>
    <w:rsid w:val="0018722F"/>
    <w:rsid w:val="00187400"/>
    <w:rsid w:val="00187467"/>
    <w:rsid w:val="00187527"/>
    <w:rsid w:val="0018752B"/>
    <w:rsid w:val="00187647"/>
    <w:rsid w:val="0018765A"/>
    <w:rsid w:val="00187709"/>
    <w:rsid w:val="001877D4"/>
    <w:rsid w:val="0018785C"/>
    <w:rsid w:val="001879B3"/>
    <w:rsid w:val="001879D4"/>
    <w:rsid w:val="00187A49"/>
    <w:rsid w:val="00187ADF"/>
    <w:rsid w:val="00187B74"/>
    <w:rsid w:val="00187B77"/>
    <w:rsid w:val="00187BC4"/>
    <w:rsid w:val="00187C56"/>
    <w:rsid w:val="00187D42"/>
    <w:rsid w:val="00187D45"/>
    <w:rsid w:val="00187D79"/>
    <w:rsid w:val="00187E1D"/>
    <w:rsid w:val="00187F1C"/>
    <w:rsid w:val="00187F58"/>
    <w:rsid w:val="00190015"/>
    <w:rsid w:val="00190075"/>
    <w:rsid w:val="00190171"/>
    <w:rsid w:val="001901A4"/>
    <w:rsid w:val="001901C1"/>
    <w:rsid w:val="001903F3"/>
    <w:rsid w:val="00190482"/>
    <w:rsid w:val="001904CA"/>
    <w:rsid w:val="001904F8"/>
    <w:rsid w:val="00190627"/>
    <w:rsid w:val="00190636"/>
    <w:rsid w:val="00190639"/>
    <w:rsid w:val="0019065B"/>
    <w:rsid w:val="001906F0"/>
    <w:rsid w:val="001908B8"/>
    <w:rsid w:val="0019091A"/>
    <w:rsid w:val="00190974"/>
    <w:rsid w:val="00190978"/>
    <w:rsid w:val="00190A21"/>
    <w:rsid w:val="00190B1E"/>
    <w:rsid w:val="00190B2A"/>
    <w:rsid w:val="00190C10"/>
    <w:rsid w:val="00190C6D"/>
    <w:rsid w:val="00190D04"/>
    <w:rsid w:val="00190D0D"/>
    <w:rsid w:val="00190D7D"/>
    <w:rsid w:val="00190EAB"/>
    <w:rsid w:val="00190F4C"/>
    <w:rsid w:val="00190F8F"/>
    <w:rsid w:val="0019115B"/>
    <w:rsid w:val="001911E4"/>
    <w:rsid w:val="001912EA"/>
    <w:rsid w:val="001913F1"/>
    <w:rsid w:val="00191414"/>
    <w:rsid w:val="0019141D"/>
    <w:rsid w:val="00191559"/>
    <w:rsid w:val="00191652"/>
    <w:rsid w:val="001916A3"/>
    <w:rsid w:val="00191712"/>
    <w:rsid w:val="00191721"/>
    <w:rsid w:val="0019178C"/>
    <w:rsid w:val="001917A3"/>
    <w:rsid w:val="001917EA"/>
    <w:rsid w:val="00191820"/>
    <w:rsid w:val="001918CF"/>
    <w:rsid w:val="001918D7"/>
    <w:rsid w:val="0019196E"/>
    <w:rsid w:val="00191970"/>
    <w:rsid w:val="00191A91"/>
    <w:rsid w:val="00191B53"/>
    <w:rsid w:val="00191BA8"/>
    <w:rsid w:val="00191BE3"/>
    <w:rsid w:val="00191C5B"/>
    <w:rsid w:val="00191C92"/>
    <w:rsid w:val="00191D42"/>
    <w:rsid w:val="00191DD2"/>
    <w:rsid w:val="00191E83"/>
    <w:rsid w:val="00191F40"/>
    <w:rsid w:val="00191F47"/>
    <w:rsid w:val="00191F5F"/>
    <w:rsid w:val="00191FCC"/>
    <w:rsid w:val="0019200D"/>
    <w:rsid w:val="00192043"/>
    <w:rsid w:val="0019212C"/>
    <w:rsid w:val="0019215C"/>
    <w:rsid w:val="00192166"/>
    <w:rsid w:val="00192232"/>
    <w:rsid w:val="001922B1"/>
    <w:rsid w:val="0019232A"/>
    <w:rsid w:val="00192372"/>
    <w:rsid w:val="00192380"/>
    <w:rsid w:val="00192440"/>
    <w:rsid w:val="00192479"/>
    <w:rsid w:val="00192567"/>
    <w:rsid w:val="00192574"/>
    <w:rsid w:val="001925C8"/>
    <w:rsid w:val="00192787"/>
    <w:rsid w:val="001927DF"/>
    <w:rsid w:val="00192894"/>
    <w:rsid w:val="001928B5"/>
    <w:rsid w:val="001928C5"/>
    <w:rsid w:val="0019294D"/>
    <w:rsid w:val="001929A2"/>
    <w:rsid w:val="001929C7"/>
    <w:rsid w:val="00192A15"/>
    <w:rsid w:val="00192A9C"/>
    <w:rsid w:val="00192AC2"/>
    <w:rsid w:val="00192B7D"/>
    <w:rsid w:val="00192C6A"/>
    <w:rsid w:val="00192C6B"/>
    <w:rsid w:val="00192CBE"/>
    <w:rsid w:val="00192ED4"/>
    <w:rsid w:val="00192F5A"/>
    <w:rsid w:val="00192F63"/>
    <w:rsid w:val="00192F80"/>
    <w:rsid w:val="00193168"/>
    <w:rsid w:val="001931EC"/>
    <w:rsid w:val="001932B2"/>
    <w:rsid w:val="001932FE"/>
    <w:rsid w:val="0019333E"/>
    <w:rsid w:val="001933EE"/>
    <w:rsid w:val="001933FF"/>
    <w:rsid w:val="0019346E"/>
    <w:rsid w:val="00193483"/>
    <w:rsid w:val="00193516"/>
    <w:rsid w:val="00193725"/>
    <w:rsid w:val="00193743"/>
    <w:rsid w:val="001938BD"/>
    <w:rsid w:val="001938FE"/>
    <w:rsid w:val="00193942"/>
    <w:rsid w:val="0019395F"/>
    <w:rsid w:val="001939AC"/>
    <w:rsid w:val="00193A80"/>
    <w:rsid w:val="00193AE3"/>
    <w:rsid w:val="00193BEA"/>
    <w:rsid w:val="00193C69"/>
    <w:rsid w:val="00193C8F"/>
    <w:rsid w:val="00193CCD"/>
    <w:rsid w:val="00193DC4"/>
    <w:rsid w:val="00193E6E"/>
    <w:rsid w:val="00193E84"/>
    <w:rsid w:val="00194001"/>
    <w:rsid w:val="0019404A"/>
    <w:rsid w:val="0019408B"/>
    <w:rsid w:val="001940CF"/>
    <w:rsid w:val="00194104"/>
    <w:rsid w:val="001942FC"/>
    <w:rsid w:val="0019430B"/>
    <w:rsid w:val="0019434B"/>
    <w:rsid w:val="0019441A"/>
    <w:rsid w:val="00194424"/>
    <w:rsid w:val="00194515"/>
    <w:rsid w:val="0019455C"/>
    <w:rsid w:val="0019457A"/>
    <w:rsid w:val="0019464E"/>
    <w:rsid w:val="001946F6"/>
    <w:rsid w:val="00194762"/>
    <w:rsid w:val="00194777"/>
    <w:rsid w:val="001947ED"/>
    <w:rsid w:val="00194925"/>
    <w:rsid w:val="0019497A"/>
    <w:rsid w:val="001949D6"/>
    <w:rsid w:val="00194A9E"/>
    <w:rsid w:val="00194AEC"/>
    <w:rsid w:val="00194B3B"/>
    <w:rsid w:val="00194B49"/>
    <w:rsid w:val="00194B76"/>
    <w:rsid w:val="00194B8A"/>
    <w:rsid w:val="00194BB4"/>
    <w:rsid w:val="00194C1D"/>
    <w:rsid w:val="00194D44"/>
    <w:rsid w:val="00194DB7"/>
    <w:rsid w:val="00194DF2"/>
    <w:rsid w:val="00194E1F"/>
    <w:rsid w:val="00194EA8"/>
    <w:rsid w:val="00194EC0"/>
    <w:rsid w:val="001950E0"/>
    <w:rsid w:val="00195122"/>
    <w:rsid w:val="00195159"/>
    <w:rsid w:val="001951B0"/>
    <w:rsid w:val="00195248"/>
    <w:rsid w:val="00195338"/>
    <w:rsid w:val="00195345"/>
    <w:rsid w:val="00195349"/>
    <w:rsid w:val="00195375"/>
    <w:rsid w:val="001953B8"/>
    <w:rsid w:val="00195424"/>
    <w:rsid w:val="00195449"/>
    <w:rsid w:val="00195515"/>
    <w:rsid w:val="0019558F"/>
    <w:rsid w:val="0019559E"/>
    <w:rsid w:val="00195677"/>
    <w:rsid w:val="001956BA"/>
    <w:rsid w:val="001956F2"/>
    <w:rsid w:val="001958C5"/>
    <w:rsid w:val="00195919"/>
    <w:rsid w:val="0019599F"/>
    <w:rsid w:val="00195B40"/>
    <w:rsid w:val="00195BEB"/>
    <w:rsid w:val="00195CA3"/>
    <w:rsid w:val="00195D16"/>
    <w:rsid w:val="00195DD8"/>
    <w:rsid w:val="00195E5E"/>
    <w:rsid w:val="00195E61"/>
    <w:rsid w:val="00195E7F"/>
    <w:rsid w:val="00195F23"/>
    <w:rsid w:val="00195F72"/>
    <w:rsid w:val="00196076"/>
    <w:rsid w:val="00196121"/>
    <w:rsid w:val="0019618B"/>
    <w:rsid w:val="001962B5"/>
    <w:rsid w:val="001963B7"/>
    <w:rsid w:val="001964AA"/>
    <w:rsid w:val="00196504"/>
    <w:rsid w:val="00196787"/>
    <w:rsid w:val="001967B1"/>
    <w:rsid w:val="001967F6"/>
    <w:rsid w:val="001968DC"/>
    <w:rsid w:val="001968F3"/>
    <w:rsid w:val="001969A0"/>
    <w:rsid w:val="00196A0E"/>
    <w:rsid w:val="00196AF3"/>
    <w:rsid w:val="00196B67"/>
    <w:rsid w:val="00196BD2"/>
    <w:rsid w:val="00196D22"/>
    <w:rsid w:val="00196E9B"/>
    <w:rsid w:val="00196F33"/>
    <w:rsid w:val="00196F8A"/>
    <w:rsid w:val="00196FA4"/>
    <w:rsid w:val="00196FF0"/>
    <w:rsid w:val="00197019"/>
    <w:rsid w:val="00197061"/>
    <w:rsid w:val="001970E6"/>
    <w:rsid w:val="0019712D"/>
    <w:rsid w:val="0019714E"/>
    <w:rsid w:val="0019722F"/>
    <w:rsid w:val="00197286"/>
    <w:rsid w:val="001975C7"/>
    <w:rsid w:val="001976BB"/>
    <w:rsid w:val="0019779E"/>
    <w:rsid w:val="001977AD"/>
    <w:rsid w:val="001977AE"/>
    <w:rsid w:val="00197836"/>
    <w:rsid w:val="00197851"/>
    <w:rsid w:val="0019789F"/>
    <w:rsid w:val="001978E4"/>
    <w:rsid w:val="001979A9"/>
    <w:rsid w:val="00197A21"/>
    <w:rsid w:val="00197A93"/>
    <w:rsid w:val="00197AF2"/>
    <w:rsid w:val="00197BAF"/>
    <w:rsid w:val="00197C36"/>
    <w:rsid w:val="00197C37"/>
    <w:rsid w:val="00197CE2"/>
    <w:rsid w:val="00197E72"/>
    <w:rsid w:val="00197E78"/>
    <w:rsid w:val="00197EF2"/>
    <w:rsid w:val="00197F25"/>
    <w:rsid w:val="00197FB6"/>
    <w:rsid w:val="00197FBF"/>
    <w:rsid w:val="001A012C"/>
    <w:rsid w:val="001A0245"/>
    <w:rsid w:val="001A02F0"/>
    <w:rsid w:val="001A031D"/>
    <w:rsid w:val="001A0338"/>
    <w:rsid w:val="001A0388"/>
    <w:rsid w:val="001A04B5"/>
    <w:rsid w:val="001A04DE"/>
    <w:rsid w:val="001A059E"/>
    <w:rsid w:val="001A05A8"/>
    <w:rsid w:val="001A05C5"/>
    <w:rsid w:val="001A0609"/>
    <w:rsid w:val="001A066B"/>
    <w:rsid w:val="001A0671"/>
    <w:rsid w:val="001A0736"/>
    <w:rsid w:val="001A0777"/>
    <w:rsid w:val="001A0904"/>
    <w:rsid w:val="001A0951"/>
    <w:rsid w:val="001A0A21"/>
    <w:rsid w:val="001A0B62"/>
    <w:rsid w:val="001A0BE0"/>
    <w:rsid w:val="001A0C28"/>
    <w:rsid w:val="001A0C85"/>
    <w:rsid w:val="001A0D32"/>
    <w:rsid w:val="001A0E1D"/>
    <w:rsid w:val="001A1119"/>
    <w:rsid w:val="001A1216"/>
    <w:rsid w:val="001A126C"/>
    <w:rsid w:val="001A12DA"/>
    <w:rsid w:val="001A1372"/>
    <w:rsid w:val="001A13BB"/>
    <w:rsid w:val="001A13CF"/>
    <w:rsid w:val="001A13DF"/>
    <w:rsid w:val="001A1435"/>
    <w:rsid w:val="001A14A6"/>
    <w:rsid w:val="001A157B"/>
    <w:rsid w:val="001A163F"/>
    <w:rsid w:val="001A16F3"/>
    <w:rsid w:val="001A1767"/>
    <w:rsid w:val="001A188E"/>
    <w:rsid w:val="001A195C"/>
    <w:rsid w:val="001A195E"/>
    <w:rsid w:val="001A1A1B"/>
    <w:rsid w:val="001A1AC9"/>
    <w:rsid w:val="001A1B4C"/>
    <w:rsid w:val="001A1B55"/>
    <w:rsid w:val="001A1CF5"/>
    <w:rsid w:val="001A1D2B"/>
    <w:rsid w:val="001A1D2F"/>
    <w:rsid w:val="001A1E1F"/>
    <w:rsid w:val="001A1ED6"/>
    <w:rsid w:val="001A1F0C"/>
    <w:rsid w:val="001A20A1"/>
    <w:rsid w:val="001A2173"/>
    <w:rsid w:val="001A219D"/>
    <w:rsid w:val="001A21CE"/>
    <w:rsid w:val="001A2238"/>
    <w:rsid w:val="001A22BD"/>
    <w:rsid w:val="001A2384"/>
    <w:rsid w:val="001A2393"/>
    <w:rsid w:val="001A23E8"/>
    <w:rsid w:val="001A259E"/>
    <w:rsid w:val="001A2611"/>
    <w:rsid w:val="001A26BC"/>
    <w:rsid w:val="001A26D3"/>
    <w:rsid w:val="001A2772"/>
    <w:rsid w:val="001A27CF"/>
    <w:rsid w:val="001A289C"/>
    <w:rsid w:val="001A28A0"/>
    <w:rsid w:val="001A28F3"/>
    <w:rsid w:val="001A290C"/>
    <w:rsid w:val="001A293A"/>
    <w:rsid w:val="001A2956"/>
    <w:rsid w:val="001A2A66"/>
    <w:rsid w:val="001A2B6B"/>
    <w:rsid w:val="001A2C03"/>
    <w:rsid w:val="001A2CB6"/>
    <w:rsid w:val="001A2D92"/>
    <w:rsid w:val="001A2F54"/>
    <w:rsid w:val="001A2F99"/>
    <w:rsid w:val="001A2FB0"/>
    <w:rsid w:val="001A30A0"/>
    <w:rsid w:val="001A3123"/>
    <w:rsid w:val="001A32B4"/>
    <w:rsid w:val="001A32FB"/>
    <w:rsid w:val="001A32FF"/>
    <w:rsid w:val="001A330C"/>
    <w:rsid w:val="001A3319"/>
    <w:rsid w:val="001A33E8"/>
    <w:rsid w:val="001A34B4"/>
    <w:rsid w:val="001A34CF"/>
    <w:rsid w:val="001A352A"/>
    <w:rsid w:val="001A354C"/>
    <w:rsid w:val="001A35AC"/>
    <w:rsid w:val="001A35EC"/>
    <w:rsid w:val="001A3680"/>
    <w:rsid w:val="001A37A1"/>
    <w:rsid w:val="001A37B2"/>
    <w:rsid w:val="001A3825"/>
    <w:rsid w:val="001A3886"/>
    <w:rsid w:val="001A38A0"/>
    <w:rsid w:val="001A38B1"/>
    <w:rsid w:val="001A38B6"/>
    <w:rsid w:val="001A39CA"/>
    <w:rsid w:val="001A3A67"/>
    <w:rsid w:val="001A3AA5"/>
    <w:rsid w:val="001A3AD5"/>
    <w:rsid w:val="001A3AE7"/>
    <w:rsid w:val="001A3B15"/>
    <w:rsid w:val="001A3BB9"/>
    <w:rsid w:val="001A3BE5"/>
    <w:rsid w:val="001A3C26"/>
    <w:rsid w:val="001A3C67"/>
    <w:rsid w:val="001A3CB0"/>
    <w:rsid w:val="001A3CB6"/>
    <w:rsid w:val="001A3D74"/>
    <w:rsid w:val="001A3DB5"/>
    <w:rsid w:val="001A3E89"/>
    <w:rsid w:val="001A3F8A"/>
    <w:rsid w:val="001A3FB2"/>
    <w:rsid w:val="001A3FD2"/>
    <w:rsid w:val="001A4055"/>
    <w:rsid w:val="001A40C5"/>
    <w:rsid w:val="001A4135"/>
    <w:rsid w:val="001A414F"/>
    <w:rsid w:val="001A41AB"/>
    <w:rsid w:val="001A42B8"/>
    <w:rsid w:val="001A43B6"/>
    <w:rsid w:val="001A43F2"/>
    <w:rsid w:val="001A4403"/>
    <w:rsid w:val="001A4491"/>
    <w:rsid w:val="001A4498"/>
    <w:rsid w:val="001A44FF"/>
    <w:rsid w:val="001A456E"/>
    <w:rsid w:val="001A46DD"/>
    <w:rsid w:val="001A4749"/>
    <w:rsid w:val="001A47F4"/>
    <w:rsid w:val="001A481E"/>
    <w:rsid w:val="001A485D"/>
    <w:rsid w:val="001A48B9"/>
    <w:rsid w:val="001A48E5"/>
    <w:rsid w:val="001A4918"/>
    <w:rsid w:val="001A491E"/>
    <w:rsid w:val="001A4B59"/>
    <w:rsid w:val="001A4B9C"/>
    <w:rsid w:val="001A4BA0"/>
    <w:rsid w:val="001A4BBB"/>
    <w:rsid w:val="001A4BDA"/>
    <w:rsid w:val="001A4BEE"/>
    <w:rsid w:val="001A4C68"/>
    <w:rsid w:val="001A4D10"/>
    <w:rsid w:val="001A4E74"/>
    <w:rsid w:val="001A4E9C"/>
    <w:rsid w:val="001A4EEF"/>
    <w:rsid w:val="001A4F0A"/>
    <w:rsid w:val="001A4F10"/>
    <w:rsid w:val="001A4F19"/>
    <w:rsid w:val="001A4F4A"/>
    <w:rsid w:val="001A4F66"/>
    <w:rsid w:val="001A4F83"/>
    <w:rsid w:val="001A4FDE"/>
    <w:rsid w:val="001A503E"/>
    <w:rsid w:val="001A513A"/>
    <w:rsid w:val="001A514D"/>
    <w:rsid w:val="001A5158"/>
    <w:rsid w:val="001A532E"/>
    <w:rsid w:val="001A53E0"/>
    <w:rsid w:val="001A5478"/>
    <w:rsid w:val="001A554B"/>
    <w:rsid w:val="001A5637"/>
    <w:rsid w:val="001A574B"/>
    <w:rsid w:val="001A5768"/>
    <w:rsid w:val="001A57B0"/>
    <w:rsid w:val="001A5885"/>
    <w:rsid w:val="001A58E4"/>
    <w:rsid w:val="001A58ED"/>
    <w:rsid w:val="001A5927"/>
    <w:rsid w:val="001A594C"/>
    <w:rsid w:val="001A5A24"/>
    <w:rsid w:val="001A5A3A"/>
    <w:rsid w:val="001A5A92"/>
    <w:rsid w:val="001A5AF9"/>
    <w:rsid w:val="001A5B04"/>
    <w:rsid w:val="001A5B21"/>
    <w:rsid w:val="001A5B6A"/>
    <w:rsid w:val="001A5B7B"/>
    <w:rsid w:val="001A5CC5"/>
    <w:rsid w:val="001A5D0E"/>
    <w:rsid w:val="001A5D66"/>
    <w:rsid w:val="001A5D80"/>
    <w:rsid w:val="001A5EF8"/>
    <w:rsid w:val="001A5FC1"/>
    <w:rsid w:val="001A6007"/>
    <w:rsid w:val="001A602F"/>
    <w:rsid w:val="001A60A5"/>
    <w:rsid w:val="001A60B8"/>
    <w:rsid w:val="001A6135"/>
    <w:rsid w:val="001A6351"/>
    <w:rsid w:val="001A6375"/>
    <w:rsid w:val="001A6396"/>
    <w:rsid w:val="001A64F3"/>
    <w:rsid w:val="001A6502"/>
    <w:rsid w:val="001A653D"/>
    <w:rsid w:val="001A657E"/>
    <w:rsid w:val="001A6642"/>
    <w:rsid w:val="001A664A"/>
    <w:rsid w:val="001A664F"/>
    <w:rsid w:val="001A66C3"/>
    <w:rsid w:val="001A66FB"/>
    <w:rsid w:val="001A67F4"/>
    <w:rsid w:val="001A67FD"/>
    <w:rsid w:val="001A68B9"/>
    <w:rsid w:val="001A692D"/>
    <w:rsid w:val="001A6A59"/>
    <w:rsid w:val="001A6A97"/>
    <w:rsid w:val="001A6B35"/>
    <w:rsid w:val="001A6C6F"/>
    <w:rsid w:val="001A6C93"/>
    <w:rsid w:val="001A6D17"/>
    <w:rsid w:val="001A6DC7"/>
    <w:rsid w:val="001A6E32"/>
    <w:rsid w:val="001A6ED6"/>
    <w:rsid w:val="001A6F36"/>
    <w:rsid w:val="001A6F4B"/>
    <w:rsid w:val="001A6FDD"/>
    <w:rsid w:val="001A7008"/>
    <w:rsid w:val="001A703E"/>
    <w:rsid w:val="001A70F9"/>
    <w:rsid w:val="001A7117"/>
    <w:rsid w:val="001A72C2"/>
    <w:rsid w:val="001A730D"/>
    <w:rsid w:val="001A7320"/>
    <w:rsid w:val="001A7366"/>
    <w:rsid w:val="001A7379"/>
    <w:rsid w:val="001A740F"/>
    <w:rsid w:val="001A74A4"/>
    <w:rsid w:val="001A754E"/>
    <w:rsid w:val="001A758E"/>
    <w:rsid w:val="001A75B0"/>
    <w:rsid w:val="001A75C7"/>
    <w:rsid w:val="001A7626"/>
    <w:rsid w:val="001A7651"/>
    <w:rsid w:val="001A765E"/>
    <w:rsid w:val="001A7712"/>
    <w:rsid w:val="001A777D"/>
    <w:rsid w:val="001A7804"/>
    <w:rsid w:val="001A7870"/>
    <w:rsid w:val="001A78DC"/>
    <w:rsid w:val="001A790E"/>
    <w:rsid w:val="001A7A3E"/>
    <w:rsid w:val="001A7A86"/>
    <w:rsid w:val="001A7A8F"/>
    <w:rsid w:val="001A7ADA"/>
    <w:rsid w:val="001A7B1A"/>
    <w:rsid w:val="001A7B50"/>
    <w:rsid w:val="001A7B52"/>
    <w:rsid w:val="001A7B54"/>
    <w:rsid w:val="001A7CF5"/>
    <w:rsid w:val="001A7D1A"/>
    <w:rsid w:val="001A7DF6"/>
    <w:rsid w:val="001A7DF9"/>
    <w:rsid w:val="001A7E21"/>
    <w:rsid w:val="001A7E25"/>
    <w:rsid w:val="001A7EB0"/>
    <w:rsid w:val="001A7F58"/>
    <w:rsid w:val="001A7FAB"/>
    <w:rsid w:val="001B0006"/>
    <w:rsid w:val="001B007E"/>
    <w:rsid w:val="001B01EF"/>
    <w:rsid w:val="001B0238"/>
    <w:rsid w:val="001B025A"/>
    <w:rsid w:val="001B0347"/>
    <w:rsid w:val="001B0460"/>
    <w:rsid w:val="001B047E"/>
    <w:rsid w:val="001B04DA"/>
    <w:rsid w:val="001B04F7"/>
    <w:rsid w:val="001B0519"/>
    <w:rsid w:val="001B05D9"/>
    <w:rsid w:val="001B0678"/>
    <w:rsid w:val="001B0691"/>
    <w:rsid w:val="001B06E1"/>
    <w:rsid w:val="001B0708"/>
    <w:rsid w:val="001B0776"/>
    <w:rsid w:val="001B07C6"/>
    <w:rsid w:val="001B08AC"/>
    <w:rsid w:val="001B09F4"/>
    <w:rsid w:val="001B0A09"/>
    <w:rsid w:val="001B0A6C"/>
    <w:rsid w:val="001B0B06"/>
    <w:rsid w:val="001B0C11"/>
    <w:rsid w:val="001B0C74"/>
    <w:rsid w:val="001B0DC7"/>
    <w:rsid w:val="001B0FDA"/>
    <w:rsid w:val="001B1018"/>
    <w:rsid w:val="001B1082"/>
    <w:rsid w:val="001B10F1"/>
    <w:rsid w:val="001B1151"/>
    <w:rsid w:val="001B1161"/>
    <w:rsid w:val="001B1185"/>
    <w:rsid w:val="001B11AE"/>
    <w:rsid w:val="001B11BF"/>
    <w:rsid w:val="001B1208"/>
    <w:rsid w:val="001B122F"/>
    <w:rsid w:val="001B12D8"/>
    <w:rsid w:val="001B13C8"/>
    <w:rsid w:val="001B13E4"/>
    <w:rsid w:val="001B142E"/>
    <w:rsid w:val="001B14A0"/>
    <w:rsid w:val="001B14B9"/>
    <w:rsid w:val="001B1506"/>
    <w:rsid w:val="001B158D"/>
    <w:rsid w:val="001B1593"/>
    <w:rsid w:val="001B162B"/>
    <w:rsid w:val="001B1640"/>
    <w:rsid w:val="001B18A7"/>
    <w:rsid w:val="001B1958"/>
    <w:rsid w:val="001B19B5"/>
    <w:rsid w:val="001B19D2"/>
    <w:rsid w:val="001B1A6F"/>
    <w:rsid w:val="001B1A9A"/>
    <w:rsid w:val="001B1D67"/>
    <w:rsid w:val="001B1DD6"/>
    <w:rsid w:val="001B1E76"/>
    <w:rsid w:val="001B1F2E"/>
    <w:rsid w:val="001B1F41"/>
    <w:rsid w:val="001B1FA0"/>
    <w:rsid w:val="001B201F"/>
    <w:rsid w:val="001B2059"/>
    <w:rsid w:val="001B2100"/>
    <w:rsid w:val="001B2166"/>
    <w:rsid w:val="001B2202"/>
    <w:rsid w:val="001B22B6"/>
    <w:rsid w:val="001B22EF"/>
    <w:rsid w:val="001B2302"/>
    <w:rsid w:val="001B2320"/>
    <w:rsid w:val="001B2349"/>
    <w:rsid w:val="001B2427"/>
    <w:rsid w:val="001B2455"/>
    <w:rsid w:val="001B2475"/>
    <w:rsid w:val="001B24DB"/>
    <w:rsid w:val="001B250C"/>
    <w:rsid w:val="001B255A"/>
    <w:rsid w:val="001B2572"/>
    <w:rsid w:val="001B257A"/>
    <w:rsid w:val="001B2587"/>
    <w:rsid w:val="001B25AA"/>
    <w:rsid w:val="001B261C"/>
    <w:rsid w:val="001B26F8"/>
    <w:rsid w:val="001B277E"/>
    <w:rsid w:val="001B27E5"/>
    <w:rsid w:val="001B2945"/>
    <w:rsid w:val="001B29E0"/>
    <w:rsid w:val="001B2A3B"/>
    <w:rsid w:val="001B2ABE"/>
    <w:rsid w:val="001B2B1E"/>
    <w:rsid w:val="001B2BA6"/>
    <w:rsid w:val="001B2C2C"/>
    <w:rsid w:val="001B2C9F"/>
    <w:rsid w:val="001B2E0B"/>
    <w:rsid w:val="001B2FFD"/>
    <w:rsid w:val="001B311E"/>
    <w:rsid w:val="001B3194"/>
    <w:rsid w:val="001B319D"/>
    <w:rsid w:val="001B3320"/>
    <w:rsid w:val="001B33F0"/>
    <w:rsid w:val="001B3526"/>
    <w:rsid w:val="001B35A2"/>
    <w:rsid w:val="001B3679"/>
    <w:rsid w:val="001B367D"/>
    <w:rsid w:val="001B3725"/>
    <w:rsid w:val="001B3788"/>
    <w:rsid w:val="001B37D7"/>
    <w:rsid w:val="001B38C7"/>
    <w:rsid w:val="001B3938"/>
    <w:rsid w:val="001B3997"/>
    <w:rsid w:val="001B39A6"/>
    <w:rsid w:val="001B39DC"/>
    <w:rsid w:val="001B39E3"/>
    <w:rsid w:val="001B3A58"/>
    <w:rsid w:val="001B3AA9"/>
    <w:rsid w:val="001B3ABF"/>
    <w:rsid w:val="001B3BD0"/>
    <w:rsid w:val="001B3BEF"/>
    <w:rsid w:val="001B3C3C"/>
    <w:rsid w:val="001B3C8B"/>
    <w:rsid w:val="001B3C9B"/>
    <w:rsid w:val="001B3D45"/>
    <w:rsid w:val="001B3D6F"/>
    <w:rsid w:val="001B3D76"/>
    <w:rsid w:val="001B3DA4"/>
    <w:rsid w:val="001B3DF7"/>
    <w:rsid w:val="001B3E55"/>
    <w:rsid w:val="001B3F96"/>
    <w:rsid w:val="001B401F"/>
    <w:rsid w:val="001B4070"/>
    <w:rsid w:val="001B40FD"/>
    <w:rsid w:val="001B4153"/>
    <w:rsid w:val="001B41AB"/>
    <w:rsid w:val="001B42C5"/>
    <w:rsid w:val="001B4330"/>
    <w:rsid w:val="001B434E"/>
    <w:rsid w:val="001B43A7"/>
    <w:rsid w:val="001B4456"/>
    <w:rsid w:val="001B45D7"/>
    <w:rsid w:val="001B4621"/>
    <w:rsid w:val="001B4797"/>
    <w:rsid w:val="001B47D1"/>
    <w:rsid w:val="001B4816"/>
    <w:rsid w:val="001B4820"/>
    <w:rsid w:val="001B48AB"/>
    <w:rsid w:val="001B48B7"/>
    <w:rsid w:val="001B495D"/>
    <w:rsid w:val="001B49C2"/>
    <w:rsid w:val="001B4A1C"/>
    <w:rsid w:val="001B4AB6"/>
    <w:rsid w:val="001B4BAA"/>
    <w:rsid w:val="001B4BBE"/>
    <w:rsid w:val="001B4BCC"/>
    <w:rsid w:val="001B4C2D"/>
    <w:rsid w:val="001B4CA4"/>
    <w:rsid w:val="001B4DE2"/>
    <w:rsid w:val="001B4E0F"/>
    <w:rsid w:val="001B4E43"/>
    <w:rsid w:val="001B4E9A"/>
    <w:rsid w:val="001B4F84"/>
    <w:rsid w:val="001B4F86"/>
    <w:rsid w:val="001B4FB8"/>
    <w:rsid w:val="001B4FC1"/>
    <w:rsid w:val="001B50D3"/>
    <w:rsid w:val="001B51AA"/>
    <w:rsid w:val="001B51C5"/>
    <w:rsid w:val="001B526D"/>
    <w:rsid w:val="001B5403"/>
    <w:rsid w:val="001B5476"/>
    <w:rsid w:val="001B5489"/>
    <w:rsid w:val="001B55B5"/>
    <w:rsid w:val="001B55FD"/>
    <w:rsid w:val="001B5624"/>
    <w:rsid w:val="001B5703"/>
    <w:rsid w:val="001B5743"/>
    <w:rsid w:val="001B588F"/>
    <w:rsid w:val="001B5976"/>
    <w:rsid w:val="001B5B0F"/>
    <w:rsid w:val="001B5B80"/>
    <w:rsid w:val="001B5C3B"/>
    <w:rsid w:val="001B5C75"/>
    <w:rsid w:val="001B5CFE"/>
    <w:rsid w:val="001B5D61"/>
    <w:rsid w:val="001B5FA6"/>
    <w:rsid w:val="001B6020"/>
    <w:rsid w:val="001B605A"/>
    <w:rsid w:val="001B60CF"/>
    <w:rsid w:val="001B6138"/>
    <w:rsid w:val="001B613D"/>
    <w:rsid w:val="001B6148"/>
    <w:rsid w:val="001B61FF"/>
    <w:rsid w:val="001B64CC"/>
    <w:rsid w:val="001B65C3"/>
    <w:rsid w:val="001B6617"/>
    <w:rsid w:val="001B662C"/>
    <w:rsid w:val="001B66CD"/>
    <w:rsid w:val="001B674E"/>
    <w:rsid w:val="001B687F"/>
    <w:rsid w:val="001B6907"/>
    <w:rsid w:val="001B6A00"/>
    <w:rsid w:val="001B6A7E"/>
    <w:rsid w:val="001B6BB0"/>
    <w:rsid w:val="001B6BF3"/>
    <w:rsid w:val="001B6C33"/>
    <w:rsid w:val="001B6CB8"/>
    <w:rsid w:val="001B6F59"/>
    <w:rsid w:val="001B6F80"/>
    <w:rsid w:val="001B7057"/>
    <w:rsid w:val="001B70C1"/>
    <w:rsid w:val="001B713B"/>
    <w:rsid w:val="001B7170"/>
    <w:rsid w:val="001B7186"/>
    <w:rsid w:val="001B7194"/>
    <w:rsid w:val="001B731B"/>
    <w:rsid w:val="001B733A"/>
    <w:rsid w:val="001B7454"/>
    <w:rsid w:val="001B745A"/>
    <w:rsid w:val="001B748A"/>
    <w:rsid w:val="001B7556"/>
    <w:rsid w:val="001B75B4"/>
    <w:rsid w:val="001B76A0"/>
    <w:rsid w:val="001B771A"/>
    <w:rsid w:val="001B7725"/>
    <w:rsid w:val="001B779D"/>
    <w:rsid w:val="001B7861"/>
    <w:rsid w:val="001B78DC"/>
    <w:rsid w:val="001B78E6"/>
    <w:rsid w:val="001B791A"/>
    <w:rsid w:val="001B799E"/>
    <w:rsid w:val="001B79E5"/>
    <w:rsid w:val="001B7A1D"/>
    <w:rsid w:val="001B7A56"/>
    <w:rsid w:val="001B7AEB"/>
    <w:rsid w:val="001B7AED"/>
    <w:rsid w:val="001B7C02"/>
    <w:rsid w:val="001B7C25"/>
    <w:rsid w:val="001B7C7A"/>
    <w:rsid w:val="001B7CD4"/>
    <w:rsid w:val="001B7D90"/>
    <w:rsid w:val="001B7D91"/>
    <w:rsid w:val="001B7DC4"/>
    <w:rsid w:val="001B7DE6"/>
    <w:rsid w:val="001B7E18"/>
    <w:rsid w:val="001B7E73"/>
    <w:rsid w:val="001B7F2F"/>
    <w:rsid w:val="001C013C"/>
    <w:rsid w:val="001C02ED"/>
    <w:rsid w:val="001C032A"/>
    <w:rsid w:val="001C03D6"/>
    <w:rsid w:val="001C0496"/>
    <w:rsid w:val="001C04BB"/>
    <w:rsid w:val="001C056E"/>
    <w:rsid w:val="001C05D2"/>
    <w:rsid w:val="001C06B7"/>
    <w:rsid w:val="001C077A"/>
    <w:rsid w:val="001C0A38"/>
    <w:rsid w:val="001C0B09"/>
    <w:rsid w:val="001C0B15"/>
    <w:rsid w:val="001C0B22"/>
    <w:rsid w:val="001C0BB7"/>
    <w:rsid w:val="001C0C02"/>
    <w:rsid w:val="001C0C38"/>
    <w:rsid w:val="001C0C54"/>
    <w:rsid w:val="001C0C84"/>
    <w:rsid w:val="001C0D07"/>
    <w:rsid w:val="001C0D4F"/>
    <w:rsid w:val="001C0DCD"/>
    <w:rsid w:val="001C0DE6"/>
    <w:rsid w:val="001C0E15"/>
    <w:rsid w:val="001C0E52"/>
    <w:rsid w:val="001C0E68"/>
    <w:rsid w:val="001C0EBE"/>
    <w:rsid w:val="001C0F68"/>
    <w:rsid w:val="001C100B"/>
    <w:rsid w:val="001C1097"/>
    <w:rsid w:val="001C11C3"/>
    <w:rsid w:val="001C1291"/>
    <w:rsid w:val="001C129E"/>
    <w:rsid w:val="001C12AC"/>
    <w:rsid w:val="001C12FB"/>
    <w:rsid w:val="001C1323"/>
    <w:rsid w:val="001C1392"/>
    <w:rsid w:val="001C13C0"/>
    <w:rsid w:val="001C1401"/>
    <w:rsid w:val="001C146C"/>
    <w:rsid w:val="001C1521"/>
    <w:rsid w:val="001C155C"/>
    <w:rsid w:val="001C15C6"/>
    <w:rsid w:val="001C1635"/>
    <w:rsid w:val="001C168C"/>
    <w:rsid w:val="001C16BB"/>
    <w:rsid w:val="001C16FE"/>
    <w:rsid w:val="001C1742"/>
    <w:rsid w:val="001C1A69"/>
    <w:rsid w:val="001C1A82"/>
    <w:rsid w:val="001C1AB4"/>
    <w:rsid w:val="001C1AD6"/>
    <w:rsid w:val="001C1B0F"/>
    <w:rsid w:val="001C1BE2"/>
    <w:rsid w:val="001C1C2B"/>
    <w:rsid w:val="001C1D03"/>
    <w:rsid w:val="001C1EF7"/>
    <w:rsid w:val="001C1FE3"/>
    <w:rsid w:val="001C2037"/>
    <w:rsid w:val="001C2043"/>
    <w:rsid w:val="001C2065"/>
    <w:rsid w:val="001C2103"/>
    <w:rsid w:val="001C2104"/>
    <w:rsid w:val="001C213E"/>
    <w:rsid w:val="001C2164"/>
    <w:rsid w:val="001C23F7"/>
    <w:rsid w:val="001C2487"/>
    <w:rsid w:val="001C24A0"/>
    <w:rsid w:val="001C2535"/>
    <w:rsid w:val="001C25B1"/>
    <w:rsid w:val="001C2609"/>
    <w:rsid w:val="001C261A"/>
    <w:rsid w:val="001C2697"/>
    <w:rsid w:val="001C27C5"/>
    <w:rsid w:val="001C27E3"/>
    <w:rsid w:val="001C29BA"/>
    <w:rsid w:val="001C29E6"/>
    <w:rsid w:val="001C29F0"/>
    <w:rsid w:val="001C2A40"/>
    <w:rsid w:val="001C2A7D"/>
    <w:rsid w:val="001C2A9C"/>
    <w:rsid w:val="001C2A9D"/>
    <w:rsid w:val="001C2AB6"/>
    <w:rsid w:val="001C2C6E"/>
    <w:rsid w:val="001C2D93"/>
    <w:rsid w:val="001C2DB4"/>
    <w:rsid w:val="001C2DB8"/>
    <w:rsid w:val="001C2DDE"/>
    <w:rsid w:val="001C2E42"/>
    <w:rsid w:val="001C2E4E"/>
    <w:rsid w:val="001C2E66"/>
    <w:rsid w:val="001C2E94"/>
    <w:rsid w:val="001C2EAB"/>
    <w:rsid w:val="001C2EF1"/>
    <w:rsid w:val="001C2FAB"/>
    <w:rsid w:val="001C303C"/>
    <w:rsid w:val="001C3089"/>
    <w:rsid w:val="001C30B5"/>
    <w:rsid w:val="001C3104"/>
    <w:rsid w:val="001C3173"/>
    <w:rsid w:val="001C32B0"/>
    <w:rsid w:val="001C33AF"/>
    <w:rsid w:val="001C3404"/>
    <w:rsid w:val="001C340F"/>
    <w:rsid w:val="001C3454"/>
    <w:rsid w:val="001C34A5"/>
    <w:rsid w:val="001C34F9"/>
    <w:rsid w:val="001C3501"/>
    <w:rsid w:val="001C35B8"/>
    <w:rsid w:val="001C3685"/>
    <w:rsid w:val="001C380C"/>
    <w:rsid w:val="001C384B"/>
    <w:rsid w:val="001C386F"/>
    <w:rsid w:val="001C3879"/>
    <w:rsid w:val="001C390C"/>
    <w:rsid w:val="001C39D2"/>
    <w:rsid w:val="001C3A73"/>
    <w:rsid w:val="001C3B47"/>
    <w:rsid w:val="001C3BA8"/>
    <w:rsid w:val="001C3BD1"/>
    <w:rsid w:val="001C3C18"/>
    <w:rsid w:val="001C3C6C"/>
    <w:rsid w:val="001C3D94"/>
    <w:rsid w:val="001C3DC8"/>
    <w:rsid w:val="001C3E71"/>
    <w:rsid w:val="001C3E97"/>
    <w:rsid w:val="001C3EA9"/>
    <w:rsid w:val="001C3F0A"/>
    <w:rsid w:val="001C3F43"/>
    <w:rsid w:val="001C3F84"/>
    <w:rsid w:val="001C404A"/>
    <w:rsid w:val="001C414C"/>
    <w:rsid w:val="001C41B3"/>
    <w:rsid w:val="001C41FD"/>
    <w:rsid w:val="001C4212"/>
    <w:rsid w:val="001C42B6"/>
    <w:rsid w:val="001C42D1"/>
    <w:rsid w:val="001C42D3"/>
    <w:rsid w:val="001C436F"/>
    <w:rsid w:val="001C4386"/>
    <w:rsid w:val="001C4420"/>
    <w:rsid w:val="001C44E8"/>
    <w:rsid w:val="001C4508"/>
    <w:rsid w:val="001C4554"/>
    <w:rsid w:val="001C455F"/>
    <w:rsid w:val="001C45B5"/>
    <w:rsid w:val="001C45CB"/>
    <w:rsid w:val="001C465B"/>
    <w:rsid w:val="001C47AA"/>
    <w:rsid w:val="001C48BE"/>
    <w:rsid w:val="001C49E1"/>
    <w:rsid w:val="001C4A75"/>
    <w:rsid w:val="001C4AFD"/>
    <w:rsid w:val="001C4BE3"/>
    <w:rsid w:val="001C4C5B"/>
    <w:rsid w:val="001C4C6F"/>
    <w:rsid w:val="001C4CF9"/>
    <w:rsid w:val="001C4DD7"/>
    <w:rsid w:val="001C4E3C"/>
    <w:rsid w:val="001C50E5"/>
    <w:rsid w:val="001C5229"/>
    <w:rsid w:val="001C52AE"/>
    <w:rsid w:val="001C5332"/>
    <w:rsid w:val="001C5376"/>
    <w:rsid w:val="001C549C"/>
    <w:rsid w:val="001C54E4"/>
    <w:rsid w:val="001C5506"/>
    <w:rsid w:val="001C5538"/>
    <w:rsid w:val="001C557E"/>
    <w:rsid w:val="001C55CA"/>
    <w:rsid w:val="001C568F"/>
    <w:rsid w:val="001C56BB"/>
    <w:rsid w:val="001C56E8"/>
    <w:rsid w:val="001C5711"/>
    <w:rsid w:val="001C57B8"/>
    <w:rsid w:val="001C57F1"/>
    <w:rsid w:val="001C588F"/>
    <w:rsid w:val="001C5905"/>
    <w:rsid w:val="001C590F"/>
    <w:rsid w:val="001C591B"/>
    <w:rsid w:val="001C5A64"/>
    <w:rsid w:val="001C5AAD"/>
    <w:rsid w:val="001C5B1E"/>
    <w:rsid w:val="001C5B41"/>
    <w:rsid w:val="001C5B42"/>
    <w:rsid w:val="001C5B95"/>
    <w:rsid w:val="001C5C1A"/>
    <w:rsid w:val="001C5C6A"/>
    <w:rsid w:val="001C5C70"/>
    <w:rsid w:val="001C5C8A"/>
    <w:rsid w:val="001C5CF2"/>
    <w:rsid w:val="001C5CF8"/>
    <w:rsid w:val="001C5D14"/>
    <w:rsid w:val="001C5D38"/>
    <w:rsid w:val="001C5E21"/>
    <w:rsid w:val="001C5E5C"/>
    <w:rsid w:val="001C5EF0"/>
    <w:rsid w:val="001C5F80"/>
    <w:rsid w:val="001C5FB2"/>
    <w:rsid w:val="001C6068"/>
    <w:rsid w:val="001C607A"/>
    <w:rsid w:val="001C61B8"/>
    <w:rsid w:val="001C6248"/>
    <w:rsid w:val="001C6299"/>
    <w:rsid w:val="001C6386"/>
    <w:rsid w:val="001C6434"/>
    <w:rsid w:val="001C65E3"/>
    <w:rsid w:val="001C6665"/>
    <w:rsid w:val="001C66E7"/>
    <w:rsid w:val="001C6742"/>
    <w:rsid w:val="001C6773"/>
    <w:rsid w:val="001C67AD"/>
    <w:rsid w:val="001C680D"/>
    <w:rsid w:val="001C684D"/>
    <w:rsid w:val="001C68B7"/>
    <w:rsid w:val="001C6913"/>
    <w:rsid w:val="001C69ED"/>
    <w:rsid w:val="001C6A52"/>
    <w:rsid w:val="001C6B5E"/>
    <w:rsid w:val="001C6C71"/>
    <w:rsid w:val="001C6C7B"/>
    <w:rsid w:val="001C6DFE"/>
    <w:rsid w:val="001C6E3E"/>
    <w:rsid w:val="001C6EAC"/>
    <w:rsid w:val="001C6F3C"/>
    <w:rsid w:val="001C6F8F"/>
    <w:rsid w:val="001C6FA0"/>
    <w:rsid w:val="001C7025"/>
    <w:rsid w:val="001C7056"/>
    <w:rsid w:val="001C708E"/>
    <w:rsid w:val="001C70FD"/>
    <w:rsid w:val="001C712A"/>
    <w:rsid w:val="001C7197"/>
    <w:rsid w:val="001C71F4"/>
    <w:rsid w:val="001C72F7"/>
    <w:rsid w:val="001C731B"/>
    <w:rsid w:val="001C7366"/>
    <w:rsid w:val="001C73E5"/>
    <w:rsid w:val="001C7488"/>
    <w:rsid w:val="001C74A7"/>
    <w:rsid w:val="001C74B8"/>
    <w:rsid w:val="001C7838"/>
    <w:rsid w:val="001C78BA"/>
    <w:rsid w:val="001C798C"/>
    <w:rsid w:val="001C79BF"/>
    <w:rsid w:val="001C79F4"/>
    <w:rsid w:val="001C7A3E"/>
    <w:rsid w:val="001C7B27"/>
    <w:rsid w:val="001C7B2E"/>
    <w:rsid w:val="001C7C0A"/>
    <w:rsid w:val="001C7C42"/>
    <w:rsid w:val="001C7C4C"/>
    <w:rsid w:val="001C7C98"/>
    <w:rsid w:val="001C7CBA"/>
    <w:rsid w:val="001C7CC8"/>
    <w:rsid w:val="001C7E16"/>
    <w:rsid w:val="001C7E46"/>
    <w:rsid w:val="001C7EAA"/>
    <w:rsid w:val="001C7EAC"/>
    <w:rsid w:val="001C7EB4"/>
    <w:rsid w:val="001C7EF6"/>
    <w:rsid w:val="001C7F26"/>
    <w:rsid w:val="001C7F47"/>
    <w:rsid w:val="001C7FA9"/>
    <w:rsid w:val="001D0090"/>
    <w:rsid w:val="001D012B"/>
    <w:rsid w:val="001D01AD"/>
    <w:rsid w:val="001D01FD"/>
    <w:rsid w:val="001D0279"/>
    <w:rsid w:val="001D0353"/>
    <w:rsid w:val="001D0371"/>
    <w:rsid w:val="001D0382"/>
    <w:rsid w:val="001D03CB"/>
    <w:rsid w:val="001D0400"/>
    <w:rsid w:val="001D04B0"/>
    <w:rsid w:val="001D04C1"/>
    <w:rsid w:val="001D04D3"/>
    <w:rsid w:val="001D0517"/>
    <w:rsid w:val="001D0559"/>
    <w:rsid w:val="001D0562"/>
    <w:rsid w:val="001D0724"/>
    <w:rsid w:val="001D07AA"/>
    <w:rsid w:val="001D07CB"/>
    <w:rsid w:val="001D0847"/>
    <w:rsid w:val="001D08AE"/>
    <w:rsid w:val="001D08F1"/>
    <w:rsid w:val="001D09A5"/>
    <w:rsid w:val="001D0A86"/>
    <w:rsid w:val="001D0BAB"/>
    <w:rsid w:val="001D0C06"/>
    <w:rsid w:val="001D0C5C"/>
    <w:rsid w:val="001D0CB7"/>
    <w:rsid w:val="001D0D89"/>
    <w:rsid w:val="001D0E93"/>
    <w:rsid w:val="001D0E9D"/>
    <w:rsid w:val="001D0F66"/>
    <w:rsid w:val="001D1050"/>
    <w:rsid w:val="001D1100"/>
    <w:rsid w:val="001D11FF"/>
    <w:rsid w:val="001D139A"/>
    <w:rsid w:val="001D1475"/>
    <w:rsid w:val="001D1570"/>
    <w:rsid w:val="001D15C9"/>
    <w:rsid w:val="001D1692"/>
    <w:rsid w:val="001D16B5"/>
    <w:rsid w:val="001D178E"/>
    <w:rsid w:val="001D1790"/>
    <w:rsid w:val="001D17EC"/>
    <w:rsid w:val="001D1824"/>
    <w:rsid w:val="001D18E0"/>
    <w:rsid w:val="001D190E"/>
    <w:rsid w:val="001D1920"/>
    <w:rsid w:val="001D1A43"/>
    <w:rsid w:val="001D1A51"/>
    <w:rsid w:val="001D1B95"/>
    <w:rsid w:val="001D1C21"/>
    <w:rsid w:val="001D1C7E"/>
    <w:rsid w:val="001D1C83"/>
    <w:rsid w:val="001D1CE9"/>
    <w:rsid w:val="001D1D54"/>
    <w:rsid w:val="001D1E0F"/>
    <w:rsid w:val="001D1EBD"/>
    <w:rsid w:val="001D1F3F"/>
    <w:rsid w:val="001D1F97"/>
    <w:rsid w:val="001D1FBB"/>
    <w:rsid w:val="001D1FC6"/>
    <w:rsid w:val="001D20D9"/>
    <w:rsid w:val="001D21C2"/>
    <w:rsid w:val="001D21D7"/>
    <w:rsid w:val="001D2236"/>
    <w:rsid w:val="001D22A7"/>
    <w:rsid w:val="001D2411"/>
    <w:rsid w:val="001D2492"/>
    <w:rsid w:val="001D24F8"/>
    <w:rsid w:val="001D24FE"/>
    <w:rsid w:val="001D259C"/>
    <w:rsid w:val="001D25BC"/>
    <w:rsid w:val="001D263F"/>
    <w:rsid w:val="001D265A"/>
    <w:rsid w:val="001D2727"/>
    <w:rsid w:val="001D275B"/>
    <w:rsid w:val="001D276E"/>
    <w:rsid w:val="001D2796"/>
    <w:rsid w:val="001D2832"/>
    <w:rsid w:val="001D2877"/>
    <w:rsid w:val="001D289B"/>
    <w:rsid w:val="001D28D5"/>
    <w:rsid w:val="001D29A3"/>
    <w:rsid w:val="001D29C5"/>
    <w:rsid w:val="001D2A8F"/>
    <w:rsid w:val="001D2AD9"/>
    <w:rsid w:val="001D2B9E"/>
    <w:rsid w:val="001D2BA9"/>
    <w:rsid w:val="001D2BD3"/>
    <w:rsid w:val="001D2C47"/>
    <w:rsid w:val="001D2CA9"/>
    <w:rsid w:val="001D2D29"/>
    <w:rsid w:val="001D2D71"/>
    <w:rsid w:val="001D2D91"/>
    <w:rsid w:val="001D2E39"/>
    <w:rsid w:val="001D2F20"/>
    <w:rsid w:val="001D2F85"/>
    <w:rsid w:val="001D2FA0"/>
    <w:rsid w:val="001D2FD9"/>
    <w:rsid w:val="001D2FEF"/>
    <w:rsid w:val="001D311A"/>
    <w:rsid w:val="001D31D9"/>
    <w:rsid w:val="001D332D"/>
    <w:rsid w:val="001D334A"/>
    <w:rsid w:val="001D33D6"/>
    <w:rsid w:val="001D3464"/>
    <w:rsid w:val="001D34B5"/>
    <w:rsid w:val="001D352B"/>
    <w:rsid w:val="001D3560"/>
    <w:rsid w:val="001D3633"/>
    <w:rsid w:val="001D37D6"/>
    <w:rsid w:val="001D3922"/>
    <w:rsid w:val="001D392F"/>
    <w:rsid w:val="001D3AE4"/>
    <w:rsid w:val="001D3B4B"/>
    <w:rsid w:val="001D3B51"/>
    <w:rsid w:val="001D3B5D"/>
    <w:rsid w:val="001D3B86"/>
    <w:rsid w:val="001D3B8D"/>
    <w:rsid w:val="001D3C66"/>
    <w:rsid w:val="001D3C8A"/>
    <w:rsid w:val="001D3C8B"/>
    <w:rsid w:val="001D3CA7"/>
    <w:rsid w:val="001D3D16"/>
    <w:rsid w:val="001D3D5F"/>
    <w:rsid w:val="001D3D7E"/>
    <w:rsid w:val="001D3E71"/>
    <w:rsid w:val="001D3EDB"/>
    <w:rsid w:val="001D3F0A"/>
    <w:rsid w:val="001D3FB4"/>
    <w:rsid w:val="001D3FC1"/>
    <w:rsid w:val="001D401B"/>
    <w:rsid w:val="001D404E"/>
    <w:rsid w:val="001D4069"/>
    <w:rsid w:val="001D4165"/>
    <w:rsid w:val="001D424E"/>
    <w:rsid w:val="001D429A"/>
    <w:rsid w:val="001D429C"/>
    <w:rsid w:val="001D4326"/>
    <w:rsid w:val="001D4336"/>
    <w:rsid w:val="001D4494"/>
    <w:rsid w:val="001D44AE"/>
    <w:rsid w:val="001D44C1"/>
    <w:rsid w:val="001D44E4"/>
    <w:rsid w:val="001D44E8"/>
    <w:rsid w:val="001D4535"/>
    <w:rsid w:val="001D4592"/>
    <w:rsid w:val="001D45CE"/>
    <w:rsid w:val="001D4622"/>
    <w:rsid w:val="001D4673"/>
    <w:rsid w:val="001D46DE"/>
    <w:rsid w:val="001D4725"/>
    <w:rsid w:val="001D47C1"/>
    <w:rsid w:val="001D47C7"/>
    <w:rsid w:val="001D4813"/>
    <w:rsid w:val="001D48E2"/>
    <w:rsid w:val="001D4A05"/>
    <w:rsid w:val="001D4BE4"/>
    <w:rsid w:val="001D4E12"/>
    <w:rsid w:val="001D4E90"/>
    <w:rsid w:val="001D4E91"/>
    <w:rsid w:val="001D5002"/>
    <w:rsid w:val="001D505A"/>
    <w:rsid w:val="001D5060"/>
    <w:rsid w:val="001D508B"/>
    <w:rsid w:val="001D514C"/>
    <w:rsid w:val="001D51A9"/>
    <w:rsid w:val="001D52B7"/>
    <w:rsid w:val="001D52D1"/>
    <w:rsid w:val="001D5342"/>
    <w:rsid w:val="001D53B4"/>
    <w:rsid w:val="001D53C2"/>
    <w:rsid w:val="001D5431"/>
    <w:rsid w:val="001D5444"/>
    <w:rsid w:val="001D54B7"/>
    <w:rsid w:val="001D5502"/>
    <w:rsid w:val="001D562B"/>
    <w:rsid w:val="001D564A"/>
    <w:rsid w:val="001D5657"/>
    <w:rsid w:val="001D56DD"/>
    <w:rsid w:val="001D58B4"/>
    <w:rsid w:val="001D58BC"/>
    <w:rsid w:val="001D5A7B"/>
    <w:rsid w:val="001D5A95"/>
    <w:rsid w:val="001D5AA7"/>
    <w:rsid w:val="001D5BB8"/>
    <w:rsid w:val="001D5CE4"/>
    <w:rsid w:val="001D5E1C"/>
    <w:rsid w:val="001D5F0B"/>
    <w:rsid w:val="001D5F37"/>
    <w:rsid w:val="001D602B"/>
    <w:rsid w:val="001D60CB"/>
    <w:rsid w:val="001D6164"/>
    <w:rsid w:val="001D61B7"/>
    <w:rsid w:val="001D6225"/>
    <w:rsid w:val="001D626A"/>
    <w:rsid w:val="001D6325"/>
    <w:rsid w:val="001D635D"/>
    <w:rsid w:val="001D63F7"/>
    <w:rsid w:val="001D644D"/>
    <w:rsid w:val="001D64B9"/>
    <w:rsid w:val="001D6508"/>
    <w:rsid w:val="001D6516"/>
    <w:rsid w:val="001D6554"/>
    <w:rsid w:val="001D65B4"/>
    <w:rsid w:val="001D6639"/>
    <w:rsid w:val="001D67A3"/>
    <w:rsid w:val="001D67C4"/>
    <w:rsid w:val="001D67E3"/>
    <w:rsid w:val="001D6936"/>
    <w:rsid w:val="001D6943"/>
    <w:rsid w:val="001D6951"/>
    <w:rsid w:val="001D69A7"/>
    <w:rsid w:val="001D6A71"/>
    <w:rsid w:val="001D6AFC"/>
    <w:rsid w:val="001D6B42"/>
    <w:rsid w:val="001D6B59"/>
    <w:rsid w:val="001D6BC6"/>
    <w:rsid w:val="001D6C0D"/>
    <w:rsid w:val="001D6CA4"/>
    <w:rsid w:val="001D6CD1"/>
    <w:rsid w:val="001D6CDC"/>
    <w:rsid w:val="001D6D8C"/>
    <w:rsid w:val="001D6E6A"/>
    <w:rsid w:val="001D70A8"/>
    <w:rsid w:val="001D71F4"/>
    <w:rsid w:val="001D726F"/>
    <w:rsid w:val="001D7332"/>
    <w:rsid w:val="001D7391"/>
    <w:rsid w:val="001D7449"/>
    <w:rsid w:val="001D748A"/>
    <w:rsid w:val="001D7656"/>
    <w:rsid w:val="001D7784"/>
    <w:rsid w:val="001D77B0"/>
    <w:rsid w:val="001D77DF"/>
    <w:rsid w:val="001D77ED"/>
    <w:rsid w:val="001D782E"/>
    <w:rsid w:val="001D7833"/>
    <w:rsid w:val="001D7850"/>
    <w:rsid w:val="001D7A03"/>
    <w:rsid w:val="001D7A2F"/>
    <w:rsid w:val="001D7A4B"/>
    <w:rsid w:val="001D7AB4"/>
    <w:rsid w:val="001D7B13"/>
    <w:rsid w:val="001D7B30"/>
    <w:rsid w:val="001D7B84"/>
    <w:rsid w:val="001D7C13"/>
    <w:rsid w:val="001D7CD4"/>
    <w:rsid w:val="001D7D06"/>
    <w:rsid w:val="001D7D57"/>
    <w:rsid w:val="001D7D6E"/>
    <w:rsid w:val="001D7DA6"/>
    <w:rsid w:val="001D7F28"/>
    <w:rsid w:val="001D7F2C"/>
    <w:rsid w:val="001E0095"/>
    <w:rsid w:val="001E013F"/>
    <w:rsid w:val="001E01CD"/>
    <w:rsid w:val="001E0376"/>
    <w:rsid w:val="001E03E1"/>
    <w:rsid w:val="001E052B"/>
    <w:rsid w:val="001E0564"/>
    <w:rsid w:val="001E056A"/>
    <w:rsid w:val="001E0637"/>
    <w:rsid w:val="001E067B"/>
    <w:rsid w:val="001E06F5"/>
    <w:rsid w:val="001E0769"/>
    <w:rsid w:val="001E084B"/>
    <w:rsid w:val="001E084C"/>
    <w:rsid w:val="001E0901"/>
    <w:rsid w:val="001E0A38"/>
    <w:rsid w:val="001E0A95"/>
    <w:rsid w:val="001E0B28"/>
    <w:rsid w:val="001E0B59"/>
    <w:rsid w:val="001E0CF0"/>
    <w:rsid w:val="001E0D15"/>
    <w:rsid w:val="001E0D33"/>
    <w:rsid w:val="001E0DF7"/>
    <w:rsid w:val="001E0EE7"/>
    <w:rsid w:val="001E0F16"/>
    <w:rsid w:val="001E0FDC"/>
    <w:rsid w:val="001E10AE"/>
    <w:rsid w:val="001E10C3"/>
    <w:rsid w:val="001E1131"/>
    <w:rsid w:val="001E11AD"/>
    <w:rsid w:val="001E11C2"/>
    <w:rsid w:val="001E129A"/>
    <w:rsid w:val="001E1346"/>
    <w:rsid w:val="001E136A"/>
    <w:rsid w:val="001E13F5"/>
    <w:rsid w:val="001E149E"/>
    <w:rsid w:val="001E14B1"/>
    <w:rsid w:val="001E1502"/>
    <w:rsid w:val="001E1682"/>
    <w:rsid w:val="001E1689"/>
    <w:rsid w:val="001E16B5"/>
    <w:rsid w:val="001E172D"/>
    <w:rsid w:val="001E175E"/>
    <w:rsid w:val="001E18A3"/>
    <w:rsid w:val="001E18C3"/>
    <w:rsid w:val="001E18E5"/>
    <w:rsid w:val="001E1901"/>
    <w:rsid w:val="001E191F"/>
    <w:rsid w:val="001E192B"/>
    <w:rsid w:val="001E1A66"/>
    <w:rsid w:val="001E1B56"/>
    <w:rsid w:val="001E1B98"/>
    <w:rsid w:val="001E1BAC"/>
    <w:rsid w:val="001E1C58"/>
    <w:rsid w:val="001E1C84"/>
    <w:rsid w:val="001E1D1F"/>
    <w:rsid w:val="001E1D83"/>
    <w:rsid w:val="001E1D91"/>
    <w:rsid w:val="001E1E1E"/>
    <w:rsid w:val="001E1F9B"/>
    <w:rsid w:val="001E1F9F"/>
    <w:rsid w:val="001E1FDD"/>
    <w:rsid w:val="001E20A7"/>
    <w:rsid w:val="001E20DA"/>
    <w:rsid w:val="001E2111"/>
    <w:rsid w:val="001E2117"/>
    <w:rsid w:val="001E212F"/>
    <w:rsid w:val="001E23ED"/>
    <w:rsid w:val="001E2425"/>
    <w:rsid w:val="001E245D"/>
    <w:rsid w:val="001E24AC"/>
    <w:rsid w:val="001E24F7"/>
    <w:rsid w:val="001E25C8"/>
    <w:rsid w:val="001E263F"/>
    <w:rsid w:val="001E266D"/>
    <w:rsid w:val="001E2702"/>
    <w:rsid w:val="001E277C"/>
    <w:rsid w:val="001E27CE"/>
    <w:rsid w:val="001E28CD"/>
    <w:rsid w:val="001E2920"/>
    <w:rsid w:val="001E2A74"/>
    <w:rsid w:val="001E2ABE"/>
    <w:rsid w:val="001E2B7F"/>
    <w:rsid w:val="001E2BAD"/>
    <w:rsid w:val="001E2BF8"/>
    <w:rsid w:val="001E2C65"/>
    <w:rsid w:val="001E2C9F"/>
    <w:rsid w:val="001E2CAF"/>
    <w:rsid w:val="001E2CCC"/>
    <w:rsid w:val="001E2DA1"/>
    <w:rsid w:val="001E2DD4"/>
    <w:rsid w:val="001E2DF1"/>
    <w:rsid w:val="001E2DFD"/>
    <w:rsid w:val="001E2FDB"/>
    <w:rsid w:val="001E3063"/>
    <w:rsid w:val="001E3082"/>
    <w:rsid w:val="001E30C6"/>
    <w:rsid w:val="001E336B"/>
    <w:rsid w:val="001E340B"/>
    <w:rsid w:val="001E3454"/>
    <w:rsid w:val="001E34CC"/>
    <w:rsid w:val="001E3554"/>
    <w:rsid w:val="001E3565"/>
    <w:rsid w:val="001E35F5"/>
    <w:rsid w:val="001E35FA"/>
    <w:rsid w:val="001E35FD"/>
    <w:rsid w:val="001E3651"/>
    <w:rsid w:val="001E36F0"/>
    <w:rsid w:val="001E3866"/>
    <w:rsid w:val="001E38DB"/>
    <w:rsid w:val="001E39B6"/>
    <w:rsid w:val="001E3A5E"/>
    <w:rsid w:val="001E3A64"/>
    <w:rsid w:val="001E3AC3"/>
    <w:rsid w:val="001E3ACA"/>
    <w:rsid w:val="001E3B0A"/>
    <w:rsid w:val="001E3B3F"/>
    <w:rsid w:val="001E3BB0"/>
    <w:rsid w:val="001E3C0B"/>
    <w:rsid w:val="001E3C26"/>
    <w:rsid w:val="001E3C45"/>
    <w:rsid w:val="001E3C51"/>
    <w:rsid w:val="001E3C5B"/>
    <w:rsid w:val="001E3C83"/>
    <w:rsid w:val="001E3DDB"/>
    <w:rsid w:val="001E3DF2"/>
    <w:rsid w:val="001E3E38"/>
    <w:rsid w:val="001E3E69"/>
    <w:rsid w:val="001E3EB9"/>
    <w:rsid w:val="001E3EDC"/>
    <w:rsid w:val="001E3EE2"/>
    <w:rsid w:val="001E3EE4"/>
    <w:rsid w:val="001E3EE5"/>
    <w:rsid w:val="001E3F9B"/>
    <w:rsid w:val="001E3FC6"/>
    <w:rsid w:val="001E3FF5"/>
    <w:rsid w:val="001E401A"/>
    <w:rsid w:val="001E406D"/>
    <w:rsid w:val="001E4158"/>
    <w:rsid w:val="001E41F3"/>
    <w:rsid w:val="001E4212"/>
    <w:rsid w:val="001E42FA"/>
    <w:rsid w:val="001E43F8"/>
    <w:rsid w:val="001E4436"/>
    <w:rsid w:val="001E453E"/>
    <w:rsid w:val="001E465D"/>
    <w:rsid w:val="001E46D7"/>
    <w:rsid w:val="001E4718"/>
    <w:rsid w:val="001E474D"/>
    <w:rsid w:val="001E47B1"/>
    <w:rsid w:val="001E47B4"/>
    <w:rsid w:val="001E4833"/>
    <w:rsid w:val="001E484A"/>
    <w:rsid w:val="001E486A"/>
    <w:rsid w:val="001E48B9"/>
    <w:rsid w:val="001E48E0"/>
    <w:rsid w:val="001E48FF"/>
    <w:rsid w:val="001E4908"/>
    <w:rsid w:val="001E491F"/>
    <w:rsid w:val="001E4972"/>
    <w:rsid w:val="001E4981"/>
    <w:rsid w:val="001E4A68"/>
    <w:rsid w:val="001E4AD4"/>
    <w:rsid w:val="001E4AFB"/>
    <w:rsid w:val="001E4B9D"/>
    <w:rsid w:val="001E4CBC"/>
    <w:rsid w:val="001E4D74"/>
    <w:rsid w:val="001E4E2A"/>
    <w:rsid w:val="001E4EBE"/>
    <w:rsid w:val="001E4F1B"/>
    <w:rsid w:val="001E4F4A"/>
    <w:rsid w:val="001E4F8C"/>
    <w:rsid w:val="001E4FD4"/>
    <w:rsid w:val="001E5010"/>
    <w:rsid w:val="001E5079"/>
    <w:rsid w:val="001E51A6"/>
    <w:rsid w:val="001E527C"/>
    <w:rsid w:val="001E5346"/>
    <w:rsid w:val="001E5373"/>
    <w:rsid w:val="001E539C"/>
    <w:rsid w:val="001E53F4"/>
    <w:rsid w:val="001E541A"/>
    <w:rsid w:val="001E55B1"/>
    <w:rsid w:val="001E55FA"/>
    <w:rsid w:val="001E5634"/>
    <w:rsid w:val="001E5643"/>
    <w:rsid w:val="001E56CA"/>
    <w:rsid w:val="001E588C"/>
    <w:rsid w:val="001E58B3"/>
    <w:rsid w:val="001E58E9"/>
    <w:rsid w:val="001E5963"/>
    <w:rsid w:val="001E59B7"/>
    <w:rsid w:val="001E5A02"/>
    <w:rsid w:val="001E5A20"/>
    <w:rsid w:val="001E5AC3"/>
    <w:rsid w:val="001E5ADF"/>
    <w:rsid w:val="001E5B7D"/>
    <w:rsid w:val="001E5B93"/>
    <w:rsid w:val="001E5BF0"/>
    <w:rsid w:val="001E5CFF"/>
    <w:rsid w:val="001E5DB0"/>
    <w:rsid w:val="001E5FA3"/>
    <w:rsid w:val="001E5FD0"/>
    <w:rsid w:val="001E6034"/>
    <w:rsid w:val="001E6042"/>
    <w:rsid w:val="001E60F0"/>
    <w:rsid w:val="001E614B"/>
    <w:rsid w:val="001E6231"/>
    <w:rsid w:val="001E6296"/>
    <w:rsid w:val="001E62B1"/>
    <w:rsid w:val="001E6340"/>
    <w:rsid w:val="001E637F"/>
    <w:rsid w:val="001E6385"/>
    <w:rsid w:val="001E6416"/>
    <w:rsid w:val="001E6425"/>
    <w:rsid w:val="001E6567"/>
    <w:rsid w:val="001E65BA"/>
    <w:rsid w:val="001E65BD"/>
    <w:rsid w:val="001E65F9"/>
    <w:rsid w:val="001E662D"/>
    <w:rsid w:val="001E6635"/>
    <w:rsid w:val="001E6679"/>
    <w:rsid w:val="001E66F8"/>
    <w:rsid w:val="001E6727"/>
    <w:rsid w:val="001E682F"/>
    <w:rsid w:val="001E6839"/>
    <w:rsid w:val="001E6964"/>
    <w:rsid w:val="001E6A4C"/>
    <w:rsid w:val="001E6B0F"/>
    <w:rsid w:val="001E6B74"/>
    <w:rsid w:val="001E6DF8"/>
    <w:rsid w:val="001E6E4E"/>
    <w:rsid w:val="001E6FD3"/>
    <w:rsid w:val="001E7004"/>
    <w:rsid w:val="001E703B"/>
    <w:rsid w:val="001E70D7"/>
    <w:rsid w:val="001E70EC"/>
    <w:rsid w:val="001E70F6"/>
    <w:rsid w:val="001E719E"/>
    <w:rsid w:val="001E72CB"/>
    <w:rsid w:val="001E731A"/>
    <w:rsid w:val="001E734E"/>
    <w:rsid w:val="001E738D"/>
    <w:rsid w:val="001E73C9"/>
    <w:rsid w:val="001E75F7"/>
    <w:rsid w:val="001E77DB"/>
    <w:rsid w:val="001E77F4"/>
    <w:rsid w:val="001E78A8"/>
    <w:rsid w:val="001E78B7"/>
    <w:rsid w:val="001E791D"/>
    <w:rsid w:val="001E79AB"/>
    <w:rsid w:val="001E7A8D"/>
    <w:rsid w:val="001E7ACF"/>
    <w:rsid w:val="001E7B1C"/>
    <w:rsid w:val="001E7B2E"/>
    <w:rsid w:val="001E7BB7"/>
    <w:rsid w:val="001E7C80"/>
    <w:rsid w:val="001E7D85"/>
    <w:rsid w:val="001E7DED"/>
    <w:rsid w:val="001E7E11"/>
    <w:rsid w:val="001E7E6A"/>
    <w:rsid w:val="001F00B8"/>
    <w:rsid w:val="001F00C2"/>
    <w:rsid w:val="001F011F"/>
    <w:rsid w:val="001F0192"/>
    <w:rsid w:val="001F02BB"/>
    <w:rsid w:val="001F032F"/>
    <w:rsid w:val="001F036E"/>
    <w:rsid w:val="001F0387"/>
    <w:rsid w:val="001F03FA"/>
    <w:rsid w:val="001F04C9"/>
    <w:rsid w:val="001F0534"/>
    <w:rsid w:val="001F0550"/>
    <w:rsid w:val="001F0659"/>
    <w:rsid w:val="001F0683"/>
    <w:rsid w:val="001F06FC"/>
    <w:rsid w:val="001F0767"/>
    <w:rsid w:val="001F079A"/>
    <w:rsid w:val="001F07A2"/>
    <w:rsid w:val="001F08E1"/>
    <w:rsid w:val="001F09B7"/>
    <w:rsid w:val="001F09C0"/>
    <w:rsid w:val="001F0A6E"/>
    <w:rsid w:val="001F0AA0"/>
    <w:rsid w:val="001F0B3B"/>
    <w:rsid w:val="001F0B3D"/>
    <w:rsid w:val="001F0BE2"/>
    <w:rsid w:val="001F0C39"/>
    <w:rsid w:val="001F0CB4"/>
    <w:rsid w:val="001F0CE3"/>
    <w:rsid w:val="001F0D25"/>
    <w:rsid w:val="001F0D3A"/>
    <w:rsid w:val="001F0DC2"/>
    <w:rsid w:val="001F0EDA"/>
    <w:rsid w:val="001F0F53"/>
    <w:rsid w:val="001F0FBA"/>
    <w:rsid w:val="001F1038"/>
    <w:rsid w:val="001F103D"/>
    <w:rsid w:val="001F10DA"/>
    <w:rsid w:val="001F117C"/>
    <w:rsid w:val="001F133E"/>
    <w:rsid w:val="001F143F"/>
    <w:rsid w:val="001F1471"/>
    <w:rsid w:val="001F1472"/>
    <w:rsid w:val="001F1484"/>
    <w:rsid w:val="001F15B7"/>
    <w:rsid w:val="001F15BD"/>
    <w:rsid w:val="001F15C3"/>
    <w:rsid w:val="001F1649"/>
    <w:rsid w:val="001F16B1"/>
    <w:rsid w:val="001F16DE"/>
    <w:rsid w:val="001F178A"/>
    <w:rsid w:val="001F179C"/>
    <w:rsid w:val="001F18B9"/>
    <w:rsid w:val="001F1949"/>
    <w:rsid w:val="001F194A"/>
    <w:rsid w:val="001F19E5"/>
    <w:rsid w:val="001F1A4E"/>
    <w:rsid w:val="001F1ADA"/>
    <w:rsid w:val="001F1AE1"/>
    <w:rsid w:val="001F1AEA"/>
    <w:rsid w:val="001F1B69"/>
    <w:rsid w:val="001F1B8D"/>
    <w:rsid w:val="001F1C05"/>
    <w:rsid w:val="001F1CA5"/>
    <w:rsid w:val="001F1CBE"/>
    <w:rsid w:val="001F1D69"/>
    <w:rsid w:val="001F1F50"/>
    <w:rsid w:val="001F1FDA"/>
    <w:rsid w:val="001F1FE3"/>
    <w:rsid w:val="001F202F"/>
    <w:rsid w:val="001F2073"/>
    <w:rsid w:val="001F208C"/>
    <w:rsid w:val="001F2143"/>
    <w:rsid w:val="001F21C5"/>
    <w:rsid w:val="001F21F2"/>
    <w:rsid w:val="001F2223"/>
    <w:rsid w:val="001F225F"/>
    <w:rsid w:val="001F230A"/>
    <w:rsid w:val="001F2324"/>
    <w:rsid w:val="001F2355"/>
    <w:rsid w:val="001F239C"/>
    <w:rsid w:val="001F24D9"/>
    <w:rsid w:val="001F2585"/>
    <w:rsid w:val="001F2673"/>
    <w:rsid w:val="001F267A"/>
    <w:rsid w:val="001F2685"/>
    <w:rsid w:val="001F26A1"/>
    <w:rsid w:val="001F270A"/>
    <w:rsid w:val="001F2808"/>
    <w:rsid w:val="001F2831"/>
    <w:rsid w:val="001F2858"/>
    <w:rsid w:val="001F28C4"/>
    <w:rsid w:val="001F2955"/>
    <w:rsid w:val="001F2A52"/>
    <w:rsid w:val="001F2A6D"/>
    <w:rsid w:val="001F2A76"/>
    <w:rsid w:val="001F2ABA"/>
    <w:rsid w:val="001F2B40"/>
    <w:rsid w:val="001F2B8C"/>
    <w:rsid w:val="001F2BEE"/>
    <w:rsid w:val="001F2C52"/>
    <w:rsid w:val="001F2CB5"/>
    <w:rsid w:val="001F2D2D"/>
    <w:rsid w:val="001F2DF6"/>
    <w:rsid w:val="001F2F01"/>
    <w:rsid w:val="001F2F0C"/>
    <w:rsid w:val="001F2F5C"/>
    <w:rsid w:val="001F2F7F"/>
    <w:rsid w:val="001F2FC1"/>
    <w:rsid w:val="001F309D"/>
    <w:rsid w:val="001F3199"/>
    <w:rsid w:val="001F31D7"/>
    <w:rsid w:val="001F3207"/>
    <w:rsid w:val="001F329A"/>
    <w:rsid w:val="001F32BA"/>
    <w:rsid w:val="001F32E1"/>
    <w:rsid w:val="001F338F"/>
    <w:rsid w:val="001F34B9"/>
    <w:rsid w:val="001F34D8"/>
    <w:rsid w:val="001F34DF"/>
    <w:rsid w:val="001F35FD"/>
    <w:rsid w:val="001F3702"/>
    <w:rsid w:val="001F37DA"/>
    <w:rsid w:val="001F3949"/>
    <w:rsid w:val="001F3BB0"/>
    <w:rsid w:val="001F3C7B"/>
    <w:rsid w:val="001F3CAB"/>
    <w:rsid w:val="001F3D44"/>
    <w:rsid w:val="001F3D49"/>
    <w:rsid w:val="001F3D66"/>
    <w:rsid w:val="001F3E73"/>
    <w:rsid w:val="001F3F38"/>
    <w:rsid w:val="001F3FD0"/>
    <w:rsid w:val="001F40C7"/>
    <w:rsid w:val="001F4116"/>
    <w:rsid w:val="001F415A"/>
    <w:rsid w:val="001F419C"/>
    <w:rsid w:val="001F4231"/>
    <w:rsid w:val="001F42B0"/>
    <w:rsid w:val="001F442F"/>
    <w:rsid w:val="001F4484"/>
    <w:rsid w:val="001F44AB"/>
    <w:rsid w:val="001F44BE"/>
    <w:rsid w:val="001F4558"/>
    <w:rsid w:val="001F455A"/>
    <w:rsid w:val="001F4686"/>
    <w:rsid w:val="001F46AE"/>
    <w:rsid w:val="001F4717"/>
    <w:rsid w:val="001F4796"/>
    <w:rsid w:val="001F48B4"/>
    <w:rsid w:val="001F4940"/>
    <w:rsid w:val="001F4B49"/>
    <w:rsid w:val="001F4B62"/>
    <w:rsid w:val="001F4BAC"/>
    <w:rsid w:val="001F4BE5"/>
    <w:rsid w:val="001F4BF5"/>
    <w:rsid w:val="001F4D27"/>
    <w:rsid w:val="001F4D49"/>
    <w:rsid w:val="001F4DC5"/>
    <w:rsid w:val="001F4E76"/>
    <w:rsid w:val="001F4E88"/>
    <w:rsid w:val="001F4ED4"/>
    <w:rsid w:val="001F4F7D"/>
    <w:rsid w:val="001F4FDE"/>
    <w:rsid w:val="001F508B"/>
    <w:rsid w:val="001F515C"/>
    <w:rsid w:val="001F51B5"/>
    <w:rsid w:val="001F522C"/>
    <w:rsid w:val="001F524F"/>
    <w:rsid w:val="001F5324"/>
    <w:rsid w:val="001F53EA"/>
    <w:rsid w:val="001F5491"/>
    <w:rsid w:val="001F5517"/>
    <w:rsid w:val="001F5591"/>
    <w:rsid w:val="001F56A6"/>
    <w:rsid w:val="001F56CA"/>
    <w:rsid w:val="001F5709"/>
    <w:rsid w:val="001F570E"/>
    <w:rsid w:val="001F579A"/>
    <w:rsid w:val="001F5810"/>
    <w:rsid w:val="001F5890"/>
    <w:rsid w:val="001F58D1"/>
    <w:rsid w:val="001F58F3"/>
    <w:rsid w:val="001F5A1D"/>
    <w:rsid w:val="001F5BFE"/>
    <w:rsid w:val="001F5C1A"/>
    <w:rsid w:val="001F5C38"/>
    <w:rsid w:val="001F5DB3"/>
    <w:rsid w:val="001F5DBD"/>
    <w:rsid w:val="001F5EB4"/>
    <w:rsid w:val="001F5F2A"/>
    <w:rsid w:val="001F5FBA"/>
    <w:rsid w:val="001F5FF3"/>
    <w:rsid w:val="001F6037"/>
    <w:rsid w:val="001F60AD"/>
    <w:rsid w:val="001F6218"/>
    <w:rsid w:val="001F62DD"/>
    <w:rsid w:val="001F6313"/>
    <w:rsid w:val="001F6366"/>
    <w:rsid w:val="001F63AE"/>
    <w:rsid w:val="001F63B7"/>
    <w:rsid w:val="001F6454"/>
    <w:rsid w:val="001F64B8"/>
    <w:rsid w:val="001F64CD"/>
    <w:rsid w:val="001F66C0"/>
    <w:rsid w:val="001F66EA"/>
    <w:rsid w:val="001F6806"/>
    <w:rsid w:val="001F6811"/>
    <w:rsid w:val="001F68C5"/>
    <w:rsid w:val="001F68E6"/>
    <w:rsid w:val="001F69C6"/>
    <w:rsid w:val="001F69E0"/>
    <w:rsid w:val="001F69E1"/>
    <w:rsid w:val="001F6A06"/>
    <w:rsid w:val="001F6A75"/>
    <w:rsid w:val="001F6B78"/>
    <w:rsid w:val="001F6C56"/>
    <w:rsid w:val="001F6C8B"/>
    <w:rsid w:val="001F6CF7"/>
    <w:rsid w:val="001F6DA8"/>
    <w:rsid w:val="001F6DC0"/>
    <w:rsid w:val="001F6E62"/>
    <w:rsid w:val="001F6EB8"/>
    <w:rsid w:val="001F6EF5"/>
    <w:rsid w:val="001F6EFA"/>
    <w:rsid w:val="001F6F18"/>
    <w:rsid w:val="001F7000"/>
    <w:rsid w:val="001F7043"/>
    <w:rsid w:val="001F70FE"/>
    <w:rsid w:val="001F716F"/>
    <w:rsid w:val="001F71B2"/>
    <w:rsid w:val="001F720D"/>
    <w:rsid w:val="001F7417"/>
    <w:rsid w:val="001F742D"/>
    <w:rsid w:val="001F7489"/>
    <w:rsid w:val="001F7527"/>
    <w:rsid w:val="001F754B"/>
    <w:rsid w:val="001F7562"/>
    <w:rsid w:val="001F783B"/>
    <w:rsid w:val="001F7882"/>
    <w:rsid w:val="001F7964"/>
    <w:rsid w:val="001F79E4"/>
    <w:rsid w:val="001F79FE"/>
    <w:rsid w:val="001F7A65"/>
    <w:rsid w:val="001F7B12"/>
    <w:rsid w:val="001F7B53"/>
    <w:rsid w:val="001F7B74"/>
    <w:rsid w:val="001F7C04"/>
    <w:rsid w:val="001F7C3F"/>
    <w:rsid w:val="001F7CD0"/>
    <w:rsid w:val="001F7D2F"/>
    <w:rsid w:val="001F7DE8"/>
    <w:rsid w:val="001F7E61"/>
    <w:rsid w:val="001F7F5E"/>
    <w:rsid w:val="0020006B"/>
    <w:rsid w:val="002002C6"/>
    <w:rsid w:val="00200567"/>
    <w:rsid w:val="002005B5"/>
    <w:rsid w:val="0020072F"/>
    <w:rsid w:val="00200763"/>
    <w:rsid w:val="0020079C"/>
    <w:rsid w:val="002007CB"/>
    <w:rsid w:val="002008BF"/>
    <w:rsid w:val="00200A9A"/>
    <w:rsid w:val="00200AA6"/>
    <w:rsid w:val="00200B5B"/>
    <w:rsid w:val="00200BDE"/>
    <w:rsid w:val="00200BF7"/>
    <w:rsid w:val="00200BFB"/>
    <w:rsid w:val="00200C11"/>
    <w:rsid w:val="00200CCF"/>
    <w:rsid w:val="00200D2D"/>
    <w:rsid w:val="00200D33"/>
    <w:rsid w:val="00200D4C"/>
    <w:rsid w:val="00200D78"/>
    <w:rsid w:val="00200DF6"/>
    <w:rsid w:val="00200E54"/>
    <w:rsid w:val="00200EF6"/>
    <w:rsid w:val="00200FDC"/>
    <w:rsid w:val="002011BD"/>
    <w:rsid w:val="002011F7"/>
    <w:rsid w:val="0020124E"/>
    <w:rsid w:val="00201355"/>
    <w:rsid w:val="00201470"/>
    <w:rsid w:val="002014C4"/>
    <w:rsid w:val="0020160E"/>
    <w:rsid w:val="0020161F"/>
    <w:rsid w:val="00201670"/>
    <w:rsid w:val="0020176B"/>
    <w:rsid w:val="002017A1"/>
    <w:rsid w:val="002017E0"/>
    <w:rsid w:val="0020181C"/>
    <w:rsid w:val="00201880"/>
    <w:rsid w:val="002019F7"/>
    <w:rsid w:val="00201A3F"/>
    <w:rsid w:val="00201A6D"/>
    <w:rsid w:val="00201AB8"/>
    <w:rsid w:val="00201AC1"/>
    <w:rsid w:val="00201AD6"/>
    <w:rsid w:val="00201AD8"/>
    <w:rsid w:val="00201B43"/>
    <w:rsid w:val="00201BA8"/>
    <w:rsid w:val="00201E1F"/>
    <w:rsid w:val="00201E29"/>
    <w:rsid w:val="00201EEE"/>
    <w:rsid w:val="00201F0B"/>
    <w:rsid w:val="00202048"/>
    <w:rsid w:val="0020207C"/>
    <w:rsid w:val="002021C9"/>
    <w:rsid w:val="00202345"/>
    <w:rsid w:val="0020234F"/>
    <w:rsid w:val="0020246C"/>
    <w:rsid w:val="0020247F"/>
    <w:rsid w:val="0020256C"/>
    <w:rsid w:val="00202697"/>
    <w:rsid w:val="002026F6"/>
    <w:rsid w:val="00202713"/>
    <w:rsid w:val="00202714"/>
    <w:rsid w:val="0020277C"/>
    <w:rsid w:val="00202844"/>
    <w:rsid w:val="0020287A"/>
    <w:rsid w:val="002028CE"/>
    <w:rsid w:val="002029CA"/>
    <w:rsid w:val="00202A69"/>
    <w:rsid w:val="00202A78"/>
    <w:rsid w:val="00202B1B"/>
    <w:rsid w:val="00202B47"/>
    <w:rsid w:val="00202B63"/>
    <w:rsid w:val="00202B81"/>
    <w:rsid w:val="00202C15"/>
    <w:rsid w:val="00202C7E"/>
    <w:rsid w:val="00202C9E"/>
    <w:rsid w:val="00202CC8"/>
    <w:rsid w:val="00202CEF"/>
    <w:rsid w:val="00202D4F"/>
    <w:rsid w:val="00202E66"/>
    <w:rsid w:val="00202E82"/>
    <w:rsid w:val="00202EA5"/>
    <w:rsid w:val="0020306A"/>
    <w:rsid w:val="002030D9"/>
    <w:rsid w:val="002032B6"/>
    <w:rsid w:val="0020335D"/>
    <w:rsid w:val="0020340F"/>
    <w:rsid w:val="00203482"/>
    <w:rsid w:val="0020357D"/>
    <w:rsid w:val="00203638"/>
    <w:rsid w:val="00203665"/>
    <w:rsid w:val="0020376D"/>
    <w:rsid w:val="002037BC"/>
    <w:rsid w:val="002037E5"/>
    <w:rsid w:val="002038BC"/>
    <w:rsid w:val="002038D5"/>
    <w:rsid w:val="00203984"/>
    <w:rsid w:val="00203A07"/>
    <w:rsid w:val="00203A3D"/>
    <w:rsid w:val="00203A44"/>
    <w:rsid w:val="00203B60"/>
    <w:rsid w:val="00203BD7"/>
    <w:rsid w:val="00203CB2"/>
    <w:rsid w:val="00203D4C"/>
    <w:rsid w:val="00203D95"/>
    <w:rsid w:val="00203E4C"/>
    <w:rsid w:val="00203E53"/>
    <w:rsid w:val="00203EA0"/>
    <w:rsid w:val="00203F82"/>
    <w:rsid w:val="00203FB2"/>
    <w:rsid w:val="00204076"/>
    <w:rsid w:val="0020408B"/>
    <w:rsid w:val="002041F2"/>
    <w:rsid w:val="00204200"/>
    <w:rsid w:val="00204217"/>
    <w:rsid w:val="0020427A"/>
    <w:rsid w:val="00204299"/>
    <w:rsid w:val="002043A2"/>
    <w:rsid w:val="00204511"/>
    <w:rsid w:val="002046AA"/>
    <w:rsid w:val="002046B0"/>
    <w:rsid w:val="002046ED"/>
    <w:rsid w:val="00204769"/>
    <w:rsid w:val="002047AB"/>
    <w:rsid w:val="00204892"/>
    <w:rsid w:val="002048E0"/>
    <w:rsid w:val="002049C6"/>
    <w:rsid w:val="002049F8"/>
    <w:rsid w:val="00204B0E"/>
    <w:rsid w:val="00204BA2"/>
    <w:rsid w:val="00204BB6"/>
    <w:rsid w:val="00204BDF"/>
    <w:rsid w:val="00204BE1"/>
    <w:rsid w:val="00204CA6"/>
    <w:rsid w:val="00204CA8"/>
    <w:rsid w:val="00204D07"/>
    <w:rsid w:val="00204D85"/>
    <w:rsid w:val="00204D9E"/>
    <w:rsid w:val="00204EB7"/>
    <w:rsid w:val="00204F9E"/>
    <w:rsid w:val="00204FAC"/>
    <w:rsid w:val="00204FDE"/>
    <w:rsid w:val="0020501D"/>
    <w:rsid w:val="00205061"/>
    <w:rsid w:val="002050C3"/>
    <w:rsid w:val="00205166"/>
    <w:rsid w:val="002051BF"/>
    <w:rsid w:val="00205214"/>
    <w:rsid w:val="00205358"/>
    <w:rsid w:val="00205399"/>
    <w:rsid w:val="002053F1"/>
    <w:rsid w:val="002053F5"/>
    <w:rsid w:val="00205461"/>
    <w:rsid w:val="00205533"/>
    <w:rsid w:val="00205627"/>
    <w:rsid w:val="00205656"/>
    <w:rsid w:val="002056E8"/>
    <w:rsid w:val="002056FB"/>
    <w:rsid w:val="00205739"/>
    <w:rsid w:val="00205830"/>
    <w:rsid w:val="002059B2"/>
    <w:rsid w:val="00205A3A"/>
    <w:rsid w:val="00205A3F"/>
    <w:rsid w:val="00205B47"/>
    <w:rsid w:val="00205CA0"/>
    <w:rsid w:val="00205CC3"/>
    <w:rsid w:val="00205D22"/>
    <w:rsid w:val="00205D9B"/>
    <w:rsid w:val="00205DB9"/>
    <w:rsid w:val="00205DD5"/>
    <w:rsid w:val="00205DDE"/>
    <w:rsid w:val="00205E23"/>
    <w:rsid w:val="00205E39"/>
    <w:rsid w:val="00205EE3"/>
    <w:rsid w:val="00205F1F"/>
    <w:rsid w:val="00205F5B"/>
    <w:rsid w:val="00205F5E"/>
    <w:rsid w:val="00205FA5"/>
    <w:rsid w:val="002060D0"/>
    <w:rsid w:val="00206111"/>
    <w:rsid w:val="002061E5"/>
    <w:rsid w:val="00206313"/>
    <w:rsid w:val="0020631F"/>
    <w:rsid w:val="00206391"/>
    <w:rsid w:val="00206419"/>
    <w:rsid w:val="0020649D"/>
    <w:rsid w:val="002065EA"/>
    <w:rsid w:val="002067D7"/>
    <w:rsid w:val="00206825"/>
    <w:rsid w:val="0020682C"/>
    <w:rsid w:val="00206847"/>
    <w:rsid w:val="0020695C"/>
    <w:rsid w:val="00206983"/>
    <w:rsid w:val="00206A05"/>
    <w:rsid w:val="00206A1B"/>
    <w:rsid w:val="00206A30"/>
    <w:rsid w:val="00206AC4"/>
    <w:rsid w:val="00206B45"/>
    <w:rsid w:val="00206BB2"/>
    <w:rsid w:val="00206BE4"/>
    <w:rsid w:val="00206CCC"/>
    <w:rsid w:val="00206D37"/>
    <w:rsid w:val="00206D40"/>
    <w:rsid w:val="00206D65"/>
    <w:rsid w:val="00206E07"/>
    <w:rsid w:val="00206E26"/>
    <w:rsid w:val="00206E73"/>
    <w:rsid w:val="00207036"/>
    <w:rsid w:val="002070DF"/>
    <w:rsid w:val="00207109"/>
    <w:rsid w:val="00207110"/>
    <w:rsid w:val="0020714F"/>
    <w:rsid w:val="0020716B"/>
    <w:rsid w:val="002071B8"/>
    <w:rsid w:val="002071DE"/>
    <w:rsid w:val="0020732B"/>
    <w:rsid w:val="00207359"/>
    <w:rsid w:val="002073CB"/>
    <w:rsid w:val="0020741B"/>
    <w:rsid w:val="00207457"/>
    <w:rsid w:val="0020748C"/>
    <w:rsid w:val="0020758F"/>
    <w:rsid w:val="00207679"/>
    <w:rsid w:val="002076E3"/>
    <w:rsid w:val="002076E4"/>
    <w:rsid w:val="002076E5"/>
    <w:rsid w:val="0020774A"/>
    <w:rsid w:val="00207849"/>
    <w:rsid w:val="00207868"/>
    <w:rsid w:val="0020788C"/>
    <w:rsid w:val="0020796B"/>
    <w:rsid w:val="00207995"/>
    <w:rsid w:val="002079F3"/>
    <w:rsid w:val="00207AE2"/>
    <w:rsid w:val="00207B08"/>
    <w:rsid w:val="00207B6C"/>
    <w:rsid w:val="00207B91"/>
    <w:rsid w:val="00207C62"/>
    <w:rsid w:val="00207CC6"/>
    <w:rsid w:val="00207CD4"/>
    <w:rsid w:val="00207D5A"/>
    <w:rsid w:val="00207E9F"/>
    <w:rsid w:val="00207F7B"/>
    <w:rsid w:val="00207FCE"/>
    <w:rsid w:val="00210020"/>
    <w:rsid w:val="00210039"/>
    <w:rsid w:val="0021014A"/>
    <w:rsid w:val="002101A4"/>
    <w:rsid w:val="002101A5"/>
    <w:rsid w:val="00210294"/>
    <w:rsid w:val="002102C1"/>
    <w:rsid w:val="00210306"/>
    <w:rsid w:val="0021035B"/>
    <w:rsid w:val="00210363"/>
    <w:rsid w:val="002103AE"/>
    <w:rsid w:val="002103B1"/>
    <w:rsid w:val="002104C6"/>
    <w:rsid w:val="0021057C"/>
    <w:rsid w:val="00210671"/>
    <w:rsid w:val="00210698"/>
    <w:rsid w:val="002106AB"/>
    <w:rsid w:val="002106C7"/>
    <w:rsid w:val="002106D7"/>
    <w:rsid w:val="002106DC"/>
    <w:rsid w:val="00210709"/>
    <w:rsid w:val="00210771"/>
    <w:rsid w:val="0021081F"/>
    <w:rsid w:val="00210853"/>
    <w:rsid w:val="00210963"/>
    <w:rsid w:val="0021098D"/>
    <w:rsid w:val="00210B18"/>
    <w:rsid w:val="00210B77"/>
    <w:rsid w:val="00210CE0"/>
    <w:rsid w:val="00210D66"/>
    <w:rsid w:val="00210D6D"/>
    <w:rsid w:val="00210D85"/>
    <w:rsid w:val="00210EE1"/>
    <w:rsid w:val="00210F4B"/>
    <w:rsid w:val="00210FA2"/>
    <w:rsid w:val="00210FB9"/>
    <w:rsid w:val="00210FEC"/>
    <w:rsid w:val="0021105F"/>
    <w:rsid w:val="0021106D"/>
    <w:rsid w:val="0021114B"/>
    <w:rsid w:val="00211233"/>
    <w:rsid w:val="00211235"/>
    <w:rsid w:val="002112C7"/>
    <w:rsid w:val="00211319"/>
    <w:rsid w:val="00211336"/>
    <w:rsid w:val="0021137E"/>
    <w:rsid w:val="00211471"/>
    <w:rsid w:val="0021147A"/>
    <w:rsid w:val="0021159D"/>
    <w:rsid w:val="002115A3"/>
    <w:rsid w:val="00211746"/>
    <w:rsid w:val="00211788"/>
    <w:rsid w:val="002117C3"/>
    <w:rsid w:val="0021184C"/>
    <w:rsid w:val="0021188B"/>
    <w:rsid w:val="002118CC"/>
    <w:rsid w:val="0021192E"/>
    <w:rsid w:val="00211967"/>
    <w:rsid w:val="00211995"/>
    <w:rsid w:val="002119E3"/>
    <w:rsid w:val="00211A63"/>
    <w:rsid w:val="00211A71"/>
    <w:rsid w:val="00211B0C"/>
    <w:rsid w:val="00211B7E"/>
    <w:rsid w:val="00211C53"/>
    <w:rsid w:val="00211CF2"/>
    <w:rsid w:val="00211D16"/>
    <w:rsid w:val="00211D9E"/>
    <w:rsid w:val="00211DFC"/>
    <w:rsid w:val="00211E60"/>
    <w:rsid w:val="00211F47"/>
    <w:rsid w:val="00211F53"/>
    <w:rsid w:val="00211FB6"/>
    <w:rsid w:val="00212141"/>
    <w:rsid w:val="0021218D"/>
    <w:rsid w:val="002121FF"/>
    <w:rsid w:val="0021228B"/>
    <w:rsid w:val="002122AF"/>
    <w:rsid w:val="002122B0"/>
    <w:rsid w:val="00212414"/>
    <w:rsid w:val="0021242D"/>
    <w:rsid w:val="00212489"/>
    <w:rsid w:val="002124B9"/>
    <w:rsid w:val="00212603"/>
    <w:rsid w:val="002126C1"/>
    <w:rsid w:val="002126F3"/>
    <w:rsid w:val="0021276A"/>
    <w:rsid w:val="002127F9"/>
    <w:rsid w:val="0021280C"/>
    <w:rsid w:val="002128A6"/>
    <w:rsid w:val="00212944"/>
    <w:rsid w:val="002129F7"/>
    <w:rsid w:val="00212A09"/>
    <w:rsid w:val="00212A33"/>
    <w:rsid w:val="00212A40"/>
    <w:rsid w:val="00212AE8"/>
    <w:rsid w:val="00212BE8"/>
    <w:rsid w:val="00212D0C"/>
    <w:rsid w:val="00212DAE"/>
    <w:rsid w:val="00212DCC"/>
    <w:rsid w:val="00212E52"/>
    <w:rsid w:val="00212EAE"/>
    <w:rsid w:val="00212F0D"/>
    <w:rsid w:val="00212F8E"/>
    <w:rsid w:val="002131B3"/>
    <w:rsid w:val="00213243"/>
    <w:rsid w:val="0021324E"/>
    <w:rsid w:val="00213280"/>
    <w:rsid w:val="002132C1"/>
    <w:rsid w:val="00213359"/>
    <w:rsid w:val="00213465"/>
    <w:rsid w:val="00213531"/>
    <w:rsid w:val="0021358F"/>
    <w:rsid w:val="002135F8"/>
    <w:rsid w:val="002136D9"/>
    <w:rsid w:val="0021380A"/>
    <w:rsid w:val="0021382A"/>
    <w:rsid w:val="002138AC"/>
    <w:rsid w:val="002138AE"/>
    <w:rsid w:val="002138AF"/>
    <w:rsid w:val="00213997"/>
    <w:rsid w:val="0021399D"/>
    <w:rsid w:val="00213AC2"/>
    <w:rsid w:val="00213B5C"/>
    <w:rsid w:val="00213B67"/>
    <w:rsid w:val="00213BF4"/>
    <w:rsid w:val="00213C50"/>
    <w:rsid w:val="00213CD9"/>
    <w:rsid w:val="00213CDB"/>
    <w:rsid w:val="00213D2B"/>
    <w:rsid w:val="00213D6D"/>
    <w:rsid w:val="00213D72"/>
    <w:rsid w:val="00213DCB"/>
    <w:rsid w:val="00213F1D"/>
    <w:rsid w:val="00213F99"/>
    <w:rsid w:val="00213FB2"/>
    <w:rsid w:val="00214017"/>
    <w:rsid w:val="0021401F"/>
    <w:rsid w:val="002140CA"/>
    <w:rsid w:val="002140D7"/>
    <w:rsid w:val="002140DA"/>
    <w:rsid w:val="002141A2"/>
    <w:rsid w:val="002141B3"/>
    <w:rsid w:val="00214260"/>
    <w:rsid w:val="00214281"/>
    <w:rsid w:val="00214377"/>
    <w:rsid w:val="00214545"/>
    <w:rsid w:val="0021455E"/>
    <w:rsid w:val="0021460B"/>
    <w:rsid w:val="0021469F"/>
    <w:rsid w:val="002146AD"/>
    <w:rsid w:val="00214701"/>
    <w:rsid w:val="00214772"/>
    <w:rsid w:val="0021486D"/>
    <w:rsid w:val="00214949"/>
    <w:rsid w:val="0021498B"/>
    <w:rsid w:val="00214A17"/>
    <w:rsid w:val="00214A54"/>
    <w:rsid w:val="00214A9E"/>
    <w:rsid w:val="00214B53"/>
    <w:rsid w:val="00214B7E"/>
    <w:rsid w:val="00214B9C"/>
    <w:rsid w:val="00214BC4"/>
    <w:rsid w:val="00214CA1"/>
    <w:rsid w:val="00214D0C"/>
    <w:rsid w:val="00214ED0"/>
    <w:rsid w:val="00214F83"/>
    <w:rsid w:val="00214FC9"/>
    <w:rsid w:val="00214FEC"/>
    <w:rsid w:val="0021512F"/>
    <w:rsid w:val="0021514F"/>
    <w:rsid w:val="00215172"/>
    <w:rsid w:val="002151C3"/>
    <w:rsid w:val="002151EA"/>
    <w:rsid w:val="00215245"/>
    <w:rsid w:val="002152D7"/>
    <w:rsid w:val="002152E7"/>
    <w:rsid w:val="002153D5"/>
    <w:rsid w:val="00215427"/>
    <w:rsid w:val="0021547A"/>
    <w:rsid w:val="00215635"/>
    <w:rsid w:val="0021570B"/>
    <w:rsid w:val="00215737"/>
    <w:rsid w:val="0021578B"/>
    <w:rsid w:val="00215836"/>
    <w:rsid w:val="00215A2F"/>
    <w:rsid w:val="00215AE0"/>
    <w:rsid w:val="00215C4C"/>
    <w:rsid w:val="00215C5F"/>
    <w:rsid w:val="00215C79"/>
    <w:rsid w:val="00215C88"/>
    <w:rsid w:val="00215C9F"/>
    <w:rsid w:val="00215D08"/>
    <w:rsid w:val="00215D6A"/>
    <w:rsid w:val="00215D7D"/>
    <w:rsid w:val="00215E2B"/>
    <w:rsid w:val="00215ED1"/>
    <w:rsid w:val="00215F2F"/>
    <w:rsid w:val="0021602F"/>
    <w:rsid w:val="002161B1"/>
    <w:rsid w:val="002161D5"/>
    <w:rsid w:val="002161FD"/>
    <w:rsid w:val="0021623D"/>
    <w:rsid w:val="00216278"/>
    <w:rsid w:val="00216303"/>
    <w:rsid w:val="00216351"/>
    <w:rsid w:val="002163E6"/>
    <w:rsid w:val="0021652D"/>
    <w:rsid w:val="002165A4"/>
    <w:rsid w:val="002165CE"/>
    <w:rsid w:val="0021679E"/>
    <w:rsid w:val="002167DE"/>
    <w:rsid w:val="0021682E"/>
    <w:rsid w:val="00216925"/>
    <w:rsid w:val="00216982"/>
    <w:rsid w:val="002169C2"/>
    <w:rsid w:val="002169D0"/>
    <w:rsid w:val="002169F1"/>
    <w:rsid w:val="002169FD"/>
    <w:rsid w:val="00216A09"/>
    <w:rsid w:val="00216A3B"/>
    <w:rsid w:val="00216AAB"/>
    <w:rsid w:val="00216CF2"/>
    <w:rsid w:val="00216D33"/>
    <w:rsid w:val="00216D74"/>
    <w:rsid w:val="00216E0F"/>
    <w:rsid w:val="00216EA2"/>
    <w:rsid w:val="00216F69"/>
    <w:rsid w:val="00216F78"/>
    <w:rsid w:val="00216FB0"/>
    <w:rsid w:val="00216FF4"/>
    <w:rsid w:val="00217031"/>
    <w:rsid w:val="002171CC"/>
    <w:rsid w:val="00217247"/>
    <w:rsid w:val="00217250"/>
    <w:rsid w:val="00217325"/>
    <w:rsid w:val="00217383"/>
    <w:rsid w:val="0021746C"/>
    <w:rsid w:val="0021749E"/>
    <w:rsid w:val="00217550"/>
    <w:rsid w:val="0021755F"/>
    <w:rsid w:val="002175D1"/>
    <w:rsid w:val="00217616"/>
    <w:rsid w:val="0021763A"/>
    <w:rsid w:val="0021764D"/>
    <w:rsid w:val="002177FB"/>
    <w:rsid w:val="0021781F"/>
    <w:rsid w:val="0021786A"/>
    <w:rsid w:val="00217878"/>
    <w:rsid w:val="002178A6"/>
    <w:rsid w:val="002178BF"/>
    <w:rsid w:val="002178ED"/>
    <w:rsid w:val="002178F8"/>
    <w:rsid w:val="0021793B"/>
    <w:rsid w:val="002179FD"/>
    <w:rsid w:val="00217A8B"/>
    <w:rsid w:val="00217AF8"/>
    <w:rsid w:val="00217B2E"/>
    <w:rsid w:val="00217B40"/>
    <w:rsid w:val="00217B9A"/>
    <w:rsid w:val="00217C28"/>
    <w:rsid w:val="00217D88"/>
    <w:rsid w:val="00217DB2"/>
    <w:rsid w:val="00217DD8"/>
    <w:rsid w:val="00217EC4"/>
    <w:rsid w:val="00217EF6"/>
    <w:rsid w:val="002200DA"/>
    <w:rsid w:val="00220152"/>
    <w:rsid w:val="002201C4"/>
    <w:rsid w:val="002201F0"/>
    <w:rsid w:val="00220251"/>
    <w:rsid w:val="002202A8"/>
    <w:rsid w:val="002202BC"/>
    <w:rsid w:val="0022031D"/>
    <w:rsid w:val="00220327"/>
    <w:rsid w:val="002203CA"/>
    <w:rsid w:val="0022042A"/>
    <w:rsid w:val="00220436"/>
    <w:rsid w:val="00220515"/>
    <w:rsid w:val="002205AE"/>
    <w:rsid w:val="00220770"/>
    <w:rsid w:val="00220817"/>
    <w:rsid w:val="00220923"/>
    <w:rsid w:val="00220942"/>
    <w:rsid w:val="0022098F"/>
    <w:rsid w:val="00220B25"/>
    <w:rsid w:val="00220B81"/>
    <w:rsid w:val="00220BE3"/>
    <w:rsid w:val="00220C01"/>
    <w:rsid w:val="00220C03"/>
    <w:rsid w:val="00220D47"/>
    <w:rsid w:val="00220DF6"/>
    <w:rsid w:val="00220E7D"/>
    <w:rsid w:val="00220F90"/>
    <w:rsid w:val="00221078"/>
    <w:rsid w:val="00221099"/>
    <w:rsid w:val="00221123"/>
    <w:rsid w:val="00221158"/>
    <w:rsid w:val="00221164"/>
    <w:rsid w:val="002211D3"/>
    <w:rsid w:val="0022123B"/>
    <w:rsid w:val="00221291"/>
    <w:rsid w:val="002212DB"/>
    <w:rsid w:val="002213DD"/>
    <w:rsid w:val="002213DE"/>
    <w:rsid w:val="002214D8"/>
    <w:rsid w:val="00221507"/>
    <w:rsid w:val="0022159C"/>
    <w:rsid w:val="002215A5"/>
    <w:rsid w:val="00221626"/>
    <w:rsid w:val="00221638"/>
    <w:rsid w:val="002216C6"/>
    <w:rsid w:val="00221717"/>
    <w:rsid w:val="0022177A"/>
    <w:rsid w:val="002217F9"/>
    <w:rsid w:val="00221842"/>
    <w:rsid w:val="00221844"/>
    <w:rsid w:val="00221875"/>
    <w:rsid w:val="002218C8"/>
    <w:rsid w:val="00221947"/>
    <w:rsid w:val="00221949"/>
    <w:rsid w:val="00221963"/>
    <w:rsid w:val="002219EA"/>
    <w:rsid w:val="00221A04"/>
    <w:rsid w:val="00221A8D"/>
    <w:rsid w:val="00221AE3"/>
    <w:rsid w:val="00221B05"/>
    <w:rsid w:val="00221E17"/>
    <w:rsid w:val="00221E8E"/>
    <w:rsid w:val="00221E92"/>
    <w:rsid w:val="00221EB5"/>
    <w:rsid w:val="00221F97"/>
    <w:rsid w:val="00222003"/>
    <w:rsid w:val="00222083"/>
    <w:rsid w:val="00222106"/>
    <w:rsid w:val="00222336"/>
    <w:rsid w:val="0022233C"/>
    <w:rsid w:val="002223CA"/>
    <w:rsid w:val="002223D5"/>
    <w:rsid w:val="002223F5"/>
    <w:rsid w:val="00222407"/>
    <w:rsid w:val="00222475"/>
    <w:rsid w:val="002224B1"/>
    <w:rsid w:val="002224D4"/>
    <w:rsid w:val="00222541"/>
    <w:rsid w:val="00222577"/>
    <w:rsid w:val="002225DB"/>
    <w:rsid w:val="002226E1"/>
    <w:rsid w:val="00222723"/>
    <w:rsid w:val="00222775"/>
    <w:rsid w:val="00222806"/>
    <w:rsid w:val="002228F4"/>
    <w:rsid w:val="00222904"/>
    <w:rsid w:val="00222A37"/>
    <w:rsid w:val="00222AAB"/>
    <w:rsid w:val="00222AFA"/>
    <w:rsid w:val="00222B57"/>
    <w:rsid w:val="00222BC6"/>
    <w:rsid w:val="00222C75"/>
    <w:rsid w:val="00222CCB"/>
    <w:rsid w:val="00222D3C"/>
    <w:rsid w:val="00222D5C"/>
    <w:rsid w:val="00222E66"/>
    <w:rsid w:val="00222EF5"/>
    <w:rsid w:val="00222EFA"/>
    <w:rsid w:val="00222F74"/>
    <w:rsid w:val="00222FEE"/>
    <w:rsid w:val="00222FFA"/>
    <w:rsid w:val="00223182"/>
    <w:rsid w:val="002231F8"/>
    <w:rsid w:val="002232D3"/>
    <w:rsid w:val="002233AD"/>
    <w:rsid w:val="002233BA"/>
    <w:rsid w:val="0022344E"/>
    <w:rsid w:val="002234C4"/>
    <w:rsid w:val="002234FE"/>
    <w:rsid w:val="002235ED"/>
    <w:rsid w:val="00223613"/>
    <w:rsid w:val="00223759"/>
    <w:rsid w:val="00223820"/>
    <w:rsid w:val="0022385A"/>
    <w:rsid w:val="00223938"/>
    <w:rsid w:val="002239B1"/>
    <w:rsid w:val="00223B70"/>
    <w:rsid w:val="00223BD4"/>
    <w:rsid w:val="00223CEF"/>
    <w:rsid w:val="00223DCE"/>
    <w:rsid w:val="00223E0B"/>
    <w:rsid w:val="00223E6B"/>
    <w:rsid w:val="00223EB7"/>
    <w:rsid w:val="00223EE5"/>
    <w:rsid w:val="00223F3F"/>
    <w:rsid w:val="00223F64"/>
    <w:rsid w:val="00223F8C"/>
    <w:rsid w:val="00223FA1"/>
    <w:rsid w:val="00224001"/>
    <w:rsid w:val="00224090"/>
    <w:rsid w:val="002240DE"/>
    <w:rsid w:val="002241C6"/>
    <w:rsid w:val="00224208"/>
    <w:rsid w:val="0022426A"/>
    <w:rsid w:val="00224271"/>
    <w:rsid w:val="00224296"/>
    <w:rsid w:val="002242C7"/>
    <w:rsid w:val="002243DE"/>
    <w:rsid w:val="002245A3"/>
    <w:rsid w:val="00224662"/>
    <w:rsid w:val="00224714"/>
    <w:rsid w:val="00224756"/>
    <w:rsid w:val="00224889"/>
    <w:rsid w:val="0022489B"/>
    <w:rsid w:val="0022489E"/>
    <w:rsid w:val="00224962"/>
    <w:rsid w:val="00224A34"/>
    <w:rsid w:val="00224B2D"/>
    <w:rsid w:val="00224BB3"/>
    <w:rsid w:val="00224C71"/>
    <w:rsid w:val="00224C78"/>
    <w:rsid w:val="00224CD5"/>
    <w:rsid w:val="00224CE0"/>
    <w:rsid w:val="00224D36"/>
    <w:rsid w:val="00224DB2"/>
    <w:rsid w:val="00224DCF"/>
    <w:rsid w:val="00224F3B"/>
    <w:rsid w:val="00224FFF"/>
    <w:rsid w:val="0022510A"/>
    <w:rsid w:val="002251DF"/>
    <w:rsid w:val="00225345"/>
    <w:rsid w:val="00225356"/>
    <w:rsid w:val="00225522"/>
    <w:rsid w:val="00225670"/>
    <w:rsid w:val="00225680"/>
    <w:rsid w:val="002256B6"/>
    <w:rsid w:val="002256FA"/>
    <w:rsid w:val="002257BA"/>
    <w:rsid w:val="0022585A"/>
    <w:rsid w:val="00225983"/>
    <w:rsid w:val="002259AD"/>
    <w:rsid w:val="00225AA6"/>
    <w:rsid w:val="00225AB6"/>
    <w:rsid w:val="00225AEA"/>
    <w:rsid w:val="00225BFF"/>
    <w:rsid w:val="00225C3C"/>
    <w:rsid w:val="00225C53"/>
    <w:rsid w:val="00225E2D"/>
    <w:rsid w:val="00226015"/>
    <w:rsid w:val="00226094"/>
    <w:rsid w:val="002260D5"/>
    <w:rsid w:val="002260DE"/>
    <w:rsid w:val="0022617B"/>
    <w:rsid w:val="002262DB"/>
    <w:rsid w:val="0022630B"/>
    <w:rsid w:val="0022648E"/>
    <w:rsid w:val="002264E3"/>
    <w:rsid w:val="00226520"/>
    <w:rsid w:val="002265CB"/>
    <w:rsid w:val="002265DA"/>
    <w:rsid w:val="002265F7"/>
    <w:rsid w:val="00226677"/>
    <w:rsid w:val="00226702"/>
    <w:rsid w:val="002267A1"/>
    <w:rsid w:val="002267B7"/>
    <w:rsid w:val="00226872"/>
    <w:rsid w:val="002269AD"/>
    <w:rsid w:val="002269FB"/>
    <w:rsid w:val="00226B15"/>
    <w:rsid w:val="00226B2D"/>
    <w:rsid w:val="00226B5D"/>
    <w:rsid w:val="00226BC9"/>
    <w:rsid w:val="00226BFD"/>
    <w:rsid w:val="00226DAB"/>
    <w:rsid w:val="00226DC4"/>
    <w:rsid w:val="00226E14"/>
    <w:rsid w:val="00226E89"/>
    <w:rsid w:val="00226EC9"/>
    <w:rsid w:val="00226F29"/>
    <w:rsid w:val="00226F51"/>
    <w:rsid w:val="00226F5B"/>
    <w:rsid w:val="00226F83"/>
    <w:rsid w:val="00226FDC"/>
    <w:rsid w:val="00227045"/>
    <w:rsid w:val="0022705E"/>
    <w:rsid w:val="0022707F"/>
    <w:rsid w:val="00227199"/>
    <w:rsid w:val="002271B1"/>
    <w:rsid w:val="00227204"/>
    <w:rsid w:val="0022728B"/>
    <w:rsid w:val="002272C1"/>
    <w:rsid w:val="002272C7"/>
    <w:rsid w:val="0022748A"/>
    <w:rsid w:val="00227511"/>
    <w:rsid w:val="002275CD"/>
    <w:rsid w:val="00227695"/>
    <w:rsid w:val="00227756"/>
    <w:rsid w:val="002278BF"/>
    <w:rsid w:val="00227963"/>
    <w:rsid w:val="002279E0"/>
    <w:rsid w:val="00227A55"/>
    <w:rsid w:val="00227B11"/>
    <w:rsid w:val="00227B4D"/>
    <w:rsid w:val="00227B59"/>
    <w:rsid w:val="00227C2B"/>
    <w:rsid w:val="00227C4F"/>
    <w:rsid w:val="00227C73"/>
    <w:rsid w:val="00227C8A"/>
    <w:rsid w:val="00227CBF"/>
    <w:rsid w:val="00227E69"/>
    <w:rsid w:val="00227F6C"/>
    <w:rsid w:val="002300EB"/>
    <w:rsid w:val="00230214"/>
    <w:rsid w:val="0023022A"/>
    <w:rsid w:val="00230355"/>
    <w:rsid w:val="002303EF"/>
    <w:rsid w:val="0023044C"/>
    <w:rsid w:val="00230460"/>
    <w:rsid w:val="002304E7"/>
    <w:rsid w:val="002304FC"/>
    <w:rsid w:val="002305B5"/>
    <w:rsid w:val="002305BF"/>
    <w:rsid w:val="00230601"/>
    <w:rsid w:val="0023087A"/>
    <w:rsid w:val="0023088C"/>
    <w:rsid w:val="0023088F"/>
    <w:rsid w:val="002308A7"/>
    <w:rsid w:val="00230908"/>
    <w:rsid w:val="0023090D"/>
    <w:rsid w:val="00230928"/>
    <w:rsid w:val="0023097F"/>
    <w:rsid w:val="002309E8"/>
    <w:rsid w:val="002309ED"/>
    <w:rsid w:val="00230A56"/>
    <w:rsid w:val="00230B09"/>
    <w:rsid w:val="00230B54"/>
    <w:rsid w:val="00230BA0"/>
    <w:rsid w:val="00230C12"/>
    <w:rsid w:val="00230C60"/>
    <w:rsid w:val="00230C61"/>
    <w:rsid w:val="00230CD4"/>
    <w:rsid w:val="00230D29"/>
    <w:rsid w:val="00230D9C"/>
    <w:rsid w:val="00230E25"/>
    <w:rsid w:val="00230E5E"/>
    <w:rsid w:val="00230FA7"/>
    <w:rsid w:val="0023101F"/>
    <w:rsid w:val="00231056"/>
    <w:rsid w:val="00231139"/>
    <w:rsid w:val="00231140"/>
    <w:rsid w:val="002311EC"/>
    <w:rsid w:val="0023120D"/>
    <w:rsid w:val="002312A5"/>
    <w:rsid w:val="002312BA"/>
    <w:rsid w:val="002312EF"/>
    <w:rsid w:val="00231310"/>
    <w:rsid w:val="00231465"/>
    <w:rsid w:val="00231610"/>
    <w:rsid w:val="0023168F"/>
    <w:rsid w:val="0023174C"/>
    <w:rsid w:val="0023175D"/>
    <w:rsid w:val="0023185C"/>
    <w:rsid w:val="00231A63"/>
    <w:rsid w:val="00231B2C"/>
    <w:rsid w:val="00231BC2"/>
    <w:rsid w:val="00231C32"/>
    <w:rsid w:val="00231C77"/>
    <w:rsid w:val="00231D2D"/>
    <w:rsid w:val="00231DE5"/>
    <w:rsid w:val="00231E8A"/>
    <w:rsid w:val="00231EE6"/>
    <w:rsid w:val="00231F1B"/>
    <w:rsid w:val="00231F50"/>
    <w:rsid w:val="00231F65"/>
    <w:rsid w:val="00231F83"/>
    <w:rsid w:val="00231F90"/>
    <w:rsid w:val="0023206B"/>
    <w:rsid w:val="002320E1"/>
    <w:rsid w:val="002320F9"/>
    <w:rsid w:val="00232146"/>
    <w:rsid w:val="002321DC"/>
    <w:rsid w:val="002322D3"/>
    <w:rsid w:val="002323A0"/>
    <w:rsid w:val="002323F0"/>
    <w:rsid w:val="0023241F"/>
    <w:rsid w:val="0023244E"/>
    <w:rsid w:val="002324AA"/>
    <w:rsid w:val="002325B5"/>
    <w:rsid w:val="0023263B"/>
    <w:rsid w:val="0023271F"/>
    <w:rsid w:val="00232820"/>
    <w:rsid w:val="0023283F"/>
    <w:rsid w:val="00232877"/>
    <w:rsid w:val="002328E1"/>
    <w:rsid w:val="00232933"/>
    <w:rsid w:val="00232A92"/>
    <w:rsid w:val="00232A93"/>
    <w:rsid w:val="00232AFD"/>
    <w:rsid w:val="00232B31"/>
    <w:rsid w:val="00232DD3"/>
    <w:rsid w:val="00232E47"/>
    <w:rsid w:val="00232EC7"/>
    <w:rsid w:val="00232F44"/>
    <w:rsid w:val="0023305B"/>
    <w:rsid w:val="002330E7"/>
    <w:rsid w:val="0023311E"/>
    <w:rsid w:val="002331C3"/>
    <w:rsid w:val="002331EF"/>
    <w:rsid w:val="0023322C"/>
    <w:rsid w:val="00233236"/>
    <w:rsid w:val="00233369"/>
    <w:rsid w:val="00233415"/>
    <w:rsid w:val="0023344B"/>
    <w:rsid w:val="00233470"/>
    <w:rsid w:val="002334DC"/>
    <w:rsid w:val="002334F0"/>
    <w:rsid w:val="00233613"/>
    <w:rsid w:val="00233676"/>
    <w:rsid w:val="0023375D"/>
    <w:rsid w:val="00233765"/>
    <w:rsid w:val="002337B0"/>
    <w:rsid w:val="00233916"/>
    <w:rsid w:val="0023397C"/>
    <w:rsid w:val="00233A38"/>
    <w:rsid w:val="00233A9A"/>
    <w:rsid w:val="00233B74"/>
    <w:rsid w:val="00233B8F"/>
    <w:rsid w:val="00233C48"/>
    <w:rsid w:val="00233CCB"/>
    <w:rsid w:val="00233D53"/>
    <w:rsid w:val="00233E40"/>
    <w:rsid w:val="00233EB1"/>
    <w:rsid w:val="00233F6A"/>
    <w:rsid w:val="00233F7D"/>
    <w:rsid w:val="00233F88"/>
    <w:rsid w:val="00233F89"/>
    <w:rsid w:val="0023408F"/>
    <w:rsid w:val="002340AB"/>
    <w:rsid w:val="002340E5"/>
    <w:rsid w:val="002342C4"/>
    <w:rsid w:val="002343EC"/>
    <w:rsid w:val="002343EF"/>
    <w:rsid w:val="00234435"/>
    <w:rsid w:val="002344A7"/>
    <w:rsid w:val="002344B4"/>
    <w:rsid w:val="00234552"/>
    <w:rsid w:val="002346D5"/>
    <w:rsid w:val="002347F8"/>
    <w:rsid w:val="00234889"/>
    <w:rsid w:val="002348AD"/>
    <w:rsid w:val="002348E5"/>
    <w:rsid w:val="0023491E"/>
    <w:rsid w:val="0023494D"/>
    <w:rsid w:val="002349AB"/>
    <w:rsid w:val="00234A08"/>
    <w:rsid w:val="00234B40"/>
    <w:rsid w:val="00234B9A"/>
    <w:rsid w:val="00234BD1"/>
    <w:rsid w:val="00234BDF"/>
    <w:rsid w:val="00234DB2"/>
    <w:rsid w:val="00234DF2"/>
    <w:rsid w:val="00234DF7"/>
    <w:rsid w:val="00234E72"/>
    <w:rsid w:val="00234E9B"/>
    <w:rsid w:val="00234EC5"/>
    <w:rsid w:val="002350EA"/>
    <w:rsid w:val="00235175"/>
    <w:rsid w:val="00235187"/>
    <w:rsid w:val="0023518A"/>
    <w:rsid w:val="002351BF"/>
    <w:rsid w:val="00235237"/>
    <w:rsid w:val="002352CD"/>
    <w:rsid w:val="00235300"/>
    <w:rsid w:val="00235397"/>
    <w:rsid w:val="0023544F"/>
    <w:rsid w:val="002354AE"/>
    <w:rsid w:val="0023584C"/>
    <w:rsid w:val="0023586E"/>
    <w:rsid w:val="0023587E"/>
    <w:rsid w:val="00235899"/>
    <w:rsid w:val="002358BE"/>
    <w:rsid w:val="00235964"/>
    <w:rsid w:val="00235983"/>
    <w:rsid w:val="0023599D"/>
    <w:rsid w:val="00235A63"/>
    <w:rsid w:val="00235B30"/>
    <w:rsid w:val="00235B5A"/>
    <w:rsid w:val="00235BAA"/>
    <w:rsid w:val="00235BC2"/>
    <w:rsid w:val="00235C3F"/>
    <w:rsid w:val="00235C71"/>
    <w:rsid w:val="00235CFF"/>
    <w:rsid w:val="00235E66"/>
    <w:rsid w:val="00235F2E"/>
    <w:rsid w:val="00235F39"/>
    <w:rsid w:val="00235F5D"/>
    <w:rsid w:val="00236015"/>
    <w:rsid w:val="00236148"/>
    <w:rsid w:val="002361CD"/>
    <w:rsid w:val="00236239"/>
    <w:rsid w:val="00236265"/>
    <w:rsid w:val="00236297"/>
    <w:rsid w:val="002362AC"/>
    <w:rsid w:val="00236337"/>
    <w:rsid w:val="00236354"/>
    <w:rsid w:val="00236658"/>
    <w:rsid w:val="00236663"/>
    <w:rsid w:val="002366DA"/>
    <w:rsid w:val="002366FA"/>
    <w:rsid w:val="00236714"/>
    <w:rsid w:val="00236727"/>
    <w:rsid w:val="002367C9"/>
    <w:rsid w:val="0023684B"/>
    <w:rsid w:val="00236852"/>
    <w:rsid w:val="002369FE"/>
    <w:rsid w:val="00236A25"/>
    <w:rsid w:val="00236A66"/>
    <w:rsid w:val="00236ABB"/>
    <w:rsid w:val="00236ADE"/>
    <w:rsid w:val="00236D1D"/>
    <w:rsid w:val="00236D24"/>
    <w:rsid w:val="00236D86"/>
    <w:rsid w:val="00236DC0"/>
    <w:rsid w:val="00236DF8"/>
    <w:rsid w:val="00236E64"/>
    <w:rsid w:val="00236EC0"/>
    <w:rsid w:val="00236F59"/>
    <w:rsid w:val="00236F64"/>
    <w:rsid w:val="00236F89"/>
    <w:rsid w:val="00236FB0"/>
    <w:rsid w:val="00236FFE"/>
    <w:rsid w:val="0023703F"/>
    <w:rsid w:val="0023714E"/>
    <w:rsid w:val="00237173"/>
    <w:rsid w:val="00237231"/>
    <w:rsid w:val="00237345"/>
    <w:rsid w:val="00237435"/>
    <w:rsid w:val="00237445"/>
    <w:rsid w:val="002374B1"/>
    <w:rsid w:val="002374E0"/>
    <w:rsid w:val="0023751F"/>
    <w:rsid w:val="00237540"/>
    <w:rsid w:val="002375CC"/>
    <w:rsid w:val="002377E6"/>
    <w:rsid w:val="0023785F"/>
    <w:rsid w:val="00237892"/>
    <w:rsid w:val="002378AE"/>
    <w:rsid w:val="00237959"/>
    <w:rsid w:val="00237B9E"/>
    <w:rsid w:val="00237BBE"/>
    <w:rsid w:val="00237BC2"/>
    <w:rsid w:val="00237BF7"/>
    <w:rsid w:val="00237C86"/>
    <w:rsid w:val="00237D1E"/>
    <w:rsid w:val="00237E86"/>
    <w:rsid w:val="00237EF5"/>
    <w:rsid w:val="00237F04"/>
    <w:rsid w:val="00237FBF"/>
    <w:rsid w:val="00237FD9"/>
    <w:rsid w:val="00240028"/>
    <w:rsid w:val="0024005F"/>
    <w:rsid w:val="0024007D"/>
    <w:rsid w:val="0024007F"/>
    <w:rsid w:val="00240083"/>
    <w:rsid w:val="00240138"/>
    <w:rsid w:val="002401D4"/>
    <w:rsid w:val="002401E1"/>
    <w:rsid w:val="002401EE"/>
    <w:rsid w:val="002401F8"/>
    <w:rsid w:val="002402DA"/>
    <w:rsid w:val="00240366"/>
    <w:rsid w:val="00240383"/>
    <w:rsid w:val="002403E7"/>
    <w:rsid w:val="002403EF"/>
    <w:rsid w:val="00240463"/>
    <w:rsid w:val="00240680"/>
    <w:rsid w:val="002407A4"/>
    <w:rsid w:val="0024086A"/>
    <w:rsid w:val="00240A9B"/>
    <w:rsid w:val="00240B0C"/>
    <w:rsid w:val="00240BB9"/>
    <w:rsid w:val="00240D2E"/>
    <w:rsid w:val="00240D41"/>
    <w:rsid w:val="00240D5B"/>
    <w:rsid w:val="00240D8F"/>
    <w:rsid w:val="00240E14"/>
    <w:rsid w:val="00240E76"/>
    <w:rsid w:val="00240E94"/>
    <w:rsid w:val="00240EBD"/>
    <w:rsid w:val="00240F0A"/>
    <w:rsid w:val="00241003"/>
    <w:rsid w:val="0024100F"/>
    <w:rsid w:val="0024102D"/>
    <w:rsid w:val="0024106D"/>
    <w:rsid w:val="002410D9"/>
    <w:rsid w:val="00241115"/>
    <w:rsid w:val="00241136"/>
    <w:rsid w:val="00241228"/>
    <w:rsid w:val="00241236"/>
    <w:rsid w:val="00241270"/>
    <w:rsid w:val="0024127B"/>
    <w:rsid w:val="00241299"/>
    <w:rsid w:val="002412F1"/>
    <w:rsid w:val="0024134E"/>
    <w:rsid w:val="0024140C"/>
    <w:rsid w:val="0024148A"/>
    <w:rsid w:val="002414EE"/>
    <w:rsid w:val="002416D8"/>
    <w:rsid w:val="00241712"/>
    <w:rsid w:val="002417D5"/>
    <w:rsid w:val="00241825"/>
    <w:rsid w:val="00241A10"/>
    <w:rsid w:val="00241A48"/>
    <w:rsid w:val="00241A78"/>
    <w:rsid w:val="00241A83"/>
    <w:rsid w:val="00241BBB"/>
    <w:rsid w:val="00241BCF"/>
    <w:rsid w:val="00241C05"/>
    <w:rsid w:val="00241C12"/>
    <w:rsid w:val="00241C8E"/>
    <w:rsid w:val="00241CD1"/>
    <w:rsid w:val="00241D04"/>
    <w:rsid w:val="00241DDD"/>
    <w:rsid w:val="00241DEF"/>
    <w:rsid w:val="00241E3C"/>
    <w:rsid w:val="00241EB9"/>
    <w:rsid w:val="00241F24"/>
    <w:rsid w:val="00241F31"/>
    <w:rsid w:val="00241F55"/>
    <w:rsid w:val="00241FF7"/>
    <w:rsid w:val="002420E3"/>
    <w:rsid w:val="00242156"/>
    <w:rsid w:val="0024219A"/>
    <w:rsid w:val="0024226B"/>
    <w:rsid w:val="0024232D"/>
    <w:rsid w:val="0024244D"/>
    <w:rsid w:val="00242462"/>
    <w:rsid w:val="00242479"/>
    <w:rsid w:val="0024253E"/>
    <w:rsid w:val="0024257B"/>
    <w:rsid w:val="0024258C"/>
    <w:rsid w:val="0024262C"/>
    <w:rsid w:val="0024268C"/>
    <w:rsid w:val="00242720"/>
    <w:rsid w:val="0024275F"/>
    <w:rsid w:val="002427E5"/>
    <w:rsid w:val="002427FB"/>
    <w:rsid w:val="00242808"/>
    <w:rsid w:val="00242901"/>
    <w:rsid w:val="00242A21"/>
    <w:rsid w:val="00242AD4"/>
    <w:rsid w:val="00242AE2"/>
    <w:rsid w:val="00242B27"/>
    <w:rsid w:val="00242D10"/>
    <w:rsid w:val="00242D4C"/>
    <w:rsid w:val="00242D54"/>
    <w:rsid w:val="00242D66"/>
    <w:rsid w:val="00242D75"/>
    <w:rsid w:val="00242D8F"/>
    <w:rsid w:val="00242DED"/>
    <w:rsid w:val="00242F0F"/>
    <w:rsid w:val="0024307C"/>
    <w:rsid w:val="00243091"/>
    <w:rsid w:val="002430C8"/>
    <w:rsid w:val="002432B1"/>
    <w:rsid w:val="0024337E"/>
    <w:rsid w:val="00243500"/>
    <w:rsid w:val="00243554"/>
    <w:rsid w:val="0024378F"/>
    <w:rsid w:val="00243791"/>
    <w:rsid w:val="002438C1"/>
    <w:rsid w:val="002438C6"/>
    <w:rsid w:val="0024390C"/>
    <w:rsid w:val="00243B64"/>
    <w:rsid w:val="00243B9A"/>
    <w:rsid w:val="00243E31"/>
    <w:rsid w:val="002440F8"/>
    <w:rsid w:val="002444A1"/>
    <w:rsid w:val="0024458E"/>
    <w:rsid w:val="00244605"/>
    <w:rsid w:val="002446CA"/>
    <w:rsid w:val="00244949"/>
    <w:rsid w:val="002449FE"/>
    <w:rsid w:val="00244A29"/>
    <w:rsid w:val="00244A6C"/>
    <w:rsid w:val="00244A99"/>
    <w:rsid w:val="00244AE7"/>
    <w:rsid w:val="00244B6F"/>
    <w:rsid w:val="00244B9B"/>
    <w:rsid w:val="00244BB7"/>
    <w:rsid w:val="00244BCD"/>
    <w:rsid w:val="00244C19"/>
    <w:rsid w:val="00244C3D"/>
    <w:rsid w:val="00244CD3"/>
    <w:rsid w:val="00244DAF"/>
    <w:rsid w:val="00244DEB"/>
    <w:rsid w:val="00244E4A"/>
    <w:rsid w:val="00245059"/>
    <w:rsid w:val="0024521A"/>
    <w:rsid w:val="00245238"/>
    <w:rsid w:val="0024524F"/>
    <w:rsid w:val="00245265"/>
    <w:rsid w:val="002452A1"/>
    <w:rsid w:val="002452D1"/>
    <w:rsid w:val="0024536F"/>
    <w:rsid w:val="00245383"/>
    <w:rsid w:val="002453B8"/>
    <w:rsid w:val="002453CA"/>
    <w:rsid w:val="002453EA"/>
    <w:rsid w:val="00245406"/>
    <w:rsid w:val="0024542A"/>
    <w:rsid w:val="00245519"/>
    <w:rsid w:val="0024574C"/>
    <w:rsid w:val="00245772"/>
    <w:rsid w:val="0024579F"/>
    <w:rsid w:val="00245836"/>
    <w:rsid w:val="00245864"/>
    <w:rsid w:val="002459C4"/>
    <w:rsid w:val="002459DD"/>
    <w:rsid w:val="00245AAB"/>
    <w:rsid w:val="00245ABE"/>
    <w:rsid w:val="00245D5F"/>
    <w:rsid w:val="00245D72"/>
    <w:rsid w:val="00245EAC"/>
    <w:rsid w:val="0024600D"/>
    <w:rsid w:val="002460DA"/>
    <w:rsid w:val="00246113"/>
    <w:rsid w:val="002462DC"/>
    <w:rsid w:val="0024631F"/>
    <w:rsid w:val="00246395"/>
    <w:rsid w:val="002463B1"/>
    <w:rsid w:val="00246439"/>
    <w:rsid w:val="00246467"/>
    <w:rsid w:val="002464D6"/>
    <w:rsid w:val="00246603"/>
    <w:rsid w:val="0024665D"/>
    <w:rsid w:val="0024671D"/>
    <w:rsid w:val="002467BC"/>
    <w:rsid w:val="002467D5"/>
    <w:rsid w:val="00246825"/>
    <w:rsid w:val="0024695D"/>
    <w:rsid w:val="00246987"/>
    <w:rsid w:val="00246999"/>
    <w:rsid w:val="002469CA"/>
    <w:rsid w:val="00246A38"/>
    <w:rsid w:val="00246B4D"/>
    <w:rsid w:val="00246BA4"/>
    <w:rsid w:val="00246BDD"/>
    <w:rsid w:val="00246CBE"/>
    <w:rsid w:val="00246D17"/>
    <w:rsid w:val="00246D6D"/>
    <w:rsid w:val="00246D72"/>
    <w:rsid w:val="00246DE9"/>
    <w:rsid w:val="00246E9C"/>
    <w:rsid w:val="00246EA6"/>
    <w:rsid w:val="00246F25"/>
    <w:rsid w:val="00246FBC"/>
    <w:rsid w:val="00247001"/>
    <w:rsid w:val="00247047"/>
    <w:rsid w:val="0024705C"/>
    <w:rsid w:val="00247079"/>
    <w:rsid w:val="00247086"/>
    <w:rsid w:val="002470A4"/>
    <w:rsid w:val="00247149"/>
    <w:rsid w:val="00247217"/>
    <w:rsid w:val="00247240"/>
    <w:rsid w:val="0024732D"/>
    <w:rsid w:val="0024736F"/>
    <w:rsid w:val="0024745B"/>
    <w:rsid w:val="00247545"/>
    <w:rsid w:val="00247584"/>
    <w:rsid w:val="0024763E"/>
    <w:rsid w:val="0024768E"/>
    <w:rsid w:val="0024769A"/>
    <w:rsid w:val="0024777E"/>
    <w:rsid w:val="00247798"/>
    <w:rsid w:val="002477EB"/>
    <w:rsid w:val="002478C5"/>
    <w:rsid w:val="0024791B"/>
    <w:rsid w:val="00247A02"/>
    <w:rsid w:val="00247A46"/>
    <w:rsid w:val="00247C9B"/>
    <w:rsid w:val="00247CE4"/>
    <w:rsid w:val="00247CEB"/>
    <w:rsid w:val="00247D98"/>
    <w:rsid w:val="00247DCF"/>
    <w:rsid w:val="00247E0B"/>
    <w:rsid w:val="00247E68"/>
    <w:rsid w:val="00247EC4"/>
    <w:rsid w:val="00247F6C"/>
    <w:rsid w:val="00247FEB"/>
    <w:rsid w:val="0025002C"/>
    <w:rsid w:val="0025003A"/>
    <w:rsid w:val="002500FC"/>
    <w:rsid w:val="00250150"/>
    <w:rsid w:val="00250165"/>
    <w:rsid w:val="00250208"/>
    <w:rsid w:val="00250291"/>
    <w:rsid w:val="00250307"/>
    <w:rsid w:val="002503B6"/>
    <w:rsid w:val="002503CA"/>
    <w:rsid w:val="002503F0"/>
    <w:rsid w:val="00250410"/>
    <w:rsid w:val="0025044F"/>
    <w:rsid w:val="00250466"/>
    <w:rsid w:val="00250493"/>
    <w:rsid w:val="002504E3"/>
    <w:rsid w:val="0025052E"/>
    <w:rsid w:val="002505BF"/>
    <w:rsid w:val="002505D0"/>
    <w:rsid w:val="002505DF"/>
    <w:rsid w:val="00250660"/>
    <w:rsid w:val="00250694"/>
    <w:rsid w:val="002506FF"/>
    <w:rsid w:val="002507D2"/>
    <w:rsid w:val="0025087D"/>
    <w:rsid w:val="0025095E"/>
    <w:rsid w:val="002509A8"/>
    <w:rsid w:val="002509E1"/>
    <w:rsid w:val="002509F6"/>
    <w:rsid w:val="00250A9C"/>
    <w:rsid w:val="00250AB0"/>
    <w:rsid w:val="00250B2E"/>
    <w:rsid w:val="00250BFB"/>
    <w:rsid w:val="00250C32"/>
    <w:rsid w:val="00250C39"/>
    <w:rsid w:val="00250CB8"/>
    <w:rsid w:val="00250D32"/>
    <w:rsid w:val="00250F1A"/>
    <w:rsid w:val="0025104B"/>
    <w:rsid w:val="00251062"/>
    <w:rsid w:val="00251065"/>
    <w:rsid w:val="0025131F"/>
    <w:rsid w:val="002513ED"/>
    <w:rsid w:val="00251483"/>
    <w:rsid w:val="002514BC"/>
    <w:rsid w:val="0025153F"/>
    <w:rsid w:val="00251597"/>
    <w:rsid w:val="0025159A"/>
    <w:rsid w:val="002515E1"/>
    <w:rsid w:val="0025160D"/>
    <w:rsid w:val="0025161B"/>
    <w:rsid w:val="002516E2"/>
    <w:rsid w:val="002518F7"/>
    <w:rsid w:val="00251A85"/>
    <w:rsid w:val="00251D31"/>
    <w:rsid w:val="00251E3A"/>
    <w:rsid w:val="00251FD4"/>
    <w:rsid w:val="00251FDE"/>
    <w:rsid w:val="002521E2"/>
    <w:rsid w:val="00252224"/>
    <w:rsid w:val="00252289"/>
    <w:rsid w:val="002522B6"/>
    <w:rsid w:val="002522FF"/>
    <w:rsid w:val="002523FE"/>
    <w:rsid w:val="00252493"/>
    <w:rsid w:val="002524AF"/>
    <w:rsid w:val="002524F1"/>
    <w:rsid w:val="0025255F"/>
    <w:rsid w:val="002525C9"/>
    <w:rsid w:val="002525E6"/>
    <w:rsid w:val="00252619"/>
    <w:rsid w:val="002526A1"/>
    <w:rsid w:val="00252803"/>
    <w:rsid w:val="00252804"/>
    <w:rsid w:val="00252857"/>
    <w:rsid w:val="002528B7"/>
    <w:rsid w:val="002528D2"/>
    <w:rsid w:val="00252A30"/>
    <w:rsid w:val="00252A64"/>
    <w:rsid w:val="00252AB0"/>
    <w:rsid w:val="00252BB4"/>
    <w:rsid w:val="00252C09"/>
    <w:rsid w:val="00252CA5"/>
    <w:rsid w:val="00252CA9"/>
    <w:rsid w:val="00252CD8"/>
    <w:rsid w:val="00252D2E"/>
    <w:rsid w:val="00252D98"/>
    <w:rsid w:val="00252DD0"/>
    <w:rsid w:val="00252DD7"/>
    <w:rsid w:val="00252E4B"/>
    <w:rsid w:val="00252EEE"/>
    <w:rsid w:val="00252F40"/>
    <w:rsid w:val="00252FAD"/>
    <w:rsid w:val="00253023"/>
    <w:rsid w:val="00253057"/>
    <w:rsid w:val="002531D4"/>
    <w:rsid w:val="00253263"/>
    <w:rsid w:val="0025328B"/>
    <w:rsid w:val="002532AA"/>
    <w:rsid w:val="00253305"/>
    <w:rsid w:val="00253313"/>
    <w:rsid w:val="0025331C"/>
    <w:rsid w:val="00253339"/>
    <w:rsid w:val="00253343"/>
    <w:rsid w:val="00253377"/>
    <w:rsid w:val="002535C2"/>
    <w:rsid w:val="002536B9"/>
    <w:rsid w:val="002536D8"/>
    <w:rsid w:val="00253724"/>
    <w:rsid w:val="00253785"/>
    <w:rsid w:val="0025381A"/>
    <w:rsid w:val="00253825"/>
    <w:rsid w:val="00253868"/>
    <w:rsid w:val="0025387F"/>
    <w:rsid w:val="002538A3"/>
    <w:rsid w:val="002538A8"/>
    <w:rsid w:val="00253927"/>
    <w:rsid w:val="00253B1B"/>
    <w:rsid w:val="00253C2E"/>
    <w:rsid w:val="00253E1F"/>
    <w:rsid w:val="00253E79"/>
    <w:rsid w:val="00253E7C"/>
    <w:rsid w:val="00253E7F"/>
    <w:rsid w:val="00253E87"/>
    <w:rsid w:val="00253F00"/>
    <w:rsid w:val="00253FF3"/>
    <w:rsid w:val="00253FF5"/>
    <w:rsid w:val="00254171"/>
    <w:rsid w:val="002542AE"/>
    <w:rsid w:val="00254312"/>
    <w:rsid w:val="002543C1"/>
    <w:rsid w:val="0025448F"/>
    <w:rsid w:val="00254568"/>
    <w:rsid w:val="0025467E"/>
    <w:rsid w:val="00254701"/>
    <w:rsid w:val="0025473A"/>
    <w:rsid w:val="00254756"/>
    <w:rsid w:val="0025479D"/>
    <w:rsid w:val="00254858"/>
    <w:rsid w:val="002548CC"/>
    <w:rsid w:val="002548D4"/>
    <w:rsid w:val="00254989"/>
    <w:rsid w:val="002549B9"/>
    <w:rsid w:val="00254A18"/>
    <w:rsid w:val="00254A90"/>
    <w:rsid w:val="00254B09"/>
    <w:rsid w:val="00254BB0"/>
    <w:rsid w:val="00254BB2"/>
    <w:rsid w:val="00254D4E"/>
    <w:rsid w:val="00254D9D"/>
    <w:rsid w:val="00254DB9"/>
    <w:rsid w:val="00254E19"/>
    <w:rsid w:val="00254F61"/>
    <w:rsid w:val="0025501F"/>
    <w:rsid w:val="0025503E"/>
    <w:rsid w:val="002550FF"/>
    <w:rsid w:val="002551A2"/>
    <w:rsid w:val="0025536A"/>
    <w:rsid w:val="002553D8"/>
    <w:rsid w:val="002553EF"/>
    <w:rsid w:val="00255494"/>
    <w:rsid w:val="002554E3"/>
    <w:rsid w:val="002556DE"/>
    <w:rsid w:val="00255785"/>
    <w:rsid w:val="00255843"/>
    <w:rsid w:val="00255987"/>
    <w:rsid w:val="00255A0D"/>
    <w:rsid w:val="00255ADC"/>
    <w:rsid w:val="00255B68"/>
    <w:rsid w:val="00255C68"/>
    <w:rsid w:val="00255CDA"/>
    <w:rsid w:val="00255ED3"/>
    <w:rsid w:val="00255FBC"/>
    <w:rsid w:val="00255FC7"/>
    <w:rsid w:val="002560D5"/>
    <w:rsid w:val="00256163"/>
    <w:rsid w:val="002561FF"/>
    <w:rsid w:val="00256226"/>
    <w:rsid w:val="0025623A"/>
    <w:rsid w:val="0025623F"/>
    <w:rsid w:val="002562D7"/>
    <w:rsid w:val="0025634D"/>
    <w:rsid w:val="0025634E"/>
    <w:rsid w:val="00256408"/>
    <w:rsid w:val="0025642D"/>
    <w:rsid w:val="0025657F"/>
    <w:rsid w:val="002565A2"/>
    <w:rsid w:val="002565B8"/>
    <w:rsid w:val="00256619"/>
    <w:rsid w:val="0025667C"/>
    <w:rsid w:val="0025670A"/>
    <w:rsid w:val="00256770"/>
    <w:rsid w:val="002568B0"/>
    <w:rsid w:val="002569C0"/>
    <w:rsid w:val="002569C5"/>
    <w:rsid w:val="00256BA8"/>
    <w:rsid w:val="00256BF6"/>
    <w:rsid w:val="00256DE8"/>
    <w:rsid w:val="00256E05"/>
    <w:rsid w:val="00256E27"/>
    <w:rsid w:val="00256E31"/>
    <w:rsid w:val="00256EF2"/>
    <w:rsid w:val="00256F17"/>
    <w:rsid w:val="00256F37"/>
    <w:rsid w:val="00256F54"/>
    <w:rsid w:val="00256F65"/>
    <w:rsid w:val="00256F6D"/>
    <w:rsid w:val="00256F72"/>
    <w:rsid w:val="00256FD5"/>
    <w:rsid w:val="00257025"/>
    <w:rsid w:val="00257038"/>
    <w:rsid w:val="00257041"/>
    <w:rsid w:val="0025707C"/>
    <w:rsid w:val="002570E0"/>
    <w:rsid w:val="002570E5"/>
    <w:rsid w:val="00257190"/>
    <w:rsid w:val="002571B9"/>
    <w:rsid w:val="002572CF"/>
    <w:rsid w:val="002573F6"/>
    <w:rsid w:val="00257414"/>
    <w:rsid w:val="00257490"/>
    <w:rsid w:val="00257499"/>
    <w:rsid w:val="002574F9"/>
    <w:rsid w:val="0025751C"/>
    <w:rsid w:val="002575CF"/>
    <w:rsid w:val="00257662"/>
    <w:rsid w:val="0025779D"/>
    <w:rsid w:val="002577CE"/>
    <w:rsid w:val="00257872"/>
    <w:rsid w:val="002578AF"/>
    <w:rsid w:val="002578E6"/>
    <w:rsid w:val="002579B1"/>
    <w:rsid w:val="00257A09"/>
    <w:rsid w:val="00257A0E"/>
    <w:rsid w:val="00257A2E"/>
    <w:rsid w:val="00257ABC"/>
    <w:rsid w:val="00257AE6"/>
    <w:rsid w:val="00257B75"/>
    <w:rsid w:val="00257D0D"/>
    <w:rsid w:val="00257D23"/>
    <w:rsid w:val="00257D41"/>
    <w:rsid w:val="00257D6F"/>
    <w:rsid w:val="00257D97"/>
    <w:rsid w:val="00257DD5"/>
    <w:rsid w:val="00257E5A"/>
    <w:rsid w:val="00260048"/>
    <w:rsid w:val="00260064"/>
    <w:rsid w:val="00260118"/>
    <w:rsid w:val="00260208"/>
    <w:rsid w:val="0026025E"/>
    <w:rsid w:val="00260358"/>
    <w:rsid w:val="00260376"/>
    <w:rsid w:val="00260430"/>
    <w:rsid w:val="00260499"/>
    <w:rsid w:val="002606AE"/>
    <w:rsid w:val="002606C4"/>
    <w:rsid w:val="002606E9"/>
    <w:rsid w:val="00260731"/>
    <w:rsid w:val="0026074F"/>
    <w:rsid w:val="002607BD"/>
    <w:rsid w:val="00260829"/>
    <w:rsid w:val="002608AD"/>
    <w:rsid w:val="002608BB"/>
    <w:rsid w:val="002608C5"/>
    <w:rsid w:val="002608D0"/>
    <w:rsid w:val="00260980"/>
    <w:rsid w:val="00260A1E"/>
    <w:rsid w:val="00260A1F"/>
    <w:rsid w:val="00260AB4"/>
    <w:rsid w:val="00260AB5"/>
    <w:rsid w:val="00260B02"/>
    <w:rsid w:val="00260B05"/>
    <w:rsid w:val="00260B67"/>
    <w:rsid w:val="00260B87"/>
    <w:rsid w:val="00260C5E"/>
    <w:rsid w:val="00260C6C"/>
    <w:rsid w:val="00260C77"/>
    <w:rsid w:val="00260D61"/>
    <w:rsid w:val="00260D85"/>
    <w:rsid w:val="00260DA8"/>
    <w:rsid w:val="00260DD3"/>
    <w:rsid w:val="00260E3B"/>
    <w:rsid w:val="00260E9F"/>
    <w:rsid w:val="00260EC1"/>
    <w:rsid w:val="00260EF1"/>
    <w:rsid w:val="00260F01"/>
    <w:rsid w:val="00260F74"/>
    <w:rsid w:val="00260FE7"/>
    <w:rsid w:val="00261020"/>
    <w:rsid w:val="002610F5"/>
    <w:rsid w:val="002611BC"/>
    <w:rsid w:val="0026127C"/>
    <w:rsid w:val="0026129A"/>
    <w:rsid w:val="002612B8"/>
    <w:rsid w:val="002613F2"/>
    <w:rsid w:val="00261438"/>
    <w:rsid w:val="0026147E"/>
    <w:rsid w:val="002614C4"/>
    <w:rsid w:val="002614CF"/>
    <w:rsid w:val="0026152D"/>
    <w:rsid w:val="002615BC"/>
    <w:rsid w:val="002615BD"/>
    <w:rsid w:val="002615DD"/>
    <w:rsid w:val="00261692"/>
    <w:rsid w:val="002616F3"/>
    <w:rsid w:val="00261716"/>
    <w:rsid w:val="00261741"/>
    <w:rsid w:val="00261862"/>
    <w:rsid w:val="002618C0"/>
    <w:rsid w:val="00261939"/>
    <w:rsid w:val="00261975"/>
    <w:rsid w:val="00261976"/>
    <w:rsid w:val="002619A0"/>
    <w:rsid w:val="00261B90"/>
    <w:rsid w:val="00261BA6"/>
    <w:rsid w:val="00261BB4"/>
    <w:rsid w:val="00261C1C"/>
    <w:rsid w:val="00261C4F"/>
    <w:rsid w:val="00261C7F"/>
    <w:rsid w:val="00261CF9"/>
    <w:rsid w:val="00261DB2"/>
    <w:rsid w:val="00261EE6"/>
    <w:rsid w:val="00261F1F"/>
    <w:rsid w:val="002620C7"/>
    <w:rsid w:val="002620D8"/>
    <w:rsid w:val="00262191"/>
    <w:rsid w:val="002622A3"/>
    <w:rsid w:val="002622D0"/>
    <w:rsid w:val="00262323"/>
    <w:rsid w:val="0026237E"/>
    <w:rsid w:val="00262398"/>
    <w:rsid w:val="002623A9"/>
    <w:rsid w:val="00262465"/>
    <w:rsid w:val="002624D7"/>
    <w:rsid w:val="00262539"/>
    <w:rsid w:val="002625D4"/>
    <w:rsid w:val="0026261E"/>
    <w:rsid w:val="0026264F"/>
    <w:rsid w:val="00262667"/>
    <w:rsid w:val="00262888"/>
    <w:rsid w:val="00262933"/>
    <w:rsid w:val="00262978"/>
    <w:rsid w:val="0026298D"/>
    <w:rsid w:val="00262A06"/>
    <w:rsid w:val="00262AE7"/>
    <w:rsid w:val="00262AE8"/>
    <w:rsid w:val="00262B48"/>
    <w:rsid w:val="00262B49"/>
    <w:rsid w:val="00262C10"/>
    <w:rsid w:val="00262C77"/>
    <w:rsid w:val="00262D3E"/>
    <w:rsid w:val="00262E8C"/>
    <w:rsid w:val="00262F28"/>
    <w:rsid w:val="00262F55"/>
    <w:rsid w:val="0026305D"/>
    <w:rsid w:val="0026308E"/>
    <w:rsid w:val="002630AD"/>
    <w:rsid w:val="002630E6"/>
    <w:rsid w:val="0026338E"/>
    <w:rsid w:val="002633BC"/>
    <w:rsid w:val="0026347E"/>
    <w:rsid w:val="00263557"/>
    <w:rsid w:val="00263679"/>
    <w:rsid w:val="00263820"/>
    <w:rsid w:val="0026383B"/>
    <w:rsid w:val="002638C6"/>
    <w:rsid w:val="00263925"/>
    <w:rsid w:val="0026398B"/>
    <w:rsid w:val="00263B8A"/>
    <w:rsid w:val="00263BAB"/>
    <w:rsid w:val="00263E12"/>
    <w:rsid w:val="00263EB7"/>
    <w:rsid w:val="002640C3"/>
    <w:rsid w:val="0026411A"/>
    <w:rsid w:val="00264184"/>
    <w:rsid w:val="00264190"/>
    <w:rsid w:val="002641B0"/>
    <w:rsid w:val="00264213"/>
    <w:rsid w:val="00264261"/>
    <w:rsid w:val="00264459"/>
    <w:rsid w:val="002644EA"/>
    <w:rsid w:val="00264526"/>
    <w:rsid w:val="00264581"/>
    <w:rsid w:val="00264587"/>
    <w:rsid w:val="002645BE"/>
    <w:rsid w:val="00264604"/>
    <w:rsid w:val="0026466C"/>
    <w:rsid w:val="002646DB"/>
    <w:rsid w:val="002646FA"/>
    <w:rsid w:val="002648F3"/>
    <w:rsid w:val="00264900"/>
    <w:rsid w:val="00264922"/>
    <w:rsid w:val="00264A5D"/>
    <w:rsid w:val="00264ACF"/>
    <w:rsid w:val="00264B6B"/>
    <w:rsid w:val="00264C53"/>
    <w:rsid w:val="00264CB1"/>
    <w:rsid w:val="00264CB8"/>
    <w:rsid w:val="00264DAC"/>
    <w:rsid w:val="00264DE9"/>
    <w:rsid w:val="00264E41"/>
    <w:rsid w:val="00264E68"/>
    <w:rsid w:val="00264ED3"/>
    <w:rsid w:val="00264F99"/>
    <w:rsid w:val="00264FB4"/>
    <w:rsid w:val="0026501C"/>
    <w:rsid w:val="00265023"/>
    <w:rsid w:val="00265087"/>
    <w:rsid w:val="002650DE"/>
    <w:rsid w:val="002651CA"/>
    <w:rsid w:val="0026520C"/>
    <w:rsid w:val="002652D6"/>
    <w:rsid w:val="00265302"/>
    <w:rsid w:val="002654EA"/>
    <w:rsid w:val="0026553C"/>
    <w:rsid w:val="002655CA"/>
    <w:rsid w:val="002655E0"/>
    <w:rsid w:val="00265632"/>
    <w:rsid w:val="0026566C"/>
    <w:rsid w:val="002656CD"/>
    <w:rsid w:val="002657A3"/>
    <w:rsid w:val="002658FE"/>
    <w:rsid w:val="00265929"/>
    <w:rsid w:val="00265982"/>
    <w:rsid w:val="002659CB"/>
    <w:rsid w:val="00265AA0"/>
    <w:rsid w:val="00265B32"/>
    <w:rsid w:val="00265C5F"/>
    <w:rsid w:val="00265C8C"/>
    <w:rsid w:val="00265CD2"/>
    <w:rsid w:val="00265D20"/>
    <w:rsid w:val="00265D48"/>
    <w:rsid w:val="00265E13"/>
    <w:rsid w:val="00265F17"/>
    <w:rsid w:val="00265F4C"/>
    <w:rsid w:val="00265F99"/>
    <w:rsid w:val="00265FB9"/>
    <w:rsid w:val="00266026"/>
    <w:rsid w:val="002660E7"/>
    <w:rsid w:val="00266198"/>
    <w:rsid w:val="002661AE"/>
    <w:rsid w:val="002661D0"/>
    <w:rsid w:val="002662A8"/>
    <w:rsid w:val="002662D1"/>
    <w:rsid w:val="002662F7"/>
    <w:rsid w:val="00266363"/>
    <w:rsid w:val="002664B3"/>
    <w:rsid w:val="0026662E"/>
    <w:rsid w:val="002666DA"/>
    <w:rsid w:val="002666E8"/>
    <w:rsid w:val="0026673D"/>
    <w:rsid w:val="00266923"/>
    <w:rsid w:val="00266AA6"/>
    <w:rsid w:val="00266BC7"/>
    <w:rsid w:val="00266BDA"/>
    <w:rsid w:val="00266C3E"/>
    <w:rsid w:val="00266C4C"/>
    <w:rsid w:val="00266CA9"/>
    <w:rsid w:val="00266CC8"/>
    <w:rsid w:val="00266D3B"/>
    <w:rsid w:val="00266D6E"/>
    <w:rsid w:val="00266E17"/>
    <w:rsid w:val="00266EDA"/>
    <w:rsid w:val="00266EE0"/>
    <w:rsid w:val="00266F87"/>
    <w:rsid w:val="00266FE7"/>
    <w:rsid w:val="00267049"/>
    <w:rsid w:val="00267070"/>
    <w:rsid w:val="002670EB"/>
    <w:rsid w:val="0026719E"/>
    <w:rsid w:val="00267200"/>
    <w:rsid w:val="00267227"/>
    <w:rsid w:val="00267247"/>
    <w:rsid w:val="00267342"/>
    <w:rsid w:val="0026741E"/>
    <w:rsid w:val="0026742E"/>
    <w:rsid w:val="002674CA"/>
    <w:rsid w:val="0026750C"/>
    <w:rsid w:val="00267559"/>
    <w:rsid w:val="00267576"/>
    <w:rsid w:val="00267594"/>
    <w:rsid w:val="0026768B"/>
    <w:rsid w:val="002676FC"/>
    <w:rsid w:val="0026788E"/>
    <w:rsid w:val="0026789E"/>
    <w:rsid w:val="00267939"/>
    <w:rsid w:val="00267969"/>
    <w:rsid w:val="00267A4D"/>
    <w:rsid w:val="00267A4F"/>
    <w:rsid w:val="00267AF4"/>
    <w:rsid w:val="00267B43"/>
    <w:rsid w:val="00267C40"/>
    <w:rsid w:val="00267C4A"/>
    <w:rsid w:val="00267C65"/>
    <w:rsid w:val="00267CE8"/>
    <w:rsid w:val="00267CEA"/>
    <w:rsid w:val="00267D20"/>
    <w:rsid w:val="00267D2A"/>
    <w:rsid w:val="00267F01"/>
    <w:rsid w:val="00267F12"/>
    <w:rsid w:val="00267F34"/>
    <w:rsid w:val="00267F70"/>
    <w:rsid w:val="00267FA6"/>
    <w:rsid w:val="0027004D"/>
    <w:rsid w:val="00270110"/>
    <w:rsid w:val="00270209"/>
    <w:rsid w:val="002702FA"/>
    <w:rsid w:val="00270310"/>
    <w:rsid w:val="0027034B"/>
    <w:rsid w:val="002703C9"/>
    <w:rsid w:val="00270457"/>
    <w:rsid w:val="00270464"/>
    <w:rsid w:val="002704D2"/>
    <w:rsid w:val="002705F1"/>
    <w:rsid w:val="00270660"/>
    <w:rsid w:val="00270661"/>
    <w:rsid w:val="002707B0"/>
    <w:rsid w:val="0027082A"/>
    <w:rsid w:val="002709B9"/>
    <w:rsid w:val="002709C0"/>
    <w:rsid w:val="00270AC2"/>
    <w:rsid w:val="00270AED"/>
    <w:rsid w:val="00270B8B"/>
    <w:rsid w:val="00270BAE"/>
    <w:rsid w:val="00270BB4"/>
    <w:rsid w:val="00270BD6"/>
    <w:rsid w:val="00270C46"/>
    <w:rsid w:val="00270CEC"/>
    <w:rsid w:val="00270D09"/>
    <w:rsid w:val="00270D24"/>
    <w:rsid w:val="00270D2F"/>
    <w:rsid w:val="00270D77"/>
    <w:rsid w:val="00270D97"/>
    <w:rsid w:val="00270E72"/>
    <w:rsid w:val="00270F26"/>
    <w:rsid w:val="00270FB5"/>
    <w:rsid w:val="00271032"/>
    <w:rsid w:val="00271089"/>
    <w:rsid w:val="0027109A"/>
    <w:rsid w:val="0027109D"/>
    <w:rsid w:val="002710AB"/>
    <w:rsid w:val="002711D5"/>
    <w:rsid w:val="002712FF"/>
    <w:rsid w:val="0027132D"/>
    <w:rsid w:val="00271394"/>
    <w:rsid w:val="002713E6"/>
    <w:rsid w:val="0027156A"/>
    <w:rsid w:val="002715D1"/>
    <w:rsid w:val="002715E3"/>
    <w:rsid w:val="002715EE"/>
    <w:rsid w:val="002715F8"/>
    <w:rsid w:val="00271671"/>
    <w:rsid w:val="00271690"/>
    <w:rsid w:val="002716DE"/>
    <w:rsid w:val="00271749"/>
    <w:rsid w:val="00271757"/>
    <w:rsid w:val="002717C7"/>
    <w:rsid w:val="002717F6"/>
    <w:rsid w:val="002718BA"/>
    <w:rsid w:val="00271915"/>
    <w:rsid w:val="0027192C"/>
    <w:rsid w:val="002719F1"/>
    <w:rsid w:val="00271A86"/>
    <w:rsid w:val="00271C40"/>
    <w:rsid w:val="00271CA5"/>
    <w:rsid w:val="00271D15"/>
    <w:rsid w:val="00271DA1"/>
    <w:rsid w:val="00271DB8"/>
    <w:rsid w:val="00271E1B"/>
    <w:rsid w:val="00271E98"/>
    <w:rsid w:val="00271F9B"/>
    <w:rsid w:val="00271FC7"/>
    <w:rsid w:val="00272017"/>
    <w:rsid w:val="0027211E"/>
    <w:rsid w:val="00272141"/>
    <w:rsid w:val="002721F6"/>
    <w:rsid w:val="00272289"/>
    <w:rsid w:val="0027233D"/>
    <w:rsid w:val="00272396"/>
    <w:rsid w:val="0027240C"/>
    <w:rsid w:val="00272444"/>
    <w:rsid w:val="002724B6"/>
    <w:rsid w:val="002724DC"/>
    <w:rsid w:val="002724FC"/>
    <w:rsid w:val="00272542"/>
    <w:rsid w:val="00272551"/>
    <w:rsid w:val="0027257E"/>
    <w:rsid w:val="00272836"/>
    <w:rsid w:val="0027292A"/>
    <w:rsid w:val="00272A64"/>
    <w:rsid w:val="00272A93"/>
    <w:rsid w:val="00272B4A"/>
    <w:rsid w:val="00272C98"/>
    <w:rsid w:val="00272CE4"/>
    <w:rsid w:val="00272D05"/>
    <w:rsid w:val="00272FA2"/>
    <w:rsid w:val="00272FA4"/>
    <w:rsid w:val="00272FB4"/>
    <w:rsid w:val="0027307D"/>
    <w:rsid w:val="0027310A"/>
    <w:rsid w:val="00273118"/>
    <w:rsid w:val="0027339C"/>
    <w:rsid w:val="002733A3"/>
    <w:rsid w:val="00273417"/>
    <w:rsid w:val="0027341D"/>
    <w:rsid w:val="002734F1"/>
    <w:rsid w:val="002734FE"/>
    <w:rsid w:val="00273515"/>
    <w:rsid w:val="0027363C"/>
    <w:rsid w:val="002736A2"/>
    <w:rsid w:val="002736A8"/>
    <w:rsid w:val="002736F2"/>
    <w:rsid w:val="0027372F"/>
    <w:rsid w:val="00273800"/>
    <w:rsid w:val="00273802"/>
    <w:rsid w:val="00273848"/>
    <w:rsid w:val="002738B0"/>
    <w:rsid w:val="002738F0"/>
    <w:rsid w:val="002739DC"/>
    <w:rsid w:val="00273A22"/>
    <w:rsid w:val="00273AA6"/>
    <w:rsid w:val="00273B68"/>
    <w:rsid w:val="00273B90"/>
    <w:rsid w:val="00273D9D"/>
    <w:rsid w:val="00273DA0"/>
    <w:rsid w:val="00273DF8"/>
    <w:rsid w:val="00273E5F"/>
    <w:rsid w:val="00273E81"/>
    <w:rsid w:val="00273ED1"/>
    <w:rsid w:val="00273FB1"/>
    <w:rsid w:val="002740F2"/>
    <w:rsid w:val="00274135"/>
    <w:rsid w:val="002741EC"/>
    <w:rsid w:val="00274236"/>
    <w:rsid w:val="00274316"/>
    <w:rsid w:val="002743F7"/>
    <w:rsid w:val="0027442D"/>
    <w:rsid w:val="00274560"/>
    <w:rsid w:val="00274592"/>
    <w:rsid w:val="00274595"/>
    <w:rsid w:val="002745CC"/>
    <w:rsid w:val="002745DF"/>
    <w:rsid w:val="00274657"/>
    <w:rsid w:val="0027467E"/>
    <w:rsid w:val="00274747"/>
    <w:rsid w:val="002747AD"/>
    <w:rsid w:val="002747DF"/>
    <w:rsid w:val="002747EE"/>
    <w:rsid w:val="00274804"/>
    <w:rsid w:val="0027482E"/>
    <w:rsid w:val="00274872"/>
    <w:rsid w:val="002748B4"/>
    <w:rsid w:val="0027495A"/>
    <w:rsid w:val="00274B2F"/>
    <w:rsid w:val="00274BD3"/>
    <w:rsid w:val="00274CED"/>
    <w:rsid w:val="00274D46"/>
    <w:rsid w:val="00274D7E"/>
    <w:rsid w:val="00274DCA"/>
    <w:rsid w:val="00274EFB"/>
    <w:rsid w:val="002750A1"/>
    <w:rsid w:val="00275200"/>
    <w:rsid w:val="00275237"/>
    <w:rsid w:val="00275247"/>
    <w:rsid w:val="00275290"/>
    <w:rsid w:val="00275331"/>
    <w:rsid w:val="00275337"/>
    <w:rsid w:val="002753DF"/>
    <w:rsid w:val="002753E1"/>
    <w:rsid w:val="00275446"/>
    <w:rsid w:val="0027549A"/>
    <w:rsid w:val="002754FB"/>
    <w:rsid w:val="00275529"/>
    <w:rsid w:val="0027556B"/>
    <w:rsid w:val="0027559E"/>
    <w:rsid w:val="0027567B"/>
    <w:rsid w:val="002758FA"/>
    <w:rsid w:val="00275945"/>
    <w:rsid w:val="00275979"/>
    <w:rsid w:val="002759E1"/>
    <w:rsid w:val="00275A6F"/>
    <w:rsid w:val="00275B0F"/>
    <w:rsid w:val="00275B4B"/>
    <w:rsid w:val="00275C6D"/>
    <w:rsid w:val="00275CC4"/>
    <w:rsid w:val="00275CF0"/>
    <w:rsid w:val="00275D34"/>
    <w:rsid w:val="00275D69"/>
    <w:rsid w:val="00275DA2"/>
    <w:rsid w:val="00275E90"/>
    <w:rsid w:val="00275FAE"/>
    <w:rsid w:val="00275FCD"/>
    <w:rsid w:val="00276007"/>
    <w:rsid w:val="00276060"/>
    <w:rsid w:val="0027607A"/>
    <w:rsid w:val="002760B1"/>
    <w:rsid w:val="00276136"/>
    <w:rsid w:val="00276290"/>
    <w:rsid w:val="002762CD"/>
    <w:rsid w:val="002762D3"/>
    <w:rsid w:val="002762E7"/>
    <w:rsid w:val="00276347"/>
    <w:rsid w:val="002763AC"/>
    <w:rsid w:val="002764BA"/>
    <w:rsid w:val="00276568"/>
    <w:rsid w:val="002765D6"/>
    <w:rsid w:val="00276692"/>
    <w:rsid w:val="00276699"/>
    <w:rsid w:val="00276730"/>
    <w:rsid w:val="00276767"/>
    <w:rsid w:val="00276774"/>
    <w:rsid w:val="0027677A"/>
    <w:rsid w:val="00276797"/>
    <w:rsid w:val="00276816"/>
    <w:rsid w:val="00276846"/>
    <w:rsid w:val="002768FC"/>
    <w:rsid w:val="002769B5"/>
    <w:rsid w:val="002769D8"/>
    <w:rsid w:val="002769E5"/>
    <w:rsid w:val="00276ACF"/>
    <w:rsid w:val="00276AEE"/>
    <w:rsid w:val="00276C2A"/>
    <w:rsid w:val="00276C9B"/>
    <w:rsid w:val="00276CE8"/>
    <w:rsid w:val="00276CF8"/>
    <w:rsid w:val="00276DC5"/>
    <w:rsid w:val="00276E6E"/>
    <w:rsid w:val="00276E86"/>
    <w:rsid w:val="00276EBA"/>
    <w:rsid w:val="00276F98"/>
    <w:rsid w:val="002770A8"/>
    <w:rsid w:val="002770B5"/>
    <w:rsid w:val="002770EF"/>
    <w:rsid w:val="00277145"/>
    <w:rsid w:val="002771B7"/>
    <w:rsid w:val="0027725F"/>
    <w:rsid w:val="00277285"/>
    <w:rsid w:val="002772F0"/>
    <w:rsid w:val="002772F2"/>
    <w:rsid w:val="00277330"/>
    <w:rsid w:val="002773BE"/>
    <w:rsid w:val="002774A4"/>
    <w:rsid w:val="002774A7"/>
    <w:rsid w:val="002774B9"/>
    <w:rsid w:val="002774F8"/>
    <w:rsid w:val="002775B2"/>
    <w:rsid w:val="00277604"/>
    <w:rsid w:val="0027764F"/>
    <w:rsid w:val="00277663"/>
    <w:rsid w:val="0027767F"/>
    <w:rsid w:val="002776EB"/>
    <w:rsid w:val="00277879"/>
    <w:rsid w:val="0027796A"/>
    <w:rsid w:val="0027797A"/>
    <w:rsid w:val="00277996"/>
    <w:rsid w:val="00277A70"/>
    <w:rsid w:val="00277B0D"/>
    <w:rsid w:val="00277B94"/>
    <w:rsid w:val="00277CE1"/>
    <w:rsid w:val="00277D39"/>
    <w:rsid w:val="00277DC6"/>
    <w:rsid w:val="00277E0F"/>
    <w:rsid w:val="00277E4A"/>
    <w:rsid w:val="00277EE5"/>
    <w:rsid w:val="00277F3E"/>
    <w:rsid w:val="002801A3"/>
    <w:rsid w:val="002801C2"/>
    <w:rsid w:val="002801E7"/>
    <w:rsid w:val="00280298"/>
    <w:rsid w:val="002802EC"/>
    <w:rsid w:val="002802FA"/>
    <w:rsid w:val="00280304"/>
    <w:rsid w:val="00280344"/>
    <w:rsid w:val="002803DD"/>
    <w:rsid w:val="00280454"/>
    <w:rsid w:val="00280497"/>
    <w:rsid w:val="002805AF"/>
    <w:rsid w:val="002805F0"/>
    <w:rsid w:val="0028061F"/>
    <w:rsid w:val="00280658"/>
    <w:rsid w:val="0028072B"/>
    <w:rsid w:val="002807A9"/>
    <w:rsid w:val="002807B2"/>
    <w:rsid w:val="0028099A"/>
    <w:rsid w:val="002809FA"/>
    <w:rsid w:val="00280A30"/>
    <w:rsid w:val="00280A5A"/>
    <w:rsid w:val="00280AEB"/>
    <w:rsid w:val="00280CED"/>
    <w:rsid w:val="00280D82"/>
    <w:rsid w:val="00280E11"/>
    <w:rsid w:val="00280E58"/>
    <w:rsid w:val="00280EF0"/>
    <w:rsid w:val="00281008"/>
    <w:rsid w:val="00281011"/>
    <w:rsid w:val="00281103"/>
    <w:rsid w:val="00281143"/>
    <w:rsid w:val="00281157"/>
    <w:rsid w:val="002811F0"/>
    <w:rsid w:val="0028125A"/>
    <w:rsid w:val="0028125C"/>
    <w:rsid w:val="00281433"/>
    <w:rsid w:val="00281455"/>
    <w:rsid w:val="002814B8"/>
    <w:rsid w:val="0028157C"/>
    <w:rsid w:val="00281645"/>
    <w:rsid w:val="0028164E"/>
    <w:rsid w:val="00281674"/>
    <w:rsid w:val="0028169B"/>
    <w:rsid w:val="00281716"/>
    <w:rsid w:val="0028191E"/>
    <w:rsid w:val="00281AC4"/>
    <w:rsid w:val="00281ADB"/>
    <w:rsid w:val="00281BBA"/>
    <w:rsid w:val="00281BD9"/>
    <w:rsid w:val="00281C12"/>
    <w:rsid w:val="00281C9E"/>
    <w:rsid w:val="00281CF6"/>
    <w:rsid w:val="00281D2D"/>
    <w:rsid w:val="00281D32"/>
    <w:rsid w:val="00281DE7"/>
    <w:rsid w:val="00281E36"/>
    <w:rsid w:val="00281EB6"/>
    <w:rsid w:val="00281F2F"/>
    <w:rsid w:val="00281F57"/>
    <w:rsid w:val="00281FC0"/>
    <w:rsid w:val="0028201C"/>
    <w:rsid w:val="00282080"/>
    <w:rsid w:val="00282091"/>
    <w:rsid w:val="002820A0"/>
    <w:rsid w:val="002820D5"/>
    <w:rsid w:val="0028212E"/>
    <w:rsid w:val="0028221A"/>
    <w:rsid w:val="002822C7"/>
    <w:rsid w:val="002822E4"/>
    <w:rsid w:val="00282356"/>
    <w:rsid w:val="0028237B"/>
    <w:rsid w:val="002823FE"/>
    <w:rsid w:val="00282403"/>
    <w:rsid w:val="0028245A"/>
    <w:rsid w:val="002824AF"/>
    <w:rsid w:val="002824FF"/>
    <w:rsid w:val="00282515"/>
    <w:rsid w:val="0028252B"/>
    <w:rsid w:val="00282539"/>
    <w:rsid w:val="002825AD"/>
    <w:rsid w:val="002826FC"/>
    <w:rsid w:val="0028278E"/>
    <w:rsid w:val="002827D9"/>
    <w:rsid w:val="002827EB"/>
    <w:rsid w:val="0028281E"/>
    <w:rsid w:val="00282895"/>
    <w:rsid w:val="002828D6"/>
    <w:rsid w:val="00282967"/>
    <w:rsid w:val="00282974"/>
    <w:rsid w:val="002829B4"/>
    <w:rsid w:val="00282A38"/>
    <w:rsid w:val="00282A73"/>
    <w:rsid w:val="00282A83"/>
    <w:rsid w:val="00282AA9"/>
    <w:rsid w:val="00282AC3"/>
    <w:rsid w:val="00282B5F"/>
    <w:rsid w:val="00282C1D"/>
    <w:rsid w:val="00282D04"/>
    <w:rsid w:val="00282DCF"/>
    <w:rsid w:val="00282E29"/>
    <w:rsid w:val="00282F63"/>
    <w:rsid w:val="00282F8B"/>
    <w:rsid w:val="0028304A"/>
    <w:rsid w:val="00283143"/>
    <w:rsid w:val="002831EF"/>
    <w:rsid w:val="00283296"/>
    <w:rsid w:val="0028335D"/>
    <w:rsid w:val="00283462"/>
    <w:rsid w:val="002835D0"/>
    <w:rsid w:val="00283660"/>
    <w:rsid w:val="00283683"/>
    <w:rsid w:val="002836A2"/>
    <w:rsid w:val="002836AA"/>
    <w:rsid w:val="002836CF"/>
    <w:rsid w:val="002836E5"/>
    <w:rsid w:val="00283756"/>
    <w:rsid w:val="0028375C"/>
    <w:rsid w:val="00283798"/>
    <w:rsid w:val="002837A6"/>
    <w:rsid w:val="002837E7"/>
    <w:rsid w:val="0028384D"/>
    <w:rsid w:val="00283865"/>
    <w:rsid w:val="00283878"/>
    <w:rsid w:val="00283AFB"/>
    <w:rsid w:val="00283B88"/>
    <w:rsid w:val="00283C2F"/>
    <w:rsid w:val="00283C89"/>
    <w:rsid w:val="00283DC1"/>
    <w:rsid w:val="00283F73"/>
    <w:rsid w:val="00283FFE"/>
    <w:rsid w:val="0028414E"/>
    <w:rsid w:val="002841C0"/>
    <w:rsid w:val="002841FF"/>
    <w:rsid w:val="0028421B"/>
    <w:rsid w:val="002842E5"/>
    <w:rsid w:val="002843ED"/>
    <w:rsid w:val="002843EE"/>
    <w:rsid w:val="00284426"/>
    <w:rsid w:val="00284445"/>
    <w:rsid w:val="0028451F"/>
    <w:rsid w:val="002845B9"/>
    <w:rsid w:val="0028464A"/>
    <w:rsid w:val="002846D3"/>
    <w:rsid w:val="00284823"/>
    <w:rsid w:val="00284866"/>
    <w:rsid w:val="0028487F"/>
    <w:rsid w:val="002848A1"/>
    <w:rsid w:val="002848BD"/>
    <w:rsid w:val="002848C1"/>
    <w:rsid w:val="002848F3"/>
    <w:rsid w:val="00284939"/>
    <w:rsid w:val="002849DE"/>
    <w:rsid w:val="00284B17"/>
    <w:rsid w:val="00284B63"/>
    <w:rsid w:val="00284BC8"/>
    <w:rsid w:val="00284C9C"/>
    <w:rsid w:val="00284DFF"/>
    <w:rsid w:val="00284E33"/>
    <w:rsid w:val="00284F8E"/>
    <w:rsid w:val="00285094"/>
    <w:rsid w:val="0028518D"/>
    <w:rsid w:val="00285220"/>
    <w:rsid w:val="0028530D"/>
    <w:rsid w:val="0028533A"/>
    <w:rsid w:val="00285392"/>
    <w:rsid w:val="0028541C"/>
    <w:rsid w:val="002854C4"/>
    <w:rsid w:val="00285508"/>
    <w:rsid w:val="00285671"/>
    <w:rsid w:val="002856C3"/>
    <w:rsid w:val="00285700"/>
    <w:rsid w:val="002857ED"/>
    <w:rsid w:val="002858BC"/>
    <w:rsid w:val="002858FC"/>
    <w:rsid w:val="0028591C"/>
    <w:rsid w:val="0028594C"/>
    <w:rsid w:val="00285984"/>
    <w:rsid w:val="002859E9"/>
    <w:rsid w:val="00285A52"/>
    <w:rsid w:val="00285BAB"/>
    <w:rsid w:val="00285BE1"/>
    <w:rsid w:val="00285C93"/>
    <w:rsid w:val="00285CD1"/>
    <w:rsid w:val="00285ED1"/>
    <w:rsid w:val="00285EE3"/>
    <w:rsid w:val="00285F28"/>
    <w:rsid w:val="00285F2B"/>
    <w:rsid w:val="00285F3C"/>
    <w:rsid w:val="00286033"/>
    <w:rsid w:val="00286196"/>
    <w:rsid w:val="0028621C"/>
    <w:rsid w:val="002862EB"/>
    <w:rsid w:val="0028630C"/>
    <w:rsid w:val="002863CE"/>
    <w:rsid w:val="002863EA"/>
    <w:rsid w:val="00286401"/>
    <w:rsid w:val="00286455"/>
    <w:rsid w:val="00286499"/>
    <w:rsid w:val="0028654A"/>
    <w:rsid w:val="002865F1"/>
    <w:rsid w:val="002865F3"/>
    <w:rsid w:val="00286615"/>
    <w:rsid w:val="00286650"/>
    <w:rsid w:val="0028677B"/>
    <w:rsid w:val="002867DE"/>
    <w:rsid w:val="0028689F"/>
    <w:rsid w:val="002868FF"/>
    <w:rsid w:val="0028695C"/>
    <w:rsid w:val="002869E1"/>
    <w:rsid w:val="002869EA"/>
    <w:rsid w:val="00286A4E"/>
    <w:rsid w:val="00286A78"/>
    <w:rsid w:val="00286BF2"/>
    <w:rsid w:val="00286CB9"/>
    <w:rsid w:val="00286CEC"/>
    <w:rsid w:val="0028713A"/>
    <w:rsid w:val="00287278"/>
    <w:rsid w:val="002872D9"/>
    <w:rsid w:val="00287328"/>
    <w:rsid w:val="002873E7"/>
    <w:rsid w:val="00287422"/>
    <w:rsid w:val="00287454"/>
    <w:rsid w:val="00287537"/>
    <w:rsid w:val="00287574"/>
    <w:rsid w:val="002875CC"/>
    <w:rsid w:val="0028760E"/>
    <w:rsid w:val="00287654"/>
    <w:rsid w:val="0028766D"/>
    <w:rsid w:val="002876BC"/>
    <w:rsid w:val="0028773E"/>
    <w:rsid w:val="00287800"/>
    <w:rsid w:val="002878BD"/>
    <w:rsid w:val="002878F8"/>
    <w:rsid w:val="002879E2"/>
    <w:rsid w:val="00287A60"/>
    <w:rsid w:val="00287AC4"/>
    <w:rsid w:val="00287ACE"/>
    <w:rsid w:val="00287AEA"/>
    <w:rsid w:val="00287B61"/>
    <w:rsid w:val="00287B9B"/>
    <w:rsid w:val="00287BA1"/>
    <w:rsid w:val="00287BB2"/>
    <w:rsid w:val="00287BCF"/>
    <w:rsid w:val="00287DB1"/>
    <w:rsid w:val="00287E52"/>
    <w:rsid w:val="00287E7A"/>
    <w:rsid w:val="00287ED2"/>
    <w:rsid w:val="00287F2C"/>
    <w:rsid w:val="00290070"/>
    <w:rsid w:val="002900EC"/>
    <w:rsid w:val="0029019F"/>
    <w:rsid w:val="00290258"/>
    <w:rsid w:val="0029025D"/>
    <w:rsid w:val="002902D0"/>
    <w:rsid w:val="00290340"/>
    <w:rsid w:val="00290398"/>
    <w:rsid w:val="0029046E"/>
    <w:rsid w:val="002904D5"/>
    <w:rsid w:val="002905E3"/>
    <w:rsid w:val="002906B9"/>
    <w:rsid w:val="002906D9"/>
    <w:rsid w:val="002907DF"/>
    <w:rsid w:val="0029091F"/>
    <w:rsid w:val="0029095D"/>
    <w:rsid w:val="00290A00"/>
    <w:rsid w:val="00290AA2"/>
    <w:rsid w:val="00290ADE"/>
    <w:rsid w:val="00290B07"/>
    <w:rsid w:val="00290B16"/>
    <w:rsid w:val="00290B33"/>
    <w:rsid w:val="00290B56"/>
    <w:rsid w:val="00290C45"/>
    <w:rsid w:val="00290E4B"/>
    <w:rsid w:val="00290F9A"/>
    <w:rsid w:val="00291013"/>
    <w:rsid w:val="00291078"/>
    <w:rsid w:val="002910A0"/>
    <w:rsid w:val="002910AB"/>
    <w:rsid w:val="00291127"/>
    <w:rsid w:val="0029114C"/>
    <w:rsid w:val="002911C0"/>
    <w:rsid w:val="00291284"/>
    <w:rsid w:val="0029133F"/>
    <w:rsid w:val="0029135B"/>
    <w:rsid w:val="002913BF"/>
    <w:rsid w:val="0029140E"/>
    <w:rsid w:val="002914C9"/>
    <w:rsid w:val="00291516"/>
    <w:rsid w:val="00291643"/>
    <w:rsid w:val="002916C2"/>
    <w:rsid w:val="00291711"/>
    <w:rsid w:val="00291714"/>
    <w:rsid w:val="002917A5"/>
    <w:rsid w:val="002918C2"/>
    <w:rsid w:val="002919D4"/>
    <w:rsid w:val="00291A90"/>
    <w:rsid w:val="00291AD1"/>
    <w:rsid w:val="00291B77"/>
    <w:rsid w:val="00291BC5"/>
    <w:rsid w:val="00291BD5"/>
    <w:rsid w:val="00291BDB"/>
    <w:rsid w:val="00291BF8"/>
    <w:rsid w:val="00291BFB"/>
    <w:rsid w:val="00291C74"/>
    <w:rsid w:val="00291C8B"/>
    <w:rsid w:val="00291C9A"/>
    <w:rsid w:val="00291CAD"/>
    <w:rsid w:val="00291DB5"/>
    <w:rsid w:val="00291DE6"/>
    <w:rsid w:val="00291DFA"/>
    <w:rsid w:val="00291F15"/>
    <w:rsid w:val="00291FAA"/>
    <w:rsid w:val="00292051"/>
    <w:rsid w:val="0029212C"/>
    <w:rsid w:val="0029214E"/>
    <w:rsid w:val="002921DD"/>
    <w:rsid w:val="00292225"/>
    <w:rsid w:val="00292240"/>
    <w:rsid w:val="00292273"/>
    <w:rsid w:val="0029238E"/>
    <w:rsid w:val="002923B0"/>
    <w:rsid w:val="002923DD"/>
    <w:rsid w:val="002923DF"/>
    <w:rsid w:val="002923F4"/>
    <w:rsid w:val="002924CE"/>
    <w:rsid w:val="002924F1"/>
    <w:rsid w:val="00292502"/>
    <w:rsid w:val="0029261C"/>
    <w:rsid w:val="00292651"/>
    <w:rsid w:val="0029274C"/>
    <w:rsid w:val="0029276B"/>
    <w:rsid w:val="002927F7"/>
    <w:rsid w:val="00292849"/>
    <w:rsid w:val="0029288F"/>
    <w:rsid w:val="002928EE"/>
    <w:rsid w:val="002929B0"/>
    <w:rsid w:val="00292A00"/>
    <w:rsid w:val="00292A3E"/>
    <w:rsid w:val="00292A7E"/>
    <w:rsid w:val="00292B16"/>
    <w:rsid w:val="00292B53"/>
    <w:rsid w:val="00292B8F"/>
    <w:rsid w:val="00292BEC"/>
    <w:rsid w:val="00292C12"/>
    <w:rsid w:val="00292F0D"/>
    <w:rsid w:val="00292F1A"/>
    <w:rsid w:val="00292FC9"/>
    <w:rsid w:val="00292FCD"/>
    <w:rsid w:val="0029307B"/>
    <w:rsid w:val="0029307E"/>
    <w:rsid w:val="002930FE"/>
    <w:rsid w:val="0029330A"/>
    <w:rsid w:val="002933A6"/>
    <w:rsid w:val="002934F5"/>
    <w:rsid w:val="002935E1"/>
    <w:rsid w:val="00293703"/>
    <w:rsid w:val="0029386A"/>
    <w:rsid w:val="0029386B"/>
    <w:rsid w:val="002938AD"/>
    <w:rsid w:val="002938D4"/>
    <w:rsid w:val="00293907"/>
    <w:rsid w:val="00293959"/>
    <w:rsid w:val="00293B3B"/>
    <w:rsid w:val="00293B55"/>
    <w:rsid w:val="00293C6A"/>
    <w:rsid w:val="00293C8D"/>
    <w:rsid w:val="00293DDF"/>
    <w:rsid w:val="00293E59"/>
    <w:rsid w:val="00293ECC"/>
    <w:rsid w:val="00293F32"/>
    <w:rsid w:val="00293FC2"/>
    <w:rsid w:val="00293FDB"/>
    <w:rsid w:val="00294087"/>
    <w:rsid w:val="00294161"/>
    <w:rsid w:val="002941C2"/>
    <w:rsid w:val="00294236"/>
    <w:rsid w:val="00294240"/>
    <w:rsid w:val="00294271"/>
    <w:rsid w:val="00294623"/>
    <w:rsid w:val="002946A1"/>
    <w:rsid w:val="00294703"/>
    <w:rsid w:val="00294761"/>
    <w:rsid w:val="00294775"/>
    <w:rsid w:val="0029481B"/>
    <w:rsid w:val="00294831"/>
    <w:rsid w:val="002949B0"/>
    <w:rsid w:val="002949E9"/>
    <w:rsid w:val="00294B3B"/>
    <w:rsid w:val="00294C6E"/>
    <w:rsid w:val="00294E92"/>
    <w:rsid w:val="00294F56"/>
    <w:rsid w:val="00294FB3"/>
    <w:rsid w:val="00295029"/>
    <w:rsid w:val="00295106"/>
    <w:rsid w:val="00295175"/>
    <w:rsid w:val="002952B8"/>
    <w:rsid w:val="002952C8"/>
    <w:rsid w:val="00295383"/>
    <w:rsid w:val="00295391"/>
    <w:rsid w:val="002953BF"/>
    <w:rsid w:val="002953D5"/>
    <w:rsid w:val="0029544D"/>
    <w:rsid w:val="0029553F"/>
    <w:rsid w:val="002955C5"/>
    <w:rsid w:val="002955F8"/>
    <w:rsid w:val="002956D6"/>
    <w:rsid w:val="00295701"/>
    <w:rsid w:val="00295752"/>
    <w:rsid w:val="002957B1"/>
    <w:rsid w:val="00295884"/>
    <w:rsid w:val="00295886"/>
    <w:rsid w:val="002958D0"/>
    <w:rsid w:val="00295944"/>
    <w:rsid w:val="00295985"/>
    <w:rsid w:val="00295A2E"/>
    <w:rsid w:val="00295A74"/>
    <w:rsid w:val="00295B0C"/>
    <w:rsid w:val="00295B98"/>
    <w:rsid w:val="00295BBE"/>
    <w:rsid w:val="00295C06"/>
    <w:rsid w:val="00295C08"/>
    <w:rsid w:val="00295C71"/>
    <w:rsid w:val="00295C80"/>
    <w:rsid w:val="00295CEE"/>
    <w:rsid w:val="00295D7A"/>
    <w:rsid w:val="00295FDC"/>
    <w:rsid w:val="00296037"/>
    <w:rsid w:val="0029607D"/>
    <w:rsid w:val="00296089"/>
    <w:rsid w:val="002960BA"/>
    <w:rsid w:val="0029617F"/>
    <w:rsid w:val="00296201"/>
    <w:rsid w:val="00296268"/>
    <w:rsid w:val="002962A5"/>
    <w:rsid w:val="002963A1"/>
    <w:rsid w:val="002963E3"/>
    <w:rsid w:val="002963F4"/>
    <w:rsid w:val="002964C7"/>
    <w:rsid w:val="00296522"/>
    <w:rsid w:val="002966F5"/>
    <w:rsid w:val="002967EE"/>
    <w:rsid w:val="0029690D"/>
    <w:rsid w:val="0029695A"/>
    <w:rsid w:val="0029697C"/>
    <w:rsid w:val="002969BE"/>
    <w:rsid w:val="002969F3"/>
    <w:rsid w:val="00296AF4"/>
    <w:rsid w:val="00296B6E"/>
    <w:rsid w:val="00296BAF"/>
    <w:rsid w:val="00296BFE"/>
    <w:rsid w:val="00296CCA"/>
    <w:rsid w:val="00296CE0"/>
    <w:rsid w:val="00296E13"/>
    <w:rsid w:val="00296E7B"/>
    <w:rsid w:val="00296F40"/>
    <w:rsid w:val="00296F4B"/>
    <w:rsid w:val="00296FBC"/>
    <w:rsid w:val="002970D0"/>
    <w:rsid w:val="00297283"/>
    <w:rsid w:val="00297392"/>
    <w:rsid w:val="002973B9"/>
    <w:rsid w:val="00297429"/>
    <w:rsid w:val="002974B9"/>
    <w:rsid w:val="002974EE"/>
    <w:rsid w:val="00297539"/>
    <w:rsid w:val="00297570"/>
    <w:rsid w:val="0029758E"/>
    <w:rsid w:val="002975A5"/>
    <w:rsid w:val="002976FF"/>
    <w:rsid w:val="0029778F"/>
    <w:rsid w:val="00297794"/>
    <w:rsid w:val="0029788B"/>
    <w:rsid w:val="0029793E"/>
    <w:rsid w:val="00297948"/>
    <w:rsid w:val="00297ACE"/>
    <w:rsid w:val="00297AFD"/>
    <w:rsid w:val="00297CA3"/>
    <w:rsid w:val="00297CBF"/>
    <w:rsid w:val="00297CD1"/>
    <w:rsid w:val="00297CEA"/>
    <w:rsid w:val="00297D07"/>
    <w:rsid w:val="00297E99"/>
    <w:rsid w:val="00297EEA"/>
    <w:rsid w:val="00297F55"/>
    <w:rsid w:val="002A0050"/>
    <w:rsid w:val="002A006E"/>
    <w:rsid w:val="002A0189"/>
    <w:rsid w:val="002A01A8"/>
    <w:rsid w:val="002A01CE"/>
    <w:rsid w:val="002A01E4"/>
    <w:rsid w:val="002A024B"/>
    <w:rsid w:val="002A0354"/>
    <w:rsid w:val="002A0358"/>
    <w:rsid w:val="002A03C6"/>
    <w:rsid w:val="002A044E"/>
    <w:rsid w:val="002A04BC"/>
    <w:rsid w:val="002A057C"/>
    <w:rsid w:val="002A05CF"/>
    <w:rsid w:val="002A0641"/>
    <w:rsid w:val="002A0678"/>
    <w:rsid w:val="002A069E"/>
    <w:rsid w:val="002A06E0"/>
    <w:rsid w:val="002A06E7"/>
    <w:rsid w:val="002A0789"/>
    <w:rsid w:val="002A07E5"/>
    <w:rsid w:val="002A080F"/>
    <w:rsid w:val="002A08A9"/>
    <w:rsid w:val="002A097A"/>
    <w:rsid w:val="002A0A16"/>
    <w:rsid w:val="002A0A3B"/>
    <w:rsid w:val="002A0A53"/>
    <w:rsid w:val="002A0A85"/>
    <w:rsid w:val="002A0A9F"/>
    <w:rsid w:val="002A0BCC"/>
    <w:rsid w:val="002A0BF9"/>
    <w:rsid w:val="002A0C86"/>
    <w:rsid w:val="002A0C91"/>
    <w:rsid w:val="002A0D92"/>
    <w:rsid w:val="002A0DC7"/>
    <w:rsid w:val="002A0DEF"/>
    <w:rsid w:val="002A0FA0"/>
    <w:rsid w:val="002A109B"/>
    <w:rsid w:val="002A10AA"/>
    <w:rsid w:val="002A10D3"/>
    <w:rsid w:val="002A1173"/>
    <w:rsid w:val="002A11E6"/>
    <w:rsid w:val="002A1223"/>
    <w:rsid w:val="002A124C"/>
    <w:rsid w:val="002A125B"/>
    <w:rsid w:val="002A127A"/>
    <w:rsid w:val="002A1315"/>
    <w:rsid w:val="002A137E"/>
    <w:rsid w:val="002A13C2"/>
    <w:rsid w:val="002A13F5"/>
    <w:rsid w:val="002A1409"/>
    <w:rsid w:val="002A14D3"/>
    <w:rsid w:val="002A152F"/>
    <w:rsid w:val="002A15EB"/>
    <w:rsid w:val="002A15F7"/>
    <w:rsid w:val="002A1608"/>
    <w:rsid w:val="002A16CF"/>
    <w:rsid w:val="002A175B"/>
    <w:rsid w:val="002A1780"/>
    <w:rsid w:val="002A196F"/>
    <w:rsid w:val="002A1AEB"/>
    <w:rsid w:val="002A1B1C"/>
    <w:rsid w:val="002A1B82"/>
    <w:rsid w:val="002A1BC5"/>
    <w:rsid w:val="002A1BC9"/>
    <w:rsid w:val="002A1BF9"/>
    <w:rsid w:val="002A1C0B"/>
    <w:rsid w:val="002A1CA9"/>
    <w:rsid w:val="002A1CD2"/>
    <w:rsid w:val="002A1CEB"/>
    <w:rsid w:val="002A1D14"/>
    <w:rsid w:val="002A1E50"/>
    <w:rsid w:val="002A1EB4"/>
    <w:rsid w:val="002A1EDB"/>
    <w:rsid w:val="002A1F1F"/>
    <w:rsid w:val="002A1F76"/>
    <w:rsid w:val="002A1F7F"/>
    <w:rsid w:val="002A23FB"/>
    <w:rsid w:val="002A242F"/>
    <w:rsid w:val="002A251E"/>
    <w:rsid w:val="002A2520"/>
    <w:rsid w:val="002A2678"/>
    <w:rsid w:val="002A2686"/>
    <w:rsid w:val="002A26DB"/>
    <w:rsid w:val="002A274F"/>
    <w:rsid w:val="002A27A3"/>
    <w:rsid w:val="002A27E6"/>
    <w:rsid w:val="002A2801"/>
    <w:rsid w:val="002A2A2B"/>
    <w:rsid w:val="002A2A33"/>
    <w:rsid w:val="002A2AE6"/>
    <w:rsid w:val="002A2C7F"/>
    <w:rsid w:val="002A2C9E"/>
    <w:rsid w:val="002A2CEB"/>
    <w:rsid w:val="002A2D10"/>
    <w:rsid w:val="002A2D2A"/>
    <w:rsid w:val="002A2D6B"/>
    <w:rsid w:val="002A2E19"/>
    <w:rsid w:val="002A2E26"/>
    <w:rsid w:val="002A2EC4"/>
    <w:rsid w:val="002A2EF3"/>
    <w:rsid w:val="002A3049"/>
    <w:rsid w:val="002A30A3"/>
    <w:rsid w:val="002A3119"/>
    <w:rsid w:val="002A312E"/>
    <w:rsid w:val="002A3169"/>
    <w:rsid w:val="002A32B4"/>
    <w:rsid w:val="002A3311"/>
    <w:rsid w:val="002A33B5"/>
    <w:rsid w:val="002A350A"/>
    <w:rsid w:val="002A3518"/>
    <w:rsid w:val="002A354C"/>
    <w:rsid w:val="002A359D"/>
    <w:rsid w:val="002A35D6"/>
    <w:rsid w:val="002A35D8"/>
    <w:rsid w:val="002A35EF"/>
    <w:rsid w:val="002A35F6"/>
    <w:rsid w:val="002A362F"/>
    <w:rsid w:val="002A3785"/>
    <w:rsid w:val="002A37BE"/>
    <w:rsid w:val="002A383E"/>
    <w:rsid w:val="002A38B9"/>
    <w:rsid w:val="002A3915"/>
    <w:rsid w:val="002A3960"/>
    <w:rsid w:val="002A3962"/>
    <w:rsid w:val="002A39B9"/>
    <w:rsid w:val="002A3A61"/>
    <w:rsid w:val="002A3ABC"/>
    <w:rsid w:val="002A3ADA"/>
    <w:rsid w:val="002A3B4A"/>
    <w:rsid w:val="002A3BD5"/>
    <w:rsid w:val="002A3C32"/>
    <w:rsid w:val="002A3CF0"/>
    <w:rsid w:val="002A3E38"/>
    <w:rsid w:val="002A3E48"/>
    <w:rsid w:val="002A3E68"/>
    <w:rsid w:val="002A3FB8"/>
    <w:rsid w:val="002A40CF"/>
    <w:rsid w:val="002A414A"/>
    <w:rsid w:val="002A41E3"/>
    <w:rsid w:val="002A4285"/>
    <w:rsid w:val="002A4356"/>
    <w:rsid w:val="002A43C2"/>
    <w:rsid w:val="002A4491"/>
    <w:rsid w:val="002A44E9"/>
    <w:rsid w:val="002A44FB"/>
    <w:rsid w:val="002A455B"/>
    <w:rsid w:val="002A4620"/>
    <w:rsid w:val="002A4796"/>
    <w:rsid w:val="002A4866"/>
    <w:rsid w:val="002A48B3"/>
    <w:rsid w:val="002A48BE"/>
    <w:rsid w:val="002A48FD"/>
    <w:rsid w:val="002A4C13"/>
    <w:rsid w:val="002A4C3A"/>
    <w:rsid w:val="002A4CD1"/>
    <w:rsid w:val="002A4E65"/>
    <w:rsid w:val="002A4F94"/>
    <w:rsid w:val="002A4FB3"/>
    <w:rsid w:val="002A5048"/>
    <w:rsid w:val="002A50C8"/>
    <w:rsid w:val="002A5137"/>
    <w:rsid w:val="002A525A"/>
    <w:rsid w:val="002A5263"/>
    <w:rsid w:val="002A52D9"/>
    <w:rsid w:val="002A539C"/>
    <w:rsid w:val="002A53C4"/>
    <w:rsid w:val="002A541D"/>
    <w:rsid w:val="002A550E"/>
    <w:rsid w:val="002A5577"/>
    <w:rsid w:val="002A55E1"/>
    <w:rsid w:val="002A560F"/>
    <w:rsid w:val="002A56D7"/>
    <w:rsid w:val="002A5750"/>
    <w:rsid w:val="002A577A"/>
    <w:rsid w:val="002A58DF"/>
    <w:rsid w:val="002A58FE"/>
    <w:rsid w:val="002A590A"/>
    <w:rsid w:val="002A5ADD"/>
    <w:rsid w:val="002A5B3E"/>
    <w:rsid w:val="002A5BB7"/>
    <w:rsid w:val="002A5C5F"/>
    <w:rsid w:val="002A5C6B"/>
    <w:rsid w:val="002A5E9F"/>
    <w:rsid w:val="002A5F95"/>
    <w:rsid w:val="002A60B3"/>
    <w:rsid w:val="002A60DE"/>
    <w:rsid w:val="002A61AB"/>
    <w:rsid w:val="002A61B1"/>
    <w:rsid w:val="002A6358"/>
    <w:rsid w:val="002A6395"/>
    <w:rsid w:val="002A63F5"/>
    <w:rsid w:val="002A6423"/>
    <w:rsid w:val="002A6469"/>
    <w:rsid w:val="002A64EA"/>
    <w:rsid w:val="002A6547"/>
    <w:rsid w:val="002A655B"/>
    <w:rsid w:val="002A6614"/>
    <w:rsid w:val="002A680A"/>
    <w:rsid w:val="002A68A2"/>
    <w:rsid w:val="002A68D8"/>
    <w:rsid w:val="002A697D"/>
    <w:rsid w:val="002A6A16"/>
    <w:rsid w:val="002A6A23"/>
    <w:rsid w:val="002A6AB7"/>
    <w:rsid w:val="002A6B13"/>
    <w:rsid w:val="002A6BA4"/>
    <w:rsid w:val="002A6BF6"/>
    <w:rsid w:val="002A6CC9"/>
    <w:rsid w:val="002A6D41"/>
    <w:rsid w:val="002A6DF0"/>
    <w:rsid w:val="002A6ECF"/>
    <w:rsid w:val="002A6EED"/>
    <w:rsid w:val="002A6EF5"/>
    <w:rsid w:val="002A6EFB"/>
    <w:rsid w:val="002A6F50"/>
    <w:rsid w:val="002A6F78"/>
    <w:rsid w:val="002A70BE"/>
    <w:rsid w:val="002A71DB"/>
    <w:rsid w:val="002A7237"/>
    <w:rsid w:val="002A72B0"/>
    <w:rsid w:val="002A7310"/>
    <w:rsid w:val="002A7314"/>
    <w:rsid w:val="002A738A"/>
    <w:rsid w:val="002A7440"/>
    <w:rsid w:val="002A74D2"/>
    <w:rsid w:val="002A7561"/>
    <w:rsid w:val="002A75B9"/>
    <w:rsid w:val="002A7728"/>
    <w:rsid w:val="002A7741"/>
    <w:rsid w:val="002A774E"/>
    <w:rsid w:val="002A7809"/>
    <w:rsid w:val="002A799F"/>
    <w:rsid w:val="002A79B1"/>
    <w:rsid w:val="002A7A17"/>
    <w:rsid w:val="002A7A49"/>
    <w:rsid w:val="002A7AAF"/>
    <w:rsid w:val="002A7BF5"/>
    <w:rsid w:val="002A7C71"/>
    <w:rsid w:val="002A7CA9"/>
    <w:rsid w:val="002A7CDE"/>
    <w:rsid w:val="002A7D74"/>
    <w:rsid w:val="002A7D8A"/>
    <w:rsid w:val="002A7DA6"/>
    <w:rsid w:val="002A7DDC"/>
    <w:rsid w:val="002A7F6D"/>
    <w:rsid w:val="002B006E"/>
    <w:rsid w:val="002B01E0"/>
    <w:rsid w:val="002B01E1"/>
    <w:rsid w:val="002B0262"/>
    <w:rsid w:val="002B0304"/>
    <w:rsid w:val="002B0393"/>
    <w:rsid w:val="002B03B2"/>
    <w:rsid w:val="002B0426"/>
    <w:rsid w:val="002B0492"/>
    <w:rsid w:val="002B04AF"/>
    <w:rsid w:val="002B0501"/>
    <w:rsid w:val="002B058A"/>
    <w:rsid w:val="002B067A"/>
    <w:rsid w:val="002B06AD"/>
    <w:rsid w:val="002B06B3"/>
    <w:rsid w:val="002B06B7"/>
    <w:rsid w:val="002B06DF"/>
    <w:rsid w:val="002B073A"/>
    <w:rsid w:val="002B0852"/>
    <w:rsid w:val="002B086D"/>
    <w:rsid w:val="002B0A03"/>
    <w:rsid w:val="002B0A6D"/>
    <w:rsid w:val="002B0A70"/>
    <w:rsid w:val="002B0B0D"/>
    <w:rsid w:val="002B0B52"/>
    <w:rsid w:val="002B0C1A"/>
    <w:rsid w:val="002B0CDD"/>
    <w:rsid w:val="002B0E9C"/>
    <w:rsid w:val="002B0F16"/>
    <w:rsid w:val="002B0F40"/>
    <w:rsid w:val="002B0F4D"/>
    <w:rsid w:val="002B0F63"/>
    <w:rsid w:val="002B0F92"/>
    <w:rsid w:val="002B0FC9"/>
    <w:rsid w:val="002B0FD5"/>
    <w:rsid w:val="002B1131"/>
    <w:rsid w:val="002B116F"/>
    <w:rsid w:val="002B1317"/>
    <w:rsid w:val="002B1354"/>
    <w:rsid w:val="002B1391"/>
    <w:rsid w:val="002B13A5"/>
    <w:rsid w:val="002B149B"/>
    <w:rsid w:val="002B1500"/>
    <w:rsid w:val="002B151A"/>
    <w:rsid w:val="002B1598"/>
    <w:rsid w:val="002B1608"/>
    <w:rsid w:val="002B1644"/>
    <w:rsid w:val="002B16FF"/>
    <w:rsid w:val="002B17BB"/>
    <w:rsid w:val="002B17CC"/>
    <w:rsid w:val="002B17EE"/>
    <w:rsid w:val="002B18AF"/>
    <w:rsid w:val="002B19D3"/>
    <w:rsid w:val="002B1A4E"/>
    <w:rsid w:val="002B1A97"/>
    <w:rsid w:val="002B1AAA"/>
    <w:rsid w:val="002B1B46"/>
    <w:rsid w:val="002B1C45"/>
    <w:rsid w:val="002B1C97"/>
    <w:rsid w:val="002B1E83"/>
    <w:rsid w:val="002B1F5F"/>
    <w:rsid w:val="002B1FFD"/>
    <w:rsid w:val="002B2081"/>
    <w:rsid w:val="002B2152"/>
    <w:rsid w:val="002B21D4"/>
    <w:rsid w:val="002B2379"/>
    <w:rsid w:val="002B238C"/>
    <w:rsid w:val="002B245A"/>
    <w:rsid w:val="002B247A"/>
    <w:rsid w:val="002B2483"/>
    <w:rsid w:val="002B24D7"/>
    <w:rsid w:val="002B25B0"/>
    <w:rsid w:val="002B28EF"/>
    <w:rsid w:val="002B2B8D"/>
    <w:rsid w:val="002B2C03"/>
    <w:rsid w:val="002B2D0B"/>
    <w:rsid w:val="002B2E06"/>
    <w:rsid w:val="002B2E13"/>
    <w:rsid w:val="002B2EEB"/>
    <w:rsid w:val="002B2F6F"/>
    <w:rsid w:val="002B2F76"/>
    <w:rsid w:val="002B2F9E"/>
    <w:rsid w:val="002B323F"/>
    <w:rsid w:val="002B333D"/>
    <w:rsid w:val="002B335D"/>
    <w:rsid w:val="002B3460"/>
    <w:rsid w:val="002B34A9"/>
    <w:rsid w:val="002B34B0"/>
    <w:rsid w:val="002B34EC"/>
    <w:rsid w:val="002B35D9"/>
    <w:rsid w:val="002B36EE"/>
    <w:rsid w:val="002B3714"/>
    <w:rsid w:val="002B371C"/>
    <w:rsid w:val="002B3781"/>
    <w:rsid w:val="002B37CC"/>
    <w:rsid w:val="002B380F"/>
    <w:rsid w:val="002B3864"/>
    <w:rsid w:val="002B396F"/>
    <w:rsid w:val="002B3A0A"/>
    <w:rsid w:val="002B3AC9"/>
    <w:rsid w:val="002B3AD7"/>
    <w:rsid w:val="002B3B2D"/>
    <w:rsid w:val="002B3B6D"/>
    <w:rsid w:val="002B3BBD"/>
    <w:rsid w:val="002B3BF4"/>
    <w:rsid w:val="002B3BF8"/>
    <w:rsid w:val="002B3C57"/>
    <w:rsid w:val="002B3D25"/>
    <w:rsid w:val="002B3DE6"/>
    <w:rsid w:val="002B3E41"/>
    <w:rsid w:val="002B3F84"/>
    <w:rsid w:val="002B4067"/>
    <w:rsid w:val="002B4080"/>
    <w:rsid w:val="002B40D2"/>
    <w:rsid w:val="002B4149"/>
    <w:rsid w:val="002B418A"/>
    <w:rsid w:val="002B41A1"/>
    <w:rsid w:val="002B4208"/>
    <w:rsid w:val="002B4249"/>
    <w:rsid w:val="002B4269"/>
    <w:rsid w:val="002B4345"/>
    <w:rsid w:val="002B43FF"/>
    <w:rsid w:val="002B448D"/>
    <w:rsid w:val="002B44F8"/>
    <w:rsid w:val="002B4615"/>
    <w:rsid w:val="002B469E"/>
    <w:rsid w:val="002B4740"/>
    <w:rsid w:val="002B4791"/>
    <w:rsid w:val="002B47C6"/>
    <w:rsid w:val="002B47DC"/>
    <w:rsid w:val="002B47FB"/>
    <w:rsid w:val="002B4806"/>
    <w:rsid w:val="002B4851"/>
    <w:rsid w:val="002B48D4"/>
    <w:rsid w:val="002B490F"/>
    <w:rsid w:val="002B4910"/>
    <w:rsid w:val="002B4A2C"/>
    <w:rsid w:val="002B4AB8"/>
    <w:rsid w:val="002B4ACF"/>
    <w:rsid w:val="002B4ADB"/>
    <w:rsid w:val="002B4B29"/>
    <w:rsid w:val="002B4B53"/>
    <w:rsid w:val="002B4B79"/>
    <w:rsid w:val="002B4B95"/>
    <w:rsid w:val="002B4BA0"/>
    <w:rsid w:val="002B4C35"/>
    <w:rsid w:val="002B4C67"/>
    <w:rsid w:val="002B4D20"/>
    <w:rsid w:val="002B4D42"/>
    <w:rsid w:val="002B4D51"/>
    <w:rsid w:val="002B4DF5"/>
    <w:rsid w:val="002B4E3E"/>
    <w:rsid w:val="002B4F06"/>
    <w:rsid w:val="002B4F65"/>
    <w:rsid w:val="002B50C6"/>
    <w:rsid w:val="002B5192"/>
    <w:rsid w:val="002B51E7"/>
    <w:rsid w:val="002B521B"/>
    <w:rsid w:val="002B5262"/>
    <w:rsid w:val="002B5305"/>
    <w:rsid w:val="002B5312"/>
    <w:rsid w:val="002B5444"/>
    <w:rsid w:val="002B545A"/>
    <w:rsid w:val="002B54F3"/>
    <w:rsid w:val="002B5516"/>
    <w:rsid w:val="002B557F"/>
    <w:rsid w:val="002B55CE"/>
    <w:rsid w:val="002B562D"/>
    <w:rsid w:val="002B56C2"/>
    <w:rsid w:val="002B58D3"/>
    <w:rsid w:val="002B591A"/>
    <w:rsid w:val="002B5951"/>
    <w:rsid w:val="002B5988"/>
    <w:rsid w:val="002B59FE"/>
    <w:rsid w:val="002B5A61"/>
    <w:rsid w:val="002B5B16"/>
    <w:rsid w:val="002B5BA0"/>
    <w:rsid w:val="002B5C2B"/>
    <w:rsid w:val="002B5C55"/>
    <w:rsid w:val="002B5C7A"/>
    <w:rsid w:val="002B5CFB"/>
    <w:rsid w:val="002B5CFC"/>
    <w:rsid w:val="002B5F3D"/>
    <w:rsid w:val="002B60B3"/>
    <w:rsid w:val="002B60C1"/>
    <w:rsid w:val="002B60D4"/>
    <w:rsid w:val="002B6106"/>
    <w:rsid w:val="002B611B"/>
    <w:rsid w:val="002B6182"/>
    <w:rsid w:val="002B618A"/>
    <w:rsid w:val="002B6224"/>
    <w:rsid w:val="002B62F2"/>
    <w:rsid w:val="002B633A"/>
    <w:rsid w:val="002B6402"/>
    <w:rsid w:val="002B6423"/>
    <w:rsid w:val="002B642C"/>
    <w:rsid w:val="002B64E1"/>
    <w:rsid w:val="002B64E9"/>
    <w:rsid w:val="002B64F4"/>
    <w:rsid w:val="002B652D"/>
    <w:rsid w:val="002B660D"/>
    <w:rsid w:val="002B666D"/>
    <w:rsid w:val="002B682D"/>
    <w:rsid w:val="002B690A"/>
    <w:rsid w:val="002B6916"/>
    <w:rsid w:val="002B6A9E"/>
    <w:rsid w:val="002B6E87"/>
    <w:rsid w:val="002B6F8C"/>
    <w:rsid w:val="002B70A9"/>
    <w:rsid w:val="002B70DF"/>
    <w:rsid w:val="002B70FA"/>
    <w:rsid w:val="002B71DC"/>
    <w:rsid w:val="002B7290"/>
    <w:rsid w:val="002B7318"/>
    <w:rsid w:val="002B7333"/>
    <w:rsid w:val="002B733F"/>
    <w:rsid w:val="002B7391"/>
    <w:rsid w:val="002B73F4"/>
    <w:rsid w:val="002B7436"/>
    <w:rsid w:val="002B7489"/>
    <w:rsid w:val="002B74CE"/>
    <w:rsid w:val="002B754E"/>
    <w:rsid w:val="002B7760"/>
    <w:rsid w:val="002B77FA"/>
    <w:rsid w:val="002B78B4"/>
    <w:rsid w:val="002B78F5"/>
    <w:rsid w:val="002B7988"/>
    <w:rsid w:val="002B7B13"/>
    <w:rsid w:val="002B7D04"/>
    <w:rsid w:val="002B7D13"/>
    <w:rsid w:val="002B7F3D"/>
    <w:rsid w:val="002B7F67"/>
    <w:rsid w:val="002B7F88"/>
    <w:rsid w:val="002C0189"/>
    <w:rsid w:val="002C01CB"/>
    <w:rsid w:val="002C01F5"/>
    <w:rsid w:val="002C02E6"/>
    <w:rsid w:val="002C032C"/>
    <w:rsid w:val="002C0336"/>
    <w:rsid w:val="002C035F"/>
    <w:rsid w:val="002C04CA"/>
    <w:rsid w:val="002C06E8"/>
    <w:rsid w:val="002C070A"/>
    <w:rsid w:val="002C0758"/>
    <w:rsid w:val="002C07FC"/>
    <w:rsid w:val="002C0822"/>
    <w:rsid w:val="002C0835"/>
    <w:rsid w:val="002C08C6"/>
    <w:rsid w:val="002C0943"/>
    <w:rsid w:val="002C09DF"/>
    <w:rsid w:val="002C0A8B"/>
    <w:rsid w:val="002C0BD0"/>
    <w:rsid w:val="002C0CE2"/>
    <w:rsid w:val="002C0D2D"/>
    <w:rsid w:val="002C0DB3"/>
    <w:rsid w:val="002C0DCC"/>
    <w:rsid w:val="002C0E26"/>
    <w:rsid w:val="002C0EC4"/>
    <w:rsid w:val="002C0F1C"/>
    <w:rsid w:val="002C100F"/>
    <w:rsid w:val="002C1037"/>
    <w:rsid w:val="002C11F7"/>
    <w:rsid w:val="002C11FF"/>
    <w:rsid w:val="002C1221"/>
    <w:rsid w:val="002C124E"/>
    <w:rsid w:val="002C12D1"/>
    <w:rsid w:val="002C1427"/>
    <w:rsid w:val="002C152F"/>
    <w:rsid w:val="002C1578"/>
    <w:rsid w:val="002C1612"/>
    <w:rsid w:val="002C168F"/>
    <w:rsid w:val="002C1705"/>
    <w:rsid w:val="002C1715"/>
    <w:rsid w:val="002C175B"/>
    <w:rsid w:val="002C18D5"/>
    <w:rsid w:val="002C18E9"/>
    <w:rsid w:val="002C199D"/>
    <w:rsid w:val="002C19B1"/>
    <w:rsid w:val="002C19C6"/>
    <w:rsid w:val="002C1AA9"/>
    <w:rsid w:val="002C1AEF"/>
    <w:rsid w:val="002C1B43"/>
    <w:rsid w:val="002C1B96"/>
    <w:rsid w:val="002C1BCB"/>
    <w:rsid w:val="002C1BDE"/>
    <w:rsid w:val="002C1DD8"/>
    <w:rsid w:val="002C1E18"/>
    <w:rsid w:val="002C1EFF"/>
    <w:rsid w:val="002C1F38"/>
    <w:rsid w:val="002C1F47"/>
    <w:rsid w:val="002C2097"/>
    <w:rsid w:val="002C20CA"/>
    <w:rsid w:val="002C2139"/>
    <w:rsid w:val="002C21AF"/>
    <w:rsid w:val="002C2208"/>
    <w:rsid w:val="002C22A7"/>
    <w:rsid w:val="002C2326"/>
    <w:rsid w:val="002C23F3"/>
    <w:rsid w:val="002C240E"/>
    <w:rsid w:val="002C2453"/>
    <w:rsid w:val="002C249C"/>
    <w:rsid w:val="002C260F"/>
    <w:rsid w:val="002C2628"/>
    <w:rsid w:val="002C26DD"/>
    <w:rsid w:val="002C26E4"/>
    <w:rsid w:val="002C26F2"/>
    <w:rsid w:val="002C2796"/>
    <w:rsid w:val="002C27F5"/>
    <w:rsid w:val="002C2813"/>
    <w:rsid w:val="002C286B"/>
    <w:rsid w:val="002C28AF"/>
    <w:rsid w:val="002C28BD"/>
    <w:rsid w:val="002C292C"/>
    <w:rsid w:val="002C2959"/>
    <w:rsid w:val="002C2A30"/>
    <w:rsid w:val="002C2AC9"/>
    <w:rsid w:val="002C2B2B"/>
    <w:rsid w:val="002C2B45"/>
    <w:rsid w:val="002C2B71"/>
    <w:rsid w:val="002C2B97"/>
    <w:rsid w:val="002C2BB7"/>
    <w:rsid w:val="002C2BE2"/>
    <w:rsid w:val="002C2BFC"/>
    <w:rsid w:val="002C2C5A"/>
    <w:rsid w:val="002C2D03"/>
    <w:rsid w:val="002C2D22"/>
    <w:rsid w:val="002C2D6F"/>
    <w:rsid w:val="002C2E0B"/>
    <w:rsid w:val="002C2E0C"/>
    <w:rsid w:val="002C2EBB"/>
    <w:rsid w:val="002C2F06"/>
    <w:rsid w:val="002C2F1E"/>
    <w:rsid w:val="002C2F2A"/>
    <w:rsid w:val="002C2F3C"/>
    <w:rsid w:val="002C2F59"/>
    <w:rsid w:val="002C2F90"/>
    <w:rsid w:val="002C2FCB"/>
    <w:rsid w:val="002C308B"/>
    <w:rsid w:val="002C3094"/>
    <w:rsid w:val="002C30C2"/>
    <w:rsid w:val="002C31B3"/>
    <w:rsid w:val="002C31BD"/>
    <w:rsid w:val="002C320A"/>
    <w:rsid w:val="002C3368"/>
    <w:rsid w:val="002C3373"/>
    <w:rsid w:val="002C33B9"/>
    <w:rsid w:val="002C33E4"/>
    <w:rsid w:val="002C34C7"/>
    <w:rsid w:val="002C34E5"/>
    <w:rsid w:val="002C3587"/>
    <w:rsid w:val="002C3698"/>
    <w:rsid w:val="002C3718"/>
    <w:rsid w:val="002C376D"/>
    <w:rsid w:val="002C3770"/>
    <w:rsid w:val="002C3773"/>
    <w:rsid w:val="002C3775"/>
    <w:rsid w:val="002C3855"/>
    <w:rsid w:val="002C3A36"/>
    <w:rsid w:val="002C3A7A"/>
    <w:rsid w:val="002C3B64"/>
    <w:rsid w:val="002C3BB4"/>
    <w:rsid w:val="002C3BB5"/>
    <w:rsid w:val="002C3C2C"/>
    <w:rsid w:val="002C3C70"/>
    <w:rsid w:val="002C3D0E"/>
    <w:rsid w:val="002C3DEB"/>
    <w:rsid w:val="002C3E0C"/>
    <w:rsid w:val="002C3E27"/>
    <w:rsid w:val="002C3E79"/>
    <w:rsid w:val="002C3F99"/>
    <w:rsid w:val="002C4042"/>
    <w:rsid w:val="002C4047"/>
    <w:rsid w:val="002C4093"/>
    <w:rsid w:val="002C40AD"/>
    <w:rsid w:val="002C40FA"/>
    <w:rsid w:val="002C4117"/>
    <w:rsid w:val="002C4200"/>
    <w:rsid w:val="002C421D"/>
    <w:rsid w:val="002C426F"/>
    <w:rsid w:val="002C429B"/>
    <w:rsid w:val="002C453C"/>
    <w:rsid w:val="002C4561"/>
    <w:rsid w:val="002C45B5"/>
    <w:rsid w:val="002C4706"/>
    <w:rsid w:val="002C4738"/>
    <w:rsid w:val="002C474B"/>
    <w:rsid w:val="002C475F"/>
    <w:rsid w:val="002C47C3"/>
    <w:rsid w:val="002C47DE"/>
    <w:rsid w:val="002C4923"/>
    <w:rsid w:val="002C49A4"/>
    <w:rsid w:val="002C49C0"/>
    <w:rsid w:val="002C49CA"/>
    <w:rsid w:val="002C49F8"/>
    <w:rsid w:val="002C4A3E"/>
    <w:rsid w:val="002C4AB9"/>
    <w:rsid w:val="002C4AF9"/>
    <w:rsid w:val="002C4B3A"/>
    <w:rsid w:val="002C4B71"/>
    <w:rsid w:val="002C4C24"/>
    <w:rsid w:val="002C4C37"/>
    <w:rsid w:val="002C4C61"/>
    <w:rsid w:val="002C4C69"/>
    <w:rsid w:val="002C4D7B"/>
    <w:rsid w:val="002C4EAB"/>
    <w:rsid w:val="002C4F5E"/>
    <w:rsid w:val="002C4F92"/>
    <w:rsid w:val="002C4FE9"/>
    <w:rsid w:val="002C50D2"/>
    <w:rsid w:val="002C5197"/>
    <w:rsid w:val="002C5281"/>
    <w:rsid w:val="002C53AF"/>
    <w:rsid w:val="002C549F"/>
    <w:rsid w:val="002C54B8"/>
    <w:rsid w:val="002C551F"/>
    <w:rsid w:val="002C556F"/>
    <w:rsid w:val="002C5614"/>
    <w:rsid w:val="002C5659"/>
    <w:rsid w:val="002C56A6"/>
    <w:rsid w:val="002C5797"/>
    <w:rsid w:val="002C581F"/>
    <w:rsid w:val="002C586B"/>
    <w:rsid w:val="002C593C"/>
    <w:rsid w:val="002C596C"/>
    <w:rsid w:val="002C59B9"/>
    <w:rsid w:val="002C5A8C"/>
    <w:rsid w:val="002C5A90"/>
    <w:rsid w:val="002C5ACE"/>
    <w:rsid w:val="002C5AF8"/>
    <w:rsid w:val="002C5AFC"/>
    <w:rsid w:val="002C5B4C"/>
    <w:rsid w:val="002C5BA5"/>
    <w:rsid w:val="002C5BEC"/>
    <w:rsid w:val="002C5CE1"/>
    <w:rsid w:val="002C5CF5"/>
    <w:rsid w:val="002C5D45"/>
    <w:rsid w:val="002C5DF8"/>
    <w:rsid w:val="002C5E1F"/>
    <w:rsid w:val="002C5E24"/>
    <w:rsid w:val="002C5E3C"/>
    <w:rsid w:val="002C5E53"/>
    <w:rsid w:val="002C5E71"/>
    <w:rsid w:val="002C5F21"/>
    <w:rsid w:val="002C5F6E"/>
    <w:rsid w:val="002C5F86"/>
    <w:rsid w:val="002C605C"/>
    <w:rsid w:val="002C61F4"/>
    <w:rsid w:val="002C6279"/>
    <w:rsid w:val="002C6315"/>
    <w:rsid w:val="002C6553"/>
    <w:rsid w:val="002C65A5"/>
    <w:rsid w:val="002C6718"/>
    <w:rsid w:val="002C672C"/>
    <w:rsid w:val="002C6853"/>
    <w:rsid w:val="002C6856"/>
    <w:rsid w:val="002C6905"/>
    <w:rsid w:val="002C6941"/>
    <w:rsid w:val="002C6A26"/>
    <w:rsid w:val="002C6A71"/>
    <w:rsid w:val="002C6AB7"/>
    <w:rsid w:val="002C6B7D"/>
    <w:rsid w:val="002C6BFC"/>
    <w:rsid w:val="002C6D16"/>
    <w:rsid w:val="002C6D1E"/>
    <w:rsid w:val="002C6D34"/>
    <w:rsid w:val="002C6D5B"/>
    <w:rsid w:val="002C6E35"/>
    <w:rsid w:val="002C6EF0"/>
    <w:rsid w:val="002C6F7C"/>
    <w:rsid w:val="002C7001"/>
    <w:rsid w:val="002C7019"/>
    <w:rsid w:val="002C70E5"/>
    <w:rsid w:val="002C7247"/>
    <w:rsid w:val="002C726A"/>
    <w:rsid w:val="002C739D"/>
    <w:rsid w:val="002C741A"/>
    <w:rsid w:val="002C7427"/>
    <w:rsid w:val="002C743E"/>
    <w:rsid w:val="002C759D"/>
    <w:rsid w:val="002C75AB"/>
    <w:rsid w:val="002C776A"/>
    <w:rsid w:val="002C7790"/>
    <w:rsid w:val="002C77EF"/>
    <w:rsid w:val="002C78CB"/>
    <w:rsid w:val="002C7997"/>
    <w:rsid w:val="002C79B2"/>
    <w:rsid w:val="002C7ABE"/>
    <w:rsid w:val="002C7B77"/>
    <w:rsid w:val="002C7B9F"/>
    <w:rsid w:val="002C7C8B"/>
    <w:rsid w:val="002C7CBD"/>
    <w:rsid w:val="002C7D1E"/>
    <w:rsid w:val="002C7D28"/>
    <w:rsid w:val="002C7FE7"/>
    <w:rsid w:val="002C7FF0"/>
    <w:rsid w:val="002D0001"/>
    <w:rsid w:val="002D0022"/>
    <w:rsid w:val="002D008E"/>
    <w:rsid w:val="002D0099"/>
    <w:rsid w:val="002D00ED"/>
    <w:rsid w:val="002D019B"/>
    <w:rsid w:val="002D0285"/>
    <w:rsid w:val="002D02D3"/>
    <w:rsid w:val="002D038A"/>
    <w:rsid w:val="002D040C"/>
    <w:rsid w:val="002D04A0"/>
    <w:rsid w:val="002D04A4"/>
    <w:rsid w:val="002D065E"/>
    <w:rsid w:val="002D0794"/>
    <w:rsid w:val="002D07BD"/>
    <w:rsid w:val="002D07DA"/>
    <w:rsid w:val="002D080F"/>
    <w:rsid w:val="002D0868"/>
    <w:rsid w:val="002D086E"/>
    <w:rsid w:val="002D0B4A"/>
    <w:rsid w:val="002D0B70"/>
    <w:rsid w:val="002D0BDA"/>
    <w:rsid w:val="002D0C03"/>
    <w:rsid w:val="002D0CB9"/>
    <w:rsid w:val="002D0CBB"/>
    <w:rsid w:val="002D0D91"/>
    <w:rsid w:val="002D0DA3"/>
    <w:rsid w:val="002D0DD4"/>
    <w:rsid w:val="002D0E6E"/>
    <w:rsid w:val="002D0FAC"/>
    <w:rsid w:val="002D1123"/>
    <w:rsid w:val="002D113D"/>
    <w:rsid w:val="002D1163"/>
    <w:rsid w:val="002D1193"/>
    <w:rsid w:val="002D1197"/>
    <w:rsid w:val="002D1203"/>
    <w:rsid w:val="002D1272"/>
    <w:rsid w:val="002D1275"/>
    <w:rsid w:val="002D1441"/>
    <w:rsid w:val="002D14FF"/>
    <w:rsid w:val="002D1501"/>
    <w:rsid w:val="002D15B4"/>
    <w:rsid w:val="002D15D9"/>
    <w:rsid w:val="002D165E"/>
    <w:rsid w:val="002D1676"/>
    <w:rsid w:val="002D16DC"/>
    <w:rsid w:val="002D1761"/>
    <w:rsid w:val="002D17C5"/>
    <w:rsid w:val="002D1922"/>
    <w:rsid w:val="002D1959"/>
    <w:rsid w:val="002D19F5"/>
    <w:rsid w:val="002D1B88"/>
    <w:rsid w:val="002D1BB4"/>
    <w:rsid w:val="002D1C34"/>
    <w:rsid w:val="002D1C57"/>
    <w:rsid w:val="002D1D09"/>
    <w:rsid w:val="002D1D52"/>
    <w:rsid w:val="002D1ED0"/>
    <w:rsid w:val="002D1EFC"/>
    <w:rsid w:val="002D1F66"/>
    <w:rsid w:val="002D2072"/>
    <w:rsid w:val="002D210D"/>
    <w:rsid w:val="002D210E"/>
    <w:rsid w:val="002D211B"/>
    <w:rsid w:val="002D2136"/>
    <w:rsid w:val="002D2139"/>
    <w:rsid w:val="002D221C"/>
    <w:rsid w:val="002D22CC"/>
    <w:rsid w:val="002D23CB"/>
    <w:rsid w:val="002D23CF"/>
    <w:rsid w:val="002D23F9"/>
    <w:rsid w:val="002D2405"/>
    <w:rsid w:val="002D244A"/>
    <w:rsid w:val="002D24B2"/>
    <w:rsid w:val="002D25CE"/>
    <w:rsid w:val="002D269D"/>
    <w:rsid w:val="002D26B3"/>
    <w:rsid w:val="002D26C6"/>
    <w:rsid w:val="002D26E4"/>
    <w:rsid w:val="002D27A9"/>
    <w:rsid w:val="002D27DA"/>
    <w:rsid w:val="002D294E"/>
    <w:rsid w:val="002D2B08"/>
    <w:rsid w:val="002D2B1E"/>
    <w:rsid w:val="002D2B25"/>
    <w:rsid w:val="002D2B32"/>
    <w:rsid w:val="002D2B7E"/>
    <w:rsid w:val="002D2C1F"/>
    <w:rsid w:val="002D2CDD"/>
    <w:rsid w:val="002D2D0D"/>
    <w:rsid w:val="002D2D2A"/>
    <w:rsid w:val="002D2D53"/>
    <w:rsid w:val="002D2D80"/>
    <w:rsid w:val="002D2DC0"/>
    <w:rsid w:val="002D2DCA"/>
    <w:rsid w:val="002D2DF1"/>
    <w:rsid w:val="002D2E07"/>
    <w:rsid w:val="002D2E7E"/>
    <w:rsid w:val="002D2EE3"/>
    <w:rsid w:val="002D2F07"/>
    <w:rsid w:val="002D2F31"/>
    <w:rsid w:val="002D2F48"/>
    <w:rsid w:val="002D2F62"/>
    <w:rsid w:val="002D2FDD"/>
    <w:rsid w:val="002D3007"/>
    <w:rsid w:val="002D31C5"/>
    <w:rsid w:val="002D31D2"/>
    <w:rsid w:val="002D32EE"/>
    <w:rsid w:val="002D32F9"/>
    <w:rsid w:val="002D3351"/>
    <w:rsid w:val="002D3378"/>
    <w:rsid w:val="002D33B4"/>
    <w:rsid w:val="002D354A"/>
    <w:rsid w:val="002D357B"/>
    <w:rsid w:val="002D3610"/>
    <w:rsid w:val="002D3645"/>
    <w:rsid w:val="002D367F"/>
    <w:rsid w:val="002D36F4"/>
    <w:rsid w:val="002D3703"/>
    <w:rsid w:val="002D3722"/>
    <w:rsid w:val="002D3988"/>
    <w:rsid w:val="002D3993"/>
    <w:rsid w:val="002D3A5B"/>
    <w:rsid w:val="002D3CA6"/>
    <w:rsid w:val="002D3D2B"/>
    <w:rsid w:val="002D3D6E"/>
    <w:rsid w:val="002D3D79"/>
    <w:rsid w:val="002D3DFF"/>
    <w:rsid w:val="002D3E38"/>
    <w:rsid w:val="002D3F43"/>
    <w:rsid w:val="002D3F95"/>
    <w:rsid w:val="002D3FF2"/>
    <w:rsid w:val="002D4067"/>
    <w:rsid w:val="002D416B"/>
    <w:rsid w:val="002D4327"/>
    <w:rsid w:val="002D43FF"/>
    <w:rsid w:val="002D4442"/>
    <w:rsid w:val="002D44EC"/>
    <w:rsid w:val="002D44FC"/>
    <w:rsid w:val="002D4525"/>
    <w:rsid w:val="002D4559"/>
    <w:rsid w:val="002D45E1"/>
    <w:rsid w:val="002D4603"/>
    <w:rsid w:val="002D462D"/>
    <w:rsid w:val="002D464A"/>
    <w:rsid w:val="002D473C"/>
    <w:rsid w:val="002D47B3"/>
    <w:rsid w:val="002D47D5"/>
    <w:rsid w:val="002D4824"/>
    <w:rsid w:val="002D484F"/>
    <w:rsid w:val="002D4876"/>
    <w:rsid w:val="002D487F"/>
    <w:rsid w:val="002D48D3"/>
    <w:rsid w:val="002D492C"/>
    <w:rsid w:val="002D493C"/>
    <w:rsid w:val="002D49A8"/>
    <w:rsid w:val="002D4AB6"/>
    <w:rsid w:val="002D4AD7"/>
    <w:rsid w:val="002D4B83"/>
    <w:rsid w:val="002D4BD7"/>
    <w:rsid w:val="002D4CEA"/>
    <w:rsid w:val="002D4CF9"/>
    <w:rsid w:val="002D4DC8"/>
    <w:rsid w:val="002D4E2B"/>
    <w:rsid w:val="002D4FD8"/>
    <w:rsid w:val="002D5041"/>
    <w:rsid w:val="002D5051"/>
    <w:rsid w:val="002D505C"/>
    <w:rsid w:val="002D5147"/>
    <w:rsid w:val="002D515A"/>
    <w:rsid w:val="002D51E0"/>
    <w:rsid w:val="002D51F9"/>
    <w:rsid w:val="002D530C"/>
    <w:rsid w:val="002D5480"/>
    <w:rsid w:val="002D548E"/>
    <w:rsid w:val="002D54D6"/>
    <w:rsid w:val="002D5590"/>
    <w:rsid w:val="002D5621"/>
    <w:rsid w:val="002D564A"/>
    <w:rsid w:val="002D56A8"/>
    <w:rsid w:val="002D56B5"/>
    <w:rsid w:val="002D575F"/>
    <w:rsid w:val="002D5788"/>
    <w:rsid w:val="002D57C4"/>
    <w:rsid w:val="002D5841"/>
    <w:rsid w:val="002D5872"/>
    <w:rsid w:val="002D588E"/>
    <w:rsid w:val="002D5894"/>
    <w:rsid w:val="002D5A3D"/>
    <w:rsid w:val="002D5AA9"/>
    <w:rsid w:val="002D5B34"/>
    <w:rsid w:val="002D5CDD"/>
    <w:rsid w:val="002D5D07"/>
    <w:rsid w:val="002D5D14"/>
    <w:rsid w:val="002D5D47"/>
    <w:rsid w:val="002D5DC1"/>
    <w:rsid w:val="002D5E0F"/>
    <w:rsid w:val="002D5EDA"/>
    <w:rsid w:val="002D604F"/>
    <w:rsid w:val="002D6051"/>
    <w:rsid w:val="002D60DD"/>
    <w:rsid w:val="002D6171"/>
    <w:rsid w:val="002D61B4"/>
    <w:rsid w:val="002D628A"/>
    <w:rsid w:val="002D6457"/>
    <w:rsid w:val="002D6484"/>
    <w:rsid w:val="002D64EF"/>
    <w:rsid w:val="002D65F5"/>
    <w:rsid w:val="002D6622"/>
    <w:rsid w:val="002D6745"/>
    <w:rsid w:val="002D67F4"/>
    <w:rsid w:val="002D6881"/>
    <w:rsid w:val="002D689E"/>
    <w:rsid w:val="002D695A"/>
    <w:rsid w:val="002D69BE"/>
    <w:rsid w:val="002D6A6D"/>
    <w:rsid w:val="002D6B89"/>
    <w:rsid w:val="002D6C05"/>
    <w:rsid w:val="002D6D60"/>
    <w:rsid w:val="002D6DBD"/>
    <w:rsid w:val="002D6EE6"/>
    <w:rsid w:val="002D6F0B"/>
    <w:rsid w:val="002D6F1E"/>
    <w:rsid w:val="002D7020"/>
    <w:rsid w:val="002D703A"/>
    <w:rsid w:val="002D709D"/>
    <w:rsid w:val="002D7138"/>
    <w:rsid w:val="002D7193"/>
    <w:rsid w:val="002D7248"/>
    <w:rsid w:val="002D72AF"/>
    <w:rsid w:val="002D7322"/>
    <w:rsid w:val="002D73C6"/>
    <w:rsid w:val="002D73D4"/>
    <w:rsid w:val="002D746D"/>
    <w:rsid w:val="002D752C"/>
    <w:rsid w:val="002D7550"/>
    <w:rsid w:val="002D755B"/>
    <w:rsid w:val="002D763D"/>
    <w:rsid w:val="002D788E"/>
    <w:rsid w:val="002D789E"/>
    <w:rsid w:val="002D7A62"/>
    <w:rsid w:val="002D7AAA"/>
    <w:rsid w:val="002D7AF2"/>
    <w:rsid w:val="002D7B0F"/>
    <w:rsid w:val="002D7B4C"/>
    <w:rsid w:val="002D7BE6"/>
    <w:rsid w:val="002D7C10"/>
    <w:rsid w:val="002D7CDF"/>
    <w:rsid w:val="002D7D5D"/>
    <w:rsid w:val="002D7DA2"/>
    <w:rsid w:val="002D7E30"/>
    <w:rsid w:val="002D7EE1"/>
    <w:rsid w:val="002D7F08"/>
    <w:rsid w:val="002D7F40"/>
    <w:rsid w:val="002E0033"/>
    <w:rsid w:val="002E0080"/>
    <w:rsid w:val="002E0138"/>
    <w:rsid w:val="002E020C"/>
    <w:rsid w:val="002E023C"/>
    <w:rsid w:val="002E02DE"/>
    <w:rsid w:val="002E030C"/>
    <w:rsid w:val="002E0340"/>
    <w:rsid w:val="002E0375"/>
    <w:rsid w:val="002E039C"/>
    <w:rsid w:val="002E044F"/>
    <w:rsid w:val="002E0481"/>
    <w:rsid w:val="002E0487"/>
    <w:rsid w:val="002E04A9"/>
    <w:rsid w:val="002E04BB"/>
    <w:rsid w:val="002E0530"/>
    <w:rsid w:val="002E05A6"/>
    <w:rsid w:val="002E05E9"/>
    <w:rsid w:val="002E066D"/>
    <w:rsid w:val="002E0674"/>
    <w:rsid w:val="002E0721"/>
    <w:rsid w:val="002E0795"/>
    <w:rsid w:val="002E079A"/>
    <w:rsid w:val="002E0808"/>
    <w:rsid w:val="002E08B5"/>
    <w:rsid w:val="002E0943"/>
    <w:rsid w:val="002E0987"/>
    <w:rsid w:val="002E09FD"/>
    <w:rsid w:val="002E0B66"/>
    <w:rsid w:val="002E0C8F"/>
    <w:rsid w:val="002E0D12"/>
    <w:rsid w:val="002E0D76"/>
    <w:rsid w:val="002E0DA4"/>
    <w:rsid w:val="002E0E91"/>
    <w:rsid w:val="002E0F06"/>
    <w:rsid w:val="002E0F47"/>
    <w:rsid w:val="002E0F61"/>
    <w:rsid w:val="002E0FDA"/>
    <w:rsid w:val="002E103E"/>
    <w:rsid w:val="002E109B"/>
    <w:rsid w:val="002E10B6"/>
    <w:rsid w:val="002E111A"/>
    <w:rsid w:val="002E1170"/>
    <w:rsid w:val="002E12A7"/>
    <w:rsid w:val="002E12E8"/>
    <w:rsid w:val="002E1371"/>
    <w:rsid w:val="002E14C0"/>
    <w:rsid w:val="002E14E8"/>
    <w:rsid w:val="002E14EB"/>
    <w:rsid w:val="002E1653"/>
    <w:rsid w:val="002E16DD"/>
    <w:rsid w:val="002E1844"/>
    <w:rsid w:val="002E1921"/>
    <w:rsid w:val="002E1947"/>
    <w:rsid w:val="002E1966"/>
    <w:rsid w:val="002E19F0"/>
    <w:rsid w:val="002E1A44"/>
    <w:rsid w:val="002E1B48"/>
    <w:rsid w:val="002E1C16"/>
    <w:rsid w:val="002E1D5E"/>
    <w:rsid w:val="002E1D8B"/>
    <w:rsid w:val="002E1EFD"/>
    <w:rsid w:val="002E1F36"/>
    <w:rsid w:val="002E1FA4"/>
    <w:rsid w:val="002E1FB2"/>
    <w:rsid w:val="002E206C"/>
    <w:rsid w:val="002E2070"/>
    <w:rsid w:val="002E2085"/>
    <w:rsid w:val="002E2187"/>
    <w:rsid w:val="002E21F9"/>
    <w:rsid w:val="002E22A6"/>
    <w:rsid w:val="002E22C3"/>
    <w:rsid w:val="002E22E8"/>
    <w:rsid w:val="002E2480"/>
    <w:rsid w:val="002E2498"/>
    <w:rsid w:val="002E25C8"/>
    <w:rsid w:val="002E25CF"/>
    <w:rsid w:val="002E262D"/>
    <w:rsid w:val="002E2665"/>
    <w:rsid w:val="002E26BE"/>
    <w:rsid w:val="002E26D2"/>
    <w:rsid w:val="002E26F5"/>
    <w:rsid w:val="002E2704"/>
    <w:rsid w:val="002E271C"/>
    <w:rsid w:val="002E2779"/>
    <w:rsid w:val="002E283D"/>
    <w:rsid w:val="002E2873"/>
    <w:rsid w:val="002E2961"/>
    <w:rsid w:val="002E2A47"/>
    <w:rsid w:val="002E2A94"/>
    <w:rsid w:val="002E2B3F"/>
    <w:rsid w:val="002E2B53"/>
    <w:rsid w:val="002E2B87"/>
    <w:rsid w:val="002E2CB4"/>
    <w:rsid w:val="002E2DC8"/>
    <w:rsid w:val="002E2EF0"/>
    <w:rsid w:val="002E2F3F"/>
    <w:rsid w:val="002E2F5D"/>
    <w:rsid w:val="002E2F78"/>
    <w:rsid w:val="002E2FE6"/>
    <w:rsid w:val="002E2FEE"/>
    <w:rsid w:val="002E3006"/>
    <w:rsid w:val="002E3091"/>
    <w:rsid w:val="002E32BD"/>
    <w:rsid w:val="002E32D3"/>
    <w:rsid w:val="002E347F"/>
    <w:rsid w:val="002E34A5"/>
    <w:rsid w:val="002E36B5"/>
    <w:rsid w:val="002E3831"/>
    <w:rsid w:val="002E390E"/>
    <w:rsid w:val="002E395C"/>
    <w:rsid w:val="002E399C"/>
    <w:rsid w:val="002E39C1"/>
    <w:rsid w:val="002E3A16"/>
    <w:rsid w:val="002E3A27"/>
    <w:rsid w:val="002E3A5C"/>
    <w:rsid w:val="002E3AFE"/>
    <w:rsid w:val="002E3B7C"/>
    <w:rsid w:val="002E3C97"/>
    <w:rsid w:val="002E3CE0"/>
    <w:rsid w:val="002E3CFB"/>
    <w:rsid w:val="002E3D2B"/>
    <w:rsid w:val="002E3DEB"/>
    <w:rsid w:val="002E3E2C"/>
    <w:rsid w:val="002E3E74"/>
    <w:rsid w:val="002E3E7F"/>
    <w:rsid w:val="002E3E9D"/>
    <w:rsid w:val="002E3EDB"/>
    <w:rsid w:val="002E3F19"/>
    <w:rsid w:val="002E3F42"/>
    <w:rsid w:val="002E40BD"/>
    <w:rsid w:val="002E40CD"/>
    <w:rsid w:val="002E415C"/>
    <w:rsid w:val="002E415D"/>
    <w:rsid w:val="002E439E"/>
    <w:rsid w:val="002E46A8"/>
    <w:rsid w:val="002E486E"/>
    <w:rsid w:val="002E489A"/>
    <w:rsid w:val="002E48D2"/>
    <w:rsid w:val="002E48F0"/>
    <w:rsid w:val="002E4961"/>
    <w:rsid w:val="002E4A2A"/>
    <w:rsid w:val="002E4A88"/>
    <w:rsid w:val="002E4B32"/>
    <w:rsid w:val="002E4B74"/>
    <w:rsid w:val="002E4BCA"/>
    <w:rsid w:val="002E4CC3"/>
    <w:rsid w:val="002E4CF5"/>
    <w:rsid w:val="002E4CF9"/>
    <w:rsid w:val="002E4E0E"/>
    <w:rsid w:val="002E4E35"/>
    <w:rsid w:val="002E4F60"/>
    <w:rsid w:val="002E4FA9"/>
    <w:rsid w:val="002E504A"/>
    <w:rsid w:val="002E5087"/>
    <w:rsid w:val="002E52D6"/>
    <w:rsid w:val="002E53A2"/>
    <w:rsid w:val="002E53AF"/>
    <w:rsid w:val="002E5471"/>
    <w:rsid w:val="002E548B"/>
    <w:rsid w:val="002E58A3"/>
    <w:rsid w:val="002E59AC"/>
    <w:rsid w:val="002E59DA"/>
    <w:rsid w:val="002E5A2E"/>
    <w:rsid w:val="002E5A3D"/>
    <w:rsid w:val="002E5AEC"/>
    <w:rsid w:val="002E5AF5"/>
    <w:rsid w:val="002E5B75"/>
    <w:rsid w:val="002E5C74"/>
    <w:rsid w:val="002E5CC0"/>
    <w:rsid w:val="002E5D24"/>
    <w:rsid w:val="002E5D50"/>
    <w:rsid w:val="002E5E94"/>
    <w:rsid w:val="002E5EF0"/>
    <w:rsid w:val="002E5FE2"/>
    <w:rsid w:val="002E6005"/>
    <w:rsid w:val="002E6028"/>
    <w:rsid w:val="002E6059"/>
    <w:rsid w:val="002E6094"/>
    <w:rsid w:val="002E60AE"/>
    <w:rsid w:val="002E6124"/>
    <w:rsid w:val="002E6152"/>
    <w:rsid w:val="002E6249"/>
    <w:rsid w:val="002E62D6"/>
    <w:rsid w:val="002E62FA"/>
    <w:rsid w:val="002E6385"/>
    <w:rsid w:val="002E638A"/>
    <w:rsid w:val="002E63B1"/>
    <w:rsid w:val="002E64FB"/>
    <w:rsid w:val="002E6528"/>
    <w:rsid w:val="002E653A"/>
    <w:rsid w:val="002E65C5"/>
    <w:rsid w:val="002E6659"/>
    <w:rsid w:val="002E6703"/>
    <w:rsid w:val="002E670E"/>
    <w:rsid w:val="002E6777"/>
    <w:rsid w:val="002E6782"/>
    <w:rsid w:val="002E678E"/>
    <w:rsid w:val="002E67F9"/>
    <w:rsid w:val="002E68CF"/>
    <w:rsid w:val="002E6902"/>
    <w:rsid w:val="002E6950"/>
    <w:rsid w:val="002E69D8"/>
    <w:rsid w:val="002E6A33"/>
    <w:rsid w:val="002E6A54"/>
    <w:rsid w:val="002E6B28"/>
    <w:rsid w:val="002E6B47"/>
    <w:rsid w:val="002E6B65"/>
    <w:rsid w:val="002E6B68"/>
    <w:rsid w:val="002E6B7D"/>
    <w:rsid w:val="002E6BB7"/>
    <w:rsid w:val="002E6BD2"/>
    <w:rsid w:val="002E6C91"/>
    <w:rsid w:val="002E6CE6"/>
    <w:rsid w:val="002E6D26"/>
    <w:rsid w:val="002E6D39"/>
    <w:rsid w:val="002E6DE9"/>
    <w:rsid w:val="002E6E3B"/>
    <w:rsid w:val="002E6E54"/>
    <w:rsid w:val="002E70C9"/>
    <w:rsid w:val="002E7116"/>
    <w:rsid w:val="002E731C"/>
    <w:rsid w:val="002E74D5"/>
    <w:rsid w:val="002E74E6"/>
    <w:rsid w:val="002E75A9"/>
    <w:rsid w:val="002E7702"/>
    <w:rsid w:val="002E7733"/>
    <w:rsid w:val="002E7752"/>
    <w:rsid w:val="002E77F4"/>
    <w:rsid w:val="002E7863"/>
    <w:rsid w:val="002E78D7"/>
    <w:rsid w:val="002E78E3"/>
    <w:rsid w:val="002E79BE"/>
    <w:rsid w:val="002E7A0B"/>
    <w:rsid w:val="002E7ABA"/>
    <w:rsid w:val="002E7AE2"/>
    <w:rsid w:val="002E7AE9"/>
    <w:rsid w:val="002E7B71"/>
    <w:rsid w:val="002E7B8F"/>
    <w:rsid w:val="002E7C41"/>
    <w:rsid w:val="002E7C53"/>
    <w:rsid w:val="002E7CD2"/>
    <w:rsid w:val="002E7D91"/>
    <w:rsid w:val="002E7F39"/>
    <w:rsid w:val="002F00CA"/>
    <w:rsid w:val="002F00DB"/>
    <w:rsid w:val="002F0153"/>
    <w:rsid w:val="002F017E"/>
    <w:rsid w:val="002F01C8"/>
    <w:rsid w:val="002F01D1"/>
    <w:rsid w:val="002F0275"/>
    <w:rsid w:val="002F0329"/>
    <w:rsid w:val="002F0369"/>
    <w:rsid w:val="002F03A1"/>
    <w:rsid w:val="002F03D1"/>
    <w:rsid w:val="002F0416"/>
    <w:rsid w:val="002F0460"/>
    <w:rsid w:val="002F046B"/>
    <w:rsid w:val="002F04F4"/>
    <w:rsid w:val="002F0555"/>
    <w:rsid w:val="002F0565"/>
    <w:rsid w:val="002F05FB"/>
    <w:rsid w:val="002F0601"/>
    <w:rsid w:val="002F0627"/>
    <w:rsid w:val="002F064F"/>
    <w:rsid w:val="002F078A"/>
    <w:rsid w:val="002F07DE"/>
    <w:rsid w:val="002F0850"/>
    <w:rsid w:val="002F0888"/>
    <w:rsid w:val="002F08C6"/>
    <w:rsid w:val="002F0991"/>
    <w:rsid w:val="002F09A9"/>
    <w:rsid w:val="002F0ADB"/>
    <w:rsid w:val="002F0B53"/>
    <w:rsid w:val="002F0BE8"/>
    <w:rsid w:val="002F0C43"/>
    <w:rsid w:val="002F0CFD"/>
    <w:rsid w:val="002F0E29"/>
    <w:rsid w:val="002F0E9D"/>
    <w:rsid w:val="002F0EB9"/>
    <w:rsid w:val="002F0EE8"/>
    <w:rsid w:val="002F0F3B"/>
    <w:rsid w:val="002F0F4E"/>
    <w:rsid w:val="002F0F65"/>
    <w:rsid w:val="002F0FDE"/>
    <w:rsid w:val="002F1094"/>
    <w:rsid w:val="002F10C3"/>
    <w:rsid w:val="002F1112"/>
    <w:rsid w:val="002F1188"/>
    <w:rsid w:val="002F11B5"/>
    <w:rsid w:val="002F11F5"/>
    <w:rsid w:val="002F12BA"/>
    <w:rsid w:val="002F130E"/>
    <w:rsid w:val="002F1331"/>
    <w:rsid w:val="002F137F"/>
    <w:rsid w:val="002F13AA"/>
    <w:rsid w:val="002F146A"/>
    <w:rsid w:val="002F1518"/>
    <w:rsid w:val="002F1537"/>
    <w:rsid w:val="002F1565"/>
    <w:rsid w:val="002F1581"/>
    <w:rsid w:val="002F15E1"/>
    <w:rsid w:val="002F15FA"/>
    <w:rsid w:val="002F1683"/>
    <w:rsid w:val="002F16B5"/>
    <w:rsid w:val="002F180A"/>
    <w:rsid w:val="002F1886"/>
    <w:rsid w:val="002F18B5"/>
    <w:rsid w:val="002F18C7"/>
    <w:rsid w:val="002F18EE"/>
    <w:rsid w:val="002F193B"/>
    <w:rsid w:val="002F1969"/>
    <w:rsid w:val="002F1998"/>
    <w:rsid w:val="002F19C9"/>
    <w:rsid w:val="002F1A5D"/>
    <w:rsid w:val="002F1A5E"/>
    <w:rsid w:val="002F1AC2"/>
    <w:rsid w:val="002F1AF3"/>
    <w:rsid w:val="002F1B26"/>
    <w:rsid w:val="002F1C68"/>
    <w:rsid w:val="002F1DAC"/>
    <w:rsid w:val="002F1DC8"/>
    <w:rsid w:val="002F1E5D"/>
    <w:rsid w:val="002F1E63"/>
    <w:rsid w:val="002F1F46"/>
    <w:rsid w:val="002F1FE1"/>
    <w:rsid w:val="002F2019"/>
    <w:rsid w:val="002F2162"/>
    <w:rsid w:val="002F2196"/>
    <w:rsid w:val="002F22E1"/>
    <w:rsid w:val="002F2382"/>
    <w:rsid w:val="002F23DB"/>
    <w:rsid w:val="002F2471"/>
    <w:rsid w:val="002F24F5"/>
    <w:rsid w:val="002F252B"/>
    <w:rsid w:val="002F25A1"/>
    <w:rsid w:val="002F26CC"/>
    <w:rsid w:val="002F271E"/>
    <w:rsid w:val="002F2907"/>
    <w:rsid w:val="002F292D"/>
    <w:rsid w:val="002F29E5"/>
    <w:rsid w:val="002F2A3B"/>
    <w:rsid w:val="002F2A45"/>
    <w:rsid w:val="002F2A6E"/>
    <w:rsid w:val="002F2A7F"/>
    <w:rsid w:val="002F2AF4"/>
    <w:rsid w:val="002F2C04"/>
    <w:rsid w:val="002F2C06"/>
    <w:rsid w:val="002F2C31"/>
    <w:rsid w:val="002F2CD2"/>
    <w:rsid w:val="002F2CE6"/>
    <w:rsid w:val="002F2DDC"/>
    <w:rsid w:val="002F2DE6"/>
    <w:rsid w:val="002F2E07"/>
    <w:rsid w:val="002F2E9A"/>
    <w:rsid w:val="002F2ED7"/>
    <w:rsid w:val="002F2F41"/>
    <w:rsid w:val="002F2F67"/>
    <w:rsid w:val="002F2F91"/>
    <w:rsid w:val="002F2FAD"/>
    <w:rsid w:val="002F3043"/>
    <w:rsid w:val="002F308D"/>
    <w:rsid w:val="002F30BD"/>
    <w:rsid w:val="002F324A"/>
    <w:rsid w:val="002F32EC"/>
    <w:rsid w:val="002F3435"/>
    <w:rsid w:val="002F351D"/>
    <w:rsid w:val="002F360F"/>
    <w:rsid w:val="002F3687"/>
    <w:rsid w:val="002F36B6"/>
    <w:rsid w:val="002F36F3"/>
    <w:rsid w:val="002F3757"/>
    <w:rsid w:val="002F37F5"/>
    <w:rsid w:val="002F3809"/>
    <w:rsid w:val="002F38D3"/>
    <w:rsid w:val="002F394B"/>
    <w:rsid w:val="002F3971"/>
    <w:rsid w:val="002F39D2"/>
    <w:rsid w:val="002F3A87"/>
    <w:rsid w:val="002F3AF9"/>
    <w:rsid w:val="002F3BCD"/>
    <w:rsid w:val="002F3BED"/>
    <w:rsid w:val="002F3BFE"/>
    <w:rsid w:val="002F3C0B"/>
    <w:rsid w:val="002F3C0D"/>
    <w:rsid w:val="002F3C82"/>
    <w:rsid w:val="002F3CEE"/>
    <w:rsid w:val="002F3CF3"/>
    <w:rsid w:val="002F3D17"/>
    <w:rsid w:val="002F3F11"/>
    <w:rsid w:val="002F3FD6"/>
    <w:rsid w:val="002F402A"/>
    <w:rsid w:val="002F4042"/>
    <w:rsid w:val="002F405B"/>
    <w:rsid w:val="002F40F3"/>
    <w:rsid w:val="002F4276"/>
    <w:rsid w:val="002F42D6"/>
    <w:rsid w:val="002F4374"/>
    <w:rsid w:val="002F4459"/>
    <w:rsid w:val="002F44A8"/>
    <w:rsid w:val="002F4537"/>
    <w:rsid w:val="002F4594"/>
    <w:rsid w:val="002F45B1"/>
    <w:rsid w:val="002F45BE"/>
    <w:rsid w:val="002F4718"/>
    <w:rsid w:val="002F4822"/>
    <w:rsid w:val="002F4856"/>
    <w:rsid w:val="002F48BB"/>
    <w:rsid w:val="002F48E3"/>
    <w:rsid w:val="002F4A62"/>
    <w:rsid w:val="002F4AAC"/>
    <w:rsid w:val="002F4AEB"/>
    <w:rsid w:val="002F4B2F"/>
    <w:rsid w:val="002F4BD1"/>
    <w:rsid w:val="002F4C0B"/>
    <w:rsid w:val="002F4C99"/>
    <w:rsid w:val="002F4CB9"/>
    <w:rsid w:val="002F4CC5"/>
    <w:rsid w:val="002F4CF9"/>
    <w:rsid w:val="002F4D3C"/>
    <w:rsid w:val="002F4D7D"/>
    <w:rsid w:val="002F4DCF"/>
    <w:rsid w:val="002F4E67"/>
    <w:rsid w:val="002F4E78"/>
    <w:rsid w:val="002F4EC6"/>
    <w:rsid w:val="002F4FCE"/>
    <w:rsid w:val="002F504E"/>
    <w:rsid w:val="002F506A"/>
    <w:rsid w:val="002F50C6"/>
    <w:rsid w:val="002F51EF"/>
    <w:rsid w:val="002F5224"/>
    <w:rsid w:val="002F53AF"/>
    <w:rsid w:val="002F5451"/>
    <w:rsid w:val="002F553B"/>
    <w:rsid w:val="002F55C8"/>
    <w:rsid w:val="002F56EE"/>
    <w:rsid w:val="002F57D8"/>
    <w:rsid w:val="002F5864"/>
    <w:rsid w:val="002F588D"/>
    <w:rsid w:val="002F5A01"/>
    <w:rsid w:val="002F5BC3"/>
    <w:rsid w:val="002F5C74"/>
    <w:rsid w:val="002F5CA6"/>
    <w:rsid w:val="002F5CC0"/>
    <w:rsid w:val="002F5D1A"/>
    <w:rsid w:val="002F5D77"/>
    <w:rsid w:val="002F5D90"/>
    <w:rsid w:val="002F5DDD"/>
    <w:rsid w:val="002F5E00"/>
    <w:rsid w:val="002F5E56"/>
    <w:rsid w:val="002F5EC2"/>
    <w:rsid w:val="002F5F48"/>
    <w:rsid w:val="002F5F94"/>
    <w:rsid w:val="002F6066"/>
    <w:rsid w:val="002F60EA"/>
    <w:rsid w:val="002F6118"/>
    <w:rsid w:val="002F6120"/>
    <w:rsid w:val="002F61F4"/>
    <w:rsid w:val="002F6213"/>
    <w:rsid w:val="002F6393"/>
    <w:rsid w:val="002F6408"/>
    <w:rsid w:val="002F6474"/>
    <w:rsid w:val="002F64AA"/>
    <w:rsid w:val="002F653E"/>
    <w:rsid w:val="002F66CF"/>
    <w:rsid w:val="002F67E1"/>
    <w:rsid w:val="002F67EF"/>
    <w:rsid w:val="002F694F"/>
    <w:rsid w:val="002F6963"/>
    <w:rsid w:val="002F69C5"/>
    <w:rsid w:val="002F6A89"/>
    <w:rsid w:val="002F6B30"/>
    <w:rsid w:val="002F6B53"/>
    <w:rsid w:val="002F6D0E"/>
    <w:rsid w:val="002F6EA0"/>
    <w:rsid w:val="002F6EC8"/>
    <w:rsid w:val="002F6FB1"/>
    <w:rsid w:val="002F72FF"/>
    <w:rsid w:val="002F73B1"/>
    <w:rsid w:val="002F7515"/>
    <w:rsid w:val="002F7531"/>
    <w:rsid w:val="002F7586"/>
    <w:rsid w:val="002F75AD"/>
    <w:rsid w:val="002F75C8"/>
    <w:rsid w:val="002F75D1"/>
    <w:rsid w:val="002F771B"/>
    <w:rsid w:val="002F77A7"/>
    <w:rsid w:val="002F77E2"/>
    <w:rsid w:val="002F788C"/>
    <w:rsid w:val="002F7A23"/>
    <w:rsid w:val="002F7A25"/>
    <w:rsid w:val="002F7B3A"/>
    <w:rsid w:val="002F7B74"/>
    <w:rsid w:val="002F7BEE"/>
    <w:rsid w:val="002F7CE2"/>
    <w:rsid w:val="002F7D97"/>
    <w:rsid w:val="002F7E09"/>
    <w:rsid w:val="002F7EBC"/>
    <w:rsid w:val="002F7F09"/>
    <w:rsid w:val="002F7F38"/>
    <w:rsid w:val="002F7F5D"/>
    <w:rsid w:val="002F7F70"/>
    <w:rsid w:val="002F7F78"/>
    <w:rsid w:val="002F7FF8"/>
    <w:rsid w:val="002FD122"/>
    <w:rsid w:val="0030008A"/>
    <w:rsid w:val="003000E3"/>
    <w:rsid w:val="003000EF"/>
    <w:rsid w:val="003000F3"/>
    <w:rsid w:val="003001A8"/>
    <w:rsid w:val="003001D1"/>
    <w:rsid w:val="003001F7"/>
    <w:rsid w:val="003001F9"/>
    <w:rsid w:val="00300259"/>
    <w:rsid w:val="0030047B"/>
    <w:rsid w:val="0030051E"/>
    <w:rsid w:val="00300574"/>
    <w:rsid w:val="0030061C"/>
    <w:rsid w:val="00300789"/>
    <w:rsid w:val="0030078B"/>
    <w:rsid w:val="00300836"/>
    <w:rsid w:val="00300846"/>
    <w:rsid w:val="00300852"/>
    <w:rsid w:val="0030087A"/>
    <w:rsid w:val="003008FF"/>
    <w:rsid w:val="003009B8"/>
    <w:rsid w:val="003009D7"/>
    <w:rsid w:val="003009FB"/>
    <w:rsid w:val="00300AF2"/>
    <w:rsid w:val="00300B73"/>
    <w:rsid w:val="00300C26"/>
    <w:rsid w:val="00300DED"/>
    <w:rsid w:val="00300F62"/>
    <w:rsid w:val="00301094"/>
    <w:rsid w:val="003010A1"/>
    <w:rsid w:val="003010BA"/>
    <w:rsid w:val="00301111"/>
    <w:rsid w:val="00301168"/>
    <w:rsid w:val="00301190"/>
    <w:rsid w:val="00301280"/>
    <w:rsid w:val="0030133F"/>
    <w:rsid w:val="00301608"/>
    <w:rsid w:val="003016AC"/>
    <w:rsid w:val="00301833"/>
    <w:rsid w:val="0030187C"/>
    <w:rsid w:val="00301924"/>
    <w:rsid w:val="00301950"/>
    <w:rsid w:val="003019A7"/>
    <w:rsid w:val="003019F4"/>
    <w:rsid w:val="00301A24"/>
    <w:rsid w:val="00301A77"/>
    <w:rsid w:val="00301CDA"/>
    <w:rsid w:val="00301D85"/>
    <w:rsid w:val="00301E3B"/>
    <w:rsid w:val="00301F4A"/>
    <w:rsid w:val="00301F6B"/>
    <w:rsid w:val="00301FDD"/>
    <w:rsid w:val="00302061"/>
    <w:rsid w:val="0030209C"/>
    <w:rsid w:val="003020E0"/>
    <w:rsid w:val="00302133"/>
    <w:rsid w:val="00302185"/>
    <w:rsid w:val="003021D0"/>
    <w:rsid w:val="0030222E"/>
    <w:rsid w:val="00302266"/>
    <w:rsid w:val="0030228A"/>
    <w:rsid w:val="0030234C"/>
    <w:rsid w:val="0030234E"/>
    <w:rsid w:val="0030235F"/>
    <w:rsid w:val="003023DF"/>
    <w:rsid w:val="0030240C"/>
    <w:rsid w:val="00302423"/>
    <w:rsid w:val="00302498"/>
    <w:rsid w:val="003024ED"/>
    <w:rsid w:val="003025BB"/>
    <w:rsid w:val="003025D3"/>
    <w:rsid w:val="00302610"/>
    <w:rsid w:val="0030262E"/>
    <w:rsid w:val="00302692"/>
    <w:rsid w:val="00302698"/>
    <w:rsid w:val="003026A9"/>
    <w:rsid w:val="00302712"/>
    <w:rsid w:val="0030274A"/>
    <w:rsid w:val="003027EF"/>
    <w:rsid w:val="003028A3"/>
    <w:rsid w:val="003028D0"/>
    <w:rsid w:val="003028ED"/>
    <w:rsid w:val="00302949"/>
    <w:rsid w:val="003029E0"/>
    <w:rsid w:val="00302A0C"/>
    <w:rsid w:val="00302AE6"/>
    <w:rsid w:val="00302AF6"/>
    <w:rsid w:val="00302C35"/>
    <w:rsid w:val="00302C81"/>
    <w:rsid w:val="00302D4F"/>
    <w:rsid w:val="00302EEA"/>
    <w:rsid w:val="00302FD1"/>
    <w:rsid w:val="0030300F"/>
    <w:rsid w:val="00303077"/>
    <w:rsid w:val="003030BF"/>
    <w:rsid w:val="00303191"/>
    <w:rsid w:val="003031BF"/>
    <w:rsid w:val="00303275"/>
    <w:rsid w:val="003032AA"/>
    <w:rsid w:val="003032F9"/>
    <w:rsid w:val="003033B8"/>
    <w:rsid w:val="00303488"/>
    <w:rsid w:val="0030349E"/>
    <w:rsid w:val="003034E3"/>
    <w:rsid w:val="0030364F"/>
    <w:rsid w:val="00303678"/>
    <w:rsid w:val="00303716"/>
    <w:rsid w:val="0030371E"/>
    <w:rsid w:val="0030396C"/>
    <w:rsid w:val="00303970"/>
    <w:rsid w:val="003039B9"/>
    <w:rsid w:val="00303A2D"/>
    <w:rsid w:val="00303B64"/>
    <w:rsid w:val="00303B6D"/>
    <w:rsid w:val="00303B7C"/>
    <w:rsid w:val="00303B8F"/>
    <w:rsid w:val="00303CD9"/>
    <w:rsid w:val="00303CE1"/>
    <w:rsid w:val="00303EB4"/>
    <w:rsid w:val="00303FEA"/>
    <w:rsid w:val="003040D0"/>
    <w:rsid w:val="003040E9"/>
    <w:rsid w:val="003040FC"/>
    <w:rsid w:val="003041C3"/>
    <w:rsid w:val="00304238"/>
    <w:rsid w:val="00304253"/>
    <w:rsid w:val="00304282"/>
    <w:rsid w:val="003042D3"/>
    <w:rsid w:val="003042DA"/>
    <w:rsid w:val="00304390"/>
    <w:rsid w:val="00304417"/>
    <w:rsid w:val="00304441"/>
    <w:rsid w:val="003045F3"/>
    <w:rsid w:val="00304668"/>
    <w:rsid w:val="00304746"/>
    <w:rsid w:val="0030480F"/>
    <w:rsid w:val="00304A14"/>
    <w:rsid w:val="00304B6E"/>
    <w:rsid w:val="00304C43"/>
    <w:rsid w:val="00304C9B"/>
    <w:rsid w:val="00304CF4"/>
    <w:rsid w:val="00304E2D"/>
    <w:rsid w:val="00304EED"/>
    <w:rsid w:val="00304FC3"/>
    <w:rsid w:val="00305105"/>
    <w:rsid w:val="003051C6"/>
    <w:rsid w:val="0030521D"/>
    <w:rsid w:val="0030522B"/>
    <w:rsid w:val="003052C5"/>
    <w:rsid w:val="003052D3"/>
    <w:rsid w:val="00305326"/>
    <w:rsid w:val="00305388"/>
    <w:rsid w:val="003053B9"/>
    <w:rsid w:val="00305424"/>
    <w:rsid w:val="00305493"/>
    <w:rsid w:val="0030557D"/>
    <w:rsid w:val="00305710"/>
    <w:rsid w:val="00305775"/>
    <w:rsid w:val="003057B0"/>
    <w:rsid w:val="003058E0"/>
    <w:rsid w:val="003059D8"/>
    <w:rsid w:val="00305ABF"/>
    <w:rsid w:val="00305B91"/>
    <w:rsid w:val="00305B97"/>
    <w:rsid w:val="00305BA1"/>
    <w:rsid w:val="00305C5D"/>
    <w:rsid w:val="00305CA1"/>
    <w:rsid w:val="00305CA8"/>
    <w:rsid w:val="00305D24"/>
    <w:rsid w:val="00305D38"/>
    <w:rsid w:val="00305D48"/>
    <w:rsid w:val="00305D4E"/>
    <w:rsid w:val="00305D9B"/>
    <w:rsid w:val="00305DBE"/>
    <w:rsid w:val="00305E0A"/>
    <w:rsid w:val="00305FB9"/>
    <w:rsid w:val="00306152"/>
    <w:rsid w:val="003061A9"/>
    <w:rsid w:val="003061E1"/>
    <w:rsid w:val="003062B9"/>
    <w:rsid w:val="003062BB"/>
    <w:rsid w:val="003062C3"/>
    <w:rsid w:val="00306323"/>
    <w:rsid w:val="00306370"/>
    <w:rsid w:val="00306395"/>
    <w:rsid w:val="003063A4"/>
    <w:rsid w:val="00306418"/>
    <w:rsid w:val="0030645E"/>
    <w:rsid w:val="0030647D"/>
    <w:rsid w:val="003064CB"/>
    <w:rsid w:val="003065A3"/>
    <w:rsid w:val="00306714"/>
    <w:rsid w:val="00306761"/>
    <w:rsid w:val="0030685E"/>
    <w:rsid w:val="003068DD"/>
    <w:rsid w:val="003068FB"/>
    <w:rsid w:val="00306980"/>
    <w:rsid w:val="00306A12"/>
    <w:rsid w:val="00306A66"/>
    <w:rsid w:val="00306B41"/>
    <w:rsid w:val="00306C16"/>
    <w:rsid w:val="00306CAA"/>
    <w:rsid w:val="00306DBD"/>
    <w:rsid w:val="00306EF1"/>
    <w:rsid w:val="00306F6D"/>
    <w:rsid w:val="00306F6F"/>
    <w:rsid w:val="00306FB3"/>
    <w:rsid w:val="003070AE"/>
    <w:rsid w:val="003070B6"/>
    <w:rsid w:val="003070CD"/>
    <w:rsid w:val="003070E0"/>
    <w:rsid w:val="00307177"/>
    <w:rsid w:val="003071A5"/>
    <w:rsid w:val="00307226"/>
    <w:rsid w:val="003073EC"/>
    <w:rsid w:val="00307482"/>
    <w:rsid w:val="00307501"/>
    <w:rsid w:val="003076EE"/>
    <w:rsid w:val="00307761"/>
    <w:rsid w:val="003077E9"/>
    <w:rsid w:val="0030783A"/>
    <w:rsid w:val="003079B7"/>
    <w:rsid w:val="00307A44"/>
    <w:rsid w:val="00307BEF"/>
    <w:rsid w:val="00307C11"/>
    <w:rsid w:val="00307C25"/>
    <w:rsid w:val="00307C95"/>
    <w:rsid w:val="00307CA5"/>
    <w:rsid w:val="00307CDB"/>
    <w:rsid w:val="00307DB3"/>
    <w:rsid w:val="00307E4C"/>
    <w:rsid w:val="00310021"/>
    <w:rsid w:val="0031007A"/>
    <w:rsid w:val="003100AF"/>
    <w:rsid w:val="003100C2"/>
    <w:rsid w:val="003100F1"/>
    <w:rsid w:val="00310120"/>
    <w:rsid w:val="00310129"/>
    <w:rsid w:val="003101BD"/>
    <w:rsid w:val="003101E2"/>
    <w:rsid w:val="00310240"/>
    <w:rsid w:val="003102A6"/>
    <w:rsid w:val="0031035D"/>
    <w:rsid w:val="003103F1"/>
    <w:rsid w:val="00310470"/>
    <w:rsid w:val="003104F2"/>
    <w:rsid w:val="00310540"/>
    <w:rsid w:val="00310593"/>
    <w:rsid w:val="003107C6"/>
    <w:rsid w:val="00310862"/>
    <w:rsid w:val="00310915"/>
    <w:rsid w:val="003109B4"/>
    <w:rsid w:val="00310A0B"/>
    <w:rsid w:val="00310A34"/>
    <w:rsid w:val="00310AC4"/>
    <w:rsid w:val="00310AFB"/>
    <w:rsid w:val="00310CF4"/>
    <w:rsid w:val="00310E84"/>
    <w:rsid w:val="00310EC7"/>
    <w:rsid w:val="00310EDD"/>
    <w:rsid w:val="00310EE4"/>
    <w:rsid w:val="00310F67"/>
    <w:rsid w:val="00311021"/>
    <w:rsid w:val="003112A9"/>
    <w:rsid w:val="003112BA"/>
    <w:rsid w:val="003113A5"/>
    <w:rsid w:val="003113CF"/>
    <w:rsid w:val="003114E9"/>
    <w:rsid w:val="0031150D"/>
    <w:rsid w:val="0031167D"/>
    <w:rsid w:val="003116AE"/>
    <w:rsid w:val="003116B1"/>
    <w:rsid w:val="00311820"/>
    <w:rsid w:val="003118FB"/>
    <w:rsid w:val="00311900"/>
    <w:rsid w:val="003119BC"/>
    <w:rsid w:val="00311B3C"/>
    <w:rsid w:val="00311B6E"/>
    <w:rsid w:val="00311C8D"/>
    <w:rsid w:val="00311D45"/>
    <w:rsid w:val="00311E4E"/>
    <w:rsid w:val="00311E74"/>
    <w:rsid w:val="00311EB2"/>
    <w:rsid w:val="00311EFA"/>
    <w:rsid w:val="00311F9B"/>
    <w:rsid w:val="00312056"/>
    <w:rsid w:val="0031212A"/>
    <w:rsid w:val="0031219F"/>
    <w:rsid w:val="003121B8"/>
    <w:rsid w:val="0031220F"/>
    <w:rsid w:val="003122AA"/>
    <w:rsid w:val="003122B8"/>
    <w:rsid w:val="003122F8"/>
    <w:rsid w:val="003123D4"/>
    <w:rsid w:val="0031264B"/>
    <w:rsid w:val="0031267C"/>
    <w:rsid w:val="003126DD"/>
    <w:rsid w:val="003126FD"/>
    <w:rsid w:val="0031279B"/>
    <w:rsid w:val="003127D5"/>
    <w:rsid w:val="003127DE"/>
    <w:rsid w:val="0031283F"/>
    <w:rsid w:val="003128FC"/>
    <w:rsid w:val="00312938"/>
    <w:rsid w:val="00312986"/>
    <w:rsid w:val="003129B1"/>
    <w:rsid w:val="00312B2F"/>
    <w:rsid w:val="00312C1C"/>
    <w:rsid w:val="00312C7C"/>
    <w:rsid w:val="00312C9E"/>
    <w:rsid w:val="00312DB8"/>
    <w:rsid w:val="00312DE1"/>
    <w:rsid w:val="00312E94"/>
    <w:rsid w:val="00312F62"/>
    <w:rsid w:val="0031316F"/>
    <w:rsid w:val="0031318E"/>
    <w:rsid w:val="003131A9"/>
    <w:rsid w:val="0031322D"/>
    <w:rsid w:val="003132E0"/>
    <w:rsid w:val="00313414"/>
    <w:rsid w:val="00313543"/>
    <w:rsid w:val="00313547"/>
    <w:rsid w:val="003135A7"/>
    <w:rsid w:val="00313741"/>
    <w:rsid w:val="00313819"/>
    <w:rsid w:val="00313882"/>
    <w:rsid w:val="003138B5"/>
    <w:rsid w:val="00313963"/>
    <w:rsid w:val="00313BAA"/>
    <w:rsid w:val="00313C6E"/>
    <w:rsid w:val="00313CEF"/>
    <w:rsid w:val="00313D8E"/>
    <w:rsid w:val="00313DFB"/>
    <w:rsid w:val="00313E07"/>
    <w:rsid w:val="00313E77"/>
    <w:rsid w:val="00313EB8"/>
    <w:rsid w:val="00313F0C"/>
    <w:rsid w:val="00313FF4"/>
    <w:rsid w:val="003140BE"/>
    <w:rsid w:val="003140DD"/>
    <w:rsid w:val="00314144"/>
    <w:rsid w:val="00314237"/>
    <w:rsid w:val="00314262"/>
    <w:rsid w:val="003142B6"/>
    <w:rsid w:val="003142C7"/>
    <w:rsid w:val="003142D0"/>
    <w:rsid w:val="00314320"/>
    <w:rsid w:val="0031437E"/>
    <w:rsid w:val="003143CB"/>
    <w:rsid w:val="00314424"/>
    <w:rsid w:val="00314439"/>
    <w:rsid w:val="0031453B"/>
    <w:rsid w:val="003145B0"/>
    <w:rsid w:val="003146FE"/>
    <w:rsid w:val="003147C2"/>
    <w:rsid w:val="0031480D"/>
    <w:rsid w:val="00314818"/>
    <w:rsid w:val="00314822"/>
    <w:rsid w:val="0031483F"/>
    <w:rsid w:val="003149FC"/>
    <w:rsid w:val="00314A1B"/>
    <w:rsid w:val="00314A25"/>
    <w:rsid w:val="00314AF5"/>
    <w:rsid w:val="00314B60"/>
    <w:rsid w:val="00314B69"/>
    <w:rsid w:val="00314BA5"/>
    <w:rsid w:val="00314C61"/>
    <w:rsid w:val="00314C63"/>
    <w:rsid w:val="00314D2A"/>
    <w:rsid w:val="00314D6E"/>
    <w:rsid w:val="00314D92"/>
    <w:rsid w:val="00314E28"/>
    <w:rsid w:val="00314E2E"/>
    <w:rsid w:val="00314E6F"/>
    <w:rsid w:val="00314F33"/>
    <w:rsid w:val="00314FF4"/>
    <w:rsid w:val="0031501B"/>
    <w:rsid w:val="0031509C"/>
    <w:rsid w:val="003150FE"/>
    <w:rsid w:val="003151FF"/>
    <w:rsid w:val="003153BF"/>
    <w:rsid w:val="00315424"/>
    <w:rsid w:val="0031547F"/>
    <w:rsid w:val="0031559C"/>
    <w:rsid w:val="00315811"/>
    <w:rsid w:val="00315820"/>
    <w:rsid w:val="00315838"/>
    <w:rsid w:val="00315851"/>
    <w:rsid w:val="0031597A"/>
    <w:rsid w:val="0031598A"/>
    <w:rsid w:val="003159AD"/>
    <w:rsid w:val="00315A63"/>
    <w:rsid w:val="00315AA7"/>
    <w:rsid w:val="00315B94"/>
    <w:rsid w:val="00315CA9"/>
    <w:rsid w:val="00315CFE"/>
    <w:rsid w:val="00315DA5"/>
    <w:rsid w:val="00315DD5"/>
    <w:rsid w:val="00315E4B"/>
    <w:rsid w:val="00315ECA"/>
    <w:rsid w:val="00315F15"/>
    <w:rsid w:val="00316048"/>
    <w:rsid w:val="003160C9"/>
    <w:rsid w:val="003160DE"/>
    <w:rsid w:val="003160F4"/>
    <w:rsid w:val="00316271"/>
    <w:rsid w:val="0031638F"/>
    <w:rsid w:val="003163E9"/>
    <w:rsid w:val="003163FB"/>
    <w:rsid w:val="00316457"/>
    <w:rsid w:val="003164A2"/>
    <w:rsid w:val="00316534"/>
    <w:rsid w:val="0031654B"/>
    <w:rsid w:val="003165DC"/>
    <w:rsid w:val="003165E8"/>
    <w:rsid w:val="00316738"/>
    <w:rsid w:val="0031681B"/>
    <w:rsid w:val="00316863"/>
    <w:rsid w:val="003168F8"/>
    <w:rsid w:val="00316913"/>
    <w:rsid w:val="00316934"/>
    <w:rsid w:val="003169EE"/>
    <w:rsid w:val="00316A6C"/>
    <w:rsid w:val="00316A81"/>
    <w:rsid w:val="00316C89"/>
    <w:rsid w:val="00316CBE"/>
    <w:rsid w:val="00316CCC"/>
    <w:rsid w:val="00316D47"/>
    <w:rsid w:val="00316DAD"/>
    <w:rsid w:val="00316E2C"/>
    <w:rsid w:val="00316E2D"/>
    <w:rsid w:val="00316E41"/>
    <w:rsid w:val="00316E76"/>
    <w:rsid w:val="00316E81"/>
    <w:rsid w:val="00316F05"/>
    <w:rsid w:val="00316F14"/>
    <w:rsid w:val="003170B7"/>
    <w:rsid w:val="003171D3"/>
    <w:rsid w:val="00317212"/>
    <w:rsid w:val="00317286"/>
    <w:rsid w:val="003173D1"/>
    <w:rsid w:val="0031745A"/>
    <w:rsid w:val="003174BF"/>
    <w:rsid w:val="00317512"/>
    <w:rsid w:val="0031762E"/>
    <w:rsid w:val="0031780A"/>
    <w:rsid w:val="00317834"/>
    <w:rsid w:val="0031784E"/>
    <w:rsid w:val="003178CD"/>
    <w:rsid w:val="003178FF"/>
    <w:rsid w:val="00317932"/>
    <w:rsid w:val="003179EF"/>
    <w:rsid w:val="00317A09"/>
    <w:rsid w:val="00317A0B"/>
    <w:rsid w:val="00317A28"/>
    <w:rsid w:val="00317BBE"/>
    <w:rsid w:val="00317BD3"/>
    <w:rsid w:val="00317BF0"/>
    <w:rsid w:val="00317C80"/>
    <w:rsid w:val="00317D36"/>
    <w:rsid w:val="00317D7E"/>
    <w:rsid w:val="00317D9D"/>
    <w:rsid w:val="00317E50"/>
    <w:rsid w:val="00317EB6"/>
    <w:rsid w:val="0032001B"/>
    <w:rsid w:val="00320057"/>
    <w:rsid w:val="0032010D"/>
    <w:rsid w:val="0032013D"/>
    <w:rsid w:val="003201FD"/>
    <w:rsid w:val="00320325"/>
    <w:rsid w:val="00320367"/>
    <w:rsid w:val="003205B7"/>
    <w:rsid w:val="0032077F"/>
    <w:rsid w:val="00320792"/>
    <w:rsid w:val="0032079E"/>
    <w:rsid w:val="003207EF"/>
    <w:rsid w:val="003208B4"/>
    <w:rsid w:val="00320944"/>
    <w:rsid w:val="003209CF"/>
    <w:rsid w:val="00320BD7"/>
    <w:rsid w:val="00320C00"/>
    <w:rsid w:val="00320C91"/>
    <w:rsid w:val="00320CA6"/>
    <w:rsid w:val="00320D29"/>
    <w:rsid w:val="00320D7C"/>
    <w:rsid w:val="00320DBC"/>
    <w:rsid w:val="00320EBF"/>
    <w:rsid w:val="00320FE1"/>
    <w:rsid w:val="00320FF0"/>
    <w:rsid w:val="0032117C"/>
    <w:rsid w:val="003211E5"/>
    <w:rsid w:val="003211E9"/>
    <w:rsid w:val="00321204"/>
    <w:rsid w:val="003213A8"/>
    <w:rsid w:val="003213E8"/>
    <w:rsid w:val="003213E9"/>
    <w:rsid w:val="003214C3"/>
    <w:rsid w:val="0032161A"/>
    <w:rsid w:val="00321687"/>
    <w:rsid w:val="003216AF"/>
    <w:rsid w:val="003216EE"/>
    <w:rsid w:val="003216F0"/>
    <w:rsid w:val="003216F9"/>
    <w:rsid w:val="0032176E"/>
    <w:rsid w:val="00321976"/>
    <w:rsid w:val="003219E6"/>
    <w:rsid w:val="00321A07"/>
    <w:rsid w:val="00321A89"/>
    <w:rsid w:val="00321B21"/>
    <w:rsid w:val="00321BEF"/>
    <w:rsid w:val="00321C38"/>
    <w:rsid w:val="00321D0B"/>
    <w:rsid w:val="00321E12"/>
    <w:rsid w:val="00321E27"/>
    <w:rsid w:val="00321E50"/>
    <w:rsid w:val="00321E57"/>
    <w:rsid w:val="00321FD8"/>
    <w:rsid w:val="00321FDA"/>
    <w:rsid w:val="00322007"/>
    <w:rsid w:val="00322149"/>
    <w:rsid w:val="00322177"/>
    <w:rsid w:val="00322190"/>
    <w:rsid w:val="0032227C"/>
    <w:rsid w:val="003222D7"/>
    <w:rsid w:val="003222E3"/>
    <w:rsid w:val="0032232C"/>
    <w:rsid w:val="003223C3"/>
    <w:rsid w:val="003224A8"/>
    <w:rsid w:val="003224BC"/>
    <w:rsid w:val="003224C2"/>
    <w:rsid w:val="0032256D"/>
    <w:rsid w:val="0032268B"/>
    <w:rsid w:val="003226F2"/>
    <w:rsid w:val="003227B2"/>
    <w:rsid w:val="003227ED"/>
    <w:rsid w:val="00322847"/>
    <w:rsid w:val="003228A3"/>
    <w:rsid w:val="00322960"/>
    <w:rsid w:val="003229E4"/>
    <w:rsid w:val="003229ED"/>
    <w:rsid w:val="00322B3E"/>
    <w:rsid w:val="00322B4D"/>
    <w:rsid w:val="00322C24"/>
    <w:rsid w:val="00322C4E"/>
    <w:rsid w:val="00322C65"/>
    <w:rsid w:val="00322C7B"/>
    <w:rsid w:val="00322D69"/>
    <w:rsid w:val="00322DCB"/>
    <w:rsid w:val="00322E3A"/>
    <w:rsid w:val="00322EDF"/>
    <w:rsid w:val="00322F0F"/>
    <w:rsid w:val="00322F13"/>
    <w:rsid w:val="00322F4F"/>
    <w:rsid w:val="00323011"/>
    <w:rsid w:val="00323068"/>
    <w:rsid w:val="00323086"/>
    <w:rsid w:val="00323128"/>
    <w:rsid w:val="00323139"/>
    <w:rsid w:val="0032319C"/>
    <w:rsid w:val="003231D8"/>
    <w:rsid w:val="00323363"/>
    <w:rsid w:val="0032339D"/>
    <w:rsid w:val="003233EB"/>
    <w:rsid w:val="00323421"/>
    <w:rsid w:val="00323504"/>
    <w:rsid w:val="00323538"/>
    <w:rsid w:val="003235B6"/>
    <w:rsid w:val="0032361B"/>
    <w:rsid w:val="00323687"/>
    <w:rsid w:val="003237BD"/>
    <w:rsid w:val="00323831"/>
    <w:rsid w:val="00323889"/>
    <w:rsid w:val="00323891"/>
    <w:rsid w:val="00323AB2"/>
    <w:rsid w:val="00323B67"/>
    <w:rsid w:val="00323B8E"/>
    <w:rsid w:val="00323C32"/>
    <w:rsid w:val="00323EC8"/>
    <w:rsid w:val="00323F52"/>
    <w:rsid w:val="00323FD9"/>
    <w:rsid w:val="00324012"/>
    <w:rsid w:val="003240C8"/>
    <w:rsid w:val="0032417B"/>
    <w:rsid w:val="00324245"/>
    <w:rsid w:val="003243DF"/>
    <w:rsid w:val="00324439"/>
    <w:rsid w:val="0032447C"/>
    <w:rsid w:val="003244CB"/>
    <w:rsid w:val="00324594"/>
    <w:rsid w:val="00324634"/>
    <w:rsid w:val="00324650"/>
    <w:rsid w:val="003246F4"/>
    <w:rsid w:val="00324793"/>
    <w:rsid w:val="003247B7"/>
    <w:rsid w:val="00324833"/>
    <w:rsid w:val="003248CB"/>
    <w:rsid w:val="00324903"/>
    <w:rsid w:val="00324904"/>
    <w:rsid w:val="00324948"/>
    <w:rsid w:val="003249C2"/>
    <w:rsid w:val="00324A16"/>
    <w:rsid w:val="00324A2A"/>
    <w:rsid w:val="00324AA8"/>
    <w:rsid w:val="00324B32"/>
    <w:rsid w:val="00324C0B"/>
    <w:rsid w:val="00324CC8"/>
    <w:rsid w:val="00324DF1"/>
    <w:rsid w:val="00324E29"/>
    <w:rsid w:val="00324EAB"/>
    <w:rsid w:val="00324EBD"/>
    <w:rsid w:val="00324F5C"/>
    <w:rsid w:val="003250F0"/>
    <w:rsid w:val="0032521B"/>
    <w:rsid w:val="0032531C"/>
    <w:rsid w:val="00325380"/>
    <w:rsid w:val="00325489"/>
    <w:rsid w:val="003254AA"/>
    <w:rsid w:val="00325612"/>
    <w:rsid w:val="0032561C"/>
    <w:rsid w:val="00325637"/>
    <w:rsid w:val="003256D6"/>
    <w:rsid w:val="003256ED"/>
    <w:rsid w:val="00325775"/>
    <w:rsid w:val="003257A0"/>
    <w:rsid w:val="003257C3"/>
    <w:rsid w:val="00325895"/>
    <w:rsid w:val="00325918"/>
    <w:rsid w:val="0032592D"/>
    <w:rsid w:val="003259BF"/>
    <w:rsid w:val="00325A1D"/>
    <w:rsid w:val="00325AFF"/>
    <w:rsid w:val="00325B31"/>
    <w:rsid w:val="00325B8A"/>
    <w:rsid w:val="00325CAC"/>
    <w:rsid w:val="00325CEE"/>
    <w:rsid w:val="00325D85"/>
    <w:rsid w:val="00325D89"/>
    <w:rsid w:val="00325E89"/>
    <w:rsid w:val="00325EF2"/>
    <w:rsid w:val="00325F24"/>
    <w:rsid w:val="00325F4A"/>
    <w:rsid w:val="00325FDF"/>
    <w:rsid w:val="0032607D"/>
    <w:rsid w:val="003261E8"/>
    <w:rsid w:val="0032625C"/>
    <w:rsid w:val="0032626E"/>
    <w:rsid w:val="003263C9"/>
    <w:rsid w:val="003263FD"/>
    <w:rsid w:val="00326467"/>
    <w:rsid w:val="003264C4"/>
    <w:rsid w:val="003264E3"/>
    <w:rsid w:val="003264F9"/>
    <w:rsid w:val="003266B5"/>
    <w:rsid w:val="003267E2"/>
    <w:rsid w:val="0032683F"/>
    <w:rsid w:val="00326943"/>
    <w:rsid w:val="00326A44"/>
    <w:rsid w:val="00326A7C"/>
    <w:rsid w:val="00326B3B"/>
    <w:rsid w:val="00326B69"/>
    <w:rsid w:val="00326CD0"/>
    <w:rsid w:val="00326D22"/>
    <w:rsid w:val="00326D5D"/>
    <w:rsid w:val="00326ED1"/>
    <w:rsid w:val="00327005"/>
    <w:rsid w:val="0032704A"/>
    <w:rsid w:val="003270BF"/>
    <w:rsid w:val="003271F7"/>
    <w:rsid w:val="0032722D"/>
    <w:rsid w:val="0032723D"/>
    <w:rsid w:val="0032724B"/>
    <w:rsid w:val="00327273"/>
    <w:rsid w:val="00327321"/>
    <w:rsid w:val="00327325"/>
    <w:rsid w:val="003274B6"/>
    <w:rsid w:val="00327565"/>
    <w:rsid w:val="0032759D"/>
    <w:rsid w:val="0032783B"/>
    <w:rsid w:val="0032784C"/>
    <w:rsid w:val="0032787B"/>
    <w:rsid w:val="0032788E"/>
    <w:rsid w:val="003278C5"/>
    <w:rsid w:val="003278D4"/>
    <w:rsid w:val="003278F8"/>
    <w:rsid w:val="0032795B"/>
    <w:rsid w:val="0032799B"/>
    <w:rsid w:val="00327A4C"/>
    <w:rsid w:val="00327BC4"/>
    <w:rsid w:val="00327C81"/>
    <w:rsid w:val="00327CD9"/>
    <w:rsid w:val="00327DA0"/>
    <w:rsid w:val="00327DA9"/>
    <w:rsid w:val="00327E14"/>
    <w:rsid w:val="00327EBD"/>
    <w:rsid w:val="00327EBE"/>
    <w:rsid w:val="00327F22"/>
    <w:rsid w:val="00327F46"/>
    <w:rsid w:val="00327F4D"/>
    <w:rsid w:val="00327FED"/>
    <w:rsid w:val="00330069"/>
    <w:rsid w:val="003300B3"/>
    <w:rsid w:val="0033016A"/>
    <w:rsid w:val="00330174"/>
    <w:rsid w:val="00330279"/>
    <w:rsid w:val="003302B0"/>
    <w:rsid w:val="0033035D"/>
    <w:rsid w:val="003303B0"/>
    <w:rsid w:val="003303D8"/>
    <w:rsid w:val="0033049F"/>
    <w:rsid w:val="0033052E"/>
    <w:rsid w:val="003305A5"/>
    <w:rsid w:val="0033062B"/>
    <w:rsid w:val="00330687"/>
    <w:rsid w:val="003306B3"/>
    <w:rsid w:val="0033072B"/>
    <w:rsid w:val="0033072E"/>
    <w:rsid w:val="00330770"/>
    <w:rsid w:val="0033091C"/>
    <w:rsid w:val="0033098F"/>
    <w:rsid w:val="00330A13"/>
    <w:rsid w:val="00330A59"/>
    <w:rsid w:val="00330A81"/>
    <w:rsid w:val="00330A8D"/>
    <w:rsid w:val="00330B80"/>
    <w:rsid w:val="00330B81"/>
    <w:rsid w:val="00330BE3"/>
    <w:rsid w:val="00330CCA"/>
    <w:rsid w:val="00330D20"/>
    <w:rsid w:val="00330D36"/>
    <w:rsid w:val="00330E5F"/>
    <w:rsid w:val="00330F82"/>
    <w:rsid w:val="00330F89"/>
    <w:rsid w:val="003310B7"/>
    <w:rsid w:val="003310FF"/>
    <w:rsid w:val="003311C6"/>
    <w:rsid w:val="003312A4"/>
    <w:rsid w:val="003312E6"/>
    <w:rsid w:val="00331329"/>
    <w:rsid w:val="0033144B"/>
    <w:rsid w:val="00331450"/>
    <w:rsid w:val="00331489"/>
    <w:rsid w:val="0033149E"/>
    <w:rsid w:val="003314E9"/>
    <w:rsid w:val="0033151E"/>
    <w:rsid w:val="00331533"/>
    <w:rsid w:val="00331660"/>
    <w:rsid w:val="003316A9"/>
    <w:rsid w:val="00331700"/>
    <w:rsid w:val="003317A9"/>
    <w:rsid w:val="0033184B"/>
    <w:rsid w:val="00331860"/>
    <w:rsid w:val="00331884"/>
    <w:rsid w:val="003318D5"/>
    <w:rsid w:val="00331938"/>
    <w:rsid w:val="003319F4"/>
    <w:rsid w:val="00331B02"/>
    <w:rsid w:val="00331B59"/>
    <w:rsid w:val="00331B5D"/>
    <w:rsid w:val="00331CF9"/>
    <w:rsid w:val="00331D07"/>
    <w:rsid w:val="00331D17"/>
    <w:rsid w:val="00331DD1"/>
    <w:rsid w:val="00331E44"/>
    <w:rsid w:val="00331EAF"/>
    <w:rsid w:val="00332033"/>
    <w:rsid w:val="0033206B"/>
    <w:rsid w:val="003320EA"/>
    <w:rsid w:val="003320EE"/>
    <w:rsid w:val="003322AB"/>
    <w:rsid w:val="0033235E"/>
    <w:rsid w:val="00332385"/>
    <w:rsid w:val="003323A0"/>
    <w:rsid w:val="003324DB"/>
    <w:rsid w:val="00332540"/>
    <w:rsid w:val="0033255E"/>
    <w:rsid w:val="003325AA"/>
    <w:rsid w:val="003326A1"/>
    <w:rsid w:val="003326BE"/>
    <w:rsid w:val="00332849"/>
    <w:rsid w:val="003329FC"/>
    <w:rsid w:val="00332A73"/>
    <w:rsid w:val="00332B50"/>
    <w:rsid w:val="00332B5D"/>
    <w:rsid w:val="00332C02"/>
    <w:rsid w:val="00332D16"/>
    <w:rsid w:val="00332E03"/>
    <w:rsid w:val="00332E4B"/>
    <w:rsid w:val="00332E70"/>
    <w:rsid w:val="00332E8F"/>
    <w:rsid w:val="00332F28"/>
    <w:rsid w:val="00332F7A"/>
    <w:rsid w:val="00332F9E"/>
    <w:rsid w:val="00333000"/>
    <w:rsid w:val="0033302A"/>
    <w:rsid w:val="0033303C"/>
    <w:rsid w:val="00333198"/>
    <w:rsid w:val="00333235"/>
    <w:rsid w:val="00333258"/>
    <w:rsid w:val="0033325C"/>
    <w:rsid w:val="003332E6"/>
    <w:rsid w:val="00333336"/>
    <w:rsid w:val="0033358A"/>
    <w:rsid w:val="0033365F"/>
    <w:rsid w:val="003336A7"/>
    <w:rsid w:val="0033370B"/>
    <w:rsid w:val="003337A0"/>
    <w:rsid w:val="00333810"/>
    <w:rsid w:val="00333891"/>
    <w:rsid w:val="00333952"/>
    <w:rsid w:val="00333953"/>
    <w:rsid w:val="003339C6"/>
    <w:rsid w:val="003339E9"/>
    <w:rsid w:val="00333A53"/>
    <w:rsid w:val="00333A6A"/>
    <w:rsid w:val="00333B5A"/>
    <w:rsid w:val="00333BDA"/>
    <w:rsid w:val="00333BE3"/>
    <w:rsid w:val="00333C67"/>
    <w:rsid w:val="00333CF9"/>
    <w:rsid w:val="00333D68"/>
    <w:rsid w:val="00333E23"/>
    <w:rsid w:val="00333EA0"/>
    <w:rsid w:val="00333EA1"/>
    <w:rsid w:val="00333F9D"/>
    <w:rsid w:val="00333FDA"/>
    <w:rsid w:val="00334059"/>
    <w:rsid w:val="0033409A"/>
    <w:rsid w:val="003340AE"/>
    <w:rsid w:val="00334130"/>
    <w:rsid w:val="00334150"/>
    <w:rsid w:val="003341C1"/>
    <w:rsid w:val="003341CB"/>
    <w:rsid w:val="00334218"/>
    <w:rsid w:val="00334224"/>
    <w:rsid w:val="00334303"/>
    <w:rsid w:val="0033437F"/>
    <w:rsid w:val="00334686"/>
    <w:rsid w:val="003346DE"/>
    <w:rsid w:val="003347E8"/>
    <w:rsid w:val="0033481B"/>
    <w:rsid w:val="00334821"/>
    <w:rsid w:val="0033487E"/>
    <w:rsid w:val="00334A32"/>
    <w:rsid w:val="00334A67"/>
    <w:rsid w:val="00334AD5"/>
    <w:rsid w:val="00334B33"/>
    <w:rsid w:val="00334C4E"/>
    <w:rsid w:val="00334C72"/>
    <w:rsid w:val="00334E38"/>
    <w:rsid w:val="00335053"/>
    <w:rsid w:val="0033507B"/>
    <w:rsid w:val="00335120"/>
    <w:rsid w:val="00335223"/>
    <w:rsid w:val="0033532E"/>
    <w:rsid w:val="00335336"/>
    <w:rsid w:val="00335377"/>
    <w:rsid w:val="00335393"/>
    <w:rsid w:val="003353D9"/>
    <w:rsid w:val="00335402"/>
    <w:rsid w:val="0033541A"/>
    <w:rsid w:val="003354C4"/>
    <w:rsid w:val="00335512"/>
    <w:rsid w:val="00335799"/>
    <w:rsid w:val="003357B5"/>
    <w:rsid w:val="00335954"/>
    <w:rsid w:val="003359BA"/>
    <w:rsid w:val="00335A9F"/>
    <w:rsid w:val="00335C26"/>
    <w:rsid w:val="00335CBD"/>
    <w:rsid w:val="00335CFA"/>
    <w:rsid w:val="00335E2F"/>
    <w:rsid w:val="00335E9E"/>
    <w:rsid w:val="00335FCC"/>
    <w:rsid w:val="0033602D"/>
    <w:rsid w:val="003361BD"/>
    <w:rsid w:val="0033628B"/>
    <w:rsid w:val="003362B4"/>
    <w:rsid w:val="003362DD"/>
    <w:rsid w:val="00336352"/>
    <w:rsid w:val="0033635D"/>
    <w:rsid w:val="0033638D"/>
    <w:rsid w:val="00336394"/>
    <w:rsid w:val="003363AE"/>
    <w:rsid w:val="00336530"/>
    <w:rsid w:val="00336541"/>
    <w:rsid w:val="00336589"/>
    <w:rsid w:val="003365D4"/>
    <w:rsid w:val="00336684"/>
    <w:rsid w:val="003366C1"/>
    <w:rsid w:val="003367A1"/>
    <w:rsid w:val="003367D3"/>
    <w:rsid w:val="003367F3"/>
    <w:rsid w:val="00336813"/>
    <w:rsid w:val="00336842"/>
    <w:rsid w:val="00336921"/>
    <w:rsid w:val="00336934"/>
    <w:rsid w:val="00336A21"/>
    <w:rsid w:val="00336B25"/>
    <w:rsid w:val="00336C14"/>
    <w:rsid w:val="00336EED"/>
    <w:rsid w:val="00336FC8"/>
    <w:rsid w:val="0033708C"/>
    <w:rsid w:val="0033713B"/>
    <w:rsid w:val="00337177"/>
    <w:rsid w:val="0033719C"/>
    <w:rsid w:val="003371B7"/>
    <w:rsid w:val="003371C7"/>
    <w:rsid w:val="003371CD"/>
    <w:rsid w:val="003371F5"/>
    <w:rsid w:val="0033720D"/>
    <w:rsid w:val="00337246"/>
    <w:rsid w:val="00337294"/>
    <w:rsid w:val="00337358"/>
    <w:rsid w:val="0033736D"/>
    <w:rsid w:val="0033738D"/>
    <w:rsid w:val="00337403"/>
    <w:rsid w:val="0033741F"/>
    <w:rsid w:val="00337568"/>
    <w:rsid w:val="003375E3"/>
    <w:rsid w:val="003375EF"/>
    <w:rsid w:val="003376D5"/>
    <w:rsid w:val="003377B3"/>
    <w:rsid w:val="00337819"/>
    <w:rsid w:val="0033784A"/>
    <w:rsid w:val="00337854"/>
    <w:rsid w:val="00337867"/>
    <w:rsid w:val="0033787A"/>
    <w:rsid w:val="00337986"/>
    <w:rsid w:val="00337B7C"/>
    <w:rsid w:val="00337BB3"/>
    <w:rsid w:val="00337BBA"/>
    <w:rsid w:val="00337BFF"/>
    <w:rsid w:val="00337C5D"/>
    <w:rsid w:val="00337C82"/>
    <w:rsid w:val="00337D0E"/>
    <w:rsid w:val="00337D8D"/>
    <w:rsid w:val="00337F70"/>
    <w:rsid w:val="00337FF5"/>
    <w:rsid w:val="00340039"/>
    <w:rsid w:val="00340048"/>
    <w:rsid w:val="00340199"/>
    <w:rsid w:val="003401B2"/>
    <w:rsid w:val="003401ED"/>
    <w:rsid w:val="00340220"/>
    <w:rsid w:val="003402BC"/>
    <w:rsid w:val="003403D7"/>
    <w:rsid w:val="00340529"/>
    <w:rsid w:val="003405AC"/>
    <w:rsid w:val="003405E0"/>
    <w:rsid w:val="00340636"/>
    <w:rsid w:val="00340646"/>
    <w:rsid w:val="0034067B"/>
    <w:rsid w:val="003406E1"/>
    <w:rsid w:val="00340759"/>
    <w:rsid w:val="00340809"/>
    <w:rsid w:val="003408A7"/>
    <w:rsid w:val="003408BE"/>
    <w:rsid w:val="00340926"/>
    <w:rsid w:val="00340AA8"/>
    <w:rsid w:val="00340B17"/>
    <w:rsid w:val="00340C3A"/>
    <w:rsid w:val="00340C3C"/>
    <w:rsid w:val="00340C3E"/>
    <w:rsid w:val="00340C5F"/>
    <w:rsid w:val="00340C74"/>
    <w:rsid w:val="00340CEE"/>
    <w:rsid w:val="00340D7E"/>
    <w:rsid w:val="00340E25"/>
    <w:rsid w:val="00340E2C"/>
    <w:rsid w:val="00340F56"/>
    <w:rsid w:val="00340FF2"/>
    <w:rsid w:val="003410CC"/>
    <w:rsid w:val="00341103"/>
    <w:rsid w:val="003411BA"/>
    <w:rsid w:val="003411D1"/>
    <w:rsid w:val="00341225"/>
    <w:rsid w:val="0034126C"/>
    <w:rsid w:val="00341283"/>
    <w:rsid w:val="003412A4"/>
    <w:rsid w:val="003412DE"/>
    <w:rsid w:val="00341349"/>
    <w:rsid w:val="00341648"/>
    <w:rsid w:val="00341651"/>
    <w:rsid w:val="003416E8"/>
    <w:rsid w:val="003417FC"/>
    <w:rsid w:val="00341832"/>
    <w:rsid w:val="00341839"/>
    <w:rsid w:val="003418B9"/>
    <w:rsid w:val="0034196F"/>
    <w:rsid w:val="00341990"/>
    <w:rsid w:val="00341998"/>
    <w:rsid w:val="003419AB"/>
    <w:rsid w:val="003419F3"/>
    <w:rsid w:val="00341ABF"/>
    <w:rsid w:val="00341B01"/>
    <w:rsid w:val="00341B65"/>
    <w:rsid w:val="00341BA1"/>
    <w:rsid w:val="00341BED"/>
    <w:rsid w:val="00341C00"/>
    <w:rsid w:val="00341CBA"/>
    <w:rsid w:val="00341CD6"/>
    <w:rsid w:val="00341CEA"/>
    <w:rsid w:val="00341D14"/>
    <w:rsid w:val="00341D69"/>
    <w:rsid w:val="00341E4B"/>
    <w:rsid w:val="00341E94"/>
    <w:rsid w:val="00341EA2"/>
    <w:rsid w:val="003420ED"/>
    <w:rsid w:val="00342169"/>
    <w:rsid w:val="003421CD"/>
    <w:rsid w:val="0034245A"/>
    <w:rsid w:val="00342509"/>
    <w:rsid w:val="0034269F"/>
    <w:rsid w:val="003426CB"/>
    <w:rsid w:val="003426D8"/>
    <w:rsid w:val="00342708"/>
    <w:rsid w:val="0034273A"/>
    <w:rsid w:val="00342822"/>
    <w:rsid w:val="0034284F"/>
    <w:rsid w:val="003428DD"/>
    <w:rsid w:val="0034295C"/>
    <w:rsid w:val="00342A3F"/>
    <w:rsid w:val="00342AE5"/>
    <w:rsid w:val="00342B33"/>
    <w:rsid w:val="00342C8A"/>
    <w:rsid w:val="00342D05"/>
    <w:rsid w:val="00342DF5"/>
    <w:rsid w:val="00342E5E"/>
    <w:rsid w:val="00342E81"/>
    <w:rsid w:val="00342F2F"/>
    <w:rsid w:val="00342F7E"/>
    <w:rsid w:val="00343031"/>
    <w:rsid w:val="00343152"/>
    <w:rsid w:val="0034323D"/>
    <w:rsid w:val="003432B0"/>
    <w:rsid w:val="00343439"/>
    <w:rsid w:val="0034349D"/>
    <w:rsid w:val="003434F4"/>
    <w:rsid w:val="00343512"/>
    <w:rsid w:val="003435F6"/>
    <w:rsid w:val="00343968"/>
    <w:rsid w:val="003439E1"/>
    <w:rsid w:val="00343A68"/>
    <w:rsid w:val="00343A72"/>
    <w:rsid w:val="00343AE4"/>
    <w:rsid w:val="00343B1F"/>
    <w:rsid w:val="00343B64"/>
    <w:rsid w:val="00343BB8"/>
    <w:rsid w:val="00343C49"/>
    <w:rsid w:val="00343C5B"/>
    <w:rsid w:val="00343C73"/>
    <w:rsid w:val="00343F1D"/>
    <w:rsid w:val="00343F5B"/>
    <w:rsid w:val="00343FA1"/>
    <w:rsid w:val="00344045"/>
    <w:rsid w:val="003441A6"/>
    <w:rsid w:val="0034420A"/>
    <w:rsid w:val="00344217"/>
    <w:rsid w:val="003442FE"/>
    <w:rsid w:val="0034438C"/>
    <w:rsid w:val="003443B4"/>
    <w:rsid w:val="003443C7"/>
    <w:rsid w:val="003443CF"/>
    <w:rsid w:val="00344410"/>
    <w:rsid w:val="0034445D"/>
    <w:rsid w:val="00344460"/>
    <w:rsid w:val="003444DD"/>
    <w:rsid w:val="00344575"/>
    <w:rsid w:val="0034464B"/>
    <w:rsid w:val="00344662"/>
    <w:rsid w:val="003446B5"/>
    <w:rsid w:val="003446C1"/>
    <w:rsid w:val="0034471A"/>
    <w:rsid w:val="00344790"/>
    <w:rsid w:val="003447E9"/>
    <w:rsid w:val="003447EF"/>
    <w:rsid w:val="003448CB"/>
    <w:rsid w:val="003448EB"/>
    <w:rsid w:val="0034490A"/>
    <w:rsid w:val="00344951"/>
    <w:rsid w:val="003449B9"/>
    <w:rsid w:val="00344A7E"/>
    <w:rsid w:val="00344B74"/>
    <w:rsid w:val="00344C42"/>
    <w:rsid w:val="00344C78"/>
    <w:rsid w:val="00344CE3"/>
    <w:rsid w:val="00344CFD"/>
    <w:rsid w:val="00344D7B"/>
    <w:rsid w:val="00344E40"/>
    <w:rsid w:val="00344F5B"/>
    <w:rsid w:val="00345066"/>
    <w:rsid w:val="00345071"/>
    <w:rsid w:val="003450EB"/>
    <w:rsid w:val="00345139"/>
    <w:rsid w:val="0034514D"/>
    <w:rsid w:val="003451E1"/>
    <w:rsid w:val="003451F5"/>
    <w:rsid w:val="00345200"/>
    <w:rsid w:val="0034521F"/>
    <w:rsid w:val="00345227"/>
    <w:rsid w:val="00345274"/>
    <w:rsid w:val="0034531E"/>
    <w:rsid w:val="003453C7"/>
    <w:rsid w:val="003453FD"/>
    <w:rsid w:val="00345439"/>
    <w:rsid w:val="00345463"/>
    <w:rsid w:val="0034548A"/>
    <w:rsid w:val="00345515"/>
    <w:rsid w:val="00345532"/>
    <w:rsid w:val="003455DA"/>
    <w:rsid w:val="003455E9"/>
    <w:rsid w:val="003455F4"/>
    <w:rsid w:val="00345633"/>
    <w:rsid w:val="003456DD"/>
    <w:rsid w:val="003456E0"/>
    <w:rsid w:val="00345791"/>
    <w:rsid w:val="0034581F"/>
    <w:rsid w:val="0034583C"/>
    <w:rsid w:val="0034583E"/>
    <w:rsid w:val="00345870"/>
    <w:rsid w:val="0034591D"/>
    <w:rsid w:val="00345963"/>
    <w:rsid w:val="0034599F"/>
    <w:rsid w:val="003459A5"/>
    <w:rsid w:val="003459E9"/>
    <w:rsid w:val="00345A4D"/>
    <w:rsid w:val="00345B1B"/>
    <w:rsid w:val="00345BFA"/>
    <w:rsid w:val="00345C76"/>
    <w:rsid w:val="00345DF1"/>
    <w:rsid w:val="00345E32"/>
    <w:rsid w:val="00345E72"/>
    <w:rsid w:val="00345FAA"/>
    <w:rsid w:val="00346021"/>
    <w:rsid w:val="00346076"/>
    <w:rsid w:val="0034609E"/>
    <w:rsid w:val="003460BA"/>
    <w:rsid w:val="003460BF"/>
    <w:rsid w:val="003460C7"/>
    <w:rsid w:val="0034610A"/>
    <w:rsid w:val="003461E7"/>
    <w:rsid w:val="00346282"/>
    <w:rsid w:val="003462D7"/>
    <w:rsid w:val="00346300"/>
    <w:rsid w:val="00346302"/>
    <w:rsid w:val="00346315"/>
    <w:rsid w:val="00346328"/>
    <w:rsid w:val="00346348"/>
    <w:rsid w:val="0034634F"/>
    <w:rsid w:val="003463B1"/>
    <w:rsid w:val="003463B3"/>
    <w:rsid w:val="003463D7"/>
    <w:rsid w:val="00346535"/>
    <w:rsid w:val="003465C9"/>
    <w:rsid w:val="003465F9"/>
    <w:rsid w:val="00346644"/>
    <w:rsid w:val="00346675"/>
    <w:rsid w:val="0034667A"/>
    <w:rsid w:val="00346708"/>
    <w:rsid w:val="00346759"/>
    <w:rsid w:val="003467FC"/>
    <w:rsid w:val="00346840"/>
    <w:rsid w:val="003468A7"/>
    <w:rsid w:val="003468C8"/>
    <w:rsid w:val="0034697A"/>
    <w:rsid w:val="00346AF3"/>
    <w:rsid w:val="00346B46"/>
    <w:rsid w:val="00346B7B"/>
    <w:rsid w:val="00346BA1"/>
    <w:rsid w:val="00346C08"/>
    <w:rsid w:val="00346C34"/>
    <w:rsid w:val="00346D32"/>
    <w:rsid w:val="00346D67"/>
    <w:rsid w:val="00346DE8"/>
    <w:rsid w:val="00346EF8"/>
    <w:rsid w:val="00346F09"/>
    <w:rsid w:val="00346F0D"/>
    <w:rsid w:val="00346F3B"/>
    <w:rsid w:val="00346FB4"/>
    <w:rsid w:val="0034700E"/>
    <w:rsid w:val="0034720E"/>
    <w:rsid w:val="00347397"/>
    <w:rsid w:val="00347413"/>
    <w:rsid w:val="0034746F"/>
    <w:rsid w:val="003475C9"/>
    <w:rsid w:val="003475DC"/>
    <w:rsid w:val="00347650"/>
    <w:rsid w:val="003477F3"/>
    <w:rsid w:val="003478ED"/>
    <w:rsid w:val="00347A5E"/>
    <w:rsid w:val="00347A8B"/>
    <w:rsid w:val="00347B48"/>
    <w:rsid w:val="00347B9F"/>
    <w:rsid w:val="00347BC0"/>
    <w:rsid w:val="00347BC2"/>
    <w:rsid w:val="00347C02"/>
    <w:rsid w:val="00347C19"/>
    <w:rsid w:val="00347CAD"/>
    <w:rsid w:val="00347CB3"/>
    <w:rsid w:val="00347CC7"/>
    <w:rsid w:val="00347CE3"/>
    <w:rsid w:val="00347DEE"/>
    <w:rsid w:val="00347E67"/>
    <w:rsid w:val="00347E6A"/>
    <w:rsid w:val="00347F13"/>
    <w:rsid w:val="00347F4E"/>
    <w:rsid w:val="00347F71"/>
    <w:rsid w:val="003500B6"/>
    <w:rsid w:val="003501EA"/>
    <w:rsid w:val="0035033C"/>
    <w:rsid w:val="00350345"/>
    <w:rsid w:val="003503B0"/>
    <w:rsid w:val="00350546"/>
    <w:rsid w:val="0035061B"/>
    <w:rsid w:val="00350664"/>
    <w:rsid w:val="003506C0"/>
    <w:rsid w:val="00350705"/>
    <w:rsid w:val="003508E9"/>
    <w:rsid w:val="0035093F"/>
    <w:rsid w:val="00350965"/>
    <w:rsid w:val="0035098E"/>
    <w:rsid w:val="00350A15"/>
    <w:rsid w:val="00350A6A"/>
    <w:rsid w:val="00350AF9"/>
    <w:rsid w:val="00350B7E"/>
    <w:rsid w:val="00350B8D"/>
    <w:rsid w:val="00350E3C"/>
    <w:rsid w:val="00350E3E"/>
    <w:rsid w:val="00350ED0"/>
    <w:rsid w:val="00350EE2"/>
    <w:rsid w:val="00350F78"/>
    <w:rsid w:val="00351045"/>
    <w:rsid w:val="00351139"/>
    <w:rsid w:val="0035115C"/>
    <w:rsid w:val="003511EB"/>
    <w:rsid w:val="00351272"/>
    <w:rsid w:val="003512B3"/>
    <w:rsid w:val="003512C1"/>
    <w:rsid w:val="00351379"/>
    <w:rsid w:val="003513CD"/>
    <w:rsid w:val="003513DC"/>
    <w:rsid w:val="003513E2"/>
    <w:rsid w:val="00351415"/>
    <w:rsid w:val="0035146D"/>
    <w:rsid w:val="0035154A"/>
    <w:rsid w:val="003515B3"/>
    <w:rsid w:val="0035160D"/>
    <w:rsid w:val="0035162A"/>
    <w:rsid w:val="0035172A"/>
    <w:rsid w:val="0035179E"/>
    <w:rsid w:val="00351851"/>
    <w:rsid w:val="003518A0"/>
    <w:rsid w:val="003518D6"/>
    <w:rsid w:val="003519CC"/>
    <w:rsid w:val="00351A0C"/>
    <w:rsid w:val="00351AD4"/>
    <w:rsid w:val="00351AEE"/>
    <w:rsid w:val="00351AF1"/>
    <w:rsid w:val="00351BD6"/>
    <w:rsid w:val="00351BEE"/>
    <w:rsid w:val="00351BF1"/>
    <w:rsid w:val="00351C49"/>
    <w:rsid w:val="00351CFB"/>
    <w:rsid w:val="00351D19"/>
    <w:rsid w:val="00351DEC"/>
    <w:rsid w:val="00351F80"/>
    <w:rsid w:val="00352014"/>
    <w:rsid w:val="003520AB"/>
    <w:rsid w:val="003520BA"/>
    <w:rsid w:val="00352116"/>
    <w:rsid w:val="00352183"/>
    <w:rsid w:val="00352273"/>
    <w:rsid w:val="003522EC"/>
    <w:rsid w:val="0035250D"/>
    <w:rsid w:val="0035251E"/>
    <w:rsid w:val="0035257D"/>
    <w:rsid w:val="003525CA"/>
    <w:rsid w:val="003526B9"/>
    <w:rsid w:val="003526DC"/>
    <w:rsid w:val="0035273E"/>
    <w:rsid w:val="00352815"/>
    <w:rsid w:val="00352853"/>
    <w:rsid w:val="00352892"/>
    <w:rsid w:val="00352900"/>
    <w:rsid w:val="0035295E"/>
    <w:rsid w:val="00352A43"/>
    <w:rsid w:val="00352B71"/>
    <w:rsid w:val="00352BBB"/>
    <w:rsid w:val="00352C96"/>
    <w:rsid w:val="00352CD4"/>
    <w:rsid w:val="00352D0C"/>
    <w:rsid w:val="00352D18"/>
    <w:rsid w:val="00352D95"/>
    <w:rsid w:val="00352E5D"/>
    <w:rsid w:val="00352F5B"/>
    <w:rsid w:val="00352FE9"/>
    <w:rsid w:val="0035307E"/>
    <w:rsid w:val="003530BB"/>
    <w:rsid w:val="003530CF"/>
    <w:rsid w:val="0035314C"/>
    <w:rsid w:val="0035315E"/>
    <w:rsid w:val="0035317A"/>
    <w:rsid w:val="00353236"/>
    <w:rsid w:val="00353269"/>
    <w:rsid w:val="003532A3"/>
    <w:rsid w:val="00353340"/>
    <w:rsid w:val="0035334A"/>
    <w:rsid w:val="0035335D"/>
    <w:rsid w:val="003533CB"/>
    <w:rsid w:val="0035343B"/>
    <w:rsid w:val="00353561"/>
    <w:rsid w:val="003535B7"/>
    <w:rsid w:val="00353616"/>
    <w:rsid w:val="003536B2"/>
    <w:rsid w:val="003536B4"/>
    <w:rsid w:val="003537DE"/>
    <w:rsid w:val="00353869"/>
    <w:rsid w:val="0035390E"/>
    <w:rsid w:val="003539EB"/>
    <w:rsid w:val="00353A45"/>
    <w:rsid w:val="00353A4F"/>
    <w:rsid w:val="00353A64"/>
    <w:rsid w:val="00353B04"/>
    <w:rsid w:val="00353B36"/>
    <w:rsid w:val="00353B9E"/>
    <w:rsid w:val="00353BBD"/>
    <w:rsid w:val="00353BCB"/>
    <w:rsid w:val="00353C56"/>
    <w:rsid w:val="00353C7F"/>
    <w:rsid w:val="00353D13"/>
    <w:rsid w:val="00353D88"/>
    <w:rsid w:val="00353E84"/>
    <w:rsid w:val="00353FE8"/>
    <w:rsid w:val="00354015"/>
    <w:rsid w:val="00354023"/>
    <w:rsid w:val="00354044"/>
    <w:rsid w:val="0035408B"/>
    <w:rsid w:val="00354095"/>
    <w:rsid w:val="003540C0"/>
    <w:rsid w:val="00354183"/>
    <w:rsid w:val="00354249"/>
    <w:rsid w:val="003542A6"/>
    <w:rsid w:val="003542BF"/>
    <w:rsid w:val="0035434C"/>
    <w:rsid w:val="00354391"/>
    <w:rsid w:val="003543DF"/>
    <w:rsid w:val="00354432"/>
    <w:rsid w:val="0035445C"/>
    <w:rsid w:val="003544E1"/>
    <w:rsid w:val="003544E5"/>
    <w:rsid w:val="0035453A"/>
    <w:rsid w:val="0035462E"/>
    <w:rsid w:val="00354649"/>
    <w:rsid w:val="00354688"/>
    <w:rsid w:val="003546B3"/>
    <w:rsid w:val="003546B5"/>
    <w:rsid w:val="00354758"/>
    <w:rsid w:val="00354828"/>
    <w:rsid w:val="00354892"/>
    <w:rsid w:val="00354954"/>
    <w:rsid w:val="00354972"/>
    <w:rsid w:val="00354A1B"/>
    <w:rsid w:val="00354A57"/>
    <w:rsid w:val="00354AC5"/>
    <w:rsid w:val="00354B31"/>
    <w:rsid w:val="00354B36"/>
    <w:rsid w:val="00354B58"/>
    <w:rsid w:val="00354BB4"/>
    <w:rsid w:val="00354CFD"/>
    <w:rsid w:val="00354E13"/>
    <w:rsid w:val="00354E33"/>
    <w:rsid w:val="00354E4C"/>
    <w:rsid w:val="00354E70"/>
    <w:rsid w:val="00354EA6"/>
    <w:rsid w:val="00354F03"/>
    <w:rsid w:val="0035501F"/>
    <w:rsid w:val="00355063"/>
    <w:rsid w:val="0035508E"/>
    <w:rsid w:val="00355094"/>
    <w:rsid w:val="003550B6"/>
    <w:rsid w:val="003551DD"/>
    <w:rsid w:val="003551E5"/>
    <w:rsid w:val="00355290"/>
    <w:rsid w:val="003552D8"/>
    <w:rsid w:val="0035534A"/>
    <w:rsid w:val="0035534E"/>
    <w:rsid w:val="00355386"/>
    <w:rsid w:val="00355399"/>
    <w:rsid w:val="003553C4"/>
    <w:rsid w:val="003553C5"/>
    <w:rsid w:val="003553C9"/>
    <w:rsid w:val="003553ED"/>
    <w:rsid w:val="003553F3"/>
    <w:rsid w:val="00355415"/>
    <w:rsid w:val="0035541C"/>
    <w:rsid w:val="0035557E"/>
    <w:rsid w:val="0035563D"/>
    <w:rsid w:val="0035567D"/>
    <w:rsid w:val="00355762"/>
    <w:rsid w:val="003557DC"/>
    <w:rsid w:val="00355804"/>
    <w:rsid w:val="00355860"/>
    <w:rsid w:val="003558F5"/>
    <w:rsid w:val="00355966"/>
    <w:rsid w:val="00355ADF"/>
    <w:rsid w:val="00355B06"/>
    <w:rsid w:val="00355B40"/>
    <w:rsid w:val="00355BFC"/>
    <w:rsid w:val="00355D1A"/>
    <w:rsid w:val="00355D9E"/>
    <w:rsid w:val="00355DF6"/>
    <w:rsid w:val="00355E96"/>
    <w:rsid w:val="00355F35"/>
    <w:rsid w:val="00355FD9"/>
    <w:rsid w:val="00355FEA"/>
    <w:rsid w:val="003560F8"/>
    <w:rsid w:val="003560FF"/>
    <w:rsid w:val="00356153"/>
    <w:rsid w:val="003561A5"/>
    <w:rsid w:val="00356248"/>
    <w:rsid w:val="0035624A"/>
    <w:rsid w:val="003563CA"/>
    <w:rsid w:val="003564A8"/>
    <w:rsid w:val="003564D8"/>
    <w:rsid w:val="00356501"/>
    <w:rsid w:val="00356581"/>
    <w:rsid w:val="003565CB"/>
    <w:rsid w:val="0035660A"/>
    <w:rsid w:val="003566F6"/>
    <w:rsid w:val="0035675C"/>
    <w:rsid w:val="003567EE"/>
    <w:rsid w:val="00356878"/>
    <w:rsid w:val="00356893"/>
    <w:rsid w:val="00356962"/>
    <w:rsid w:val="0035697B"/>
    <w:rsid w:val="00356981"/>
    <w:rsid w:val="003569E9"/>
    <w:rsid w:val="00356A64"/>
    <w:rsid w:val="00356AA0"/>
    <w:rsid w:val="00356AC7"/>
    <w:rsid w:val="00356B2F"/>
    <w:rsid w:val="00356C77"/>
    <w:rsid w:val="00356CE8"/>
    <w:rsid w:val="00356D21"/>
    <w:rsid w:val="00356E1A"/>
    <w:rsid w:val="00356EB8"/>
    <w:rsid w:val="00356ED1"/>
    <w:rsid w:val="00356FAD"/>
    <w:rsid w:val="00356FF8"/>
    <w:rsid w:val="00357009"/>
    <w:rsid w:val="0035703D"/>
    <w:rsid w:val="0035711D"/>
    <w:rsid w:val="0035717F"/>
    <w:rsid w:val="00357233"/>
    <w:rsid w:val="00357276"/>
    <w:rsid w:val="00357331"/>
    <w:rsid w:val="00357342"/>
    <w:rsid w:val="00357410"/>
    <w:rsid w:val="003574B2"/>
    <w:rsid w:val="003574F9"/>
    <w:rsid w:val="00357563"/>
    <w:rsid w:val="00357571"/>
    <w:rsid w:val="00357695"/>
    <w:rsid w:val="00357728"/>
    <w:rsid w:val="0035778C"/>
    <w:rsid w:val="003578EF"/>
    <w:rsid w:val="0035790A"/>
    <w:rsid w:val="003579CB"/>
    <w:rsid w:val="00357A55"/>
    <w:rsid w:val="00357A58"/>
    <w:rsid w:val="00357AD7"/>
    <w:rsid w:val="00357B5B"/>
    <w:rsid w:val="00357BA5"/>
    <w:rsid w:val="00357C0E"/>
    <w:rsid w:val="00357DBC"/>
    <w:rsid w:val="00357E9C"/>
    <w:rsid w:val="00357EE8"/>
    <w:rsid w:val="00357F32"/>
    <w:rsid w:val="00357F99"/>
    <w:rsid w:val="0036002B"/>
    <w:rsid w:val="00360041"/>
    <w:rsid w:val="0036006F"/>
    <w:rsid w:val="003600D4"/>
    <w:rsid w:val="0036011A"/>
    <w:rsid w:val="003601EB"/>
    <w:rsid w:val="00360243"/>
    <w:rsid w:val="00360265"/>
    <w:rsid w:val="0036028B"/>
    <w:rsid w:val="0036028F"/>
    <w:rsid w:val="003603B2"/>
    <w:rsid w:val="00360481"/>
    <w:rsid w:val="003604C9"/>
    <w:rsid w:val="00360538"/>
    <w:rsid w:val="003605C2"/>
    <w:rsid w:val="0036068D"/>
    <w:rsid w:val="003606A8"/>
    <w:rsid w:val="003606AB"/>
    <w:rsid w:val="003606CC"/>
    <w:rsid w:val="003606E6"/>
    <w:rsid w:val="003607EB"/>
    <w:rsid w:val="00360880"/>
    <w:rsid w:val="003608C8"/>
    <w:rsid w:val="00360945"/>
    <w:rsid w:val="00360947"/>
    <w:rsid w:val="0036095D"/>
    <w:rsid w:val="00360A23"/>
    <w:rsid w:val="00360A74"/>
    <w:rsid w:val="00360AC5"/>
    <w:rsid w:val="00360C71"/>
    <w:rsid w:val="00360C81"/>
    <w:rsid w:val="00360CA6"/>
    <w:rsid w:val="00360D02"/>
    <w:rsid w:val="00360DD9"/>
    <w:rsid w:val="00360E35"/>
    <w:rsid w:val="00360EB1"/>
    <w:rsid w:val="00360EEE"/>
    <w:rsid w:val="00360F4E"/>
    <w:rsid w:val="00360F7F"/>
    <w:rsid w:val="003610B1"/>
    <w:rsid w:val="00361145"/>
    <w:rsid w:val="003611DF"/>
    <w:rsid w:val="00361263"/>
    <w:rsid w:val="0036138D"/>
    <w:rsid w:val="003613A8"/>
    <w:rsid w:val="00361411"/>
    <w:rsid w:val="0036147B"/>
    <w:rsid w:val="003614FA"/>
    <w:rsid w:val="00361594"/>
    <w:rsid w:val="0036161B"/>
    <w:rsid w:val="003616D7"/>
    <w:rsid w:val="00361733"/>
    <w:rsid w:val="00361783"/>
    <w:rsid w:val="00361797"/>
    <w:rsid w:val="0036181A"/>
    <w:rsid w:val="00361879"/>
    <w:rsid w:val="0036194E"/>
    <w:rsid w:val="00361990"/>
    <w:rsid w:val="003619D4"/>
    <w:rsid w:val="00361A53"/>
    <w:rsid w:val="00361B3C"/>
    <w:rsid w:val="00361B45"/>
    <w:rsid w:val="00361C47"/>
    <w:rsid w:val="00361CF1"/>
    <w:rsid w:val="00361CFC"/>
    <w:rsid w:val="00361D6B"/>
    <w:rsid w:val="00361DE6"/>
    <w:rsid w:val="00361E0F"/>
    <w:rsid w:val="00361E12"/>
    <w:rsid w:val="00361EBD"/>
    <w:rsid w:val="00361EED"/>
    <w:rsid w:val="00361FB4"/>
    <w:rsid w:val="0036203B"/>
    <w:rsid w:val="00362044"/>
    <w:rsid w:val="0036209E"/>
    <w:rsid w:val="00362119"/>
    <w:rsid w:val="00362167"/>
    <w:rsid w:val="00362179"/>
    <w:rsid w:val="00362183"/>
    <w:rsid w:val="003621D4"/>
    <w:rsid w:val="003622C7"/>
    <w:rsid w:val="003622D3"/>
    <w:rsid w:val="00362315"/>
    <w:rsid w:val="003624B8"/>
    <w:rsid w:val="003624C5"/>
    <w:rsid w:val="0036253F"/>
    <w:rsid w:val="003625B0"/>
    <w:rsid w:val="0036265F"/>
    <w:rsid w:val="003626E9"/>
    <w:rsid w:val="00362723"/>
    <w:rsid w:val="00362842"/>
    <w:rsid w:val="00362875"/>
    <w:rsid w:val="003628AB"/>
    <w:rsid w:val="003628D4"/>
    <w:rsid w:val="003628E3"/>
    <w:rsid w:val="003628EC"/>
    <w:rsid w:val="0036295B"/>
    <w:rsid w:val="00362996"/>
    <w:rsid w:val="003629D2"/>
    <w:rsid w:val="00362B00"/>
    <w:rsid w:val="00362B12"/>
    <w:rsid w:val="00362BFF"/>
    <w:rsid w:val="00362C41"/>
    <w:rsid w:val="00362D01"/>
    <w:rsid w:val="00362D96"/>
    <w:rsid w:val="00362E07"/>
    <w:rsid w:val="00362E18"/>
    <w:rsid w:val="00362E98"/>
    <w:rsid w:val="00362ECC"/>
    <w:rsid w:val="00362F15"/>
    <w:rsid w:val="00363016"/>
    <w:rsid w:val="00363017"/>
    <w:rsid w:val="00363364"/>
    <w:rsid w:val="003633C7"/>
    <w:rsid w:val="00363577"/>
    <w:rsid w:val="003635A0"/>
    <w:rsid w:val="003636E8"/>
    <w:rsid w:val="0036371C"/>
    <w:rsid w:val="00363734"/>
    <w:rsid w:val="003637AC"/>
    <w:rsid w:val="003637DF"/>
    <w:rsid w:val="00363815"/>
    <w:rsid w:val="00363822"/>
    <w:rsid w:val="00363828"/>
    <w:rsid w:val="00363831"/>
    <w:rsid w:val="003638F8"/>
    <w:rsid w:val="0036390D"/>
    <w:rsid w:val="003639AF"/>
    <w:rsid w:val="00363B01"/>
    <w:rsid w:val="00363B61"/>
    <w:rsid w:val="00363B9A"/>
    <w:rsid w:val="00363C3E"/>
    <w:rsid w:val="00363D17"/>
    <w:rsid w:val="00363DA1"/>
    <w:rsid w:val="00363E52"/>
    <w:rsid w:val="00363FE7"/>
    <w:rsid w:val="003640AF"/>
    <w:rsid w:val="003640C2"/>
    <w:rsid w:val="003640F4"/>
    <w:rsid w:val="003640F9"/>
    <w:rsid w:val="00364163"/>
    <w:rsid w:val="003641BC"/>
    <w:rsid w:val="003641C6"/>
    <w:rsid w:val="00364250"/>
    <w:rsid w:val="00364270"/>
    <w:rsid w:val="0036436B"/>
    <w:rsid w:val="003643B8"/>
    <w:rsid w:val="00364411"/>
    <w:rsid w:val="003644D3"/>
    <w:rsid w:val="0036453C"/>
    <w:rsid w:val="003645AF"/>
    <w:rsid w:val="00364604"/>
    <w:rsid w:val="00364646"/>
    <w:rsid w:val="003646AB"/>
    <w:rsid w:val="003646DE"/>
    <w:rsid w:val="003646F8"/>
    <w:rsid w:val="0036470F"/>
    <w:rsid w:val="0036474B"/>
    <w:rsid w:val="0036475E"/>
    <w:rsid w:val="003647A8"/>
    <w:rsid w:val="00364807"/>
    <w:rsid w:val="0036480F"/>
    <w:rsid w:val="00364841"/>
    <w:rsid w:val="0036484F"/>
    <w:rsid w:val="00364900"/>
    <w:rsid w:val="0036493F"/>
    <w:rsid w:val="0036497A"/>
    <w:rsid w:val="003649DB"/>
    <w:rsid w:val="00364A96"/>
    <w:rsid w:val="00364B6F"/>
    <w:rsid w:val="00364BD2"/>
    <w:rsid w:val="00364EE1"/>
    <w:rsid w:val="00364F6D"/>
    <w:rsid w:val="00364F8F"/>
    <w:rsid w:val="00364FFE"/>
    <w:rsid w:val="0036508F"/>
    <w:rsid w:val="0036510A"/>
    <w:rsid w:val="0036510D"/>
    <w:rsid w:val="0036514F"/>
    <w:rsid w:val="00365230"/>
    <w:rsid w:val="00365353"/>
    <w:rsid w:val="003653AB"/>
    <w:rsid w:val="003653D3"/>
    <w:rsid w:val="00365401"/>
    <w:rsid w:val="00365499"/>
    <w:rsid w:val="003654AB"/>
    <w:rsid w:val="003654AC"/>
    <w:rsid w:val="003654BB"/>
    <w:rsid w:val="0036551D"/>
    <w:rsid w:val="0036552F"/>
    <w:rsid w:val="00365576"/>
    <w:rsid w:val="0036562E"/>
    <w:rsid w:val="0036572F"/>
    <w:rsid w:val="003657A3"/>
    <w:rsid w:val="003657C5"/>
    <w:rsid w:val="0036581F"/>
    <w:rsid w:val="0036595B"/>
    <w:rsid w:val="00365BB6"/>
    <w:rsid w:val="00365BE5"/>
    <w:rsid w:val="00365C18"/>
    <w:rsid w:val="00365CBC"/>
    <w:rsid w:val="00365D67"/>
    <w:rsid w:val="00365DC0"/>
    <w:rsid w:val="00365DF2"/>
    <w:rsid w:val="00365FC6"/>
    <w:rsid w:val="0036603A"/>
    <w:rsid w:val="00366075"/>
    <w:rsid w:val="003660D2"/>
    <w:rsid w:val="00366198"/>
    <w:rsid w:val="00366297"/>
    <w:rsid w:val="003662B2"/>
    <w:rsid w:val="003662C7"/>
    <w:rsid w:val="0036631B"/>
    <w:rsid w:val="003663E0"/>
    <w:rsid w:val="00366412"/>
    <w:rsid w:val="0036654C"/>
    <w:rsid w:val="0036669C"/>
    <w:rsid w:val="00366755"/>
    <w:rsid w:val="003668F8"/>
    <w:rsid w:val="00366936"/>
    <w:rsid w:val="0036697E"/>
    <w:rsid w:val="00366AA5"/>
    <w:rsid w:val="00366B5B"/>
    <w:rsid w:val="00366B6A"/>
    <w:rsid w:val="00366C56"/>
    <w:rsid w:val="00366CDB"/>
    <w:rsid w:val="00366DC9"/>
    <w:rsid w:val="00367009"/>
    <w:rsid w:val="003671BC"/>
    <w:rsid w:val="00367233"/>
    <w:rsid w:val="003672D4"/>
    <w:rsid w:val="003674D9"/>
    <w:rsid w:val="003674DB"/>
    <w:rsid w:val="00367509"/>
    <w:rsid w:val="00367513"/>
    <w:rsid w:val="00367524"/>
    <w:rsid w:val="00367540"/>
    <w:rsid w:val="00367594"/>
    <w:rsid w:val="003675D1"/>
    <w:rsid w:val="00367618"/>
    <w:rsid w:val="0036769F"/>
    <w:rsid w:val="003676BB"/>
    <w:rsid w:val="003676EC"/>
    <w:rsid w:val="003677B7"/>
    <w:rsid w:val="00367888"/>
    <w:rsid w:val="003678A3"/>
    <w:rsid w:val="003678A8"/>
    <w:rsid w:val="003678FF"/>
    <w:rsid w:val="00367A7B"/>
    <w:rsid w:val="00367B81"/>
    <w:rsid w:val="00367BAF"/>
    <w:rsid w:val="00367CE7"/>
    <w:rsid w:val="00367CFC"/>
    <w:rsid w:val="00367EA3"/>
    <w:rsid w:val="00367EDE"/>
    <w:rsid w:val="00367FA7"/>
    <w:rsid w:val="00370006"/>
    <w:rsid w:val="00370097"/>
    <w:rsid w:val="003700FE"/>
    <w:rsid w:val="0037011B"/>
    <w:rsid w:val="00370173"/>
    <w:rsid w:val="003701B2"/>
    <w:rsid w:val="003701B6"/>
    <w:rsid w:val="003702A6"/>
    <w:rsid w:val="003702B6"/>
    <w:rsid w:val="003702C0"/>
    <w:rsid w:val="0037034B"/>
    <w:rsid w:val="003704A2"/>
    <w:rsid w:val="003704FD"/>
    <w:rsid w:val="003705D8"/>
    <w:rsid w:val="003705DC"/>
    <w:rsid w:val="003705FB"/>
    <w:rsid w:val="0037062A"/>
    <w:rsid w:val="00370661"/>
    <w:rsid w:val="003706AA"/>
    <w:rsid w:val="0037089D"/>
    <w:rsid w:val="003708C3"/>
    <w:rsid w:val="003708EE"/>
    <w:rsid w:val="003709C0"/>
    <w:rsid w:val="003709C6"/>
    <w:rsid w:val="00370A1E"/>
    <w:rsid w:val="00370A5A"/>
    <w:rsid w:val="00370B78"/>
    <w:rsid w:val="00370BD5"/>
    <w:rsid w:val="00370BE8"/>
    <w:rsid w:val="00370C3F"/>
    <w:rsid w:val="00370C88"/>
    <w:rsid w:val="00370D72"/>
    <w:rsid w:val="00370DC1"/>
    <w:rsid w:val="00370DFF"/>
    <w:rsid w:val="00370E78"/>
    <w:rsid w:val="00371018"/>
    <w:rsid w:val="0037110C"/>
    <w:rsid w:val="00371225"/>
    <w:rsid w:val="0037124F"/>
    <w:rsid w:val="003712DF"/>
    <w:rsid w:val="00371389"/>
    <w:rsid w:val="00371429"/>
    <w:rsid w:val="0037146D"/>
    <w:rsid w:val="00371472"/>
    <w:rsid w:val="0037147A"/>
    <w:rsid w:val="0037147D"/>
    <w:rsid w:val="003714BD"/>
    <w:rsid w:val="00371505"/>
    <w:rsid w:val="00371624"/>
    <w:rsid w:val="00371698"/>
    <w:rsid w:val="003716F3"/>
    <w:rsid w:val="0037177C"/>
    <w:rsid w:val="00371782"/>
    <w:rsid w:val="00371822"/>
    <w:rsid w:val="00371823"/>
    <w:rsid w:val="003718C5"/>
    <w:rsid w:val="003718C9"/>
    <w:rsid w:val="003719F8"/>
    <w:rsid w:val="00371A85"/>
    <w:rsid w:val="00371A92"/>
    <w:rsid w:val="00371AD3"/>
    <w:rsid w:val="00371AEA"/>
    <w:rsid w:val="00371B66"/>
    <w:rsid w:val="00371B73"/>
    <w:rsid w:val="00371D88"/>
    <w:rsid w:val="00371F06"/>
    <w:rsid w:val="00371F29"/>
    <w:rsid w:val="00372069"/>
    <w:rsid w:val="003720D4"/>
    <w:rsid w:val="00372138"/>
    <w:rsid w:val="00372281"/>
    <w:rsid w:val="003722BA"/>
    <w:rsid w:val="00372497"/>
    <w:rsid w:val="00372498"/>
    <w:rsid w:val="0037250C"/>
    <w:rsid w:val="00372570"/>
    <w:rsid w:val="0037261F"/>
    <w:rsid w:val="00372662"/>
    <w:rsid w:val="00372784"/>
    <w:rsid w:val="003728C6"/>
    <w:rsid w:val="00372A7F"/>
    <w:rsid w:val="00372A81"/>
    <w:rsid w:val="00372AC7"/>
    <w:rsid w:val="00372B36"/>
    <w:rsid w:val="00372C8D"/>
    <w:rsid w:val="00372CA9"/>
    <w:rsid w:val="00372CEE"/>
    <w:rsid w:val="00372E36"/>
    <w:rsid w:val="00372E51"/>
    <w:rsid w:val="00372F21"/>
    <w:rsid w:val="00372F2E"/>
    <w:rsid w:val="00372F4D"/>
    <w:rsid w:val="00372FC8"/>
    <w:rsid w:val="00372FDF"/>
    <w:rsid w:val="0037301F"/>
    <w:rsid w:val="00373026"/>
    <w:rsid w:val="003731BB"/>
    <w:rsid w:val="003731C8"/>
    <w:rsid w:val="003732E3"/>
    <w:rsid w:val="00373313"/>
    <w:rsid w:val="00373350"/>
    <w:rsid w:val="0037338E"/>
    <w:rsid w:val="003733BC"/>
    <w:rsid w:val="00373428"/>
    <w:rsid w:val="003734D7"/>
    <w:rsid w:val="0037354E"/>
    <w:rsid w:val="00373567"/>
    <w:rsid w:val="00373594"/>
    <w:rsid w:val="00373682"/>
    <w:rsid w:val="003736B5"/>
    <w:rsid w:val="003736CB"/>
    <w:rsid w:val="00373717"/>
    <w:rsid w:val="00373730"/>
    <w:rsid w:val="0037375E"/>
    <w:rsid w:val="00373820"/>
    <w:rsid w:val="00373842"/>
    <w:rsid w:val="00373A0B"/>
    <w:rsid w:val="00373A4B"/>
    <w:rsid w:val="00373A60"/>
    <w:rsid w:val="00373CEF"/>
    <w:rsid w:val="00373D75"/>
    <w:rsid w:val="00373E75"/>
    <w:rsid w:val="00373EF2"/>
    <w:rsid w:val="00373FB3"/>
    <w:rsid w:val="00374224"/>
    <w:rsid w:val="00374244"/>
    <w:rsid w:val="003742A9"/>
    <w:rsid w:val="00374330"/>
    <w:rsid w:val="0037436C"/>
    <w:rsid w:val="0037437B"/>
    <w:rsid w:val="003743E9"/>
    <w:rsid w:val="0037443F"/>
    <w:rsid w:val="0037456F"/>
    <w:rsid w:val="003745A9"/>
    <w:rsid w:val="003745B1"/>
    <w:rsid w:val="003745F3"/>
    <w:rsid w:val="00374657"/>
    <w:rsid w:val="003746AB"/>
    <w:rsid w:val="00374885"/>
    <w:rsid w:val="0037489F"/>
    <w:rsid w:val="00374991"/>
    <w:rsid w:val="00374A27"/>
    <w:rsid w:val="00374AC0"/>
    <w:rsid w:val="00374C97"/>
    <w:rsid w:val="00374DBC"/>
    <w:rsid w:val="00374DBF"/>
    <w:rsid w:val="00374DC0"/>
    <w:rsid w:val="00374E19"/>
    <w:rsid w:val="00374E50"/>
    <w:rsid w:val="00374E79"/>
    <w:rsid w:val="00374F76"/>
    <w:rsid w:val="00374F95"/>
    <w:rsid w:val="003751FD"/>
    <w:rsid w:val="00375215"/>
    <w:rsid w:val="0037536E"/>
    <w:rsid w:val="003754EF"/>
    <w:rsid w:val="0037557E"/>
    <w:rsid w:val="003755B1"/>
    <w:rsid w:val="0037567A"/>
    <w:rsid w:val="00375680"/>
    <w:rsid w:val="00375773"/>
    <w:rsid w:val="003759A2"/>
    <w:rsid w:val="003759DD"/>
    <w:rsid w:val="003759E4"/>
    <w:rsid w:val="00375A16"/>
    <w:rsid w:val="00375A66"/>
    <w:rsid w:val="00375AA7"/>
    <w:rsid w:val="00375B1D"/>
    <w:rsid w:val="00375B88"/>
    <w:rsid w:val="00375B91"/>
    <w:rsid w:val="00375BDF"/>
    <w:rsid w:val="00375DA5"/>
    <w:rsid w:val="00375DCE"/>
    <w:rsid w:val="00375E06"/>
    <w:rsid w:val="00375EEC"/>
    <w:rsid w:val="00375F11"/>
    <w:rsid w:val="00375F5A"/>
    <w:rsid w:val="00375FBB"/>
    <w:rsid w:val="00376018"/>
    <w:rsid w:val="00376020"/>
    <w:rsid w:val="0037611C"/>
    <w:rsid w:val="00376267"/>
    <w:rsid w:val="00376283"/>
    <w:rsid w:val="003762B1"/>
    <w:rsid w:val="00376330"/>
    <w:rsid w:val="00376343"/>
    <w:rsid w:val="00376398"/>
    <w:rsid w:val="00376410"/>
    <w:rsid w:val="00376525"/>
    <w:rsid w:val="00376555"/>
    <w:rsid w:val="00376561"/>
    <w:rsid w:val="00376662"/>
    <w:rsid w:val="003766E7"/>
    <w:rsid w:val="00376759"/>
    <w:rsid w:val="00376773"/>
    <w:rsid w:val="0037679A"/>
    <w:rsid w:val="003768B8"/>
    <w:rsid w:val="003768D1"/>
    <w:rsid w:val="00376902"/>
    <w:rsid w:val="0037691B"/>
    <w:rsid w:val="00376976"/>
    <w:rsid w:val="003769CE"/>
    <w:rsid w:val="00376A03"/>
    <w:rsid w:val="00376A1B"/>
    <w:rsid w:val="00376A88"/>
    <w:rsid w:val="00376A8B"/>
    <w:rsid w:val="00376AC9"/>
    <w:rsid w:val="00376ACD"/>
    <w:rsid w:val="00376AE9"/>
    <w:rsid w:val="00376B07"/>
    <w:rsid w:val="00376BBE"/>
    <w:rsid w:val="00376C54"/>
    <w:rsid w:val="00376EF5"/>
    <w:rsid w:val="00376FBA"/>
    <w:rsid w:val="0037701E"/>
    <w:rsid w:val="003770C2"/>
    <w:rsid w:val="00377159"/>
    <w:rsid w:val="003771A5"/>
    <w:rsid w:val="003772EF"/>
    <w:rsid w:val="00377355"/>
    <w:rsid w:val="00377407"/>
    <w:rsid w:val="0037746D"/>
    <w:rsid w:val="00377515"/>
    <w:rsid w:val="00377570"/>
    <w:rsid w:val="00377609"/>
    <w:rsid w:val="0037775F"/>
    <w:rsid w:val="00377837"/>
    <w:rsid w:val="00377855"/>
    <w:rsid w:val="00377863"/>
    <w:rsid w:val="003778C6"/>
    <w:rsid w:val="003778CE"/>
    <w:rsid w:val="003778DA"/>
    <w:rsid w:val="00377927"/>
    <w:rsid w:val="00377976"/>
    <w:rsid w:val="003779D7"/>
    <w:rsid w:val="00377A8C"/>
    <w:rsid w:val="00377BA4"/>
    <w:rsid w:val="00377C34"/>
    <w:rsid w:val="00377CAF"/>
    <w:rsid w:val="00377E47"/>
    <w:rsid w:val="00377F04"/>
    <w:rsid w:val="00377F14"/>
    <w:rsid w:val="00377F4A"/>
    <w:rsid w:val="00377F6B"/>
    <w:rsid w:val="00380106"/>
    <w:rsid w:val="00380108"/>
    <w:rsid w:val="00380143"/>
    <w:rsid w:val="00380197"/>
    <w:rsid w:val="00380208"/>
    <w:rsid w:val="00380259"/>
    <w:rsid w:val="003802ED"/>
    <w:rsid w:val="0038036E"/>
    <w:rsid w:val="003803BE"/>
    <w:rsid w:val="003803F6"/>
    <w:rsid w:val="00380450"/>
    <w:rsid w:val="0038045D"/>
    <w:rsid w:val="00380463"/>
    <w:rsid w:val="00380482"/>
    <w:rsid w:val="003804C5"/>
    <w:rsid w:val="0038050A"/>
    <w:rsid w:val="0038051D"/>
    <w:rsid w:val="00380549"/>
    <w:rsid w:val="00380599"/>
    <w:rsid w:val="003805BD"/>
    <w:rsid w:val="003805D4"/>
    <w:rsid w:val="00380635"/>
    <w:rsid w:val="00380677"/>
    <w:rsid w:val="0038069E"/>
    <w:rsid w:val="003806DA"/>
    <w:rsid w:val="0038070A"/>
    <w:rsid w:val="00380726"/>
    <w:rsid w:val="00380739"/>
    <w:rsid w:val="003807EB"/>
    <w:rsid w:val="003808F0"/>
    <w:rsid w:val="00380989"/>
    <w:rsid w:val="00380999"/>
    <w:rsid w:val="003809DC"/>
    <w:rsid w:val="003809E3"/>
    <w:rsid w:val="00380A82"/>
    <w:rsid w:val="00380A9D"/>
    <w:rsid w:val="00380B5B"/>
    <w:rsid w:val="00380B71"/>
    <w:rsid w:val="00380BD8"/>
    <w:rsid w:val="00380C51"/>
    <w:rsid w:val="00380CF8"/>
    <w:rsid w:val="00380D7A"/>
    <w:rsid w:val="00380E96"/>
    <w:rsid w:val="00380F49"/>
    <w:rsid w:val="00380F4D"/>
    <w:rsid w:val="00380F6B"/>
    <w:rsid w:val="00380F78"/>
    <w:rsid w:val="00380FDF"/>
    <w:rsid w:val="00380FEB"/>
    <w:rsid w:val="0038110A"/>
    <w:rsid w:val="0038117A"/>
    <w:rsid w:val="003811B3"/>
    <w:rsid w:val="003811E3"/>
    <w:rsid w:val="00381229"/>
    <w:rsid w:val="0038126C"/>
    <w:rsid w:val="00381277"/>
    <w:rsid w:val="003812C1"/>
    <w:rsid w:val="003812E7"/>
    <w:rsid w:val="003813C3"/>
    <w:rsid w:val="00381465"/>
    <w:rsid w:val="00381554"/>
    <w:rsid w:val="003815AB"/>
    <w:rsid w:val="003816ED"/>
    <w:rsid w:val="003817AD"/>
    <w:rsid w:val="003818A2"/>
    <w:rsid w:val="003818EF"/>
    <w:rsid w:val="00381933"/>
    <w:rsid w:val="00381946"/>
    <w:rsid w:val="003819E0"/>
    <w:rsid w:val="00381C17"/>
    <w:rsid w:val="00381C78"/>
    <w:rsid w:val="00381CD1"/>
    <w:rsid w:val="00381D29"/>
    <w:rsid w:val="00381D4F"/>
    <w:rsid w:val="00381DAF"/>
    <w:rsid w:val="00381EBA"/>
    <w:rsid w:val="00381EDA"/>
    <w:rsid w:val="00381F33"/>
    <w:rsid w:val="00381F80"/>
    <w:rsid w:val="0038201A"/>
    <w:rsid w:val="003820D4"/>
    <w:rsid w:val="003820F1"/>
    <w:rsid w:val="0038212D"/>
    <w:rsid w:val="00382148"/>
    <w:rsid w:val="00382189"/>
    <w:rsid w:val="003821A1"/>
    <w:rsid w:val="00382346"/>
    <w:rsid w:val="0038236B"/>
    <w:rsid w:val="003823CF"/>
    <w:rsid w:val="003823E1"/>
    <w:rsid w:val="003823F5"/>
    <w:rsid w:val="0038250C"/>
    <w:rsid w:val="0038251C"/>
    <w:rsid w:val="0038262F"/>
    <w:rsid w:val="00382744"/>
    <w:rsid w:val="00382751"/>
    <w:rsid w:val="00382774"/>
    <w:rsid w:val="00382806"/>
    <w:rsid w:val="0038280B"/>
    <w:rsid w:val="00382830"/>
    <w:rsid w:val="003828F7"/>
    <w:rsid w:val="00382981"/>
    <w:rsid w:val="00382A02"/>
    <w:rsid w:val="00382A2F"/>
    <w:rsid w:val="00382BA8"/>
    <w:rsid w:val="00382BBA"/>
    <w:rsid w:val="00382BEF"/>
    <w:rsid w:val="00382C4B"/>
    <w:rsid w:val="00382CA0"/>
    <w:rsid w:val="00382D24"/>
    <w:rsid w:val="00382DCE"/>
    <w:rsid w:val="00382E24"/>
    <w:rsid w:val="00382E3D"/>
    <w:rsid w:val="00382E40"/>
    <w:rsid w:val="00382EAE"/>
    <w:rsid w:val="00382EE7"/>
    <w:rsid w:val="00382F1A"/>
    <w:rsid w:val="00382FC2"/>
    <w:rsid w:val="00382FF2"/>
    <w:rsid w:val="00382FF5"/>
    <w:rsid w:val="00383008"/>
    <w:rsid w:val="003830D7"/>
    <w:rsid w:val="003831AC"/>
    <w:rsid w:val="003831D0"/>
    <w:rsid w:val="00383240"/>
    <w:rsid w:val="003833C7"/>
    <w:rsid w:val="00383439"/>
    <w:rsid w:val="003834FF"/>
    <w:rsid w:val="00383523"/>
    <w:rsid w:val="00383530"/>
    <w:rsid w:val="003835D3"/>
    <w:rsid w:val="003835EF"/>
    <w:rsid w:val="003836C8"/>
    <w:rsid w:val="003837BD"/>
    <w:rsid w:val="003838A7"/>
    <w:rsid w:val="003838ED"/>
    <w:rsid w:val="003838F5"/>
    <w:rsid w:val="00383AFD"/>
    <w:rsid w:val="00383B91"/>
    <w:rsid w:val="00383D10"/>
    <w:rsid w:val="00383D11"/>
    <w:rsid w:val="00383D37"/>
    <w:rsid w:val="00383EA8"/>
    <w:rsid w:val="00383F38"/>
    <w:rsid w:val="00383FA0"/>
    <w:rsid w:val="0038406D"/>
    <w:rsid w:val="0038409A"/>
    <w:rsid w:val="003840B2"/>
    <w:rsid w:val="003840C5"/>
    <w:rsid w:val="003840F4"/>
    <w:rsid w:val="0038412C"/>
    <w:rsid w:val="00384209"/>
    <w:rsid w:val="0038426F"/>
    <w:rsid w:val="00384372"/>
    <w:rsid w:val="003843B6"/>
    <w:rsid w:val="003843C3"/>
    <w:rsid w:val="003843F0"/>
    <w:rsid w:val="0038451B"/>
    <w:rsid w:val="00384552"/>
    <w:rsid w:val="003845CD"/>
    <w:rsid w:val="003846A7"/>
    <w:rsid w:val="00384707"/>
    <w:rsid w:val="0038478C"/>
    <w:rsid w:val="003847CD"/>
    <w:rsid w:val="00384824"/>
    <w:rsid w:val="003848E3"/>
    <w:rsid w:val="003848F9"/>
    <w:rsid w:val="0038498C"/>
    <w:rsid w:val="0038499D"/>
    <w:rsid w:val="003849D5"/>
    <w:rsid w:val="003849DF"/>
    <w:rsid w:val="00384A23"/>
    <w:rsid w:val="00384A79"/>
    <w:rsid w:val="00384A8A"/>
    <w:rsid w:val="00384B1F"/>
    <w:rsid w:val="00384B87"/>
    <w:rsid w:val="00384BAA"/>
    <w:rsid w:val="00384BCA"/>
    <w:rsid w:val="00384BFD"/>
    <w:rsid w:val="00384C71"/>
    <w:rsid w:val="00384C74"/>
    <w:rsid w:val="00384D19"/>
    <w:rsid w:val="00384D6E"/>
    <w:rsid w:val="00384E0B"/>
    <w:rsid w:val="00384E5D"/>
    <w:rsid w:val="00384F12"/>
    <w:rsid w:val="00384F2E"/>
    <w:rsid w:val="00384F8F"/>
    <w:rsid w:val="00384FD1"/>
    <w:rsid w:val="00384FFD"/>
    <w:rsid w:val="00385286"/>
    <w:rsid w:val="003852F7"/>
    <w:rsid w:val="0038538B"/>
    <w:rsid w:val="003853C4"/>
    <w:rsid w:val="003853D2"/>
    <w:rsid w:val="003854AA"/>
    <w:rsid w:val="0038566E"/>
    <w:rsid w:val="003856B5"/>
    <w:rsid w:val="0038580E"/>
    <w:rsid w:val="00385831"/>
    <w:rsid w:val="003858D3"/>
    <w:rsid w:val="003858FE"/>
    <w:rsid w:val="003859BE"/>
    <w:rsid w:val="003859F8"/>
    <w:rsid w:val="00385A76"/>
    <w:rsid w:val="00385B1D"/>
    <w:rsid w:val="00385BD3"/>
    <w:rsid w:val="00385CC8"/>
    <w:rsid w:val="00385CCD"/>
    <w:rsid w:val="00385DA1"/>
    <w:rsid w:val="00385DAA"/>
    <w:rsid w:val="00385DC2"/>
    <w:rsid w:val="00385E90"/>
    <w:rsid w:val="00385E91"/>
    <w:rsid w:val="00385EDD"/>
    <w:rsid w:val="00385EE3"/>
    <w:rsid w:val="00385F1A"/>
    <w:rsid w:val="00385FB0"/>
    <w:rsid w:val="0038600E"/>
    <w:rsid w:val="00386023"/>
    <w:rsid w:val="00386150"/>
    <w:rsid w:val="003861EC"/>
    <w:rsid w:val="003861F0"/>
    <w:rsid w:val="00386212"/>
    <w:rsid w:val="00386218"/>
    <w:rsid w:val="00386222"/>
    <w:rsid w:val="00386240"/>
    <w:rsid w:val="00386248"/>
    <w:rsid w:val="00386263"/>
    <w:rsid w:val="00386272"/>
    <w:rsid w:val="0038632E"/>
    <w:rsid w:val="003863DF"/>
    <w:rsid w:val="00386448"/>
    <w:rsid w:val="00386449"/>
    <w:rsid w:val="00386481"/>
    <w:rsid w:val="003864AB"/>
    <w:rsid w:val="003864E5"/>
    <w:rsid w:val="0038657A"/>
    <w:rsid w:val="003865A1"/>
    <w:rsid w:val="003865B3"/>
    <w:rsid w:val="0038676E"/>
    <w:rsid w:val="00386828"/>
    <w:rsid w:val="00386841"/>
    <w:rsid w:val="0038687A"/>
    <w:rsid w:val="003868A1"/>
    <w:rsid w:val="003868AB"/>
    <w:rsid w:val="00386903"/>
    <w:rsid w:val="00386985"/>
    <w:rsid w:val="00386A15"/>
    <w:rsid w:val="00386A33"/>
    <w:rsid w:val="00386AB8"/>
    <w:rsid w:val="00386B78"/>
    <w:rsid w:val="00386BEF"/>
    <w:rsid w:val="00386C4C"/>
    <w:rsid w:val="00386D31"/>
    <w:rsid w:val="00386E12"/>
    <w:rsid w:val="00386EAF"/>
    <w:rsid w:val="00387008"/>
    <w:rsid w:val="003872B9"/>
    <w:rsid w:val="003872D9"/>
    <w:rsid w:val="003872FA"/>
    <w:rsid w:val="003873BC"/>
    <w:rsid w:val="003873F6"/>
    <w:rsid w:val="003874DA"/>
    <w:rsid w:val="00387578"/>
    <w:rsid w:val="003875A1"/>
    <w:rsid w:val="003875CF"/>
    <w:rsid w:val="003875D0"/>
    <w:rsid w:val="00387623"/>
    <w:rsid w:val="003876B9"/>
    <w:rsid w:val="003877A2"/>
    <w:rsid w:val="003877BB"/>
    <w:rsid w:val="00387861"/>
    <w:rsid w:val="00387877"/>
    <w:rsid w:val="003878A2"/>
    <w:rsid w:val="003878B0"/>
    <w:rsid w:val="0038793E"/>
    <w:rsid w:val="00387975"/>
    <w:rsid w:val="00387B58"/>
    <w:rsid w:val="00387BB5"/>
    <w:rsid w:val="00387BBE"/>
    <w:rsid w:val="00387D61"/>
    <w:rsid w:val="00387E3B"/>
    <w:rsid w:val="00387EF2"/>
    <w:rsid w:val="00390090"/>
    <w:rsid w:val="00390134"/>
    <w:rsid w:val="003901F2"/>
    <w:rsid w:val="00390273"/>
    <w:rsid w:val="00390278"/>
    <w:rsid w:val="0039028A"/>
    <w:rsid w:val="0039028E"/>
    <w:rsid w:val="003902D3"/>
    <w:rsid w:val="0039030A"/>
    <w:rsid w:val="00390336"/>
    <w:rsid w:val="00390347"/>
    <w:rsid w:val="003903D0"/>
    <w:rsid w:val="00390560"/>
    <w:rsid w:val="003905C8"/>
    <w:rsid w:val="003905EC"/>
    <w:rsid w:val="00390676"/>
    <w:rsid w:val="003906EB"/>
    <w:rsid w:val="0039079F"/>
    <w:rsid w:val="00390870"/>
    <w:rsid w:val="003908CD"/>
    <w:rsid w:val="00390905"/>
    <w:rsid w:val="0039093F"/>
    <w:rsid w:val="0039098C"/>
    <w:rsid w:val="003909EF"/>
    <w:rsid w:val="003909F1"/>
    <w:rsid w:val="00390A80"/>
    <w:rsid w:val="00390B22"/>
    <w:rsid w:val="00390B83"/>
    <w:rsid w:val="00390B93"/>
    <w:rsid w:val="00390C8F"/>
    <w:rsid w:val="00390CA6"/>
    <w:rsid w:val="00390D61"/>
    <w:rsid w:val="00390DBE"/>
    <w:rsid w:val="00390F36"/>
    <w:rsid w:val="00390FDA"/>
    <w:rsid w:val="0039103B"/>
    <w:rsid w:val="003911CD"/>
    <w:rsid w:val="003912F1"/>
    <w:rsid w:val="0039132B"/>
    <w:rsid w:val="00391414"/>
    <w:rsid w:val="00391491"/>
    <w:rsid w:val="003914BA"/>
    <w:rsid w:val="00391590"/>
    <w:rsid w:val="0039161E"/>
    <w:rsid w:val="00391665"/>
    <w:rsid w:val="003916E6"/>
    <w:rsid w:val="00391770"/>
    <w:rsid w:val="003917A4"/>
    <w:rsid w:val="00391979"/>
    <w:rsid w:val="003919A9"/>
    <w:rsid w:val="00391A96"/>
    <w:rsid w:val="00391AB2"/>
    <w:rsid w:val="00391B55"/>
    <w:rsid w:val="00391B98"/>
    <w:rsid w:val="00391C5D"/>
    <w:rsid w:val="00391C78"/>
    <w:rsid w:val="00391C97"/>
    <w:rsid w:val="00391CC5"/>
    <w:rsid w:val="00391DB6"/>
    <w:rsid w:val="00391DF2"/>
    <w:rsid w:val="00391E8E"/>
    <w:rsid w:val="00391F99"/>
    <w:rsid w:val="00391FE8"/>
    <w:rsid w:val="0039204B"/>
    <w:rsid w:val="003920A9"/>
    <w:rsid w:val="0039213C"/>
    <w:rsid w:val="003921A3"/>
    <w:rsid w:val="0039226C"/>
    <w:rsid w:val="003922B0"/>
    <w:rsid w:val="003923C7"/>
    <w:rsid w:val="00392405"/>
    <w:rsid w:val="003924E6"/>
    <w:rsid w:val="00392530"/>
    <w:rsid w:val="00392585"/>
    <w:rsid w:val="00392604"/>
    <w:rsid w:val="003927FD"/>
    <w:rsid w:val="003928A4"/>
    <w:rsid w:val="00392942"/>
    <w:rsid w:val="003929B0"/>
    <w:rsid w:val="00392BF5"/>
    <w:rsid w:val="00392DD3"/>
    <w:rsid w:val="00392E0E"/>
    <w:rsid w:val="00392E72"/>
    <w:rsid w:val="00392EDF"/>
    <w:rsid w:val="00392F28"/>
    <w:rsid w:val="00392F82"/>
    <w:rsid w:val="00392F86"/>
    <w:rsid w:val="0039301C"/>
    <w:rsid w:val="00393048"/>
    <w:rsid w:val="003930CD"/>
    <w:rsid w:val="00393170"/>
    <w:rsid w:val="003931EA"/>
    <w:rsid w:val="003931EC"/>
    <w:rsid w:val="00393227"/>
    <w:rsid w:val="00393289"/>
    <w:rsid w:val="003932A8"/>
    <w:rsid w:val="0039354D"/>
    <w:rsid w:val="003935B3"/>
    <w:rsid w:val="003936D0"/>
    <w:rsid w:val="003936DE"/>
    <w:rsid w:val="00393713"/>
    <w:rsid w:val="003937F2"/>
    <w:rsid w:val="0039387D"/>
    <w:rsid w:val="0039389B"/>
    <w:rsid w:val="003938D2"/>
    <w:rsid w:val="003938D4"/>
    <w:rsid w:val="00393973"/>
    <w:rsid w:val="00393A1D"/>
    <w:rsid w:val="00393BA8"/>
    <w:rsid w:val="00393C45"/>
    <w:rsid w:val="00393CC0"/>
    <w:rsid w:val="00393CC2"/>
    <w:rsid w:val="00393CEF"/>
    <w:rsid w:val="00393D2A"/>
    <w:rsid w:val="00393D88"/>
    <w:rsid w:val="00393EF2"/>
    <w:rsid w:val="00394210"/>
    <w:rsid w:val="00394238"/>
    <w:rsid w:val="00394297"/>
    <w:rsid w:val="0039438A"/>
    <w:rsid w:val="00394453"/>
    <w:rsid w:val="00394497"/>
    <w:rsid w:val="003944DE"/>
    <w:rsid w:val="0039450E"/>
    <w:rsid w:val="00394525"/>
    <w:rsid w:val="003945F6"/>
    <w:rsid w:val="003946CE"/>
    <w:rsid w:val="0039471B"/>
    <w:rsid w:val="0039472F"/>
    <w:rsid w:val="003947B3"/>
    <w:rsid w:val="003948D1"/>
    <w:rsid w:val="003948D7"/>
    <w:rsid w:val="00394AEC"/>
    <w:rsid w:val="00394B34"/>
    <w:rsid w:val="00394B39"/>
    <w:rsid w:val="00394B57"/>
    <w:rsid w:val="00394CF1"/>
    <w:rsid w:val="00394DA3"/>
    <w:rsid w:val="00394E3F"/>
    <w:rsid w:val="00394EFA"/>
    <w:rsid w:val="00394F42"/>
    <w:rsid w:val="00395020"/>
    <w:rsid w:val="003951FD"/>
    <w:rsid w:val="00395267"/>
    <w:rsid w:val="003953A3"/>
    <w:rsid w:val="003956B3"/>
    <w:rsid w:val="003956D3"/>
    <w:rsid w:val="003956D4"/>
    <w:rsid w:val="00395928"/>
    <w:rsid w:val="003959AA"/>
    <w:rsid w:val="00395A25"/>
    <w:rsid w:val="00395C2B"/>
    <w:rsid w:val="00395D50"/>
    <w:rsid w:val="00395DFA"/>
    <w:rsid w:val="00395F2F"/>
    <w:rsid w:val="00395F5A"/>
    <w:rsid w:val="003960DD"/>
    <w:rsid w:val="00396127"/>
    <w:rsid w:val="00396139"/>
    <w:rsid w:val="0039631F"/>
    <w:rsid w:val="003963F2"/>
    <w:rsid w:val="003964E3"/>
    <w:rsid w:val="00396537"/>
    <w:rsid w:val="00396556"/>
    <w:rsid w:val="00396586"/>
    <w:rsid w:val="00396594"/>
    <w:rsid w:val="003965E3"/>
    <w:rsid w:val="003966A1"/>
    <w:rsid w:val="003966AC"/>
    <w:rsid w:val="00396760"/>
    <w:rsid w:val="0039690B"/>
    <w:rsid w:val="0039698B"/>
    <w:rsid w:val="003969AE"/>
    <w:rsid w:val="003969BD"/>
    <w:rsid w:val="00396A06"/>
    <w:rsid w:val="00396A6F"/>
    <w:rsid w:val="00396BE0"/>
    <w:rsid w:val="00396C1F"/>
    <w:rsid w:val="00396D61"/>
    <w:rsid w:val="00396D62"/>
    <w:rsid w:val="00396DA7"/>
    <w:rsid w:val="00396DB8"/>
    <w:rsid w:val="00396DDA"/>
    <w:rsid w:val="00396E01"/>
    <w:rsid w:val="00396E20"/>
    <w:rsid w:val="00396EB3"/>
    <w:rsid w:val="00396F48"/>
    <w:rsid w:val="00396FFD"/>
    <w:rsid w:val="003970DA"/>
    <w:rsid w:val="0039719C"/>
    <w:rsid w:val="003971B4"/>
    <w:rsid w:val="003971EC"/>
    <w:rsid w:val="00397250"/>
    <w:rsid w:val="003973AC"/>
    <w:rsid w:val="003974EA"/>
    <w:rsid w:val="0039755D"/>
    <w:rsid w:val="00397596"/>
    <w:rsid w:val="00397684"/>
    <w:rsid w:val="00397752"/>
    <w:rsid w:val="0039777E"/>
    <w:rsid w:val="003977B4"/>
    <w:rsid w:val="003977CA"/>
    <w:rsid w:val="0039782C"/>
    <w:rsid w:val="00397834"/>
    <w:rsid w:val="00397874"/>
    <w:rsid w:val="003978CB"/>
    <w:rsid w:val="0039792D"/>
    <w:rsid w:val="00397946"/>
    <w:rsid w:val="00397989"/>
    <w:rsid w:val="003979A9"/>
    <w:rsid w:val="00397A77"/>
    <w:rsid w:val="00397AD9"/>
    <w:rsid w:val="00397B3A"/>
    <w:rsid w:val="00397B46"/>
    <w:rsid w:val="00397B5A"/>
    <w:rsid w:val="00397BD7"/>
    <w:rsid w:val="00397C9C"/>
    <w:rsid w:val="00397CDB"/>
    <w:rsid w:val="00397D3D"/>
    <w:rsid w:val="00397D40"/>
    <w:rsid w:val="00397D57"/>
    <w:rsid w:val="00397DB7"/>
    <w:rsid w:val="00397DED"/>
    <w:rsid w:val="00397E49"/>
    <w:rsid w:val="00397EBD"/>
    <w:rsid w:val="00397EE2"/>
    <w:rsid w:val="00397F71"/>
    <w:rsid w:val="00397F92"/>
    <w:rsid w:val="00397FB1"/>
    <w:rsid w:val="00397FE2"/>
    <w:rsid w:val="003A001A"/>
    <w:rsid w:val="003A013A"/>
    <w:rsid w:val="003A0147"/>
    <w:rsid w:val="003A016B"/>
    <w:rsid w:val="003A021C"/>
    <w:rsid w:val="003A02C6"/>
    <w:rsid w:val="003A02F0"/>
    <w:rsid w:val="003A03EE"/>
    <w:rsid w:val="003A0502"/>
    <w:rsid w:val="003A05BE"/>
    <w:rsid w:val="003A0636"/>
    <w:rsid w:val="003A0639"/>
    <w:rsid w:val="003A0691"/>
    <w:rsid w:val="003A06CA"/>
    <w:rsid w:val="003A0714"/>
    <w:rsid w:val="003A073D"/>
    <w:rsid w:val="003A07D9"/>
    <w:rsid w:val="003A07DD"/>
    <w:rsid w:val="003A0824"/>
    <w:rsid w:val="003A0972"/>
    <w:rsid w:val="003A09C6"/>
    <w:rsid w:val="003A0A1F"/>
    <w:rsid w:val="003A0AAB"/>
    <w:rsid w:val="003A0AE2"/>
    <w:rsid w:val="003A0B23"/>
    <w:rsid w:val="003A0BA3"/>
    <w:rsid w:val="003A0BB0"/>
    <w:rsid w:val="003A0BF2"/>
    <w:rsid w:val="003A0BFB"/>
    <w:rsid w:val="003A0C4A"/>
    <w:rsid w:val="003A0C78"/>
    <w:rsid w:val="003A0E26"/>
    <w:rsid w:val="003A0EA4"/>
    <w:rsid w:val="003A0F86"/>
    <w:rsid w:val="003A0F97"/>
    <w:rsid w:val="003A0F9A"/>
    <w:rsid w:val="003A10B7"/>
    <w:rsid w:val="003A115B"/>
    <w:rsid w:val="003A11A9"/>
    <w:rsid w:val="003A11C4"/>
    <w:rsid w:val="003A12A9"/>
    <w:rsid w:val="003A12F9"/>
    <w:rsid w:val="003A1302"/>
    <w:rsid w:val="003A1319"/>
    <w:rsid w:val="003A1346"/>
    <w:rsid w:val="003A13B6"/>
    <w:rsid w:val="003A14A6"/>
    <w:rsid w:val="003A173E"/>
    <w:rsid w:val="003A17BA"/>
    <w:rsid w:val="003A18C4"/>
    <w:rsid w:val="003A18E8"/>
    <w:rsid w:val="003A193A"/>
    <w:rsid w:val="003A19EC"/>
    <w:rsid w:val="003A1A06"/>
    <w:rsid w:val="003A1A0A"/>
    <w:rsid w:val="003A1ACA"/>
    <w:rsid w:val="003A1BAF"/>
    <w:rsid w:val="003A1BF1"/>
    <w:rsid w:val="003A1C56"/>
    <w:rsid w:val="003A1CB4"/>
    <w:rsid w:val="003A1CE7"/>
    <w:rsid w:val="003A1D50"/>
    <w:rsid w:val="003A1D92"/>
    <w:rsid w:val="003A1D9A"/>
    <w:rsid w:val="003A1DA1"/>
    <w:rsid w:val="003A1DF4"/>
    <w:rsid w:val="003A1E24"/>
    <w:rsid w:val="003A1EC0"/>
    <w:rsid w:val="003A1ED5"/>
    <w:rsid w:val="003A1F49"/>
    <w:rsid w:val="003A1F7D"/>
    <w:rsid w:val="003A1F9E"/>
    <w:rsid w:val="003A1FEE"/>
    <w:rsid w:val="003A2007"/>
    <w:rsid w:val="003A20B6"/>
    <w:rsid w:val="003A2188"/>
    <w:rsid w:val="003A228F"/>
    <w:rsid w:val="003A231E"/>
    <w:rsid w:val="003A235C"/>
    <w:rsid w:val="003A23E9"/>
    <w:rsid w:val="003A2434"/>
    <w:rsid w:val="003A244E"/>
    <w:rsid w:val="003A2465"/>
    <w:rsid w:val="003A251B"/>
    <w:rsid w:val="003A2548"/>
    <w:rsid w:val="003A2554"/>
    <w:rsid w:val="003A2565"/>
    <w:rsid w:val="003A25A6"/>
    <w:rsid w:val="003A25B4"/>
    <w:rsid w:val="003A260C"/>
    <w:rsid w:val="003A26F6"/>
    <w:rsid w:val="003A2741"/>
    <w:rsid w:val="003A2865"/>
    <w:rsid w:val="003A2866"/>
    <w:rsid w:val="003A2A0A"/>
    <w:rsid w:val="003A2A4A"/>
    <w:rsid w:val="003A2AA9"/>
    <w:rsid w:val="003A2AC8"/>
    <w:rsid w:val="003A2B54"/>
    <w:rsid w:val="003A2BED"/>
    <w:rsid w:val="003A2C0A"/>
    <w:rsid w:val="003A2C6B"/>
    <w:rsid w:val="003A2D02"/>
    <w:rsid w:val="003A2D36"/>
    <w:rsid w:val="003A2DA4"/>
    <w:rsid w:val="003A2E1D"/>
    <w:rsid w:val="003A2E8F"/>
    <w:rsid w:val="003A2FD5"/>
    <w:rsid w:val="003A309F"/>
    <w:rsid w:val="003A30BB"/>
    <w:rsid w:val="003A30E0"/>
    <w:rsid w:val="003A3140"/>
    <w:rsid w:val="003A317C"/>
    <w:rsid w:val="003A31A8"/>
    <w:rsid w:val="003A31F2"/>
    <w:rsid w:val="003A3262"/>
    <w:rsid w:val="003A3284"/>
    <w:rsid w:val="003A32E8"/>
    <w:rsid w:val="003A3435"/>
    <w:rsid w:val="003A3491"/>
    <w:rsid w:val="003A351A"/>
    <w:rsid w:val="003A3644"/>
    <w:rsid w:val="003A3645"/>
    <w:rsid w:val="003A3678"/>
    <w:rsid w:val="003A3687"/>
    <w:rsid w:val="003A3717"/>
    <w:rsid w:val="003A38E2"/>
    <w:rsid w:val="003A390E"/>
    <w:rsid w:val="003A399A"/>
    <w:rsid w:val="003A3A78"/>
    <w:rsid w:val="003A3A89"/>
    <w:rsid w:val="003A3AB4"/>
    <w:rsid w:val="003A3ABA"/>
    <w:rsid w:val="003A3AC2"/>
    <w:rsid w:val="003A3AFA"/>
    <w:rsid w:val="003A3BBA"/>
    <w:rsid w:val="003A3C01"/>
    <w:rsid w:val="003A3DB6"/>
    <w:rsid w:val="003A3DF6"/>
    <w:rsid w:val="003A3EDD"/>
    <w:rsid w:val="003A3F92"/>
    <w:rsid w:val="003A3FB7"/>
    <w:rsid w:val="003A4033"/>
    <w:rsid w:val="003A40AD"/>
    <w:rsid w:val="003A4117"/>
    <w:rsid w:val="003A424B"/>
    <w:rsid w:val="003A4250"/>
    <w:rsid w:val="003A4254"/>
    <w:rsid w:val="003A43C9"/>
    <w:rsid w:val="003A43F2"/>
    <w:rsid w:val="003A4449"/>
    <w:rsid w:val="003A4528"/>
    <w:rsid w:val="003A4532"/>
    <w:rsid w:val="003A4556"/>
    <w:rsid w:val="003A4560"/>
    <w:rsid w:val="003A456B"/>
    <w:rsid w:val="003A456F"/>
    <w:rsid w:val="003A45A6"/>
    <w:rsid w:val="003A47FA"/>
    <w:rsid w:val="003A488F"/>
    <w:rsid w:val="003A48A8"/>
    <w:rsid w:val="003A48D5"/>
    <w:rsid w:val="003A49BC"/>
    <w:rsid w:val="003A49FA"/>
    <w:rsid w:val="003A4A4B"/>
    <w:rsid w:val="003A4B1D"/>
    <w:rsid w:val="003A4C15"/>
    <w:rsid w:val="003A4C16"/>
    <w:rsid w:val="003A4C22"/>
    <w:rsid w:val="003A4DBF"/>
    <w:rsid w:val="003A4EE0"/>
    <w:rsid w:val="003A4FB3"/>
    <w:rsid w:val="003A5087"/>
    <w:rsid w:val="003A50C0"/>
    <w:rsid w:val="003A5104"/>
    <w:rsid w:val="003A5254"/>
    <w:rsid w:val="003A5296"/>
    <w:rsid w:val="003A52E2"/>
    <w:rsid w:val="003A5338"/>
    <w:rsid w:val="003A535D"/>
    <w:rsid w:val="003A54C0"/>
    <w:rsid w:val="003A54CE"/>
    <w:rsid w:val="003A5595"/>
    <w:rsid w:val="003A55C4"/>
    <w:rsid w:val="003A5627"/>
    <w:rsid w:val="003A578E"/>
    <w:rsid w:val="003A57D7"/>
    <w:rsid w:val="003A5855"/>
    <w:rsid w:val="003A5904"/>
    <w:rsid w:val="003A599E"/>
    <w:rsid w:val="003A5A70"/>
    <w:rsid w:val="003A5B3F"/>
    <w:rsid w:val="003A5B91"/>
    <w:rsid w:val="003A5BB9"/>
    <w:rsid w:val="003A5BC3"/>
    <w:rsid w:val="003A5C19"/>
    <w:rsid w:val="003A5C4B"/>
    <w:rsid w:val="003A5D23"/>
    <w:rsid w:val="003A5D5F"/>
    <w:rsid w:val="003A5D75"/>
    <w:rsid w:val="003A5E04"/>
    <w:rsid w:val="003A5E1F"/>
    <w:rsid w:val="003A5ECB"/>
    <w:rsid w:val="003A6100"/>
    <w:rsid w:val="003A614E"/>
    <w:rsid w:val="003A6177"/>
    <w:rsid w:val="003A61B9"/>
    <w:rsid w:val="003A61F1"/>
    <w:rsid w:val="003A623E"/>
    <w:rsid w:val="003A6437"/>
    <w:rsid w:val="003A644B"/>
    <w:rsid w:val="003A6478"/>
    <w:rsid w:val="003A64F5"/>
    <w:rsid w:val="003A6517"/>
    <w:rsid w:val="003A6529"/>
    <w:rsid w:val="003A6622"/>
    <w:rsid w:val="003A662D"/>
    <w:rsid w:val="003A66C0"/>
    <w:rsid w:val="003A673F"/>
    <w:rsid w:val="003A67D8"/>
    <w:rsid w:val="003A67ED"/>
    <w:rsid w:val="003A68A2"/>
    <w:rsid w:val="003A693D"/>
    <w:rsid w:val="003A6941"/>
    <w:rsid w:val="003A6A40"/>
    <w:rsid w:val="003A6A82"/>
    <w:rsid w:val="003A6B76"/>
    <w:rsid w:val="003A6CB8"/>
    <w:rsid w:val="003A6D48"/>
    <w:rsid w:val="003A6DA7"/>
    <w:rsid w:val="003A6E61"/>
    <w:rsid w:val="003A6F5A"/>
    <w:rsid w:val="003A704F"/>
    <w:rsid w:val="003A7189"/>
    <w:rsid w:val="003A71E8"/>
    <w:rsid w:val="003A7221"/>
    <w:rsid w:val="003A7350"/>
    <w:rsid w:val="003A736C"/>
    <w:rsid w:val="003A739D"/>
    <w:rsid w:val="003A73A3"/>
    <w:rsid w:val="003A73E2"/>
    <w:rsid w:val="003A7481"/>
    <w:rsid w:val="003A752C"/>
    <w:rsid w:val="003A7859"/>
    <w:rsid w:val="003A7957"/>
    <w:rsid w:val="003A79D3"/>
    <w:rsid w:val="003A7A0C"/>
    <w:rsid w:val="003A7B01"/>
    <w:rsid w:val="003A7BC3"/>
    <w:rsid w:val="003A7BCD"/>
    <w:rsid w:val="003A7BE9"/>
    <w:rsid w:val="003A7D29"/>
    <w:rsid w:val="003A7E40"/>
    <w:rsid w:val="003A7F0C"/>
    <w:rsid w:val="003A7FC1"/>
    <w:rsid w:val="003A7FD6"/>
    <w:rsid w:val="003B000A"/>
    <w:rsid w:val="003B011A"/>
    <w:rsid w:val="003B011F"/>
    <w:rsid w:val="003B0139"/>
    <w:rsid w:val="003B01BF"/>
    <w:rsid w:val="003B01C7"/>
    <w:rsid w:val="003B01DE"/>
    <w:rsid w:val="003B02A5"/>
    <w:rsid w:val="003B02A8"/>
    <w:rsid w:val="003B02EF"/>
    <w:rsid w:val="003B0418"/>
    <w:rsid w:val="003B054B"/>
    <w:rsid w:val="003B067F"/>
    <w:rsid w:val="003B073A"/>
    <w:rsid w:val="003B075B"/>
    <w:rsid w:val="003B0795"/>
    <w:rsid w:val="003B09A3"/>
    <w:rsid w:val="003B09DC"/>
    <w:rsid w:val="003B0C2F"/>
    <w:rsid w:val="003B0C87"/>
    <w:rsid w:val="003B0DBB"/>
    <w:rsid w:val="003B0F41"/>
    <w:rsid w:val="003B0FF9"/>
    <w:rsid w:val="003B100E"/>
    <w:rsid w:val="003B1242"/>
    <w:rsid w:val="003B1266"/>
    <w:rsid w:val="003B133A"/>
    <w:rsid w:val="003B13DD"/>
    <w:rsid w:val="003B140E"/>
    <w:rsid w:val="003B1423"/>
    <w:rsid w:val="003B148A"/>
    <w:rsid w:val="003B1661"/>
    <w:rsid w:val="003B1671"/>
    <w:rsid w:val="003B1707"/>
    <w:rsid w:val="003B179D"/>
    <w:rsid w:val="003B17DB"/>
    <w:rsid w:val="003B18A0"/>
    <w:rsid w:val="003B18AA"/>
    <w:rsid w:val="003B18F8"/>
    <w:rsid w:val="003B19B4"/>
    <w:rsid w:val="003B1A00"/>
    <w:rsid w:val="003B1A47"/>
    <w:rsid w:val="003B1A65"/>
    <w:rsid w:val="003B1BB6"/>
    <w:rsid w:val="003B1C25"/>
    <w:rsid w:val="003B1C6F"/>
    <w:rsid w:val="003B1CD1"/>
    <w:rsid w:val="003B1D29"/>
    <w:rsid w:val="003B1D9E"/>
    <w:rsid w:val="003B1E55"/>
    <w:rsid w:val="003B1EB5"/>
    <w:rsid w:val="003B1FF3"/>
    <w:rsid w:val="003B209E"/>
    <w:rsid w:val="003B20BF"/>
    <w:rsid w:val="003B2139"/>
    <w:rsid w:val="003B218B"/>
    <w:rsid w:val="003B21C3"/>
    <w:rsid w:val="003B2334"/>
    <w:rsid w:val="003B2468"/>
    <w:rsid w:val="003B2611"/>
    <w:rsid w:val="003B2653"/>
    <w:rsid w:val="003B26BE"/>
    <w:rsid w:val="003B26D2"/>
    <w:rsid w:val="003B274C"/>
    <w:rsid w:val="003B2778"/>
    <w:rsid w:val="003B287B"/>
    <w:rsid w:val="003B293E"/>
    <w:rsid w:val="003B29A6"/>
    <w:rsid w:val="003B29C5"/>
    <w:rsid w:val="003B2A0D"/>
    <w:rsid w:val="003B2ADB"/>
    <w:rsid w:val="003B2ADE"/>
    <w:rsid w:val="003B2BA8"/>
    <w:rsid w:val="003B2BAB"/>
    <w:rsid w:val="003B2BCB"/>
    <w:rsid w:val="003B2BE7"/>
    <w:rsid w:val="003B2C8C"/>
    <w:rsid w:val="003B2D5F"/>
    <w:rsid w:val="003B2F00"/>
    <w:rsid w:val="003B2F4F"/>
    <w:rsid w:val="003B30CC"/>
    <w:rsid w:val="003B3166"/>
    <w:rsid w:val="003B3283"/>
    <w:rsid w:val="003B33E1"/>
    <w:rsid w:val="003B34FB"/>
    <w:rsid w:val="003B35F3"/>
    <w:rsid w:val="003B360F"/>
    <w:rsid w:val="003B3630"/>
    <w:rsid w:val="003B3670"/>
    <w:rsid w:val="003B37BA"/>
    <w:rsid w:val="003B37C8"/>
    <w:rsid w:val="003B382B"/>
    <w:rsid w:val="003B3882"/>
    <w:rsid w:val="003B38A9"/>
    <w:rsid w:val="003B3928"/>
    <w:rsid w:val="003B392A"/>
    <w:rsid w:val="003B3AED"/>
    <w:rsid w:val="003B3BBD"/>
    <w:rsid w:val="003B3C87"/>
    <w:rsid w:val="003B3CF0"/>
    <w:rsid w:val="003B3D4E"/>
    <w:rsid w:val="003B3DB2"/>
    <w:rsid w:val="003B3DED"/>
    <w:rsid w:val="003B3E0C"/>
    <w:rsid w:val="003B3E57"/>
    <w:rsid w:val="003B3ED4"/>
    <w:rsid w:val="003B3EE9"/>
    <w:rsid w:val="003B3F09"/>
    <w:rsid w:val="003B3F11"/>
    <w:rsid w:val="003B3F50"/>
    <w:rsid w:val="003B3F8D"/>
    <w:rsid w:val="003B3F8E"/>
    <w:rsid w:val="003B4091"/>
    <w:rsid w:val="003B409A"/>
    <w:rsid w:val="003B4104"/>
    <w:rsid w:val="003B428D"/>
    <w:rsid w:val="003B42AA"/>
    <w:rsid w:val="003B430C"/>
    <w:rsid w:val="003B4318"/>
    <w:rsid w:val="003B43D2"/>
    <w:rsid w:val="003B43E6"/>
    <w:rsid w:val="003B4449"/>
    <w:rsid w:val="003B44C0"/>
    <w:rsid w:val="003B44C4"/>
    <w:rsid w:val="003B4502"/>
    <w:rsid w:val="003B4534"/>
    <w:rsid w:val="003B453F"/>
    <w:rsid w:val="003B458E"/>
    <w:rsid w:val="003B4620"/>
    <w:rsid w:val="003B4671"/>
    <w:rsid w:val="003B472A"/>
    <w:rsid w:val="003B479F"/>
    <w:rsid w:val="003B4813"/>
    <w:rsid w:val="003B48DF"/>
    <w:rsid w:val="003B493E"/>
    <w:rsid w:val="003B4A16"/>
    <w:rsid w:val="003B4A4B"/>
    <w:rsid w:val="003B4A54"/>
    <w:rsid w:val="003B4AA4"/>
    <w:rsid w:val="003B4BA8"/>
    <w:rsid w:val="003B4C8B"/>
    <w:rsid w:val="003B4C96"/>
    <w:rsid w:val="003B4F3D"/>
    <w:rsid w:val="003B4FAA"/>
    <w:rsid w:val="003B50BD"/>
    <w:rsid w:val="003B5101"/>
    <w:rsid w:val="003B51B6"/>
    <w:rsid w:val="003B539F"/>
    <w:rsid w:val="003B55DD"/>
    <w:rsid w:val="003B5619"/>
    <w:rsid w:val="003B56CC"/>
    <w:rsid w:val="003B583F"/>
    <w:rsid w:val="003B5879"/>
    <w:rsid w:val="003B58E1"/>
    <w:rsid w:val="003B5937"/>
    <w:rsid w:val="003B59C4"/>
    <w:rsid w:val="003B5C4D"/>
    <w:rsid w:val="003B5F21"/>
    <w:rsid w:val="003B5F26"/>
    <w:rsid w:val="003B5F71"/>
    <w:rsid w:val="003B607C"/>
    <w:rsid w:val="003B617A"/>
    <w:rsid w:val="003B61B8"/>
    <w:rsid w:val="003B6208"/>
    <w:rsid w:val="003B629D"/>
    <w:rsid w:val="003B62F9"/>
    <w:rsid w:val="003B6301"/>
    <w:rsid w:val="003B6314"/>
    <w:rsid w:val="003B6368"/>
    <w:rsid w:val="003B644C"/>
    <w:rsid w:val="003B6480"/>
    <w:rsid w:val="003B651F"/>
    <w:rsid w:val="003B656F"/>
    <w:rsid w:val="003B6578"/>
    <w:rsid w:val="003B6589"/>
    <w:rsid w:val="003B658F"/>
    <w:rsid w:val="003B65F5"/>
    <w:rsid w:val="003B6623"/>
    <w:rsid w:val="003B6678"/>
    <w:rsid w:val="003B669C"/>
    <w:rsid w:val="003B670B"/>
    <w:rsid w:val="003B6730"/>
    <w:rsid w:val="003B67F0"/>
    <w:rsid w:val="003B680F"/>
    <w:rsid w:val="003B6879"/>
    <w:rsid w:val="003B68F6"/>
    <w:rsid w:val="003B6908"/>
    <w:rsid w:val="003B694B"/>
    <w:rsid w:val="003B6A37"/>
    <w:rsid w:val="003B6A4B"/>
    <w:rsid w:val="003B6BBE"/>
    <w:rsid w:val="003B6CB6"/>
    <w:rsid w:val="003B6CD0"/>
    <w:rsid w:val="003B6DD5"/>
    <w:rsid w:val="003B6E0E"/>
    <w:rsid w:val="003B6FF7"/>
    <w:rsid w:val="003B6FFB"/>
    <w:rsid w:val="003B70CB"/>
    <w:rsid w:val="003B70E6"/>
    <w:rsid w:val="003B71B3"/>
    <w:rsid w:val="003B71D1"/>
    <w:rsid w:val="003B7354"/>
    <w:rsid w:val="003B7374"/>
    <w:rsid w:val="003B743B"/>
    <w:rsid w:val="003B7528"/>
    <w:rsid w:val="003B7536"/>
    <w:rsid w:val="003B75B4"/>
    <w:rsid w:val="003B7635"/>
    <w:rsid w:val="003B7662"/>
    <w:rsid w:val="003B76DA"/>
    <w:rsid w:val="003B7758"/>
    <w:rsid w:val="003B7876"/>
    <w:rsid w:val="003B78B4"/>
    <w:rsid w:val="003B78C0"/>
    <w:rsid w:val="003B7997"/>
    <w:rsid w:val="003B7A14"/>
    <w:rsid w:val="003B7A8B"/>
    <w:rsid w:val="003B7B23"/>
    <w:rsid w:val="003B7C1C"/>
    <w:rsid w:val="003B7C1D"/>
    <w:rsid w:val="003B7C36"/>
    <w:rsid w:val="003B7E3A"/>
    <w:rsid w:val="003B7F1B"/>
    <w:rsid w:val="003C007E"/>
    <w:rsid w:val="003C00DA"/>
    <w:rsid w:val="003C00E5"/>
    <w:rsid w:val="003C012F"/>
    <w:rsid w:val="003C0145"/>
    <w:rsid w:val="003C0154"/>
    <w:rsid w:val="003C0157"/>
    <w:rsid w:val="003C0160"/>
    <w:rsid w:val="003C01A3"/>
    <w:rsid w:val="003C01DE"/>
    <w:rsid w:val="003C02C3"/>
    <w:rsid w:val="003C02E2"/>
    <w:rsid w:val="003C0339"/>
    <w:rsid w:val="003C03CB"/>
    <w:rsid w:val="003C03DB"/>
    <w:rsid w:val="003C041B"/>
    <w:rsid w:val="003C0422"/>
    <w:rsid w:val="003C052F"/>
    <w:rsid w:val="003C058A"/>
    <w:rsid w:val="003C065D"/>
    <w:rsid w:val="003C068F"/>
    <w:rsid w:val="003C06B8"/>
    <w:rsid w:val="003C0771"/>
    <w:rsid w:val="003C0807"/>
    <w:rsid w:val="003C0818"/>
    <w:rsid w:val="003C081A"/>
    <w:rsid w:val="003C084B"/>
    <w:rsid w:val="003C0A0D"/>
    <w:rsid w:val="003C0AAA"/>
    <w:rsid w:val="003C0C5E"/>
    <w:rsid w:val="003C0E79"/>
    <w:rsid w:val="003C0EA5"/>
    <w:rsid w:val="003C0EF0"/>
    <w:rsid w:val="003C0FD6"/>
    <w:rsid w:val="003C0FE2"/>
    <w:rsid w:val="003C0FF8"/>
    <w:rsid w:val="003C100A"/>
    <w:rsid w:val="003C1044"/>
    <w:rsid w:val="003C104A"/>
    <w:rsid w:val="003C1093"/>
    <w:rsid w:val="003C10E8"/>
    <w:rsid w:val="003C11F4"/>
    <w:rsid w:val="003C123C"/>
    <w:rsid w:val="003C12DE"/>
    <w:rsid w:val="003C13C1"/>
    <w:rsid w:val="003C13E7"/>
    <w:rsid w:val="003C149C"/>
    <w:rsid w:val="003C1580"/>
    <w:rsid w:val="003C159C"/>
    <w:rsid w:val="003C1628"/>
    <w:rsid w:val="003C163C"/>
    <w:rsid w:val="003C1654"/>
    <w:rsid w:val="003C1745"/>
    <w:rsid w:val="003C181D"/>
    <w:rsid w:val="003C18F1"/>
    <w:rsid w:val="003C18F7"/>
    <w:rsid w:val="003C1A8C"/>
    <w:rsid w:val="003C1B2E"/>
    <w:rsid w:val="003C1B7C"/>
    <w:rsid w:val="003C1CA4"/>
    <w:rsid w:val="003C1CCC"/>
    <w:rsid w:val="003C1CE5"/>
    <w:rsid w:val="003C1DE7"/>
    <w:rsid w:val="003C1DFB"/>
    <w:rsid w:val="003C1F48"/>
    <w:rsid w:val="003C1F75"/>
    <w:rsid w:val="003C202E"/>
    <w:rsid w:val="003C2258"/>
    <w:rsid w:val="003C22B4"/>
    <w:rsid w:val="003C22BF"/>
    <w:rsid w:val="003C236C"/>
    <w:rsid w:val="003C2395"/>
    <w:rsid w:val="003C23A7"/>
    <w:rsid w:val="003C260C"/>
    <w:rsid w:val="003C265E"/>
    <w:rsid w:val="003C2781"/>
    <w:rsid w:val="003C27D4"/>
    <w:rsid w:val="003C2839"/>
    <w:rsid w:val="003C28B9"/>
    <w:rsid w:val="003C292A"/>
    <w:rsid w:val="003C29EB"/>
    <w:rsid w:val="003C2A75"/>
    <w:rsid w:val="003C2A7A"/>
    <w:rsid w:val="003C2B29"/>
    <w:rsid w:val="003C2B2B"/>
    <w:rsid w:val="003C2B43"/>
    <w:rsid w:val="003C2BD7"/>
    <w:rsid w:val="003C2EFA"/>
    <w:rsid w:val="003C302F"/>
    <w:rsid w:val="003C30B1"/>
    <w:rsid w:val="003C3259"/>
    <w:rsid w:val="003C328D"/>
    <w:rsid w:val="003C3302"/>
    <w:rsid w:val="003C3315"/>
    <w:rsid w:val="003C3416"/>
    <w:rsid w:val="003C343D"/>
    <w:rsid w:val="003C3442"/>
    <w:rsid w:val="003C3447"/>
    <w:rsid w:val="003C3465"/>
    <w:rsid w:val="003C3493"/>
    <w:rsid w:val="003C34AF"/>
    <w:rsid w:val="003C357C"/>
    <w:rsid w:val="003C35DD"/>
    <w:rsid w:val="003C3762"/>
    <w:rsid w:val="003C37BA"/>
    <w:rsid w:val="003C37BB"/>
    <w:rsid w:val="003C3894"/>
    <w:rsid w:val="003C38AC"/>
    <w:rsid w:val="003C3A2C"/>
    <w:rsid w:val="003C3B33"/>
    <w:rsid w:val="003C3C68"/>
    <w:rsid w:val="003C3C76"/>
    <w:rsid w:val="003C3D2A"/>
    <w:rsid w:val="003C3D9B"/>
    <w:rsid w:val="003C3DF7"/>
    <w:rsid w:val="003C3E42"/>
    <w:rsid w:val="003C3E93"/>
    <w:rsid w:val="003C3E9E"/>
    <w:rsid w:val="003C3EBC"/>
    <w:rsid w:val="003C3F15"/>
    <w:rsid w:val="003C4019"/>
    <w:rsid w:val="003C406F"/>
    <w:rsid w:val="003C4081"/>
    <w:rsid w:val="003C4108"/>
    <w:rsid w:val="003C41E0"/>
    <w:rsid w:val="003C4353"/>
    <w:rsid w:val="003C4355"/>
    <w:rsid w:val="003C43B2"/>
    <w:rsid w:val="003C4480"/>
    <w:rsid w:val="003C45ED"/>
    <w:rsid w:val="003C4664"/>
    <w:rsid w:val="003C4687"/>
    <w:rsid w:val="003C4763"/>
    <w:rsid w:val="003C47C0"/>
    <w:rsid w:val="003C47C6"/>
    <w:rsid w:val="003C47FF"/>
    <w:rsid w:val="003C4805"/>
    <w:rsid w:val="003C481D"/>
    <w:rsid w:val="003C4862"/>
    <w:rsid w:val="003C4BB3"/>
    <w:rsid w:val="003C4BBC"/>
    <w:rsid w:val="003C4C14"/>
    <w:rsid w:val="003C4C5E"/>
    <w:rsid w:val="003C4CB0"/>
    <w:rsid w:val="003C4D13"/>
    <w:rsid w:val="003C4E21"/>
    <w:rsid w:val="003C4E67"/>
    <w:rsid w:val="003C4F7A"/>
    <w:rsid w:val="003C4F7B"/>
    <w:rsid w:val="003C4F86"/>
    <w:rsid w:val="003C5170"/>
    <w:rsid w:val="003C51D4"/>
    <w:rsid w:val="003C5252"/>
    <w:rsid w:val="003C5286"/>
    <w:rsid w:val="003C53F8"/>
    <w:rsid w:val="003C5453"/>
    <w:rsid w:val="003C547C"/>
    <w:rsid w:val="003C54A7"/>
    <w:rsid w:val="003C5559"/>
    <w:rsid w:val="003C55CB"/>
    <w:rsid w:val="003C55F5"/>
    <w:rsid w:val="003C5619"/>
    <w:rsid w:val="003C567B"/>
    <w:rsid w:val="003C56B0"/>
    <w:rsid w:val="003C56F5"/>
    <w:rsid w:val="003C5814"/>
    <w:rsid w:val="003C586E"/>
    <w:rsid w:val="003C5A84"/>
    <w:rsid w:val="003C5B10"/>
    <w:rsid w:val="003C5C34"/>
    <w:rsid w:val="003C5CFE"/>
    <w:rsid w:val="003C5D0A"/>
    <w:rsid w:val="003C5D57"/>
    <w:rsid w:val="003C5EF0"/>
    <w:rsid w:val="003C5F11"/>
    <w:rsid w:val="003C5F5C"/>
    <w:rsid w:val="003C5F6B"/>
    <w:rsid w:val="003C60CB"/>
    <w:rsid w:val="003C6216"/>
    <w:rsid w:val="003C62A4"/>
    <w:rsid w:val="003C634D"/>
    <w:rsid w:val="003C63BD"/>
    <w:rsid w:val="003C6445"/>
    <w:rsid w:val="003C6447"/>
    <w:rsid w:val="003C6569"/>
    <w:rsid w:val="003C65D5"/>
    <w:rsid w:val="003C65F3"/>
    <w:rsid w:val="003C66BB"/>
    <w:rsid w:val="003C66D6"/>
    <w:rsid w:val="003C66EA"/>
    <w:rsid w:val="003C67F1"/>
    <w:rsid w:val="003C67F9"/>
    <w:rsid w:val="003C68AD"/>
    <w:rsid w:val="003C69BA"/>
    <w:rsid w:val="003C6A41"/>
    <w:rsid w:val="003C6A6F"/>
    <w:rsid w:val="003C6AD2"/>
    <w:rsid w:val="003C6AFF"/>
    <w:rsid w:val="003C6B26"/>
    <w:rsid w:val="003C6BBC"/>
    <w:rsid w:val="003C6C34"/>
    <w:rsid w:val="003C6C67"/>
    <w:rsid w:val="003C6C86"/>
    <w:rsid w:val="003C6E6C"/>
    <w:rsid w:val="003C6EEC"/>
    <w:rsid w:val="003C6FBD"/>
    <w:rsid w:val="003C7154"/>
    <w:rsid w:val="003C71AD"/>
    <w:rsid w:val="003C726B"/>
    <w:rsid w:val="003C72B8"/>
    <w:rsid w:val="003C7355"/>
    <w:rsid w:val="003C7358"/>
    <w:rsid w:val="003C739D"/>
    <w:rsid w:val="003C73FB"/>
    <w:rsid w:val="003C74E2"/>
    <w:rsid w:val="003C7559"/>
    <w:rsid w:val="003C75F9"/>
    <w:rsid w:val="003C763A"/>
    <w:rsid w:val="003C775D"/>
    <w:rsid w:val="003C7796"/>
    <w:rsid w:val="003C77B3"/>
    <w:rsid w:val="003C77D7"/>
    <w:rsid w:val="003C788A"/>
    <w:rsid w:val="003C7913"/>
    <w:rsid w:val="003C795E"/>
    <w:rsid w:val="003C79D0"/>
    <w:rsid w:val="003C7A17"/>
    <w:rsid w:val="003C7ACB"/>
    <w:rsid w:val="003C7ACF"/>
    <w:rsid w:val="003C7CAB"/>
    <w:rsid w:val="003C7CC0"/>
    <w:rsid w:val="003C7D87"/>
    <w:rsid w:val="003C7E36"/>
    <w:rsid w:val="003C7E69"/>
    <w:rsid w:val="003C7E6F"/>
    <w:rsid w:val="003C7FE2"/>
    <w:rsid w:val="003D0057"/>
    <w:rsid w:val="003D0178"/>
    <w:rsid w:val="003D01C3"/>
    <w:rsid w:val="003D0244"/>
    <w:rsid w:val="003D0258"/>
    <w:rsid w:val="003D04CA"/>
    <w:rsid w:val="003D054A"/>
    <w:rsid w:val="003D0682"/>
    <w:rsid w:val="003D06FF"/>
    <w:rsid w:val="003D0719"/>
    <w:rsid w:val="003D078A"/>
    <w:rsid w:val="003D079A"/>
    <w:rsid w:val="003D0815"/>
    <w:rsid w:val="003D0822"/>
    <w:rsid w:val="003D0871"/>
    <w:rsid w:val="003D0962"/>
    <w:rsid w:val="003D0985"/>
    <w:rsid w:val="003D09BC"/>
    <w:rsid w:val="003D0A5C"/>
    <w:rsid w:val="003D0B3F"/>
    <w:rsid w:val="003D0C00"/>
    <w:rsid w:val="003D0C01"/>
    <w:rsid w:val="003D0D2A"/>
    <w:rsid w:val="003D0DAB"/>
    <w:rsid w:val="003D0DFB"/>
    <w:rsid w:val="003D0FC6"/>
    <w:rsid w:val="003D0FF1"/>
    <w:rsid w:val="003D10FD"/>
    <w:rsid w:val="003D1217"/>
    <w:rsid w:val="003D126F"/>
    <w:rsid w:val="003D130D"/>
    <w:rsid w:val="003D1342"/>
    <w:rsid w:val="003D13BE"/>
    <w:rsid w:val="003D13E4"/>
    <w:rsid w:val="003D1433"/>
    <w:rsid w:val="003D1489"/>
    <w:rsid w:val="003D14F3"/>
    <w:rsid w:val="003D1505"/>
    <w:rsid w:val="003D15F3"/>
    <w:rsid w:val="003D16D3"/>
    <w:rsid w:val="003D16DD"/>
    <w:rsid w:val="003D16E4"/>
    <w:rsid w:val="003D16FC"/>
    <w:rsid w:val="003D1735"/>
    <w:rsid w:val="003D1768"/>
    <w:rsid w:val="003D17FA"/>
    <w:rsid w:val="003D182A"/>
    <w:rsid w:val="003D1831"/>
    <w:rsid w:val="003D1842"/>
    <w:rsid w:val="003D18DB"/>
    <w:rsid w:val="003D19B7"/>
    <w:rsid w:val="003D1A08"/>
    <w:rsid w:val="003D1AE6"/>
    <w:rsid w:val="003D1BC7"/>
    <w:rsid w:val="003D1BEE"/>
    <w:rsid w:val="003D1C20"/>
    <w:rsid w:val="003D1C64"/>
    <w:rsid w:val="003D1C87"/>
    <w:rsid w:val="003D1E96"/>
    <w:rsid w:val="003D1F9A"/>
    <w:rsid w:val="003D2027"/>
    <w:rsid w:val="003D2049"/>
    <w:rsid w:val="003D2061"/>
    <w:rsid w:val="003D2075"/>
    <w:rsid w:val="003D2102"/>
    <w:rsid w:val="003D210F"/>
    <w:rsid w:val="003D215B"/>
    <w:rsid w:val="003D21B8"/>
    <w:rsid w:val="003D21D1"/>
    <w:rsid w:val="003D21DB"/>
    <w:rsid w:val="003D2210"/>
    <w:rsid w:val="003D22C6"/>
    <w:rsid w:val="003D233E"/>
    <w:rsid w:val="003D2378"/>
    <w:rsid w:val="003D23BE"/>
    <w:rsid w:val="003D2405"/>
    <w:rsid w:val="003D2504"/>
    <w:rsid w:val="003D255B"/>
    <w:rsid w:val="003D2576"/>
    <w:rsid w:val="003D2581"/>
    <w:rsid w:val="003D25BF"/>
    <w:rsid w:val="003D25C8"/>
    <w:rsid w:val="003D261C"/>
    <w:rsid w:val="003D2688"/>
    <w:rsid w:val="003D268B"/>
    <w:rsid w:val="003D279D"/>
    <w:rsid w:val="003D27A4"/>
    <w:rsid w:val="003D27B0"/>
    <w:rsid w:val="003D27FF"/>
    <w:rsid w:val="003D2923"/>
    <w:rsid w:val="003D297A"/>
    <w:rsid w:val="003D29F2"/>
    <w:rsid w:val="003D2A25"/>
    <w:rsid w:val="003D2A39"/>
    <w:rsid w:val="003D2A56"/>
    <w:rsid w:val="003D2ABC"/>
    <w:rsid w:val="003D2B3B"/>
    <w:rsid w:val="003D2B63"/>
    <w:rsid w:val="003D2C45"/>
    <w:rsid w:val="003D2CA2"/>
    <w:rsid w:val="003D2CEB"/>
    <w:rsid w:val="003D2D28"/>
    <w:rsid w:val="003D2DC1"/>
    <w:rsid w:val="003D2E4F"/>
    <w:rsid w:val="003D2E88"/>
    <w:rsid w:val="003D2E91"/>
    <w:rsid w:val="003D2FBD"/>
    <w:rsid w:val="003D30A9"/>
    <w:rsid w:val="003D30B1"/>
    <w:rsid w:val="003D30DC"/>
    <w:rsid w:val="003D31CE"/>
    <w:rsid w:val="003D32DC"/>
    <w:rsid w:val="003D3311"/>
    <w:rsid w:val="003D33D2"/>
    <w:rsid w:val="003D33F4"/>
    <w:rsid w:val="003D34E9"/>
    <w:rsid w:val="003D3575"/>
    <w:rsid w:val="003D359E"/>
    <w:rsid w:val="003D3640"/>
    <w:rsid w:val="003D3709"/>
    <w:rsid w:val="003D3738"/>
    <w:rsid w:val="003D3750"/>
    <w:rsid w:val="003D378A"/>
    <w:rsid w:val="003D37BC"/>
    <w:rsid w:val="003D385E"/>
    <w:rsid w:val="003D38AF"/>
    <w:rsid w:val="003D38B2"/>
    <w:rsid w:val="003D39A7"/>
    <w:rsid w:val="003D3A25"/>
    <w:rsid w:val="003D3A28"/>
    <w:rsid w:val="003D3B56"/>
    <w:rsid w:val="003D3B5B"/>
    <w:rsid w:val="003D3B63"/>
    <w:rsid w:val="003D3BD0"/>
    <w:rsid w:val="003D3BEE"/>
    <w:rsid w:val="003D3C1D"/>
    <w:rsid w:val="003D3D30"/>
    <w:rsid w:val="003D3D87"/>
    <w:rsid w:val="003D3E91"/>
    <w:rsid w:val="003D3E99"/>
    <w:rsid w:val="003D3F0C"/>
    <w:rsid w:val="003D4145"/>
    <w:rsid w:val="003D419D"/>
    <w:rsid w:val="003D41C7"/>
    <w:rsid w:val="003D4226"/>
    <w:rsid w:val="003D4270"/>
    <w:rsid w:val="003D4289"/>
    <w:rsid w:val="003D4317"/>
    <w:rsid w:val="003D431C"/>
    <w:rsid w:val="003D43F5"/>
    <w:rsid w:val="003D4448"/>
    <w:rsid w:val="003D4497"/>
    <w:rsid w:val="003D4528"/>
    <w:rsid w:val="003D4554"/>
    <w:rsid w:val="003D45F8"/>
    <w:rsid w:val="003D4694"/>
    <w:rsid w:val="003D46B0"/>
    <w:rsid w:val="003D4738"/>
    <w:rsid w:val="003D48E6"/>
    <w:rsid w:val="003D4A3E"/>
    <w:rsid w:val="003D4A58"/>
    <w:rsid w:val="003D4AB3"/>
    <w:rsid w:val="003D4BAA"/>
    <w:rsid w:val="003D4BEA"/>
    <w:rsid w:val="003D4CCE"/>
    <w:rsid w:val="003D4CD9"/>
    <w:rsid w:val="003D4D53"/>
    <w:rsid w:val="003D4DCA"/>
    <w:rsid w:val="003D4DDE"/>
    <w:rsid w:val="003D4E82"/>
    <w:rsid w:val="003D4EA4"/>
    <w:rsid w:val="003D4F3D"/>
    <w:rsid w:val="003D4F50"/>
    <w:rsid w:val="003D4F6D"/>
    <w:rsid w:val="003D5004"/>
    <w:rsid w:val="003D503B"/>
    <w:rsid w:val="003D506C"/>
    <w:rsid w:val="003D5070"/>
    <w:rsid w:val="003D5144"/>
    <w:rsid w:val="003D51FB"/>
    <w:rsid w:val="003D5223"/>
    <w:rsid w:val="003D525C"/>
    <w:rsid w:val="003D52E7"/>
    <w:rsid w:val="003D5342"/>
    <w:rsid w:val="003D5352"/>
    <w:rsid w:val="003D53AF"/>
    <w:rsid w:val="003D5412"/>
    <w:rsid w:val="003D546C"/>
    <w:rsid w:val="003D5545"/>
    <w:rsid w:val="003D556A"/>
    <w:rsid w:val="003D56A5"/>
    <w:rsid w:val="003D576B"/>
    <w:rsid w:val="003D5790"/>
    <w:rsid w:val="003D57F1"/>
    <w:rsid w:val="003D5911"/>
    <w:rsid w:val="003D5A55"/>
    <w:rsid w:val="003D5AC4"/>
    <w:rsid w:val="003D5AEC"/>
    <w:rsid w:val="003D5BF3"/>
    <w:rsid w:val="003D5CCB"/>
    <w:rsid w:val="003D5CF4"/>
    <w:rsid w:val="003D5D33"/>
    <w:rsid w:val="003D5D3F"/>
    <w:rsid w:val="003D5D43"/>
    <w:rsid w:val="003D5E59"/>
    <w:rsid w:val="003D5F86"/>
    <w:rsid w:val="003D604C"/>
    <w:rsid w:val="003D6080"/>
    <w:rsid w:val="003D60BE"/>
    <w:rsid w:val="003D60C3"/>
    <w:rsid w:val="003D61E3"/>
    <w:rsid w:val="003D6212"/>
    <w:rsid w:val="003D623B"/>
    <w:rsid w:val="003D623C"/>
    <w:rsid w:val="003D62A2"/>
    <w:rsid w:val="003D6367"/>
    <w:rsid w:val="003D647D"/>
    <w:rsid w:val="003D6532"/>
    <w:rsid w:val="003D6536"/>
    <w:rsid w:val="003D65F9"/>
    <w:rsid w:val="003D663E"/>
    <w:rsid w:val="003D66E1"/>
    <w:rsid w:val="003D67E1"/>
    <w:rsid w:val="003D67ED"/>
    <w:rsid w:val="003D695A"/>
    <w:rsid w:val="003D6974"/>
    <w:rsid w:val="003D6996"/>
    <w:rsid w:val="003D69C8"/>
    <w:rsid w:val="003D69CB"/>
    <w:rsid w:val="003D69E2"/>
    <w:rsid w:val="003D6A10"/>
    <w:rsid w:val="003D6A55"/>
    <w:rsid w:val="003D6A5D"/>
    <w:rsid w:val="003D6A6D"/>
    <w:rsid w:val="003D6BAC"/>
    <w:rsid w:val="003D6C2C"/>
    <w:rsid w:val="003D6D5F"/>
    <w:rsid w:val="003D6DE8"/>
    <w:rsid w:val="003D6F34"/>
    <w:rsid w:val="003D6F94"/>
    <w:rsid w:val="003D70AD"/>
    <w:rsid w:val="003D70CD"/>
    <w:rsid w:val="003D710D"/>
    <w:rsid w:val="003D7121"/>
    <w:rsid w:val="003D7156"/>
    <w:rsid w:val="003D71E1"/>
    <w:rsid w:val="003D7276"/>
    <w:rsid w:val="003D7285"/>
    <w:rsid w:val="003D72A8"/>
    <w:rsid w:val="003D73E6"/>
    <w:rsid w:val="003D73F0"/>
    <w:rsid w:val="003D749B"/>
    <w:rsid w:val="003D7573"/>
    <w:rsid w:val="003D76F5"/>
    <w:rsid w:val="003D7744"/>
    <w:rsid w:val="003D77C0"/>
    <w:rsid w:val="003D77EB"/>
    <w:rsid w:val="003D780D"/>
    <w:rsid w:val="003D7896"/>
    <w:rsid w:val="003D78B7"/>
    <w:rsid w:val="003D78E7"/>
    <w:rsid w:val="003D78F0"/>
    <w:rsid w:val="003D7907"/>
    <w:rsid w:val="003D79A7"/>
    <w:rsid w:val="003D7B1B"/>
    <w:rsid w:val="003D7B2E"/>
    <w:rsid w:val="003D7C68"/>
    <w:rsid w:val="003D7CB1"/>
    <w:rsid w:val="003D7CEE"/>
    <w:rsid w:val="003D7D05"/>
    <w:rsid w:val="003D7D13"/>
    <w:rsid w:val="003D7D6E"/>
    <w:rsid w:val="003D7DB8"/>
    <w:rsid w:val="003D7F6A"/>
    <w:rsid w:val="003D7F6F"/>
    <w:rsid w:val="003E008B"/>
    <w:rsid w:val="003E00A5"/>
    <w:rsid w:val="003E01A1"/>
    <w:rsid w:val="003E0274"/>
    <w:rsid w:val="003E0290"/>
    <w:rsid w:val="003E02CD"/>
    <w:rsid w:val="003E0383"/>
    <w:rsid w:val="003E0384"/>
    <w:rsid w:val="003E0453"/>
    <w:rsid w:val="003E0469"/>
    <w:rsid w:val="003E04B2"/>
    <w:rsid w:val="003E04D5"/>
    <w:rsid w:val="003E0520"/>
    <w:rsid w:val="003E0553"/>
    <w:rsid w:val="003E056A"/>
    <w:rsid w:val="003E056F"/>
    <w:rsid w:val="003E067A"/>
    <w:rsid w:val="003E07EA"/>
    <w:rsid w:val="003E0886"/>
    <w:rsid w:val="003E0891"/>
    <w:rsid w:val="003E08D9"/>
    <w:rsid w:val="003E0904"/>
    <w:rsid w:val="003E094E"/>
    <w:rsid w:val="003E0A12"/>
    <w:rsid w:val="003E0A21"/>
    <w:rsid w:val="003E0C0A"/>
    <w:rsid w:val="003E0C73"/>
    <w:rsid w:val="003E0C91"/>
    <w:rsid w:val="003E0D63"/>
    <w:rsid w:val="003E0DCD"/>
    <w:rsid w:val="003E0E14"/>
    <w:rsid w:val="003E0E79"/>
    <w:rsid w:val="003E0EA3"/>
    <w:rsid w:val="003E0F6A"/>
    <w:rsid w:val="003E106D"/>
    <w:rsid w:val="003E10B1"/>
    <w:rsid w:val="003E1254"/>
    <w:rsid w:val="003E1267"/>
    <w:rsid w:val="003E12AE"/>
    <w:rsid w:val="003E1370"/>
    <w:rsid w:val="003E140B"/>
    <w:rsid w:val="003E1498"/>
    <w:rsid w:val="003E15A0"/>
    <w:rsid w:val="003E15E8"/>
    <w:rsid w:val="003E1601"/>
    <w:rsid w:val="003E16AA"/>
    <w:rsid w:val="003E1701"/>
    <w:rsid w:val="003E1762"/>
    <w:rsid w:val="003E17A6"/>
    <w:rsid w:val="003E18F3"/>
    <w:rsid w:val="003E1906"/>
    <w:rsid w:val="003E1A4E"/>
    <w:rsid w:val="003E1A8C"/>
    <w:rsid w:val="003E1CB5"/>
    <w:rsid w:val="003E1D66"/>
    <w:rsid w:val="003E1ED8"/>
    <w:rsid w:val="003E1F83"/>
    <w:rsid w:val="003E1FC2"/>
    <w:rsid w:val="003E204C"/>
    <w:rsid w:val="003E217A"/>
    <w:rsid w:val="003E21B6"/>
    <w:rsid w:val="003E21DE"/>
    <w:rsid w:val="003E21E4"/>
    <w:rsid w:val="003E2205"/>
    <w:rsid w:val="003E2289"/>
    <w:rsid w:val="003E22B0"/>
    <w:rsid w:val="003E22DF"/>
    <w:rsid w:val="003E22F4"/>
    <w:rsid w:val="003E2325"/>
    <w:rsid w:val="003E24FC"/>
    <w:rsid w:val="003E2620"/>
    <w:rsid w:val="003E26BA"/>
    <w:rsid w:val="003E26C7"/>
    <w:rsid w:val="003E29A5"/>
    <w:rsid w:val="003E2A86"/>
    <w:rsid w:val="003E2BD5"/>
    <w:rsid w:val="003E2C38"/>
    <w:rsid w:val="003E2C4E"/>
    <w:rsid w:val="003E2E6A"/>
    <w:rsid w:val="003E2EF8"/>
    <w:rsid w:val="003E2F4C"/>
    <w:rsid w:val="003E2F54"/>
    <w:rsid w:val="003E3035"/>
    <w:rsid w:val="003E304D"/>
    <w:rsid w:val="003E307B"/>
    <w:rsid w:val="003E32FF"/>
    <w:rsid w:val="003E3337"/>
    <w:rsid w:val="003E333C"/>
    <w:rsid w:val="003E33A2"/>
    <w:rsid w:val="003E343B"/>
    <w:rsid w:val="003E350A"/>
    <w:rsid w:val="003E3538"/>
    <w:rsid w:val="003E355A"/>
    <w:rsid w:val="003E3563"/>
    <w:rsid w:val="003E35A2"/>
    <w:rsid w:val="003E35CF"/>
    <w:rsid w:val="003E3611"/>
    <w:rsid w:val="003E36D2"/>
    <w:rsid w:val="003E3881"/>
    <w:rsid w:val="003E3A58"/>
    <w:rsid w:val="003E3B46"/>
    <w:rsid w:val="003E3B55"/>
    <w:rsid w:val="003E3BD0"/>
    <w:rsid w:val="003E3C0D"/>
    <w:rsid w:val="003E3CEA"/>
    <w:rsid w:val="003E3CF3"/>
    <w:rsid w:val="003E3D38"/>
    <w:rsid w:val="003E3D84"/>
    <w:rsid w:val="003E3DC0"/>
    <w:rsid w:val="003E3DD3"/>
    <w:rsid w:val="003E3E47"/>
    <w:rsid w:val="003E3F00"/>
    <w:rsid w:val="003E3FD8"/>
    <w:rsid w:val="003E4032"/>
    <w:rsid w:val="003E403E"/>
    <w:rsid w:val="003E41C0"/>
    <w:rsid w:val="003E43AE"/>
    <w:rsid w:val="003E4412"/>
    <w:rsid w:val="003E4429"/>
    <w:rsid w:val="003E442E"/>
    <w:rsid w:val="003E44A3"/>
    <w:rsid w:val="003E44CE"/>
    <w:rsid w:val="003E455B"/>
    <w:rsid w:val="003E4646"/>
    <w:rsid w:val="003E46C3"/>
    <w:rsid w:val="003E46C6"/>
    <w:rsid w:val="003E4751"/>
    <w:rsid w:val="003E4819"/>
    <w:rsid w:val="003E4882"/>
    <w:rsid w:val="003E48AC"/>
    <w:rsid w:val="003E4901"/>
    <w:rsid w:val="003E499D"/>
    <w:rsid w:val="003E49AE"/>
    <w:rsid w:val="003E49D1"/>
    <w:rsid w:val="003E4B78"/>
    <w:rsid w:val="003E4BAC"/>
    <w:rsid w:val="003E4BD1"/>
    <w:rsid w:val="003E4C29"/>
    <w:rsid w:val="003E4CDC"/>
    <w:rsid w:val="003E4CEE"/>
    <w:rsid w:val="003E4EA0"/>
    <w:rsid w:val="003E4F06"/>
    <w:rsid w:val="003E4FAA"/>
    <w:rsid w:val="003E505C"/>
    <w:rsid w:val="003E50EB"/>
    <w:rsid w:val="003E51C3"/>
    <w:rsid w:val="003E523D"/>
    <w:rsid w:val="003E5287"/>
    <w:rsid w:val="003E52CA"/>
    <w:rsid w:val="003E535D"/>
    <w:rsid w:val="003E53ED"/>
    <w:rsid w:val="003E5404"/>
    <w:rsid w:val="003E541F"/>
    <w:rsid w:val="003E54C4"/>
    <w:rsid w:val="003E54F6"/>
    <w:rsid w:val="003E554A"/>
    <w:rsid w:val="003E55C1"/>
    <w:rsid w:val="003E55D6"/>
    <w:rsid w:val="003E55E3"/>
    <w:rsid w:val="003E5813"/>
    <w:rsid w:val="003E58D6"/>
    <w:rsid w:val="003E594B"/>
    <w:rsid w:val="003E5A07"/>
    <w:rsid w:val="003E5A3C"/>
    <w:rsid w:val="003E5A49"/>
    <w:rsid w:val="003E5AFE"/>
    <w:rsid w:val="003E5B19"/>
    <w:rsid w:val="003E5B1F"/>
    <w:rsid w:val="003E5B8D"/>
    <w:rsid w:val="003E5BC8"/>
    <w:rsid w:val="003E5BD2"/>
    <w:rsid w:val="003E5D1D"/>
    <w:rsid w:val="003E5F7B"/>
    <w:rsid w:val="003E5FD2"/>
    <w:rsid w:val="003E6096"/>
    <w:rsid w:val="003E60B3"/>
    <w:rsid w:val="003E6101"/>
    <w:rsid w:val="003E612D"/>
    <w:rsid w:val="003E614B"/>
    <w:rsid w:val="003E61A3"/>
    <w:rsid w:val="003E61E6"/>
    <w:rsid w:val="003E625E"/>
    <w:rsid w:val="003E62A9"/>
    <w:rsid w:val="003E62AA"/>
    <w:rsid w:val="003E62E8"/>
    <w:rsid w:val="003E6366"/>
    <w:rsid w:val="003E636D"/>
    <w:rsid w:val="003E6386"/>
    <w:rsid w:val="003E638B"/>
    <w:rsid w:val="003E63D9"/>
    <w:rsid w:val="003E649D"/>
    <w:rsid w:val="003E64BE"/>
    <w:rsid w:val="003E64D0"/>
    <w:rsid w:val="003E65A7"/>
    <w:rsid w:val="003E65F8"/>
    <w:rsid w:val="003E65FC"/>
    <w:rsid w:val="003E6868"/>
    <w:rsid w:val="003E6881"/>
    <w:rsid w:val="003E68ED"/>
    <w:rsid w:val="003E6916"/>
    <w:rsid w:val="003E69AD"/>
    <w:rsid w:val="003E6A34"/>
    <w:rsid w:val="003E6A47"/>
    <w:rsid w:val="003E6AE7"/>
    <w:rsid w:val="003E6BE9"/>
    <w:rsid w:val="003E6C05"/>
    <w:rsid w:val="003E6C79"/>
    <w:rsid w:val="003E6CD6"/>
    <w:rsid w:val="003E6DCA"/>
    <w:rsid w:val="003E6E7C"/>
    <w:rsid w:val="003E6E99"/>
    <w:rsid w:val="003E6ED3"/>
    <w:rsid w:val="003E6F47"/>
    <w:rsid w:val="003E7047"/>
    <w:rsid w:val="003E707B"/>
    <w:rsid w:val="003E70E1"/>
    <w:rsid w:val="003E7280"/>
    <w:rsid w:val="003E7395"/>
    <w:rsid w:val="003E742C"/>
    <w:rsid w:val="003E746D"/>
    <w:rsid w:val="003E74B1"/>
    <w:rsid w:val="003E74DA"/>
    <w:rsid w:val="003E74F4"/>
    <w:rsid w:val="003E754C"/>
    <w:rsid w:val="003E7581"/>
    <w:rsid w:val="003E75D9"/>
    <w:rsid w:val="003E7612"/>
    <w:rsid w:val="003E76A8"/>
    <w:rsid w:val="003E76BE"/>
    <w:rsid w:val="003E7919"/>
    <w:rsid w:val="003E798B"/>
    <w:rsid w:val="003E7AA5"/>
    <w:rsid w:val="003E7B73"/>
    <w:rsid w:val="003E7BF7"/>
    <w:rsid w:val="003E7C3C"/>
    <w:rsid w:val="003E7CB9"/>
    <w:rsid w:val="003E7CC3"/>
    <w:rsid w:val="003E7D59"/>
    <w:rsid w:val="003E7EFD"/>
    <w:rsid w:val="003E7F75"/>
    <w:rsid w:val="003F000F"/>
    <w:rsid w:val="003F0062"/>
    <w:rsid w:val="003F008F"/>
    <w:rsid w:val="003F00CF"/>
    <w:rsid w:val="003F017C"/>
    <w:rsid w:val="003F01AC"/>
    <w:rsid w:val="003F01B2"/>
    <w:rsid w:val="003F01BC"/>
    <w:rsid w:val="003F0243"/>
    <w:rsid w:val="003F02D5"/>
    <w:rsid w:val="003F02DF"/>
    <w:rsid w:val="003F047A"/>
    <w:rsid w:val="003F0497"/>
    <w:rsid w:val="003F04CE"/>
    <w:rsid w:val="003F05E5"/>
    <w:rsid w:val="003F05EA"/>
    <w:rsid w:val="003F0646"/>
    <w:rsid w:val="003F0666"/>
    <w:rsid w:val="003F06A3"/>
    <w:rsid w:val="003F06C3"/>
    <w:rsid w:val="003F06D2"/>
    <w:rsid w:val="003F06F1"/>
    <w:rsid w:val="003F0783"/>
    <w:rsid w:val="003F079A"/>
    <w:rsid w:val="003F07B9"/>
    <w:rsid w:val="003F07BF"/>
    <w:rsid w:val="003F07E8"/>
    <w:rsid w:val="003F088B"/>
    <w:rsid w:val="003F089A"/>
    <w:rsid w:val="003F08B4"/>
    <w:rsid w:val="003F09B4"/>
    <w:rsid w:val="003F09D6"/>
    <w:rsid w:val="003F0A20"/>
    <w:rsid w:val="003F0AC3"/>
    <w:rsid w:val="003F0C93"/>
    <w:rsid w:val="003F0CC1"/>
    <w:rsid w:val="003F0D41"/>
    <w:rsid w:val="003F0DA5"/>
    <w:rsid w:val="003F0DB7"/>
    <w:rsid w:val="003F0DB9"/>
    <w:rsid w:val="003F0DC0"/>
    <w:rsid w:val="003F0E49"/>
    <w:rsid w:val="003F0EB4"/>
    <w:rsid w:val="003F0EF2"/>
    <w:rsid w:val="003F0F90"/>
    <w:rsid w:val="003F0FCC"/>
    <w:rsid w:val="003F1023"/>
    <w:rsid w:val="003F1072"/>
    <w:rsid w:val="003F1090"/>
    <w:rsid w:val="003F1148"/>
    <w:rsid w:val="003F1330"/>
    <w:rsid w:val="003F138A"/>
    <w:rsid w:val="003F1443"/>
    <w:rsid w:val="003F151D"/>
    <w:rsid w:val="003F15B2"/>
    <w:rsid w:val="003F15BB"/>
    <w:rsid w:val="003F15CB"/>
    <w:rsid w:val="003F16A7"/>
    <w:rsid w:val="003F16CE"/>
    <w:rsid w:val="003F170B"/>
    <w:rsid w:val="003F174B"/>
    <w:rsid w:val="003F178F"/>
    <w:rsid w:val="003F1798"/>
    <w:rsid w:val="003F17BC"/>
    <w:rsid w:val="003F17C5"/>
    <w:rsid w:val="003F1825"/>
    <w:rsid w:val="003F1891"/>
    <w:rsid w:val="003F1892"/>
    <w:rsid w:val="003F1893"/>
    <w:rsid w:val="003F18D6"/>
    <w:rsid w:val="003F1A70"/>
    <w:rsid w:val="003F1BE5"/>
    <w:rsid w:val="003F1C1B"/>
    <w:rsid w:val="003F1C2E"/>
    <w:rsid w:val="003F1CFC"/>
    <w:rsid w:val="003F1DC8"/>
    <w:rsid w:val="003F1DE9"/>
    <w:rsid w:val="003F1DF6"/>
    <w:rsid w:val="003F1DFA"/>
    <w:rsid w:val="003F1E96"/>
    <w:rsid w:val="003F1F06"/>
    <w:rsid w:val="003F1F0F"/>
    <w:rsid w:val="003F201C"/>
    <w:rsid w:val="003F20C9"/>
    <w:rsid w:val="003F2176"/>
    <w:rsid w:val="003F21EE"/>
    <w:rsid w:val="003F228C"/>
    <w:rsid w:val="003F232A"/>
    <w:rsid w:val="003F2397"/>
    <w:rsid w:val="003F242D"/>
    <w:rsid w:val="003F245C"/>
    <w:rsid w:val="003F24B5"/>
    <w:rsid w:val="003F2580"/>
    <w:rsid w:val="003F25B9"/>
    <w:rsid w:val="003F263E"/>
    <w:rsid w:val="003F26E2"/>
    <w:rsid w:val="003F2704"/>
    <w:rsid w:val="003F2721"/>
    <w:rsid w:val="003F275E"/>
    <w:rsid w:val="003F2791"/>
    <w:rsid w:val="003F2818"/>
    <w:rsid w:val="003F2A57"/>
    <w:rsid w:val="003F2AD3"/>
    <w:rsid w:val="003F2BBA"/>
    <w:rsid w:val="003F2C35"/>
    <w:rsid w:val="003F2CDA"/>
    <w:rsid w:val="003F2D1F"/>
    <w:rsid w:val="003F2D36"/>
    <w:rsid w:val="003F2D38"/>
    <w:rsid w:val="003F2E2A"/>
    <w:rsid w:val="003F2E3E"/>
    <w:rsid w:val="003F2F33"/>
    <w:rsid w:val="003F2F95"/>
    <w:rsid w:val="003F302F"/>
    <w:rsid w:val="003F3033"/>
    <w:rsid w:val="003F30B4"/>
    <w:rsid w:val="003F3129"/>
    <w:rsid w:val="003F3149"/>
    <w:rsid w:val="003F32B0"/>
    <w:rsid w:val="003F3315"/>
    <w:rsid w:val="003F3384"/>
    <w:rsid w:val="003F33D6"/>
    <w:rsid w:val="003F3420"/>
    <w:rsid w:val="003F34AE"/>
    <w:rsid w:val="003F36F2"/>
    <w:rsid w:val="003F3738"/>
    <w:rsid w:val="003F373F"/>
    <w:rsid w:val="003F3751"/>
    <w:rsid w:val="003F37E2"/>
    <w:rsid w:val="003F3AD7"/>
    <w:rsid w:val="003F3AEF"/>
    <w:rsid w:val="003F3BD4"/>
    <w:rsid w:val="003F3BFB"/>
    <w:rsid w:val="003F3CE7"/>
    <w:rsid w:val="003F3CF4"/>
    <w:rsid w:val="003F3D7F"/>
    <w:rsid w:val="003F3D99"/>
    <w:rsid w:val="003F3DC1"/>
    <w:rsid w:val="003F4025"/>
    <w:rsid w:val="003F409D"/>
    <w:rsid w:val="003F4117"/>
    <w:rsid w:val="003F411D"/>
    <w:rsid w:val="003F41EF"/>
    <w:rsid w:val="003F4217"/>
    <w:rsid w:val="003F4248"/>
    <w:rsid w:val="003F4290"/>
    <w:rsid w:val="003F42D8"/>
    <w:rsid w:val="003F42F4"/>
    <w:rsid w:val="003F4320"/>
    <w:rsid w:val="003F436D"/>
    <w:rsid w:val="003F439D"/>
    <w:rsid w:val="003F4409"/>
    <w:rsid w:val="003F4434"/>
    <w:rsid w:val="003F47F2"/>
    <w:rsid w:val="003F496A"/>
    <w:rsid w:val="003F49F8"/>
    <w:rsid w:val="003F4A3E"/>
    <w:rsid w:val="003F4AF4"/>
    <w:rsid w:val="003F4BA0"/>
    <w:rsid w:val="003F4C34"/>
    <w:rsid w:val="003F4D4B"/>
    <w:rsid w:val="003F4DA7"/>
    <w:rsid w:val="003F4DBB"/>
    <w:rsid w:val="003F5069"/>
    <w:rsid w:val="003F508B"/>
    <w:rsid w:val="003F50D2"/>
    <w:rsid w:val="003F510F"/>
    <w:rsid w:val="003F5147"/>
    <w:rsid w:val="003F5277"/>
    <w:rsid w:val="003F52D7"/>
    <w:rsid w:val="003F53CB"/>
    <w:rsid w:val="003F53CC"/>
    <w:rsid w:val="003F53E7"/>
    <w:rsid w:val="003F5443"/>
    <w:rsid w:val="003F545A"/>
    <w:rsid w:val="003F5463"/>
    <w:rsid w:val="003F54C8"/>
    <w:rsid w:val="003F5558"/>
    <w:rsid w:val="003F5570"/>
    <w:rsid w:val="003F5611"/>
    <w:rsid w:val="003F569C"/>
    <w:rsid w:val="003F56F3"/>
    <w:rsid w:val="003F588E"/>
    <w:rsid w:val="003F58C8"/>
    <w:rsid w:val="003F58D4"/>
    <w:rsid w:val="003F590A"/>
    <w:rsid w:val="003F5972"/>
    <w:rsid w:val="003F5A13"/>
    <w:rsid w:val="003F5A8F"/>
    <w:rsid w:val="003F5ADC"/>
    <w:rsid w:val="003F5B39"/>
    <w:rsid w:val="003F5B76"/>
    <w:rsid w:val="003F5B99"/>
    <w:rsid w:val="003F5C68"/>
    <w:rsid w:val="003F5CA4"/>
    <w:rsid w:val="003F5CC6"/>
    <w:rsid w:val="003F5CD8"/>
    <w:rsid w:val="003F5D30"/>
    <w:rsid w:val="003F5E66"/>
    <w:rsid w:val="003F5E70"/>
    <w:rsid w:val="003F5FD4"/>
    <w:rsid w:val="003F6053"/>
    <w:rsid w:val="003F605A"/>
    <w:rsid w:val="003F6069"/>
    <w:rsid w:val="003F606A"/>
    <w:rsid w:val="003F608A"/>
    <w:rsid w:val="003F6163"/>
    <w:rsid w:val="003F61CF"/>
    <w:rsid w:val="003F627A"/>
    <w:rsid w:val="003F62A9"/>
    <w:rsid w:val="003F62E5"/>
    <w:rsid w:val="003F63BE"/>
    <w:rsid w:val="003F63F7"/>
    <w:rsid w:val="003F6436"/>
    <w:rsid w:val="003F648C"/>
    <w:rsid w:val="003F64C9"/>
    <w:rsid w:val="003F661C"/>
    <w:rsid w:val="003F67CB"/>
    <w:rsid w:val="003F68EB"/>
    <w:rsid w:val="003F6907"/>
    <w:rsid w:val="003F6951"/>
    <w:rsid w:val="003F69A0"/>
    <w:rsid w:val="003F69E2"/>
    <w:rsid w:val="003F6A1C"/>
    <w:rsid w:val="003F6A22"/>
    <w:rsid w:val="003F6A2D"/>
    <w:rsid w:val="003F6A78"/>
    <w:rsid w:val="003F6AC2"/>
    <w:rsid w:val="003F6ACA"/>
    <w:rsid w:val="003F6B6D"/>
    <w:rsid w:val="003F6BAB"/>
    <w:rsid w:val="003F6BCB"/>
    <w:rsid w:val="003F6BEF"/>
    <w:rsid w:val="003F6D79"/>
    <w:rsid w:val="003F6F19"/>
    <w:rsid w:val="003F6F35"/>
    <w:rsid w:val="003F6FB9"/>
    <w:rsid w:val="003F70C0"/>
    <w:rsid w:val="003F71BA"/>
    <w:rsid w:val="003F72B4"/>
    <w:rsid w:val="003F72F5"/>
    <w:rsid w:val="003F730F"/>
    <w:rsid w:val="003F73D9"/>
    <w:rsid w:val="003F7488"/>
    <w:rsid w:val="003F74AB"/>
    <w:rsid w:val="003F74BD"/>
    <w:rsid w:val="003F75E2"/>
    <w:rsid w:val="003F76CA"/>
    <w:rsid w:val="003F77EC"/>
    <w:rsid w:val="003F7814"/>
    <w:rsid w:val="003F783D"/>
    <w:rsid w:val="003F78FF"/>
    <w:rsid w:val="003F7BBF"/>
    <w:rsid w:val="003F7BFD"/>
    <w:rsid w:val="003F7C52"/>
    <w:rsid w:val="003F7C97"/>
    <w:rsid w:val="003F7CE1"/>
    <w:rsid w:val="003F7D3F"/>
    <w:rsid w:val="003F7D47"/>
    <w:rsid w:val="003F7D4E"/>
    <w:rsid w:val="003F7D92"/>
    <w:rsid w:val="003F7F61"/>
    <w:rsid w:val="00400047"/>
    <w:rsid w:val="0040008E"/>
    <w:rsid w:val="004001C2"/>
    <w:rsid w:val="0040032F"/>
    <w:rsid w:val="00400452"/>
    <w:rsid w:val="0040054F"/>
    <w:rsid w:val="004007C3"/>
    <w:rsid w:val="00400820"/>
    <w:rsid w:val="00400841"/>
    <w:rsid w:val="004008BD"/>
    <w:rsid w:val="004009F3"/>
    <w:rsid w:val="00400A51"/>
    <w:rsid w:val="00400A9D"/>
    <w:rsid w:val="00400AA4"/>
    <w:rsid w:val="00400AC0"/>
    <w:rsid w:val="00400B69"/>
    <w:rsid w:val="00400BF9"/>
    <w:rsid w:val="00400C43"/>
    <w:rsid w:val="00400C4C"/>
    <w:rsid w:val="00400C68"/>
    <w:rsid w:val="00400C6F"/>
    <w:rsid w:val="00400CEE"/>
    <w:rsid w:val="00400D09"/>
    <w:rsid w:val="00400DEA"/>
    <w:rsid w:val="00400F15"/>
    <w:rsid w:val="00400FCE"/>
    <w:rsid w:val="00401001"/>
    <w:rsid w:val="00401008"/>
    <w:rsid w:val="0040102F"/>
    <w:rsid w:val="0040109B"/>
    <w:rsid w:val="0040123F"/>
    <w:rsid w:val="004012BA"/>
    <w:rsid w:val="00401364"/>
    <w:rsid w:val="0040137F"/>
    <w:rsid w:val="00401423"/>
    <w:rsid w:val="004014B8"/>
    <w:rsid w:val="0040150C"/>
    <w:rsid w:val="00401578"/>
    <w:rsid w:val="00401661"/>
    <w:rsid w:val="004016C0"/>
    <w:rsid w:val="004016DA"/>
    <w:rsid w:val="004016FA"/>
    <w:rsid w:val="00401735"/>
    <w:rsid w:val="00401795"/>
    <w:rsid w:val="00401859"/>
    <w:rsid w:val="00401937"/>
    <w:rsid w:val="00401992"/>
    <w:rsid w:val="004019DD"/>
    <w:rsid w:val="00401B97"/>
    <w:rsid w:val="00401BD3"/>
    <w:rsid w:val="00401D35"/>
    <w:rsid w:val="00401D97"/>
    <w:rsid w:val="00401DEB"/>
    <w:rsid w:val="00401F14"/>
    <w:rsid w:val="00401F44"/>
    <w:rsid w:val="00401F84"/>
    <w:rsid w:val="00402047"/>
    <w:rsid w:val="00402049"/>
    <w:rsid w:val="00402073"/>
    <w:rsid w:val="00402112"/>
    <w:rsid w:val="004021C4"/>
    <w:rsid w:val="0040220D"/>
    <w:rsid w:val="0040226E"/>
    <w:rsid w:val="0040227A"/>
    <w:rsid w:val="00402321"/>
    <w:rsid w:val="00402381"/>
    <w:rsid w:val="004023A8"/>
    <w:rsid w:val="004024B1"/>
    <w:rsid w:val="004024DE"/>
    <w:rsid w:val="00402882"/>
    <w:rsid w:val="00402897"/>
    <w:rsid w:val="0040289E"/>
    <w:rsid w:val="0040291D"/>
    <w:rsid w:val="0040293F"/>
    <w:rsid w:val="00402967"/>
    <w:rsid w:val="00402A58"/>
    <w:rsid w:val="00402ABD"/>
    <w:rsid w:val="00402B63"/>
    <w:rsid w:val="00402BFB"/>
    <w:rsid w:val="00402BFD"/>
    <w:rsid w:val="00402C28"/>
    <w:rsid w:val="00402C52"/>
    <w:rsid w:val="00402C80"/>
    <w:rsid w:val="00402C89"/>
    <w:rsid w:val="00402D18"/>
    <w:rsid w:val="00402DF7"/>
    <w:rsid w:val="00402E31"/>
    <w:rsid w:val="00402ED7"/>
    <w:rsid w:val="0040301A"/>
    <w:rsid w:val="0040305E"/>
    <w:rsid w:val="004030CC"/>
    <w:rsid w:val="00403100"/>
    <w:rsid w:val="00403139"/>
    <w:rsid w:val="00403200"/>
    <w:rsid w:val="004032F3"/>
    <w:rsid w:val="00403321"/>
    <w:rsid w:val="00403364"/>
    <w:rsid w:val="00403390"/>
    <w:rsid w:val="004033C3"/>
    <w:rsid w:val="0040345A"/>
    <w:rsid w:val="0040348E"/>
    <w:rsid w:val="0040356D"/>
    <w:rsid w:val="0040357C"/>
    <w:rsid w:val="004035E4"/>
    <w:rsid w:val="004036D7"/>
    <w:rsid w:val="00403789"/>
    <w:rsid w:val="0040379C"/>
    <w:rsid w:val="004037A8"/>
    <w:rsid w:val="004037C6"/>
    <w:rsid w:val="0040383B"/>
    <w:rsid w:val="0040393A"/>
    <w:rsid w:val="0040396C"/>
    <w:rsid w:val="0040397E"/>
    <w:rsid w:val="00403A7D"/>
    <w:rsid w:val="00403B83"/>
    <w:rsid w:val="00403B8B"/>
    <w:rsid w:val="00403C0E"/>
    <w:rsid w:val="00403CCE"/>
    <w:rsid w:val="00403CDE"/>
    <w:rsid w:val="00403D19"/>
    <w:rsid w:val="00403D25"/>
    <w:rsid w:val="00403D35"/>
    <w:rsid w:val="00403D5F"/>
    <w:rsid w:val="00403DB3"/>
    <w:rsid w:val="00403E2E"/>
    <w:rsid w:val="00403F4C"/>
    <w:rsid w:val="0040401F"/>
    <w:rsid w:val="00404030"/>
    <w:rsid w:val="00404106"/>
    <w:rsid w:val="00404141"/>
    <w:rsid w:val="00404147"/>
    <w:rsid w:val="004041F4"/>
    <w:rsid w:val="0040427F"/>
    <w:rsid w:val="00404295"/>
    <w:rsid w:val="004042C3"/>
    <w:rsid w:val="004042FD"/>
    <w:rsid w:val="00404331"/>
    <w:rsid w:val="004043BB"/>
    <w:rsid w:val="004043DC"/>
    <w:rsid w:val="004044FA"/>
    <w:rsid w:val="00404524"/>
    <w:rsid w:val="00404548"/>
    <w:rsid w:val="00404568"/>
    <w:rsid w:val="004045BF"/>
    <w:rsid w:val="004045C4"/>
    <w:rsid w:val="004045E3"/>
    <w:rsid w:val="004045EF"/>
    <w:rsid w:val="00404600"/>
    <w:rsid w:val="0040470F"/>
    <w:rsid w:val="004047DD"/>
    <w:rsid w:val="00404818"/>
    <w:rsid w:val="0040483C"/>
    <w:rsid w:val="00404888"/>
    <w:rsid w:val="00404906"/>
    <w:rsid w:val="00404AC6"/>
    <w:rsid w:val="00404B03"/>
    <w:rsid w:val="00404B1B"/>
    <w:rsid w:val="00404B83"/>
    <w:rsid w:val="00404B8E"/>
    <w:rsid w:val="00404D4A"/>
    <w:rsid w:val="00404E34"/>
    <w:rsid w:val="00404E3E"/>
    <w:rsid w:val="00404E9A"/>
    <w:rsid w:val="00404EAD"/>
    <w:rsid w:val="00404EB0"/>
    <w:rsid w:val="00404F17"/>
    <w:rsid w:val="00404F24"/>
    <w:rsid w:val="00404F9F"/>
    <w:rsid w:val="00404FB2"/>
    <w:rsid w:val="0040500B"/>
    <w:rsid w:val="00405054"/>
    <w:rsid w:val="004050A5"/>
    <w:rsid w:val="004050D8"/>
    <w:rsid w:val="004050F0"/>
    <w:rsid w:val="0040544C"/>
    <w:rsid w:val="00405498"/>
    <w:rsid w:val="004054B8"/>
    <w:rsid w:val="00405508"/>
    <w:rsid w:val="0040564C"/>
    <w:rsid w:val="0040566A"/>
    <w:rsid w:val="004056A1"/>
    <w:rsid w:val="004056D4"/>
    <w:rsid w:val="00405923"/>
    <w:rsid w:val="00405932"/>
    <w:rsid w:val="004059B4"/>
    <w:rsid w:val="004059C1"/>
    <w:rsid w:val="004059EB"/>
    <w:rsid w:val="00405A35"/>
    <w:rsid w:val="00405C79"/>
    <w:rsid w:val="00405D01"/>
    <w:rsid w:val="00405D1A"/>
    <w:rsid w:val="00405D2F"/>
    <w:rsid w:val="00405D37"/>
    <w:rsid w:val="00405F69"/>
    <w:rsid w:val="00405F7F"/>
    <w:rsid w:val="00405FB0"/>
    <w:rsid w:val="00406007"/>
    <w:rsid w:val="00406054"/>
    <w:rsid w:val="0040609A"/>
    <w:rsid w:val="004060DA"/>
    <w:rsid w:val="00406131"/>
    <w:rsid w:val="00406221"/>
    <w:rsid w:val="0040642C"/>
    <w:rsid w:val="00406551"/>
    <w:rsid w:val="00406589"/>
    <w:rsid w:val="004066FF"/>
    <w:rsid w:val="0040672D"/>
    <w:rsid w:val="00406732"/>
    <w:rsid w:val="004067A0"/>
    <w:rsid w:val="004068A3"/>
    <w:rsid w:val="00406930"/>
    <w:rsid w:val="00406961"/>
    <w:rsid w:val="00406971"/>
    <w:rsid w:val="004069D4"/>
    <w:rsid w:val="00406A12"/>
    <w:rsid w:val="00406B52"/>
    <w:rsid w:val="00406C57"/>
    <w:rsid w:val="00406C72"/>
    <w:rsid w:val="00406C78"/>
    <w:rsid w:val="00406D4A"/>
    <w:rsid w:val="00406DF1"/>
    <w:rsid w:val="00406EC4"/>
    <w:rsid w:val="00406F4D"/>
    <w:rsid w:val="00406F64"/>
    <w:rsid w:val="00406F6E"/>
    <w:rsid w:val="00406FCB"/>
    <w:rsid w:val="004070B7"/>
    <w:rsid w:val="004070DF"/>
    <w:rsid w:val="0040711E"/>
    <w:rsid w:val="00407166"/>
    <w:rsid w:val="004071B4"/>
    <w:rsid w:val="00407203"/>
    <w:rsid w:val="0040721A"/>
    <w:rsid w:val="00407224"/>
    <w:rsid w:val="00407305"/>
    <w:rsid w:val="00407323"/>
    <w:rsid w:val="0040734C"/>
    <w:rsid w:val="0040746C"/>
    <w:rsid w:val="00407559"/>
    <w:rsid w:val="00407668"/>
    <w:rsid w:val="0040768E"/>
    <w:rsid w:val="0040769F"/>
    <w:rsid w:val="004076EB"/>
    <w:rsid w:val="00407739"/>
    <w:rsid w:val="00407759"/>
    <w:rsid w:val="0040783C"/>
    <w:rsid w:val="0040785F"/>
    <w:rsid w:val="004078AD"/>
    <w:rsid w:val="004078EA"/>
    <w:rsid w:val="0040793F"/>
    <w:rsid w:val="00407A22"/>
    <w:rsid w:val="00407AE1"/>
    <w:rsid w:val="00407B1B"/>
    <w:rsid w:val="00407B43"/>
    <w:rsid w:val="00407B67"/>
    <w:rsid w:val="00407B8E"/>
    <w:rsid w:val="00407BD0"/>
    <w:rsid w:val="00407BF8"/>
    <w:rsid w:val="00407DF2"/>
    <w:rsid w:val="00407E3A"/>
    <w:rsid w:val="00407E60"/>
    <w:rsid w:val="00410011"/>
    <w:rsid w:val="00410079"/>
    <w:rsid w:val="004100BE"/>
    <w:rsid w:val="004100F1"/>
    <w:rsid w:val="0041017A"/>
    <w:rsid w:val="004102BA"/>
    <w:rsid w:val="004102BB"/>
    <w:rsid w:val="004103B8"/>
    <w:rsid w:val="0041043F"/>
    <w:rsid w:val="0041048D"/>
    <w:rsid w:val="00410556"/>
    <w:rsid w:val="004105C4"/>
    <w:rsid w:val="00410639"/>
    <w:rsid w:val="004106DC"/>
    <w:rsid w:val="00410761"/>
    <w:rsid w:val="00410869"/>
    <w:rsid w:val="00410959"/>
    <w:rsid w:val="00410A2E"/>
    <w:rsid w:val="00410A94"/>
    <w:rsid w:val="00410AC2"/>
    <w:rsid w:val="00410ADE"/>
    <w:rsid w:val="00410BA2"/>
    <w:rsid w:val="00410BA6"/>
    <w:rsid w:val="00410CE5"/>
    <w:rsid w:val="00410EC3"/>
    <w:rsid w:val="00410ECA"/>
    <w:rsid w:val="00410F84"/>
    <w:rsid w:val="0041100E"/>
    <w:rsid w:val="00411148"/>
    <w:rsid w:val="00411192"/>
    <w:rsid w:val="004112F3"/>
    <w:rsid w:val="00411352"/>
    <w:rsid w:val="004113D1"/>
    <w:rsid w:val="00411434"/>
    <w:rsid w:val="00411449"/>
    <w:rsid w:val="00411489"/>
    <w:rsid w:val="0041150F"/>
    <w:rsid w:val="004117ED"/>
    <w:rsid w:val="0041182E"/>
    <w:rsid w:val="00411845"/>
    <w:rsid w:val="004118C6"/>
    <w:rsid w:val="004118E5"/>
    <w:rsid w:val="00411983"/>
    <w:rsid w:val="00411991"/>
    <w:rsid w:val="00411A03"/>
    <w:rsid w:val="00411A9E"/>
    <w:rsid w:val="00411B43"/>
    <w:rsid w:val="00411BA8"/>
    <w:rsid w:val="00411BCB"/>
    <w:rsid w:val="00411CD8"/>
    <w:rsid w:val="00411CDC"/>
    <w:rsid w:val="00411D56"/>
    <w:rsid w:val="00411DE2"/>
    <w:rsid w:val="00411E01"/>
    <w:rsid w:val="00411E68"/>
    <w:rsid w:val="00411F36"/>
    <w:rsid w:val="00412032"/>
    <w:rsid w:val="00412051"/>
    <w:rsid w:val="00412092"/>
    <w:rsid w:val="004120EF"/>
    <w:rsid w:val="00412118"/>
    <w:rsid w:val="0041215D"/>
    <w:rsid w:val="00412192"/>
    <w:rsid w:val="00412202"/>
    <w:rsid w:val="00412212"/>
    <w:rsid w:val="0041221D"/>
    <w:rsid w:val="0041229F"/>
    <w:rsid w:val="004122A3"/>
    <w:rsid w:val="004122EF"/>
    <w:rsid w:val="00412394"/>
    <w:rsid w:val="00412496"/>
    <w:rsid w:val="004124A5"/>
    <w:rsid w:val="00412529"/>
    <w:rsid w:val="00412554"/>
    <w:rsid w:val="004126A2"/>
    <w:rsid w:val="00412756"/>
    <w:rsid w:val="00412849"/>
    <w:rsid w:val="0041285C"/>
    <w:rsid w:val="0041287F"/>
    <w:rsid w:val="004128C6"/>
    <w:rsid w:val="00412967"/>
    <w:rsid w:val="0041299B"/>
    <w:rsid w:val="00412A77"/>
    <w:rsid w:val="00412A94"/>
    <w:rsid w:val="00412B6E"/>
    <w:rsid w:val="00412BE2"/>
    <w:rsid w:val="00412BF0"/>
    <w:rsid w:val="00412C70"/>
    <w:rsid w:val="00412CC3"/>
    <w:rsid w:val="00412CFD"/>
    <w:rsid w:val="00412D6B"/>
    <w:rsid w:val="00412D7B"/>
    <w:rsid w:val="00412D90"/>
    <w:rsid w:val="00412D91"/>
    <w:rsid w:val="00412DB1"/>
    <w:rsid w:val="00412FCD"/>
    <w:rsid w:val="00412FD9"/>
    <w:rsid w:val="0041306E"/>
    <w:rsid w:val="00413120"/>
    <w:rsid w:val="00413259"/>
    <w:rsid w:val="00413264"/>
    <w:rsid w:val="0041329D"/>
    <w:rsid w:val="004132E1"/>
    <w:rsid w:val="00413337"/>
    <w:rsid w:val="0041334F"/>
    <w:rsid w:val="0041352A"/>
    <w:rsid w:val="00413533"/>
    <w:rsid w:val="0041354D"/>
    <w:rsid w:val="00413579"/>
    <w:rsid w:val="004135B1"/>
    <w:rsid w:val="0041361C"/>
    <w:rsid w:val="0041367F"/>
    <w:rsid w:val="004136C2"/>
    <w:rsid w:val="004136DB"/>
    <w:rsid w:val="004137F8"/>
    <w:rsid w:val="0041383B"/>
    <w:rsid w:val="0041393F"/>
    <w:rsid w:val="00413AC9"/>
    <w:rsid w:val="00413B54"/>
    <w:rsid w:val="00413B7E"/>
    <w:rsid w:val="00413BBA"/>
    <w:rsid w:val="00413BC1"/>
    <w:rsid w:val="00413C18"/>
    <w:rsid w:val="00413C19"/>
    <w:rsid w:val="00413D36"/>
    <w:rsid w:val="00413D97"/>
    <w:rsid w:val="00413DA0"/>
    <w:rsid w:val="00413DC0"/>
    <w:rsid w:val="00413E20"/>
    <w:rsid w:val="004140F1"/>
    <w:rsid w:val="00414104"/>
    <w:rsid w:val="00414122"/>
    <w:rsid w:val="00414194"/>
    <w:rsid w:val="0041426D"/>
    <w:rsid w:val="00414406"/>
    <w:rsid w:val="00414454"/>
    <w:rsid w:val="0041448E"/>
    <w:rsid w:val="004144A1"/>
    <w:rsid w:val="004144EE"/>
    <w:rsid w:val="0041452D"/>
    <w:rsid w:val="0041459B"/>
    <w:rsid w:val="004145AF"/>
    <w:rsid w:val="0041469F"/>
    <w:rsid w:val="00414803"/>
    <w:rsid w:val="00414964"/>
    <w:rsid w:val="004149AD"/>
    <w:rsid w:val="00414A67"/>
    <w:rsid w:val="00414A6D"/>
    <w:rsid w:val="00414B28"/>
    <w:rsid w:val="00414B35"/>
    <w:rsid w:val="00414B92"/>
    <w:rsid w:val="00414C1A"/>
    <w:rsid w:val="00414C9F"/>
    <w:rsid w:val="00414CCD"/>
    <w:rsid w:val="00414D61"/>
    <w:rsid w:val="00414D74"/>
    <w:rsid w:val="00414DEB"/>
    <w:rsid w:val="00414DF1"/>
    <w:rsid w:val="00414EFD"/>
    <w:rsid w:val="00414F27"/>
    <w:rsid w:val="00414F56"/>
    <w:rsid w:val="00414FEB"/>
    <w:rsid w:val="00415075"/>
    <w:rsid w:val="0041508B"/>
    <w:rsid w:val="004150A0"/>
    <w:rsid w:val="004150BE"/>
    <w:rsid w:val="00415161"/>
    <w:rsid w:val="004151F0"/>
    <w:rsid w:val="00415231"/>
    <w:rsid w:val="004152A0"/>
    <w:rsid w:val="004153C5"/>
    <w:rsid w:val="00415472"/>
    <w:rsid w:val="0041552E"/>
    <w:rsid w:val="004155CD"/>
    <w:rsid w:val="004155DC"/>
    <w:rsid w:val="00415619"/>
    <w:rsid w:val="0041568D"/>
    <w:rsid w:val="00415760"/>
    <w:rsid w:val="00415799"/>
    <w:rsid w:val="004157BC"/>
    <w:rsid w:val="00415887"/>
    <w:rsid w:val="00415899"/>
    <w:rsid w:val="0041599B"/>
    <w:rsid w:val="0041599F"/>
    <w:rsid w:val="004159A3"/>
    <w:rsid w:val="00415A0B"/>
    <w:rsid w:val="00415B82"/>
    <w:rsid w:val="00415B89"/>
    <w:rsid w:val="00415BF8"/>
    <w:rsid w:val="00415C7F"/>
    <w:rsid w:val="00415CC0"/>
    <w:rsid w:val="00415F5D"/>
    <w:rsid w:val="00415FDF"/>
    <w:rsid w:val="00416021"/>
    <w:rsid w:val="0041607E"/>
    <w:rsid w:val="00416149"/>
    <w:rsid w:val="0041619C"/>
    <w:rsid w:val="004161B9"/>
    <w:rsid w:val="004161FC"/>
    <w:rsid w:val="00416209"/>
    <w:rsid w:val="00416350"/>
    <w:rsid w:val="0041637A"/>
    <w:rsid w:val="004164A2"/>
    <w:rsid w:val="004164B1"/>
    <w:rsid w:val="004164C2"/>
    <w:rsid w:val="004164FE"/>
    <w:rsid w:val="00416537"/>
    <w:rsid w:val="00416570"/>
    <w:rsid w:val="00416699"/>
    <w:rsid w:val="004166E9"/>
    <w:rsid w:val="00416704"/>
    <w:rsid w:val="00416762"/>
    <w:rsid w:val="0041676B"/>
    <w:rsid w:val="004168C0"/>
    <w:rsid w:val="0041690D"/>
    <w:rsid w:val="00416947"/>
    <w:rsid w:val="00416A69"/>
    <w:rsid w:val="00416AC5"/>
    <w:rsid w:val="00416AE4"/>
    <w:rsid w:val="00416B7A"/>
    <w:rsid w:val="00416B9A"/>
    <w:rsid w:val="00416BAC"/>
    <w:rsid w:val="00416D06"/>
    <w:rsid w:val="00416D35"/>
    <w:rsid w:val="00416D46"/>
    <w:rsid w:val="00416E1B"/>
    <w:rsid w:val="00416E84"/>
    <w:rsid w:val="00416F8A"/>
    <w:rsid w:val="004170FE"/>
    <w:rsid w:val="004171FF"/>
    <w:rsid w:val="004173C4"/>
    <w:rsid w:val="00417403"/>
    <w:rsid w:val="00417455"/>
    <w:rsid w:val="00417650"/>
    <w:rsid w:val="004176FC"/>
    <w:rsid w:val="004176FF"/>
    <w:rsid w:val="00417806"/>
    <w:rsid w:val="0041781F"/>
    <w:rsid w:val="00417899"/>
    <w:rsid w:val="0041796A"/>
    <w:rsid w:val="0041796E"/>
    <w:rsid w:val="00417975"/>
    <w:rsid w:val="004179DE"/>
    <w:rsid w:val="00417AD2"/>
    <w:rsid w:val="00417B14"/>
    <w:rsid w:val="00417B71"/>
    <w:rsid w:val="00417C10"/>
    <w:rsid w:val="00417C24"/>
    <w:rsid w:val="00417DA9"/>
    <w:rsid w:val="00417EF5"/>
    <w:rsid w:val="00417F38"/>
    <w:rsid w:val="00417F4A"/>
    <w:rsid w:val="00417F9A"/>
    <w:rsid w:val="00417FD1"/>
    <w:rsid w:val="004200DB"/>
    <w:rsid w:val="0042017F"/>
    <w:rsid w:val="004201BC"/>
    <w:rsid w:val="00420227"/>
    <w:rsid w:val="0042023B"/>
    <w:rsid w:val="004203E4"/>
    <w:rsid w:val="00420449"/>
    <w:rsid w:val="00420509"/>
    <w:rsid w:val="00420511"/>
    <w:rsid w:val="004205B6"/>
    <w:rsid w:val="004206F6"/>
    <w:rsid w:val="0042075C"/>
    <w:rsid w:val="0042093F"/>
    <w:rsid w:val="00420B40"/>
    <w:rsid w:val="00420E72"/>
    <w:rsid w:val="00420E79"/>
    <w:rsid w:val="00420E89"/>
    <w:rsid w:val="00420F3F"/>
    <w:rsid w:val="00420F45"/>
    <w:rsid w:val="00420F57"/>
    <w:rsid w:val="00420FC7"/>
    <w:rsid w:val="00421035"/>
    <w:rsid w:val="00421202"/>
    <w:rsid w:val="00421215"/>
    <w:rsid w:val="00421287"/>
    <w:rsid w:val="004212B3"/>
    <w:rsid w:val="0042133A"/>
    <w:rsid w:val="0042137B"/>
    <w:rsid w:val="0042144B"/>
    <w:rsid w:val="004216C6"/>
    <w:rsid w:val="0042180C"/>
    <w:rsid w:val="00421815"/>
    <w:rsid w:val="0042189F"/>
    <w:rsid w:val="004218E7"/>
    <w:rsid w:val="0042193C"/>
    <w:rsid w:val="00421A09"/>
    <w:rsid w:val="00421A5D"/>
    <w:rsid w:val="00421AFB"/>
    <w:rsid w:val="00421B6A"/>
    <w:rsid w:val="00421BCB"/>
    <w:rsid w:val="00421C4E"/>
    <w:rsid w:val="00421CFF"/>
    <w:rsid w:val="00421D6C"/>
    <w:rsid w:val="00421DD7"/>
    <w:rsid w:val="00421E67"/>
    <w:rsid w:val="00421EEE"/>
    <w:rsid w:val="00421F52"/>
    <w:rsid w:val="00421F59"/>
    <w:rsid w:val="00421FD8"/>
    <w:rsid w:val="00421FE0"/>
    <w:rsid w:val="004220AC"/>
    <w:rsid w:val="004220FD"/>
    <w:rsid w:val="00422134"/>
    <w:rsid w:val="004221B0"/>
    <w:rsid w:val="00422268"/>
    <w:rsid w:val="004222C1"/>
    <w:rsid w:val="00422313"/>
    <w:rsid w:val="004223FC"/>
    <w:rsid w:val="00422449"/>
    <w:rsid w:val="00422480"/>
    <w:rsid w:val="004224A2"/>
    <w:rsid w:val="00422525"/>
    <w:rsid w:val="0042252C"/>
    <w:rsid w:val="004225D0"/>
    <w:rsid w:val="004225EF"/>
    <w:rsid w:val="00422662"/>
    <w:rsid w:val="004226D5"/>
    <w:rsid w:val="0042271F"/>
    <w:rsid w:val="0042274B"/>
    <w:rsid w:val="00422754"/>
    <w:rsid w:val="00422794"/>
    <w:rsid w:val="004227D1"/>
    <w:rsid w:val="00422890"/>
    <w:rsid w:val="00422894"/>
    <w:rsid w:val="00422A37"/>
    <w:rsid w:val="00422AA6"/>
    <w:rsid w:val="00422AAD"/>
    <w:rsid w:val="00422B36"/>
    <w:rsid w:val="00422BA9"/>
    <w:rsid w:val="00422BE7"/>
    <w:rsid w:val="00422CA4"/>
    <w:rsid w:val="00422CF5"/>
    <w:rsid w:val="00422D5E"/>
    <w:rsid w:val="00422DDC"/>
    <w:rsid w:val="00422F24"/>
    <w:rsid w:val="00422F7F"/>
    <w:rsid w:val="00422F8C"/>
    <w:rsid w:val="0042316C"/>
    <w:rsid w:val="004231A9"/>
    <w:rsid w:val="004231C1"/>
    <w:rsid w:val="0042327D"/>
    <w:rsid w:val="004232ED"/>
    <w:rsid w:val="004232F4"/>
    <w:rsid w:val="0042332A"/>
    <w:rsid w:val="00423359"/>
    <w:rsid w:val="004233DE"/>
    <w:rsid w:val="00423415"/>
    <w:rsid w:val="0042342C"/>
    <w:rsid w:val="004234BF"/>
    <w:rsid w:val="00423503"/>
    <w:rsid w:val="004235C6"/>
    <w:rsid w:val="00423795"/>
    <w:rsid w:val="004237FF"/>
    <w:rsid w:val="0042393E"/>
    <w:rsid w:val="004239F1"/>
    <w:rsid w:val="00423A9B"/>
    <w:rsid w:val="00423AB3"/>
    <w:rsid w:val="00423B3A"/>
    <w:rsid w:val="00423B5F"/>
    <w:rsid w:val="00423BAB"/>
    <w:rsid w:val="00423CA8"/>
    <w:rsid w:val="00423CE1"/>
    <w:rsid w:val="00423CF7"/>
    <w:rsid w:val="00423D2D"/>
    <w:rsid w:val="00423D67"/>
    <w:rsid w:val="00423DF2"/>
    <w:rsid w:val="00423E11"/>
    <w:rsid w:val="00423EC5"/>
    <w:rsid w:val="00423FD0"/>
    <w:rsid w:val="00423FDA"/>
    <w:rsid w:val="00423FE6"/>
    <w:rsid w:val="0042407A"/>
    <w:rsid w:val="0042407F"/>
    <w:rsid w:val="00424165"/>
    <w:rsid w:val="004241C2"/>
    <w:rsid w:val="004244B0"/>
    <w:rsid w:val="00424554"/>
    <w:rsid w:val="00424619"/>
    <w:rsid w:val="00424636"/>
    <w:rsid w:val="00424639"/>
    <w:rsid w:val="004246E7"/>
    <w:rsid w:val="0042484F"/>
    <w:rsid w:val="00424877"/>
    <w:rsid w:val="0042488C"/>
    <w:rsid w:val="004248AB"/>
    <w:rsid w:val="00424972"/>
    <w:rsid w:val="0042497F"/>
    <w:rsid w:val="004249AD"/>
    <w:rsid w:val="00424AA6"/>
    <w:rsid w:val="00424B53"/>
    <w:rsid w:val="00424BE0"/>
    <w:rsid w:val="00424C89"/>
    <w:rsid w:val="00424D3E"/>
    <w:rsid w:val="00424E86"/>
    <w:rsid w:val="00424E97"/>
    <w:rsid w:val="00424EB7"/>
    <w:rsid w:val="00425085"/>
    <w:rsid w:val="0042511F"/>
    <w:rsid w:val="00425184"/>
    <w:rsid w:val="004251D7"/>
    <w:rsid w:val="0042526F"/>
    <w:rsid w:val="00425332"/>
    <w:rsid w:val="0042542B"/>
    <w:rsid w:val="0042548F"/>
    <w:rsid w:val="004254F2"/>
    <w:rsid w:val="004255BE"/>
    <w:rsid w:val="00425673"/>
    <w:rsid w:val="004257A8"/>
    <w:rsid w:val="004257FD"/>
    <w:rsid w:val="00425813"/>
    <w:rsid w:val="00425892"/>
    <w:rsid w:val="004258C3"/>
    <w:rsid w:val="00425A49"/>
    <w:rsid w:val="00425AD8"/>
    <w:rsid w:val="00425AF1"/>
    <w:rsid w:val="00425B0D"/>
    <w:rsid w:val="00425B73"/>
    <w:rsid w:val="00425BF5"/>
    <w:rsid w:val="00425C96"/>
    <w:rsid w:val="00425D2A"/>
    <w:rsid w:val="00425EF3"/>
    <w:rsid w:val="00425F93"/>
    <w:rsid w:val="004261E7"/>
    <w:rsid w:val="00426254"/>
    <w:rsid w:val="0042653C"/>
    <w:rsid w:val="00426546"/>
    <w:rsid w:val="004265A0"/>
    <w:rsid w:val="004265BB"/>
    <w:rsid w:val="004265E4"/>
    <w:rsid w:val="004265F5"/>
    <w:rsid w:val="00426652"/>
    <w:rsid w:val="00426656"/>
    <w:rsid w:val="004266FA"/>
    <w:rsid w:val="00426886"/>
    <w:rsid w:val="004269BE"/>
    <w:rsid w:val="00426ABA"/>
    <w:rsid w:val="00426ADA"/>
    <w:rsid w:val="00426B3B"/>
    <w:rsid w:val="00426B6D"/>
    <w:rsid w:val="00426B72"/>
    <w:rsid w:val="00426BF2"/>
    <w:rsid w:val="00426C0E"/>
    <w:rsid w:val="00426C64"/>
    <w:rsid w:val="00426CEC"/>
    <w:rsid w:val="00426D67"/>
    <w:rsid w:val="00426D8A"/>
    <w:rsid w:val="00426EE4"/>
    <w:rsid w:val="00426EE5"/>
    <w:rsid w:val="00426F0C"/>
    <w:rsid w:val="00426F1B"/>
    <w:rsid w:val="00427019"/>
    <w:rsid w:val="00427081"/>
    <w:rsid w:val="00427094"/>
    <w:rsid w:val="00427167"/>
    <w:rsid w:val="004271AC"/>
    <w:rsid w:val="004271BC"/>
    <w:rsid w:val="004271C3"/>
    <w:rsid w:val="00427311"/>
    <w:rsid w:val="00427315"/>
    <w:rsid w:val="00427358"/>
    <w:rsid w:val="004273A5"/>
    <w:rsid w:val="0042741B"/>
    <w:rsid w:val="00427486"/>
    <w:rsid w:val="0042749E"/>
    <w:rsid w:val="004274BE"/>
    <w:rsid w:val="004275A3"/>
    <w:rsid w:val="004276CB"/>
    <w:rsid w:val="00427768"/>
    <w:rsid w:val="004277E8"/>
    <w:rsid w:val="004277F0"/>
    <w:rsid w:val="004278E2"/>
    <w:rsid w:val="004278EB"/>
    <w:rsid w:val="0042798B"/>
    <w:rsid w:val="004279C7"/>
    <w:rsid w:val="00427ABD"/>
    <w:rsid w:val="00427ABE"/>
    <w:rsid w:val="00427AC4"/>
    <w:rsid w:val="00427B42"/>
    <w:rsid w:val="00427B5D"/>
    <w:rsid w:val="00427BE1"/>
    <w:rsid w:val="00427BEC"/>
    <w:rsid w:val="00427C2C"/>
    <w:rsid w:val="00427C33"/>
    <w:rsid w:val="00427D15"/>
    <w:rsid w:val="00427D2C"/>
    <w:rsid w:val="00427E27"/>
    <w:rsid w:val="00427EBE"/>
    <w:rsid w:val="004301C7"/>
    <w:rsid w:val="004301EA"/>
    <w:rsid w:val="00430212"/>
    <w:rsid w:val="0043024A"/>
    <w:rsid w:val="004302BE"/>
    <w:rsid w:val="004302D6"/>
    <w:rsid w:val="0043031D"/>
    <w:rsid w:val="0043033D"/>
    <w:rsid w:val="00430459"/>
    <w:rsid w:val="004305A6"/>
    <w:rsid w:val="00430605"/>
    <w:rsid w:val="0043060B"/>
    <w:rsid w:val="0043065B"/>
    <w:rsid w:val="00430697"/>
    <w:rsid w:val="00430730"/>
    <w:rsid w:val="00430908"/>
    <w:rsid w:val="0043099F"/>
    <w:rsid w:val="004309AE"/>
    <w:rsid w:val="00430B66"/>
    <w:rsid w:val="00430B8F"/>
    <w:rsid w:val="00430C67"/>
    <w:rsid w:val="00430CE2"/>
    <w:rsid w:val="00430DBD"/>
    <w:rsid w:val="00430DCB"/>
    <w:rsid w:val="00430E23"/>
    <w:rsid w:val="00430EF8"/>
    <w:rsid w:val="00430F40"/>
    <w:rsid w:val="00431087"/>
    <w:rsid w:val="00431089"/>
    <w:rsid w:val="0043119E"/>
    <w:rsid w:val="004311A7"/>
    <w:rsid w:val="004311AD"/>
    <w:rsid w:val="004311E6"/>
    <w:rsid w:val="00431211"/>
    <w:rsid w:val="00431220"/>
    <w:rsid w:val="004312C7"/>
    <w:rsid w:val="00431353"/>
    <w:rsid w:val="0043135B"/>
    <w:rsid w:val="00431487"/>
    <w:rsid w:val="004314D8"/>
    <w:rsid w:val="00431591"/>
    <w:rsid w:val="00431668"/>
    <w:rsid w:val="00431669"/>
    <w:rsid w:val="0043175B"/>
    <w:rsid w:val="00431853"/>
    <w:rsid w:val="00431892"/>
    <w:rsid w:val="004318B1"/>
    <w:rsid w:val="004318B7"/>
    <w:rsid w:val="004318FE"/>
    <w:rsid w:val="00431A7E"/>
    <w:rsid w:val="00431AE7"/>
    <w:rsid w:val="00431B36"/>
    <w:rsid w:val="00431CFA"/>
    <w:rsid w:val="00431D62"/>
    <w:rsid w:val="00431D74"/>
    <w:rsid w:val="00431E09"/>
    <w:rsid w:val="00431F28"/>
    <w:rsid w:val="00431FB8"/>
    <w:rsid w:val="00431FDE"/>
    <w:rsid w:val="0043205F"/>
    <w:rsid w:val="00432093"/>
    <w:rsid w:val="0043209F"/>
    <w:rsid w:val="004320CA"/>
    <w:rsid w:val="004320FB"/>
    <w:rsid w:val="00432139"/>
    <w:rsid w:val="004321C1"/>
    <w:rsid w:val="0043222F"/>
    <w:rsid w:val="004322AE"/>
    <w:rsid w:val="0043231F"/>
    <w:rsid w:val="0043247E"/>
    <w:rsid w:val="004324F1"/>
    <w:rsid w:val="00432591"/>
    <w:rsid w:val="004325BB"/>
    <w:rsid w:val="004325DA"/>
    <w:rsid w:val="004325EA"/>
    <w:rsid w:val="0043263C"/>
    <w:rsid w:val="0043275D"/>
    <w:rsid w:val="0043278C"/>
    <w:rsid w:val="0043278E"/>
    <w:rsid w:val="00432807"/>
    <w:rsid w:val="004328D5"/>
    <w:rsid w:val="0043291D"/>
    <w:rsid w:val="0043291E"/>
    <w:rsid w:val="004329E3"/>
    <w:rsid w:val="00432BB8"/>
    <w:rsid w:val="00432C13"/>
    <w:rsid w:val="00432C5D"/>
    <w:rsid w:val="00432C72"/>
    <w:rsid w:val="00432D23"/>
    <w:rsid w:val="00432DAC"/>
    <w:rsid w:val="00432DB1"/>
    <w:rsid w:val="00432DBF"/>
    <w:rsid w:val="00432ED7"/>
    <w:rsid w:val="00432F5C"/>
    <w:rsid w:val="00432FB7"/>
    <w:rsid w:val="00432FC8"/>
    <w:rsid w:val="00433049"/>
    <w:rsid w:val="0043306A"/>
    <w:rsid w:val="0043307A"/>
    <w:rsid w:val="0043308A"/>
    <w:rsid w:val="00433093"/>
    <w:rsid w:val="0043309D"/>
    <w:rsid w:val="004330B7"/>
    <w:rsid w:val="004330BA"/>
    <w:rsid w:val="0043328F"/>
    <w:rsid w:val="004332BC"/>
    <w:rsid w:val="00433316"/>
    <w:rsid w:val="0043335E"/>
    <w:rsid w:val="00433448"/>
    <w:rsid w:val="00433498"/>
    <w:rsid w:val="00433546"/>
    <w:rsid w:val="0043359D"/>
    <w:rsid w:val="004335D5"/>
    <w:rsid w:val="0043362A"/>
    <w:rsid w:val="00433639"/>
    <w:rsid w:val="004336B4"/>
    <w:rsid w:val="004336F3"/>
    <w:rsid w:val="004337FA"/>
    <w:rsid w:val="004337FC"/>
    <w:rsid w:val="00433813"/>
    <w:rsid w:val="004338A2"/>
    <w:rsid w:val="004338D0"/>
    <w:rsid w:val="00433910"/>
    <w:rsid w:val="004339B2"/>
    <w:rsid w:val="00433A78"/>
    <w:rsid w:val="00433B01"/>
    <w:rsid w:val="00433B3A"/>
    <w:rsid w:val="00433DFF"/>
    <w:rsid w:val="00433E36"/>
    <w:rsid w:val="00433EDF"/>
    <w:rsid w:val="00433EFA"/>
    <w:rsid w:val="00433F37"/>
    <w:rsid w:val="00433FAE"/>
    <w:rsid w:val="00433FD5"/>
    <w:rsid w:val="0043405D"/>
    <w:rsid w:val="004340B6"/>
    <w:rsid w:val="004340FF"/>
    <w:rsid w:val="00434108"/>
    <w:rsid w:val="004341D8"/>
    <w:rsid w:val="00434256"/>
    <w:rsid w:val="00434263"/>
    <w:rsid w:val="004342D5"/>
    <w:rsid w:val="00434332"/>
    <w:rsid w:val="00434399"/>
    <w:rsid w:val="004343AC"/>
    <w:rsid w:val="004343E1"/>
    <w:rsid w:val="0043445B"/>
    <w:rsid w:val="004344D9"/>
    <w:rsid w:val="00434507"/>
    <w:rsid w:val="0043451F"/>
    <w:rsid w:val="0043464A"/>
    <w:rsid w:val="004346B3"/>
    <w:rsid w:val="004346C0"/>
    <w:rsid w:val="004346C5"/>
    <w:rsid w:val="0043479F"/>
    <w:rsid w:val="00434833"/>
    <w:rsid w:val="004348B6"/>
    <w:rsid w:val="004348F7"/>
    <w:rsid w:val="00434919"/>
    <w:rsid w:val="0043498C"/>
    <w:rsid w:val="004349D5"/>
    <w:rsid w:val="004349D9"/>
    <w:rsid w:val="00434AC8"/>
    <w:rsid w:val="00434BC1"/>
    <w:rsid w:val="00434BDB"/>
    <w:rsid w:val="00434C48"/>
    <w:rsid w:val="00434C63"/>
    <w:rsid w:val="00434DC3"/>
    <w:rsid w:val="00435003"/>
    <w:rsid w:val="00435023"/>
    <w:rsid w:val="0043502E"/>
    <w:rsid w:val="0043507A"/>
    <w:rsid w:val="0043522D"/>
    <w:rsid w:val="00435339"/>
    <w:rsid w:val="004353CA"/>
    <w:rsid w:val="00435540"/>
    <w:rsid w:val="00435595"/>
    <w:rsid w:val="004355A5"/>
    <w:rsid w:val="004355CE"/>
    <w:rsid w:val="004355F0"/>
    <w:rsid w:val="004356FC"/>
    <w:rsid w:val="00435834"/>
    <w:rsid w:val="00435907"/>
    <w:rsid w:val="0043590C"/>
    <w:rsid w:val="00435929"/>
    <w:rsid w:val="004359C6"/>
    <w:rsid w:val="004359F2"/>
    <w:rsid w:val="00435AA7"/>
    <w:rsid w:val="00435B29"/>
    <w:rsid w:val="00435B7E"/>
    <w:rsid w:val="00435BD8"/>
    <w:rsid w:val="00435C0A"/>
    <w:rsid w:val="00435C3C"/>
    <w:rsid w:val="00435CB2"/>
    <w:rsid w:val="00435D65"/>
    <w:rsid w:val="00435FC7"/>
    <w:rsid w:val="00436106"/>
    <w:rsid w:val="004361E8"/>
    <w:rsid w:val="004361FC"/>
    <w:rsid w:val="00436244"/>
    <w:rsid w:val="0043638D"/>
    <w:rsid w:val="004363A4"/>
    <w:rsid w:val="00436526"/>
    <w:rsid w:val="00436655"/>
    <w:rsid w:val="004366BA"/>
    <w:rsid w:val="004367DA"/>
    <w:rsid w:val="00436806"/>
    <w:rsid w:val="00436908"/>
    <w:rsid w:val="0043697A"/>
    <w:rsid w:val="00436A06"/>
    <w:rsid w:val="00436A7F"/>
    <w:rsid w:val="00436A9A"/>
    <w:rsid w:val="00436AB3"/>
    <w:rsid w:val="00436B10"/>
    <w:rsid w:val="00436B1E"/>
    <w:rsid w:val="00436B22"/>
    <w:rsid w:val="00436B24"/>
    <w:rsid w:val="00436B88"/>
    <w:rsid w:val="00436BBF"/>
    <w:rsid w:val="00436BD9"/>
    <w:rsid w:val="00436BFE"/>
    <w:rsid w:val="00436DB8"/>
    <w:rsid w:val="00436E0C"/>
    <w:rsid w:val="00436E6F"/>
    <w:rsid w:val="00436EC8"/>
    <w:rsid w:val="00436F51"/>
    <w:rsid w:val="00437235"/>
    <w:rsid w:val="004372ED"/>
    <w:rsid w:val="0043732C"/>
    <w:rsid w:val="00437377"/>
    <w:rsid w:val="004373B3"/>
    <w:rsid w:val="00437461"/>
    <w:rsid w:val="00437562"/>
    <w:rsid w:val="004375A8"/>
    <w:rsid w:val="004375F4"/>
    <w:rsid w:val="00437821"/>
    <w:rsid w:val="0043782B"/>
    <w:rsid w:val="00437848"/>
    <w:rsid w:val="004378B7"/>
    <w:rsid w:val="00437930"/>
    <w:rsid w:val="004379A2"/>
    <w:rsid w:val="00437A08"/>
    <w:rsid w:val="00437A2E"/>
    <w:rsid w:val="00437A5A"/>
    <w:rsid w:val="00437AAA"/>
    <w:rsid w:val="00437ABE"/>
    <w:rsid w:val="00437B0E"/>
    <w:rsid w:val="00437B43"/>
    <w:rsid w:val="00437B53"/>
    <w:rsid w:val="00437BEB"/>
    <w:rsid w:val="00437C63"/>
    <w:rsid w:val="00437D50"/>
    <w:rsid w:val="00437D6F"/>
    <w:rsid w:val="00437E89"/>
    <w:rsid w:val="00437EBA"/>
    <w:rsid w:val="00437EDE"/>
    <w:rsid w:val="00437FCD"/>
    <w:rsid w:val="004400AB"/>
    <w:rsid w:val="00440183"/>
    <w:rsid w:val="0044019B"/>
    <w:rsid w:val="00440278"/>
    <w:rsid w:val="004402DC"/>
    <w:rsid w:val="00440517"/>
    <w:rsid w:val="0044051B"/>
    <w:rsid w:val="0044051D"/>
    <w:rsid w:val="00440521"/>
    <w:rsid w:val="00440556"/>
    <w:rsid w:val="00440593"/>
    <w:rsid w:val="004406B8"/>
    <w:rsid w:val="004406E2"/>
    <w:rsid w:val="00440723"/>
    <w:rsid w:val="0044072F"/>
    <w:rsid w:val="00440749"/>
    <w:rsid w:val="0044077B"/>
    <w:rsid w:val="004407DF"/>
    <w:rsid w:val="00440877"/>
    <w:rsid w:val="004408BF"/>
    <w:rsid w:val="00440904"/>
    <w:rsid w:val="004409D6"/>
    <w:rsid w:val="00440A80"/>
    <w:rsid w:val="00440B21"/>
    <w:rsid w:val="00440C93"/>
    <w:rsid w:val="00440D3B"/>
    <w:rsid w:val="00440D69"/>
    <w:rsid w:val="00440DA4"/>
    <w:rsid w:val="00440DC8"/>
    <w:rsid w:val="00440DF6"/>
    <w:rsid w:val="00440E12"/>
    <w:rsid w:val="00440E40"/>
    <w:rsid w:val="00440E61"/>
    <w:rsid w:val="00440EDB"/>
    <w:rsid w:val="00440F2D"/>
    <w:rsid w:val="00440FF4"/>
    <w:rsid w:val="00441055"/>
    <w:rsid w:val="00441096"/>
    <w:rsid w:val="004410D6"/>
    <w:rsid w:val="00441108"/>
    <w:rsid w:val="004411A4"/>
    <w:rsid w:val="004411BB"/>
    <w:rsid w:val="00441217"/>
    <w:rsid w:val="0044126B"/>
    <w:rsid w:val="004412CF"/>
    <w:rsid w:val="004412E6"/>
    <w:rsid w:val="00441318"/>
    <w:rsid w:val="0044132F"/>
    <w:rsid w:val="004413D5"/>
    <w:rsid w:val="00441495"/>
    <w:rsid w:val="004414C8"/>
    <w:rsid w:val="004415E2"/>
    <w:rsid w:val="0044162B"/>
    <w:rsid w:val="004416EA"/>
    <w:rsid w:val="0044170D"/>
    <w:rsid w:val="00441722"/>
    <w:rsid w:val="0044174B"/>
    <w:rsid w:val="0044175A"/>
    <w:rsid w:val="004418CA"/>
    <w:rsid w:val="004418F0"/>
    <w:rsid w:val="004419E3"/>
    <w:rsid w:val="004419E4"/>
    <w:rsid w:val="00441A12"/>
    <w:rsid w:val="00441AB4"/>
    <w:rsid w:val="00441BE1"/>
    <w:rsid w:val="00441D1B"/>
    <w:rsid w:val="00441F54"/>
    <w:rsid w:val="00442003"/>
    <w:rsid w:val="00442038"/>
    <w:rsid w:val="004420E5"/>
    <w:rsid w:val="0044211B"/>
    <w:rsid w:val="004421A3"/>
    <w:rsid w:val="004421C2"/>
    <w:rsid w:val="0044225C"/>
    <w:rsid w:val="004422BA"/>
    <w:rsid w:val="004422E0"/>
    <w:rsid w:val="004422E3"/>
    <w:rsid w:val="00442367"/>
    <w:rsid w:val="0044238D"/>
    <w:rsid w:val="00442460"/>
    <w:rsid w:val="00442532"/>
    <w:rsid w:val="00442549"/>
    <w:rsid w:val="0044254E"/>
    <w:rsid w:val="00442629"/>
    <w:rsid w:val="00442666"/>
    <w:rsid w:val="004426F6"/>
    <w:rsid w:val="0044278D"/>
    <w:rsid w:val="004427B3"/>
    <w:rsid w:val="004427BB"/>
    <w:rsid w:val="00442878"/>
    <w:rsid w:val="004428A6"/>
    <w:rsid w:val="00442967"/>
    <w:rsid w:val="0044297E"/>
    <w:rsid w:val="004429C2"/>
    <w:rsid w:val="004429D1"/>
    <w:rsid w:val="004429DB"/>
    <w:rsid w:val="00442A65"/>
    <w:rsid w:val="00442AAF"/>
    <w:rsid w:val="00442B22"/>
    <w:rsid w:val="00442BB6"/>
    <w:rsid w:val="00442C08"/>
    <w:rsid w:val="00442E2F"/>
    <w:rsid w:val="00442E52"/>
    <w:rsid w:val="00442E99"/>
    <w:rsid w:val="00442EAF"/>
    <w:rsid w:val="00442F2D"/>
    <w:rsid w:val="00442F48"/>
    <w:rsid w:val="00442F6A"/>
    <w:rsid w:val="00443200"/>
    <w:rsid w:val="00443205"/>
    <w:rsid w:val="00443213"/>
    <w:rsid w:val="004432AF"/>
    <w:rsid w:val="00443325"/>
    <w:rsid w:val="0044332C"/>
    <w:rsid w:val="0044334D"/>
    <w:rsid w:val="004433D8"/>
    <w:rsid w:val="00443518"/>
    <w:rsid w:val="00443537"/>
    <w:rsid w:val="00443640"/>
    <w:rsid w:val="00443644"/>
    <w:rsid w:val="00443662"/>
    <w:rsid w:val="00443699"/>
    <w:rsid w:val="00443712"/>
    <w:rsid w:val="00443744"/>
    <w:rsid w:val="00443869"/>
    <w:rsid w:val="004439D6"/>
    <w:rsid w:val="004439FF"/>
    <w:rsid w:val="00443ACD"/>
    <w:rsid w:val="00443AFB"/>
    <w:rsid w:val="00443B35"/>
    <w:rsid w:val="00443B77"/>
    <w:rsid w:val="00443BA1"/>
    <w:rsid w:val="00443C22"/>
    <w:rsid w:val="00443CFD"/>
    <w:rsid w:val="00443D0C"/>
    <w:rsid w:val="00443D6B"/>
    <w:rsid w:val="00443E24"/>
    <w:rsid w:val="00443EFA"/>
    <w:rsid w:val="00443F57"/>
    <w:rsid w:val="00443F5B"/>
    <w:rsid w:val="00443FBE"/>
    <w:rsid w:val="0044409B"/>
    <w:rsid w:val="004440E3"/>
    <w:rsid w:val="00444127"/>
    <w:rsid w:val="00444136"/>
    <w:rsid w:val="00444147"/>
    <w:rsid w:val="004441D4"/>
    <w:rsid w:val="004441F3"/>
    <w:rsid w:val="00444235"/>
    <w:rsid w:val="004442A1"/>
    <w:rsid w:val="00444376"/>
    <w:rsid w:val="004443B2"/>
    <w:rsid w:val="004443B5"/>
    <w:rsid w:val="004443CD"/>
    <w:rsid w:val="004443EB"/>
    <w:rsid w:val="00444538"/>
    <w:rsid w:val="00444543"/>
    <w:rsid w:val="00444574"/>
    <w:rsid w:val="00444596"/>
    <w:rsid w:val="004445DC"/>
    <w:rsid w:val="00444657"/>
    <w:rsid w:val="00444721"/>
    <w:rsid w:val="00444859"/>
    <w:rsid w:val="0044492A"/>
    <w:rsid w:val="00444969"/>
    <w:rsid w:val="00444972"/>
    <w:rsid w:val="00444989"/>
    <w:rsid w:val="004449A2"/>
    <w:rsid w:val="00444A48"/>
    <w:rsid w:val="00444A71"/>
    <w:rsid w:val="00444AFB"/>
    <w:rsid w:val="00444D82"/>
    <w:rsid w:val="00444DA5"/>
    <w:rsid w:val="00444DB6"/>
    <w:rsid w:val="00444DF7"/>
    <w:rsid w:val="00444E34"/>
    <w:rsid w:val="00444F0E"/>
    <w:rsid w:val="00445015"/>
    <w:rsid w:val="00445034"/>
    <w:rsid w:val="00445061"/>
    <w:rsid w:val="004450B3"/>
    <w:rsid w:val="0044526A"/>
    <w:rsid w:val="0044536A"/>
    <w:rsid w:val="00445371"/>
    <w:rsid w:val="00445388"/>
    <w:rsid w:val="004453AD"/>
    <w:rsid w:val="004453FB"/>
    <w:rsid w:val="0044541F"/>
    <w:rsid w:val="00445479"/>
    <w:rsid w:val="00445483"/>
    <w:rsid w:val="00445548"/>
    <w:rsid w:val="0044557C"/>
    <w:rsid w:val="004455A2"/>
    <w:rsid w:val="004455A7"/>
    <w:rsid w:val="004455FF"/>
    <w:rsid w:val="00445735"/>
    <w:rsid w:val="00445816"/>
    <w:rsid w:val="004458BC"/>
    <w:rsid w:val="00445925"/>
    <w:rsid w:val="004459EA"/>
    <w:rsid w:val="00445A6F"/>
    <w:rsid w:val="00445C71"/>
    <w:rsid w:val="00445C7D"/>
    <w:rsid w:val="00445CAC"/>
    <w:rsid w:val="00445D3F"/>
    <w:rsid w:val="00445D93"/>
    <w:rsid w:val="00445DC2"/>
    <w:rsid w:val="00445DE2"/>
    <w:rsid w:val="00445E8A"/>
    <w:rsid w:val="00445F6D"/>
    <w:rsid w:val="00446078"/>
    <w:rsid w:val="00446199"/>
    <w:rsid w:val="004461AC"/>
    <w:rsid w:val="0044624A"/>
    <w:rsid w:val="00446257"/>
    <w:rsid w:val="0044636B"/>
    <w:rsid w:val="00446374"/>
    <w:rsid w:val="004463F5"/>
    <w:rsid w:val="00446429"/>
    <w:rsid w:val="0044649E"/>
    <w:rsid w:val="004464D3"/>
    <w:rsid w:val="00446502"/>
    <w:rsid w:val="0044657C"/>
    <w:rsid w:val="00446602"/>
    <w:rsid w:val="004466CA"/>
    <w:rsid w:val="00446706"/>
    <w:rsid w:val="00446709"/>
    <w:rsid w:val="00446735"/>
    <w:rsid w:val="0044679C"/>
    <w:rsid w:val="004468B9"/>
    <w:rsid w:val="00446931"/>
    <w:rsid w:val="004469D4"/>
    <w:rsid w:val="004469E6"/>
    <w:rsid w:val="00446B12"/>
    <w:rsid w:val="00446D50"/>
    <w:rsid w:val="00446D92"/>
    <w:rsid w:val="00446F0A"/>
    <w:rsid w:val="00446F18"/>
    <w:rsid w:val="0044706D"/>
    <w:rsid w:val="00447107"/>
    <w:rsid w:val="00447118"/>
    <w:rsid w:val="00447158"/>
    <w:rsid w:val="0044719F"/>
    <w:rsid w:val="004471F2"/>
    <w:rsid w:val="00447245"/>
    <w:rsid w:val="004472B5"/>
    <w:rsid w:val="00447307"/>
    <w:rsid w:val="0044731B"/>
    <w:rsid w:val="00447323"/>
    <w:rsid w:val="00447375"/>
    <w:rsid w:val="00447387"/>
    <w:rsid w:val="00447482"/>
    <w:rsid w:val="004474C9"/>
    <w:rsid w:val="004476BA"/>
    <w:rsid w:val="00447713"/>
    <w:rsid w:val="00447728"/>
    <w:rsid w:val="004477C5"/>
    <w:rsid w:val="004477D8"/>
    <w:rsid w:val="00447865"/>
    <w:rsid w:val="004478FC"/>
    <w:rsid w:val="004479FC"/>
    <w:rsid w:val="00447A8D"/>
    <w:rsid w:val="00447A93"/>
    <w:rsid w:val="00447B30"/>
    <w:rsid w:val="00447B96"/>
    <w:rsid w:val="00447C39"/>
    <w:rsid w:val="00447C88"/>
    <w:rsid w:val="00447CFC"/>
    <w:rsid w:val="00447D08"/>
    <w:rsid w:val="00447D9A"/>
    <w:rsid w:val="00447DCE"/>
    <w:rsid w:val="00447E2C"/>
    <w:rsid w:val="00447F7F"/>
    <w:rsid w:val="00447FF3"/>
    <w:rsid w:val="0045004B"/>
    <w:rsid w:val="004500B8"/>
    <w:rsid w:val="004500BC"/>
    <w:rsid w:val="004500C5"/>
    <w:rsid w:val="0045010D"/>
    <w:rsid w:val="004501BD"/>
    <w:rsid w:val="00450236"/>
    <w:rsid w:val="00450238"/>
    <w:rsid w:val="00450242"/>
    <w:rsid w:val="004502BC"/>
    <w:rsid w:val="004502E2"/>
    <w:rsid w:val="00450300"/>
    <w:rsid w:val="00450309"/>
    <w:rsid w:val="0045038F"/>
    <w:rsid w:val="004503E6"/>
    <w:rsid w:val="004503F0"/>
    <w:rsid w:val="0045040D"/>
    <w:rsid w:val="004504AD"/>
    <w:rsid w:val="00450509"/>
    <w:rsid w:val="00450554"/>
    <w:rsid w:val="00450644"/>
    <w:rsid w:val="00450660"/>
    <w:rsid w:val="00450786"/>
    <w:rsid w:val="004507A4"/>
    <w:rsid w:val="004507D3"/>
    <w:rsid w:val="0045081D"/>
    <w:rsid w:val="004508A5"/>
    <w:rsid w:val="004508BC"/>
    <w:rsid w:val="0045092E"/>
    <w:rsid w:val="0045096E"/>
    <w:rsid w:val="004509A0"/>
    <w:rsid w:val="004509C9"/>
    <w:rsid w:val="004509D8"/>
    <w:rsid w:val="00450A18"/>
    <w:rsid w:val="00450AEC"/>
    <w:rsid w:val="00450B53"/>
    <w:rsid w:val="00450BF1"/>
    <w:rsid w:val="00450C06"/>
    <w:rsid w:val="00450C93"/>
    <w:rsid w:val="00450E56"/>
    <w:rsid w:val="00450EDD"/>
    <w:rsid w:val="00450F93"/>
    <w:rsid w:val="00450FE7"/>
    <w:rsid w:val="004510BD"/>
    <w:rsid w:val="004511BF"/>
    <w:rsid w:val="0045124C"/>
    <w:rsid w:val="00451259"/>
    <w:rsid w:val="004512EB"/>
    <w:rsid w:val="00451396"/>
    <w:rsid w:val="0045139D"/>
    <w:rsid w:val="00451451"/>
    <w:rsid w:val="00451551"/>
    <w:rsid w:val="00451692"/>
    <w:rsid w:val="00451747"/>
    <w:rsid w:val="00451767"/>
    <w:rsid w:val="004517F1"/>
    <w:rsid w:val="0045184E"/>
    <w:rsid w:val="0045185B"/>
    <w:rsid w:val="0045187D"/>
    <w:rsid w:val="0045192F"/>
    <w:rsid w:val="004519A1"/>
    <w:rsid w:val="00451A60"/>
    <w:rsid w:val="00451AD4"/>
    <w:rsid w:val="00451BD1"/>
    <w:rsid w:val="00451BF6"/>
    <w:rsid w:val="00451E0C"/>
    <w:rsid w:val="00451E41"/>
    <w:rsid w:val="00451F5D"/>
    <w:rsid w:val="00451FB1"/>
    <w:rsid w:val="00451FBE"/>
    <w:rsid w:val="00452058"/>
    <w:rsid w:val="00452094"/>
    <w:rsid w:val="00452147"/>
    <w:rsid w:val="0045216A"/>
    <w:rsid w:val="00452249"/>
    <w:rsid w:val="00452283"/>
    <w:rsid w:val="004522DF"/>
    <w:rsid w:val="0045245F"/>
    <w:rsid w:val="00452479"/>
    <w:rsid w:val="00452536"/>
    <w:rsid w:val="00452543"/>
    <w:rsid w:val="00452629"/>
    <w:rsid w:val="00452642"/>
    <w:rsid w:val="0045278D"/>
    <w:rsid w:val="00452802"/>
    <w:rsid w:val="0045283F"/>
    <w:rsid w:val="0045290D"/>
    <w:rsid w:val="00452BA0"/>
    <w:rsid w:val="00452C8F"/>
    <w:rsid w:val="00452CB3"/>
    <w:rsid w:val="00452DA9"/>
    <w:rsid w:val="00452E6B"/>
    <w:rsid w:val="00452EFB"/>
    <w:rsid w:val="00452EFE"/>
    <w:rsid w:val="0045346B"/>
    <w:rsid w:val="00453480"/>
    <w:rsid w:val="0045350C"/>
    <w:rsid w:val="00453543"/>
    <w:rsid w:val="00453666"/>
    <w:rsid w:val="004536AF"/>
    <w:rsid w:val="004536B8"/>
    <w:rsid w:val="00453846"/>
    <w:rsid w:val="00453957"/>
    <w:rsid w:val="00453981"/>
    <w:rsid w:val="004539CF"/>
    <w:rsid w:val="00453A38"/>
    <w:rsid w:val="00453A68"/>
    <w:rsid w:val="00453AEA"/>
    <w:rsid w:val="00453BEE"/>
    <w:rsid w:val="00453C57"/>
    <w:rsid w:val="00453C6A"/>
    <w:rsid w:val="00453D3D"/>
    <w:rsid w:val="00453DDF"/>
    <w:rsid w:val="00453E05"/>
    <w:rsid w:val="00453E2F"/>
    <w:rsid w:val="00453E33"/>
    <w:rsid w:val="00453E3A"/>
    <w:rsid w:val="00453E58"/>
    <w:rsid w:val="00453E89"/>
    <w:rsid w:val="00453EAA"/>
    <w:rsid w:val="00453F41"/>
    <w:rsid w:val="00453F55"/>
    <w:rsid w:val="00454009"/>
    <w:rsid w:val="0045400B"/>
    <w:rsid w:val="0045406D"/>
    <w:rsid w:val="0045408F"/>
    <w:rsid w:val="004540A1"/>
    <w:rsid w:val="004540B0"/>
    <w:rsid w:val="004541B5"/>
    <w:rsid w:val="004542E7"/>
    <w:rsid w:val="00454458"/>
    <w:rsid w:val="004544E3"/>
    <w:rsid w:val="00454563"/>
    <w:rsid w:val="00454564"/>
    <w:rsid w:val="004545A5"/>
    <w:rsid w:val="00454648"/>
    <w:rsid w:val="0045499A"/>
    <w:rsid w:val="004549DD"/>
    <w:rsid w:val="00454AFC"/>
    <w:rsid w:val="00454B0F"/>
    <w:rsid w:val="00454B20"/>
    <w:rsid w:val="00454BFC"/>
    <w:rsid w:val="00454C4A"/>
    <w:rsid w:val="00454CEB"/>
    <w:rsid w:val="00454FDC"/>
    <w:rsid w:val="00455019"/>
    <w:rsid w:val="00455128"/>
    <w:rsid w:val="00455134"/>
    <w:rsid w:val="004551BE"/>
    <w:rsid w:val="004552E3"/>
    <w:rsid w:val="004552F2"/>
    <w:rsid w:val="004552F9"/>
    <w:rsid w:val="00455332"/>
    <w:rsid w:val="004553B3"/>
    <w:rsid w:val="004553D9"/>
    <w:rsid w:val="0045548F"/>
    <w:rsid w:val="00455506"/>
    <w:rsid w:val="0045551D"/>
    <w:rsid w:val="00455533"/>
    <w:rsid w:val="00455544"/>
    <w:rsid w:val="00455594"/>
    <w:rsid w:val="00455639"/>
    <w:rsid w:val="0045567F"/>
    <w:rsid w:val="00455761"/>
    <w:rsid w:val="0045581B"/>
    <w:rsid w:val="004558E5"/>
    <w:rsid w:val="0045590F"/>
    <w:rsid w:val="004559A2"/>
    <w:rsid w:val="00455A8D"/>
    <w:rsid w:val="00455AA4"/>
    <w:rsid w:val="00455AD9"/>
    <w:rsid w:val="00455B94"/>
    <w:rsid w:val="00455BC6"/>
    <w:rsid w:val="00455C6B"/>
    <w:rsid w:val="00455D2D"/>
    <w:rsid w:val="00455E31"/>
    <w:rsid w:val="00455F08"/>
    <w:rsid w:val="00455F78"/>
    <w:rsid w:val="004560BA"/>
    <w:rsid w:val="0045614F"/>
    <w:rsid w:val="004561A7"/>
    <w:rsid w:val="004561E7"/>
    <w:rsid w:val="0045629B"/>
    <w:rsid w:val="004562AD"/>
    <w:rsid w:val="004562ED"/>
    <w:rsid w:val="00456338"/>
    <w:rsid w:val="00456397"/>
    <w:rsid w:val="0045645E"/>
    <w:rsid w:val="0045648D"/>
    <w:rsid w:val="004564A3"/>
    <w:rsid w:val="00456542"/>
    <w:rsid w:val="00456581"/>
    <w:rsid w:val="00456604"/>
    <w:rsid w:val="00456626"/>
    <w:rsid w:val="004566F5"/>
    <w:rsid w:val="00456875"/>
    <w:rsid w:val="004568BD"/>
    <w:rsid w:val="00456948"/>
    <w:rsid w:val="0045695A"/>
    <w:rsid w:val="00456A6A"/>
    <w:rsid w:val="00456A81"/>
    <w:rsid w:val="00456AE6"/>
    <w:rsid w:val="00456B1E"/>
    <w:rsid w:val="00456B47"/>
    <w:rsid w:val="00456C7C"/>
    <w:rsid w:val="00456C92"/>
    <w:rsid w:val="00456D5E"/>
    <w:rsid w:val="00456DA0"/>
    <w:rsid w:val="00456F1E"/>
    <w:rsid w:val="00456F88"/>
    <w:rsid w:val="00457015"/>
    <w:rsid w:val="004570A5"/>
    <w:rsid w:val="004570A8"/>
    <w:rsid w:val="0045711A"/>
    <w:rsid w:val="00457202"/>
    <w:rsid w:val="0045721D"/>
    <w:rsid w:val="00457245"/>
    <w:rsid w:val="004572F5"/>
    <w:rsid w:val="00457353"/>
    <w:rsid w:val="0045735F"/>
    <w:rsid w:val="0045741C"/>
    <w:rsid w:val="0045745B"/>
    <w:rsid w:val="004574DA"/>
    <w:rsid w:val="00457591"/>
    <w:rsid w:val="004575BA"/>
    <w:rsid w:val="004575F6"/>
    <w:rsid w:val="00457616"/>
    <w:rsid w:val="00457671"/>
    <w:rsid w:val="004576AD"/>
    <w:rsid w:val="004576DF"/>
    <w:rsid w:val="0045785F"/>
    <w:rsid w:val="00457882"/>
    <w:rsid w:val="004578CC"/>
    <w:rsid w:val="004579E9"/>
    <w:rsid w:val="00457C24"/>
    <w:rsid w:val="00457C6B"/>
    <w:rsid w:val="00457C89"/>
    <w:rsid w:val="00457D1D"/>
    <w:rsid w:val="00457D2F"/>
    <w:rsid w:val="00457D41"/>
    <w:rsid w:val="00457DF0"/>
    <w:rsid w:val="00457E2A"/>
    <w:rsid w:val="00457E3E"/>
    <w:rsid w:val="00457E6B"/>
    <w:rsid w:val="00457E7C"/>
    <w:rsid w:val="00457EC6"/>
    <w:rsid w:val="00457F9C"/>
    <w:rsid w:val="00457FB4"/>
    <w:rsid w:val="00457FC9"/>
    <w:rsid w:val="004600CC"/>
    <w:rsid w:val="004600E8"/>
    <w:rsid w:val="0046010B"/>
    <w:rsid w:val="00460111"/>
    <w:rsid w:val="00460113"/>
    <w:rsid w:val="004601CF"/>
    <w:rsid w:val="0046039C"/>
    <w:rsid w:val="0046040B"/>
    <w:rsid w:val="0046042A"/>
    <w:rsid w:val="0046051E"/>
    <w:rsid w:val="00460687"/>
    <w:rsid w:val="00460716"/>
    <w:rsid w:val="00460845"/>
    <w:rsid w:val="00460960"/>
    <w:rsid w:val="00460975"/>
    <w:rsid w:val="0046098A"/>
    <w:rsid w:val="00460999"/>
    <w:rsid w:val="00460AC4"/>
    <w:rsid w:val="00460B0B"/>
    <w:rsid w:val="00460B89"/>
    <w:rsid w:val="00460C71"/>
    <w:rsid w:val="00460CCB"/>
    <w:rsid w:val="00460CE6"/>
    <w:rsid w:val="00460DE0"/>
    <w:rsid w:val="00460DEF"/>
    <w:rsid w:val="00460FAC"/>
    <w:rsid w:val="00460FEE"/>
    <w:rsid w:val="00460FF4"/>
    <w:rsid w:val="00461024"/>
    <w:rsid w:val="0046105A"/>
    <w:rsid w:val="004610CD"/>
    <w:rsid w:val="00461272"/>
    <w:rsid w:val="0046129D"/>
    <w:rsid w:val="004612DE"/>
    <w:rsid w:val="004613EC"/>
    <w:rsid w:val="004614E5"/>
    <w:rsid w:val="0046159D"/>
    <w:rsid w:val="00461646"/>
    <w:rsid w:val="004616A1"/>
    <w:rsid w:val="004617B7"/>
    <w:rsid w:val="004617FB"/>
    <w:rsid w:val="0046184E"/>
    <w:rsid w:val="0046190B"/>
    <w:rsid w:val="00461982"/>
    <w:rsid w:val="00461988"/>
    <w:rsid w:val="004619BE"/>
    <w:rsid w:val="00461A7C"/>
    <w:rsid w:val="00461ABC"/>
    <w:rsid w:val="00461B13"/>
    <w:rsid w:val="00461B24"/>
    <w:rsid w:val="00461B56"/>
    <w:rsid w:val="00461BB8"/>
    <w:rsid w:val="00461BDA"/>
    <w:rsid w:val="00461C4E"/>
    <w:rsid w:val="00461D08"/>
    <w:rsid w:val="00461D1E"/>
    <w:rsid w:val="00461F8B"/>
    <w:rsid w:val="0046208F"/>
    <w:rsid w:val="00462255"/>
    <w:rsid w:val="00462325"/>
    <w:rsid w:val="0046236C"/>
    <w:rsid w:val="004623FF"/>
    <w:rsid w:val="004624EC"/>
    <w:rsid w:val="00462528"/>
    <w:rsid w:val="004625E1"/>
    <w:rsid w:val="004625E2"/>
    <w:rsid w:val="004626EF"/>
    <w:rsid w:val="00462820"/>
    <w:rsid w:val="00462831"/>
    <w:rsid w:val="004628C3"/>
    <w:rsid w:val="004629E2"/>
    <w:rsid w:val="00462A2A"/>
    <w:rsid w:val="00462A63"/>
    <w:rsid w:val="00462A71"/>
    <w:rsid w:val="00462B65"/>
    <w:rsid w:val="00462B99"/>
    <w:rsid w:val="00462BFD"/>
    <w:rsid w:val="00462DC7"/>
    <w:rsid w:val="00462E3E"/>
    <w:rsid w:val="00462E53"/>
    <w:rsid w:val="00462F0F"/>
    <w:rsid w:val="00462F46"/>
    <w:rsid w:val="00462FA4"/>
    <w:rsid w:val="00462FD6"/>
    <w:rsid w:val="0046301B"/>
    <w:rsid w:val="004630C7"/>
    <w:rsid w:val="004631AB"/>
    <w:rsid w:val="004631F0"/>
    <w:rsid w:val="004631FC"/>
    <w:rsid w:val="0046330A"/>
    <w:rsid w:val="00463385"/>
    <w:rsid w:val="00463516"/>
    <w:rsid w:val="0046365E"/>
    <w:rsid w:val="00463660"/>
    <w:rsid w:val="004637A6"/>
    <w:rsid w:val="004637AF"/>
    <w:rsid w:val="004637EA"/>
    <w:rsid w:val="0046381B"/>
    <w:rsid w:val="00463846"/>
    <w:rsid w:val="0046387F"/>
    <w:rsid w:val="00463898"/>
    <w:rsid w:val="004638D4"/>
    <w:rsid w:val="0046391C"/>
    <w:rsid w:val="0046395C"/>
    <w:rsid w:val="0046398E"/>
    <w:rsid w:val="004639AE"/>
    <w:rsid w:val="00463A33"/>
    <w:rsid w:val="00463A51"/>
    <w:rsid w:val="00463A57"/>
    <w:rsid w:val="00463A5C"/>
    <w:rsid w:val="00463AA7"/>
    <w:rsid w:val="00463D6C"/>
    <w:rsid w:val="00463DB1"/>
    <w:rsid w:val="00463DDA"/>
    <w:rsid w:val="00463DFD"/>
    <w:rsid w:val="00463E63"/>
    <w:rsid w:val="00463F40"/>
    <w:rsid w:val="00463FFD"/>
    <w:rsid w:val="0046401F"/>
    <w:rsid w:val="004640B3"/>
    <w:rsid w:val="00464106"/>
    <w:rsid w:val="00464118"/>
    <w:rsid w:val="004641E4"/>
    <w:rsid w:val="0046431E"/>
    <w:rsid w:val="0046437B"/>
    <w:rsid w:val="00464399"/>
    <w:rsid w:val="004643D0"/>
    <w:rsid w:val="004643F6"/>
    <w:rsid w:val="0046440D"/>
    <w:rsid w:val="0046441B"/>
    <w:rsid w:val="0046444F"/>
    <w:rsid w:val="00464493"/>
    <w:rsid w:val="00464553"/>
    <w:rsid w:val="00464628"/>
    <w:rsid w:val="00464648"/>
    <w:rsid w:val="004646D3"/>
    <w:rsid w:val="0046477F"/>
    <w:rsid w:val="00464854"/>
    <w:rsid w:val="0046487F"/>
    <w:rsid w:val="004648DD"/>
    <w:rsid w:val="004648FD"/>
    <w:rsid w:val="0046494A"/>
    <w:rsid w:val="00464B9F"/>
    <w:rsid w:val="00464C22"/>
    <w:rsid w:val="00464C2B"/>
    <w:rsid w:val="00464DDA"/>
    <w:rsid w:val="00464DE0"/>
    <w:rsid w:val="00464E57"/>
    <w:rsid w:val="00464E97"/>
    <w:rsid w:val="00465059"/>
    <w:rsid w:val="004650B0"/>
    <w:rsid w:val="004651C5"/>
    <w:rsid w:val="004651E7"/>
    <w:rsid w:val="00465260"/>
    <w:rsid w:val="004652B9"/>
    <w:rsid w:val="004652C9"/>
    <w:rsid w:val="004652CC"/>
    <w:rsid w:val="004653A6"/>
    <w:rsid w:val="0046543B"/>
    <w:rsid w:val="004654C3"/>
    <w:rsid w:val="00465540"/>
    <w:rsid w:val="00465585"/>
    <w:rsid w:val="0046558E"/>
    <w:rsid w:val="00465756"/>
    <w:rsid w:val="004658BC"/>
    <w:rsid w:val="004659B5"/>
    <w:rsid w:val="00465A5A"/>
    <w:rsid w:val="00465AAE"/>
    <w:rsid w:val="00465B4E"/>
    <w:rsid w:val="00465C5B"/>
    <w:rsid w:val="00465DA7"/>
    <w:rsid w:val="00465DBC"/>
    <w:rsid w:val="00465DCF"/>
    <w:rsid w:val="00465DFA"/>
    <w:rsid w:val="00465E91"/>
    <w:rsid w:val="00465EA5"/>
    <w:rsid w:val="00465FC3"/>
    <w:rsid w:val="00465FDF"/>
    <w:rsid w:val="00465FE2"/>
    <w:rsid w:val="0046600D"/>
    <w:rsid w:val="004660B2"/>
    <w:rsid w:val="004660B9"/>
    <w:rsid w:val="004660FA"/>
    <w:rsid w:val="0046612A"/>
    <w:rsid w:val="004661F6"/>
    <w:rsid w:val="0046622B"/>
    <w:rsid w:val="0046626A"/>
    <w:rsid w:val="004662B1"/>
    <w:rsid w:val="004662E3"/>
    <w:rsid w:val="004663CA"/>
    <w:rsid w:val="0046647C"/>
    <w:rsid w:val="00466545"/>
    <w:rsid w:val="0046659A"/>
    <w:rsid w:val="004665EE"/>
    <w:rsid w:val="004667FA"/>
    <w:rsid w:val="0046685F"/>
    <w:rsid w:val="004668BD"/>
    <w:rsid w:val="00466971"/>
    <w:rsid w:val="0046699F"/>
    <w:rsid w:val="00466AE4"/>
    <w:rsid w:val="00466B81"/>
    <w:rsid w:val="00466BD6"/>
    <w:rsid w:val="00466CCE"/>
    <w:rsid w:val="00466D32"/>
    <w:rsid w:val="00466D35"/>
    <w:rsid w:val="00466E11"/>
    <w:rsid w:val="00466E2C"/>
    <w:rsid w:val="00466E84"/>
    <w:rsid w:val="00466E8E"/>
    <w:rsid w:val="00466F17"/>
    <w:rsid w:val="00466F1A"/>
    <w:rsid w:val="00466FF5"/>
    <w:rsid w:val="004670B6"/>
    <w:rsid w:val="004670DB"/>
    <w:rsid w:val="004670EE"/>
    <w:rsid w:val="0046720E"/>
    <w:rsid w:val="004672C4"/>
    <w:rsid w:val="004672FE"/>
    <w:rsid w:val="0046734F"/>
    <w:rsid w:val="0046738D"/>
    <w:rsid w:val="00467486"/>
    <w:rsid w:val="00467515"/>
    <w:rsid w:val="004675C4"/>
    <w:rsid w:val="00467606"/>
    <w:rsid w:val="0046763E"/>
    <w:rsid w:val="004676D8"/>
    <w:rsid w:val="004676E2"/>
    <w:rsid w:val="0046795B"/>
    <w:rsid w:val="004679A3"/>
    <w:rsid w:val="00467A07"/>
    <w:rsid w:val="00467AB4"/>
    <w:rsid w:val="00467B36"/>
    <w:rsid w:val="00467C11"/>
    <w:rsid w:val="00467C54"/>
    <w:rsid w:val="00467C7D"/>
    <w:rsid w:val="00467CFC"/>
    <w:rsid w:val="00467D17"/>
    <w:rsid w:val="00467D35"/>
    <w:rsid w:val="00467E70"/>
    <w:rsid w:val="00467FFE"/>
    <w:rsid w:val="004700C6"/>
    <w:rsid w:val="00470121"/>
    <w:rsid w:val="004702FC"/>
    <w:rsid w:val="0047031A"/>
    <w:rsid w:val="00470321"/>
    <w:rsid w:val="00470324"/>
    <w:rsid w:val="004703A6"/>
    <w:rsid w:val="004703CF"/>
    <w:rsid w:val="004703EA"/>
    <w:rsid w:val="00470455"/>
    <w:rsid w:val="004704F1"/>
    <w:rsid w:val="0047071B"/>
    <w:rsid w:val="00470865"/>
    <w:rsid w:val="004708C4"/>
    <w:rsid w:val="004708D2"/>
    <w:rsid w:val="00470922"/>
    <w:rsid w:val="00470961"/>
    <w:rsid w:val="00470A1D"/>
    <w:rsid w:val="00470A3F"/>
    <w:rsid w:val="00470BA9"/>
    <w:rsid w:val="00470D5B"/>
    <w:rsid w:val="00470D81"/>
    <w:rsid w:val="00470ED5"/>
    <w:rsid w:val="00470EDC"/>
    <w:rsid w:val="004710F9"/>
    <w:rsid w:val="004710FE"/>
    <w:rsid w:val="00471116"/>
    <w:rsid w:val="0047123E"/>
    <w:rsid w:val="004712C4"/>
    <w:rsid w:val="004712CA"/>
    <w:rsid w:val="004713DE"/>
    <w:rsid w:val="0047140B"/>
    <w:rsid w:val="00471439"/>
    <w:rsid w:val="0047149E"/>
    <w:rsid w:val="00471553"/>
    <w:rsid w:val="00471580"/>
    <w:rsid w:val="00471633"/>
    <w:rsid w:val="004716D6"/>
    <w:rsid w:val="004717A0"/>
    <w:rsid w:val="00471821"/>
    <w:rsid w:val="0047186A"/>
    <w:rsid w:val="0047190E"/>
    <w:rsid w:val="00471A5B"/>
    <w:rsid w:val="00471AC4"/>
    <w:rsid w:val="00471BB8"/>
    <w:rsid w:val="00471C26"/>
    <w:rsid w:val="00471C44"/>
    <w:rsid w:val="00471CBD"/>
    <w:rsid w:val="00471CCE"/>
    <w:rsid w:val="00471D33"/>
    <w:rsid w:val="00471D4C"/>
    <w:rsid w:val="00471D78"/>
    <w:rsid w:val="00471D7C"/>
    <w:rsid w:val="00471DDC"/>
    <w:rsid w:val="00471EB0"/>
    <w:rsid w:val="00471EDF"/>
    <w:rsid w:val="00471F7B"/>
    <w:rsid w:val="00471FB4"/>
    <w:rsid w:val="00471FEC"/>
    <w:rsid w:val="0047204E"/>
    <w:rsid w:val="00472099"/>
    <w:rsid w:val="0047213B"/>
    <w:rsid w:val="00472144"/>
    <w:rsid w:val="00472189"/>
    <w:rsid w:val="00472267"/>
    <w:rsid w:val="004722D5"/>
    <w:rsid w:val="0047238C"/>
    <w:rsid w:val="004723C9"/>
    <w:rsid w:val="00472420"/>
    <w:rsid w:val="00472447"/>
    <w:rsid w:val="004724AC"/>
    <w:rsid w:val="0047258F"/>
    <w:rsid w:val="004725C3"/>
    <w:rsid w:val="00472804"/>
    <w:rsid w:val="0047281C"/>
    <w:rsid w:val="0047288F"/>
    <w:rsid w:val="004728B4"/>
    <w:rsid w:val="004728EE"/>
    <w:rsid w:val="004729C6"/>
    <w:rsid w:val="00472A27"/>
    <w:rsid w:val="00472A5F"/>
    <w:rsid w:val="00472A9D"/>
    <w:rsid w:val="00472AC4"/>
    <w:rsid w:val="00472D61"/>
    <w:rsid w:val="00472D94"/>
    <w:rsid w:val="00472DE0"/>
    <w:rsid w:val="00472E0E"/>
    <w:rsid w:val="00472E51"/>
    <w:rsid w:val="00472EE2"/>
    <w:rsid w:val="00472F43"/>
    <w:rsid w:val="00472FB1"/>
    <w:rsid w:val="00473002"/>
    <w:rsid w:val="00473047"/>
    <w:rsid w:val="004730B9"/>
    <w:rsid w:val="0047311C"/>
    <w:rsid w:val="00473161"/>
    <w:rsid w:val="00473202"/>
    <w:rsid w:val="0047321E"/>
    <w:rsid w:val="004732FC"/>
    <w:rsid w:val="0047332A"/>
    <w:rsid w:val="0047335F"/>
    <w:rsid w:val="0047336C"/>
    <w:rsid w:val="0047342B"/>
    <w:rsid w:val="00473451"/>
    <w:rsid w:val="00473557"/>
    <w:rsid w:val="00473594"/>
    <w:rsid w:val="00473628"/>
    <w:rsid w:val="00473724"/>
    <w:rsid w:val="0047372D"/>
    <w:rsid w:val="00473794"/>
    <w:rsid w:val="0047399B"/>
    <w:rsid w:val="004739A6"/>
    <w:rsid w:val="004739FC"/>
    <w:rsid w:val="00473A20"/>
    <w:rsid w:val="00473A99"/>
    <w:rsid w:val="00473B89"/>
    <w:rsid w:val="00473C4F"/>
    <w:rsid w:val="00473C75"/>
    <w:rsid w:val="00473CBE"/>
    <w:rsid w:val="00473CE2"/>
    <w:rsid w:val="00473D87"/>
    <w:rsid w:val="00473DAB"/>
    <w:rsid w:val="00473DCC"/>
    <w:rsid w:val="00473DEC"/>
    <w:rsid w:val="00473DF6"/>
    <w:rsid w:val="00473E70"/>
    <w:rsid w:val="00473EAC"/>
    <w:rsid w:val="00473ED6"/>
    <w:rsid w:val="00473EF1"/>
    <w:rsid w:val="00473F7C"/>
    <w:rsid w:val="00473F82"/>
    <w:rsid w:val="00473FCD"/>
    <w:rsid w:val="00473FD1"/>
    <w:rsid w:val="0047403D"/>
    <w:rsid w:val="0047405A"/>
    <w:rsid w:val="00474118"/>
    <w:rsid w:val="004741BB"/>
    <w:rsid w:val="00474335"/>
    <w:rsid w:val="0047435C"/>
    <w:rsid w:val="00474391"/>
    <w:rsid w:val="004743B8"/>
    <w:rsid w:val="004743F0"/>
    <w:rsid w:val="004744A1"/>
    <w:rsid w:val="004744C7"/>
    <w:rsid w:val="00474520"/>
    <w:rsid w:val="004745A8"/>
    <w:rsid w:val="00474629"/>
    <w:rsid w:val="00474642"/>
    <w:rsid w:val="00474706"/>
    <w:rsid w:val="00474708"/>
    <w:rsid w:val="00474795"/>
    <w:rsid w:val="0047488B"/>
    <w:rsid w:val="0047492D"/>
    <w:rsid w:val="00474B1E"/>
    <w:rsid w:val="00474B6A"/>
    <w:rsid w:val="00474B6D"/>
    <w:rsid w:val="00474B81"/>
    <w:rsid w:val="00474BD5"/>
    <w:rsid w:val="00474C0F"/>
    <w:rsid w:val="00474C26"/>
    <w:rsid w:val="00474D10"/>
    <w:rsid w:val="00474D8F"/>
    <w:rsid w:val="00474DCB"/>
    <w:rsid w:val="00474EA7"/>
    <w:rsid w:val="00474F05"/>
    <w:rsid w:val="00474FD8"/>
    <w:rsid w:val="00475062"/>
    <w:rsid w:val="00475066"/>
    <w:rsid w:val="004750B6"/>
    <w:rsid w:val="00475136"/>
    <w:rsid w:val="0047523F"/>
    <w:rsid w:val="004752FD"/>
    <w:rsid w:val="00475300"/>
    <w:rsid w:val="00475342"/>
    <w:rsid w:val="004753F8"/>
    <w:rsid w:val="00475471"/>
    <w:rsid w:val="004754D6"/>
    <w:rsid w:val="0047550A"/>
    <w:rsid w:val="0047555B"/>
    <w:rsid w:val="004755B5"/>
    <w:rsid w:val="004755D9"/>
    <w:rsid w:val="00475612"/>
    <w:rsid w:val="00475667"/>
    <w:rsid w:val="0047580E"/>
    <w:rsid w:val="0047588F"/>
    <w:rsid w:val="004758A2"/>
    <w:rsid w:val="00475935"/>
    <w:rsid w:val="0047599E"/>
    <w:rsid w:val="00475A8B"/>
    <w:rsid w:val="00475AA2"/>
    <w:rsid w:val="00475B79"/>
    <w:rsid w:val="00475BD8"/>
    <w:rsid w:val="00475BE6"/>
    <w:rsid w:val="00475C28"/>
    <w:rsid w:val="00475D0F"/>
    <w:rsid w:val="00475D3C"/>
    <w:rsid w:val="00475F0F"/>
    <w:rsid w:val="00475F16"/>
    <w:rsid w:val="00475FC5"/>
    <w:rsid w:val="00475FF1"/>
    <w:rsid w:val="00476000"/>
    <w:rsid w:val="00476070"/>
    <w:rsid w:val="00476085"/>
    <w:rsid w:val="004760EA"/>
    <w:rsid w:val="0047616A"/>
    <w:rsid w:val="004761AE"/>
    <w:rsid w:val="0047624B"/>
    <w:rsid w:val="004762AD"/>
    <w:rsid w:val="004762BC"/>
    <w:rsid w:val="0047639C"/>
    <w:rsid w:val="004765AD"/>
    <w:rsid w:val="00476634"/>
    <w:rsid w:val="00476643"/>
    <w:rsid w:val="00476700"/>
    <w:rsid w:val="00476879"/>
    <w:rsid w:val="004768F7"/>
    <w:rsid w:val="00476A01"/>
    <w:rsid w:val="00476A34"/>
    <w:rsid w:val="00476A64"/>
    <w:rsid w:val="00476AA5"/>
    <w:rsid w:val="00476ADA"/>
    <w:rsid w:val="00476B99"/>
    <w:rsid w:val="00476BDF"/>
    <w:rsid w:val="00476D75"/>
    <w:rsid w:val="00476D90"/>
    <w:rsid w:val="00476E78"/>
    <w:rsid w:val="00476E7B"/>
    <w:rsid w:val="00476EF9"/>
    <w:rsid w:val="00476F1E"/>
    <w:rsid w:val="00476F27"/>
    <w:rsid w:val="004770D3"/>
    <w:rsid w:val="0047720F"/>
    <w:rsid w:val="00477231"/>
    <w:rsid w:val="00477377"/>
    <w:rsid w:val="004773BA"/>
    <w:rsid w:val="004773D3"/>
    <w:rsid w:val="00477427"/>
    <w:rsid w:val="00477538"/>
    <w:rsid w:val="00477572"/>
    <w:rsid w:val="0047764A"/>
    <w:rsid w:val="0047772B"/>
    <w:rsid w:val="0047776A"/>
    <w:rsid w:val="0047778E"/>
    <w:rsid w:val="004778D8"/>
    <w:rsid w:val="00477A69"/>
    <w:rsid w:val="00477AE5"/>
    <w:rsid w:val="00477BB6"/>
    <w:rsid w:val="00477BC8"/>
    <w:rsid w:val="00477C70"/>
    <w:rsid w:val="00477CE1"/>
    <w:rsid w:val="00477DB1"/>
    <w:rsid w:val="00477EA4"/>
    <w:rsid w:val="00477F64"/>
    <w:rsid w:val="00477FA4"/>
    <w:rsid w:val="004800D7"/>
    <w:rsid w:val="00480154"/>
    <w:rsid w:val="0048025F"/>
    <w:rsid w:val="004802C6"/>
    <w:rsid w:val="004802FB"/>
    <w:rsid w:val="00480354"/>
    <w:rsid w:val="00480400"/>
    <w:rsid w:val="00480449"/>
    <w:rsid w:val="004804CB"/>
    <w:rsid w:val="00480522"/>
    <w:rsid w:val="00480538"/>
    <w:rsid w:val="0048060A"/>
    <w:rsid w:val="004806C1"/>
    <w:rsid w:val="004806F4"/>
    <w:rsid w:val="00480722"/>
    <w:rsid w:val="004807B6"/>
    <w:rsid w:val="004807EB"/>
    <w:rsid w:val="00480800"/>
    <w:rsid w:val="004809B4"/>
    <w:rsid w:val="004809FD"/>
    <w:rsid w:val="00480B57"/>
    <w:rsid w:val="00480BA1"/>
    <w:rsid w:val="00480C4A"/>
    <w:rsid w:val="00480C5A"/>
    <w:rsid w:val="00480C66"/>
    <w:rsid w:val="00480D7B"/>
    <w:rsid w:val="00480D94"/>
    <w:rsid w:val="00480D9C"/>
    <w:rsid w:val="00480DAB"/>
    <w:rsid w:val="00480DC7"/>
    <w:rsid w:val="00480E52"/>
    <w:rsid w:val="00480EDA"/>
    <w:rsid w:val="00480F25"/>
    <w:rsid w:val="00480F6D"/>
    <w:rsid w:val="00480FB7"/>
    <w:rsid w:val="00481117"/>
    <w:rsid w:val="00481120"/>
    <w:rsid w:val="00481140"/>
    <w:rsid w:val="00481162"/>
    <w:rsid w:val="004811C8"/>
    <w:rsid w:val="004812EC"/>
    <w:rsid w:val="0048147A"/>
    <w:rsid w:val="004814AB"/>
    <w:rsid w:val="004815AD"/>
    <w:rsid w:val="004815F9"/>
    <w:rsid w:val="00481613"/>
    <w:rsid w:val="00481639"/>
    <w:rsid w:val="00481662"/>
    <w:rsid w:val="004816C8"/>
    <w:rsid w:val="004816F9"/>
    <w:rsid w:val="0048175E"/>
    <w:rsid w:val="004817FC"/>
    <w:rsid w:val="00481830"/>
    <w:rsid w:val="0048188F"/>
    <w:rsid w:val="0048191D"/>
    <w:rsid w:val="00481922"/>
    <w:rsid w:val="0048193F"/>
    <w:rsid w:val="0048195E"/>
    <w:rsid w:val="004819A8"/>
    <w:rsid w:val="00481A16"/>
    <w:rsid w:val="00481A79"/>
    <w:rsid w:val="00481AFD"/>
    <w:rsid w:val="00481B84"/>
    <w:rsid w:val="00481BD6"/>
    <w:rsid w:val="00481C07"/>
    <w:rsid w:val="00481D03"/>
    <w:rsid w:val="00481F01"/>
    <w:rsid w:val="00481F1A"/>
    <w:rsid w:val="00481F8E"/>
    <w:rsid w:val="0048206D"/>
    <w:rsid w:val="004820D3"/>
    <w:rsid w:val="00482196"/>
    <w:rsid w:val="004821D7"/>
    <w:rsid w:val="004822D4"/>
    <w:rsid w:val="004822E4"/>
    <w:rsid w:val="004822E8"/>
    <w:rsid w:val="00482304"/>
    <w:rsid w:val="00482349"/>
    <w:rsid w:val="00482427"/>
    <w:rsid w:val="0048246B"/>
    <w:rsid w:val="00482483"/>
    <w:rsid w:val="004824AD"/>
    <w:rsid w:val="00482500"/>
    <w:rsid w:val="0048252B"/>
    <w:rsid w:val="00482589"/>
    <w:rsid w:val="004825D2"/>
    <w:rsid w:val="00482600"/>
    <w:rsid w:val="00482696"/>
    <w:rsid w:val="00482724"/>
    <w:rsid w:val="00482746"/>
    <w:rsid w:val="004827DB"/>
    <w:rsid w:val="00482824"/>
    <w:rsid w:val="0048287A"/>
    <w:rsid w:val="004828E8"/>
    <w:rsid w:val="004829E8"/>
    <w:rsid w:val="004829EA"/>
    <w:rsid w:val="00482A23"/>
    <w:rsid w:val="00482A8B"/>
    <w:rsid w:val="00482B1B"/>
    <w:rsid w:val="00482BB3"/>
    <w:rsid w:val="00482BB7"/>
    <w:rsid w:val="00482DD2"/>
    <w:rsid w:val="00482E3E"/>
    <w:rsid w:val="00482E71"/>
    <w:rsid w:val="00482EA5"/>
    <w:rsid w:val="00482F2B"/>
    <w:rsid w:val="00482F58"/>
    <w:rsid w:val="00482F72"/>
    <w:rsid w:val="004830FA"/>
    <w:rsid w:val="00483104"/>
    <w:rsid w:val="004831EA"/>
    <w:rsid w:val="004832C8"/>
    <w:rsid w:val="00483342"/>
    <w:rsid w:val="0048338E"/>
    <w:rsid w:val="004833F5"/>
    <w:rsid w:val="004834A1"/>
    <w:rsid w:val="004834B3"/>
    <w:rsid w:val="0048352A"/>
    <w:rsid w:val="00483660"/>
    <w:rsid w:val="00483676"/>
    <w:rsid w:val="0048378C"/>
    <w:rsid w:val="00483883"/>
    <w:rsid w:val="004838F5"/>
    <w:rsid w:val="0048391D"/>
    <w:rsid w:val="00483987"/>
    <w:rsid w:val="00483A27"/>
    <w:rsid w:val="00483A78"/>
    <w:rsid w:val="00483ACC"/>
    <w:rsid w:val="00483C25"/>
    <w:rsid w:val="00483C3D"/>
    <w:rsid w:val="00483C3F"/>
    <w:rsid w:val="00483C56"/>
    <w:rsid w:val="00483C7B"/>
    <w:rsid w:val="00483CD6"/>
    <w:rsid w:val="00483DB7"/>
    <w:rsid w:val="00483E8C"/>
    <w:rsid w:val="00483EB7"/>
    <w:rsid w:val="0048403F"/>
    <w:rsid w:val="004840E2"/>
    <w:rsid w:val="004840F9"/>
    <w:rsid w:val="00484107"/>
    <w:rsid w:val="00484197"/>
    <w:rsid w:val="004841D5"/>
    <w:rsid w:val="004841EF"/>
    <w:rsid w:val="0048424A"/>
    <w:rsid w:val="00484302"/>
    <w:rsid w:val="00484307"/>
    <w:rsid w:val="004843CE"/>
    <w:rsid w:val="00484414"/>
    <w:rsid w:val="00484486"/>
    <w:rsid w:val="0048448B"/>
    <w:rsid w:val="004844B5"/>
    <w:rsid w:val="004845E4"/>
    <w:rsid w:val="004846D0"/>
    <w:rsid w:val="004846F7"/>
    <w:rsid w:val="00484850"/>
    <w:rsid w:val="004848C5"/>
    <w:rsid w:val="004849F7"/>
    <w:rsid w:val="00484A38"/>
    <w:rsid w:val="00484A69"/>
    <w:rsid w:val="00484A72"/>
    <w:rsid w:val="00484AD4"/>
    <w:rsid w:val="00484B1E"/>
    <w:rsid w:val="00484B41"/>
    <w:rsid w:val="00484B48"/>
    <w:rsid w:val="00484BCA"/>
    <w:rsid w:val="00484C37"/>
    <w:rsid w:val="00484C57"/>
    <w:rsid w:val="00484CD4"/>
    <w:rsid w:val="00484D98"/>
    <w:rsid w:val="00484E94"/>
    <w:rsid w:val="0048512A"/>
    <w:rsid w:val="0048513C"/>
    <w:rsid w:val="00485145"/>
    <w:rsid w:val="00485287"/>
    <w:rsid w:val="004852D8"/>
    <w:rsid w:val="0048549B"/>
    <w:rsid w:val="00485564"/>
    <w:rsid w:val="00485565"/>
    <w:rsid w:val="00485578"/>
    <w:rsid w:val="0048563A"/>
    <w:rsid w:val="0048568C"/>
    <w:rsid w:val="004856EB"/>
    <w:rsid w:val="004857BB"/>
    <w:rsid w:val="004857F3"/>
    <w:rsid w:val="00485863"/>
    <w:rsid w:val="0048587E"/>
    <w:rsid w:val="0048589D"/>
    <w:rsid w:val="004858A9"/>
    <w:rsid w:val="004859D0"/>
    <w:rsid w:val="00485AE9"/>
    <w:rsid w:val="00485B41"/>
    <w:rsid w:val="00485D27"/>
    <w:rsid w:val="00485D5F"/>
    <w:rsid w:val="00485E11"/>
    <w:rsid w:val="00485EDC"/>
    <w:rsid w:val="00485EE1"/>
    <w:rsid w:val="00485FB7"/>
    <w:rsid w:val="00485FBB"/>
    <w:rsid w:val="0048602B"/>
    <w:rsid w:val="00486038"/>
    <w:rsid w:val="004861B7"/>
    <w:rsid w:val="004861DA"/>
    <w:rsid w:val="0048627A"/>
    <w:rsid w:val="0048629A"/>
    <w:rsid w:val="0048635C"/>
    <w:rsid w:val="0048639C"/>
    <w:rsid w:val="004863B4"/>
    <w:rsid w:val="004864C5"/>
    <w:rsid w:val="00486514"/>
    <w:rsid w:val="00486570"/>
    <w:rsid w:val="00486580"/>
    <w:rsid w:val="0048660B"/>
    <w:rsid w:val="0048662A"/>
    <w:rsid w:val="004867C3"/>
    <w:rsid w:val="00486802"/>
    <w:rsid w:val="00486A14"/>
    <w:rsid w:val="00486B0A"/>
    <w:rsid w:val="00486BC8"/>
    <w:rsid w:val="00486D75"/>
    <w:rsid w:val="00486E7C"/>
    <w:rsid w:val="00486F08"/>
    <w:rsid w:val="00486F1D"/>
    <w:rsid w:val="00486F84"/>
    <w:rsid w:val="00486FB2"/>
    <w:rsid w:val="00486FBB"/>
    <w:rsid w:val="00486FE7"/>
    <w:rsid w:val="004870FB"/>
    <w:rsid w:val="0048710F"/>
    <w:rsid w:val="00487242"/>
    <w:rsid w:val="00487373"/>
    <w:rsid w:val="004873AA"/>
    <w:rsid w:val="004873EE"/>
    <w:rsid w:val="004873FE"/>
    <w:rsid w:val="00487410"/>
    <w:rsid w:val="004874B3"/>
    <w:rsid w:val="004874FD"/>
    <w:rsid w:val="0048750C"/>
    <w:rsid w:val="00487555"/>
    <w:rsid w:val="004875BC"/>
    <w:rsid w:val="00487622"/>
    <w:rsid w:val="0048762E"/>
    <w:rsid w:val="004876BD"/>
    <w:rsid w:val="004877AE"/>
    <w:rsid w:val="004878CB"/>
    <w:rsid w:val="00487913"/>
    <w:rsid w:val="0048793E"/>
    <w:rsid w:val="004879C1"/>
    <w:rsid w:val="00487A48"/>
    <w:rsid w:val="00487A7F"/>
    <w:rsid w:val="00487AB7"/>
    <w:rsid w:val="00487B7E"/>
    <w:rsid w:val="00487B8A"/>
    <w:rsid w:val="00487BBF"/>
    <w:rsid w:val="00487CA1"/>
    <w:rsid w:val="00487CE9"/>
    <w:rsid w:val="00487D14"/>
    <w:rsid w:val="00487DCF"/>
    <w:rsid w:val="00487E7F"/>
    <w:rsid w:val="00487E8D"/>
    <w:rsid w:val="00487EFA"/>
    <w:rsid w:val="00487F28"/>
    <w:rsid w:val="00487F39"/>
    <w:rsid w:val="00487F9A"/>
    <w:rsid w:val="004900F6"/>
    <w:rsid w:val="00490173"/>
    <w:rsid w:val="0049021A"/>
    <w:rsid w:val="00490223"/>
    <w:rsid w:val="004902E0"/>
    <w:rsid w:val="00490374"/>
    <w:rsid w:val="00490432"/>
    <w:rsid w:val="004905F5"/>
    <w:rsid w:val="00490614"/>
    <w:rsid w:val="00490646"/>
    <w:rsid w:val="00490682"/>
    <w:rsid w:val="00490736"/>
    <w:rsid w:val="00490758"/>
    <w:rsid w:val="00490761"/>
    <w:rsid w:val="004907AE"/>
    <w:rsid w:val="004907B0"/>
    <w:rsid w:val="004907DA"/>
    <w:rsid w:val="0049083D"/>
    <w:rsid w:val="004909A8"/>
    <w:rsid w:val="00490A71"/>
    <w:rsid w:val="00490AD1"/>
    <w:rsid w:val="00490B74"/>
    <w:rsid w:val="00490BAE"/>
    <w:rsid w:val="00490BEE"/>
    <w:rsid w:val="00490E10"/>
    <w:rsid w:val="00490EB4"/>
    <w:rsid w:val="00490EF5"/>
    <w:rsid w:val="00490EFE"/>
    <w:rsid w:val="00490FA3"/>
    <w:rsid w:val="00491056"/>
    <w:rsid w:val="004911D9"/>
    <w:rsid w:val="004911E5"/>
    <w:rsid w:val="00491220"/>
    <w:rsid w:val="00491232"/>
    <w:rsid w:val="00491245"/>
    <w:rsid w:val="00491266"/>
    <w:rsid w:val="004912B7"/>
    <w:rsid w:val="004912D9"/>
    <w:rsid w:val="00491364"/>
    <w:rsid w:val="0049140E"/>
    <w:rsid w:val="004914C1"/>
    <w:rsid w:val="00491569"/>
    <w:rsid w:val="0049160D"/>
    <w:rsid w:val="00491615"/>
    <w:rsid w:val="00491636"/>
    <w:rsid w:val="00491650"/>
    <w:rsid w:val="0049167A"/>
    <w:rsid w:val="00491702"/>
    <w:rsid w:val="00491784"/>
    <w:rsid w:val="0049178B"/>
    <w:rsid w:val="004917B9"/>
    <w:rsid w:val="004917CE"/>
    <w:rsid w:val="0049185B"/>
    <w:rsid w:val="0049189C"/>
    <w:rsid w:val="004918BD"/>
    <w:rsid w:val="00491911"/>
    <w:rsid w:val="00491928"/>
    <w:rsid w:val="0049192E"/>
    <w:rsid w:val="00491A41"/>
    <w:rsid w:val="00491A45"/>
    <w:rsid w:val="00491AB5"/>
    <w:rsid w:val="00491B1C"/>
    <w:rsid w:val="00491C4C"/>
    <w:rsid w:val="00491CBF"/>
    <w:rsid w:val="00491CDF"/>
    <w:rsid w:val="00491CF3"/>
    <w:rsid w:val="00491D2C"/>
    <w:rsid w:val="00491DA3"/>
    <w:rsid w:val="00491E4E"/>
    <w:rsid w:val="00491E75"/>
    <w:rsid w:val="00491EE4"/>
    <w:rsid w:val="00492065"/>
    <w:rsid w:val="0049219D"/>
    <w:rsid w:val="004921A5"/>
    <w:rsid w:val="004921C5"/>
    <w:rsid w:val="004921EA"/>
    <w:rsid w:val="004921F9"/>
    <w:rsid w:val="004922E8"/>
    <w:rsid w:val="00492310"/>
    <w:rsid w:val="004923F1"/>
    <w:rsid w:val="00492459"/>
    <w:rsid w:val="004924CD"/>
    <w:rsid w:val="00492529"/>
    <w:rsid w:val="0049252A"/>
    <w:rsid w:val="0049263E"/>
    <w:rsid w:val="004927EA"/>
    <w:rsid w:val="004928DD"/>
    <w:rsid w:val="0049292E"/>
    <w:rsid w:val="00492934"/>
    <w:rsid w:val="004929A5"/>
    <w:rsid w:val="004929A8"/>
    <w:rsid w:val="00492A45"/>
    <w:rsid w:val="00492A55"/>
    <w:rsid w:val="00492A63"/>
    <w:rsid w:val="00492B63"/>
    <w:rsid w:val="00492C0A"/>
    <w:rsid w:val="00492C1D"/>
    <w:rsid w:val="00492C30"/>
    <w:rsid w:val="00492C6C"/>
    <w:rsid w:val="00492C70"/>
    <w:rsid w:val="00492C79"/>
    <w:rsid w:val="00492CA4"/>
    <w:rsid w:val="00492CED"/>
    <w:rsid w:val="00492D05"/>
    <w:rsid w:val="00492D33"/>
    <w:rsid w:val="00492D70"/>
    <w:rsid w:val="00492E1B"/>
    <w:rsid w:val="00492EEE"/>
    <w:rsid w:val="00492F26"/>
    <w:rsid w:val="00492F7C"/>
    <w:rsid w:val="00492FD3"/>
    <w:rsid w:val="00492FD9"/>
    <w:rsid w:val="004930CD"/>
    <w:rsid w:val="004930D6"/>
    <w:rsid w:val="0049319B"/>
    <w:rsid w:val="004931B5"/>
    <w:rsid w:val="00493304"/>
    <w:rsid w:val="0049331B"/>
    <w:rsid w:val="0049335D"/>
    <w:rsid w:val="004933BF"/>
    <w:rsid w:val="004933D2"/>
    <w:rsid w:val="0049347D"/>
    <w:rsid w:val="004934A4"/>
    <w:rsid w:val="00493510"/>
    <w:rsid w:val="00493548"/>
    <w:rsid w:val="004935C9"/>
    <w:rsid w:val="004935E1"/>
    <w:rsid w:val="0049363A"/>
    <w:rsid w:val="00493682"/>
    <w:rsid w:val="00493694"/>
    <w:rsid w:val="0049379D"/>
    <w:rsid w:val="004937ED"/>
    <w:rsid w:val="004938FA"/>
    <w:rsid w:val="004939C1"/>
    <w:rsid w:val="00493A6A"/>
    <w:rsid w:val="00493B53"/>
    <w:rsid w:val="00493BA8"/>
    <w:rsid w:val="00493C0A"/>
    <w:rsid w:val="00493C7D"/>
    <w:rsid w:val="00493D64"/>
    <w:rsid w:val="00493E14"/>
    <w:rsid w:val="00493E3C"/>
    <w:rsid w:val="00493E3D"/>
    <w:rsid w:val="00493E54"/>
    <w:rsid w:val="00493EB6"/>
    <w:rsid w:val="00493EC9"/>
    <w:rsid w:val="00493EEE"/>
    <w:rsid w:val="00493EEF"/>
    <w:rsid w:val="00493FA0"/>
    <w:rsid w:val="00494005"/>
    <w:rsid w:val="0049401F"/>
    <w:rsid w:val="00494035"/>
    <w:rsid w:val="0049412C"/>
    <w:rsid w:val="00494141"/>
    <w:rsid w:val="00494145"/>
    <w:rsid w:val="004941B8"/>
    <w:rsid w:val="00494265"/>
    <w:rsid w:val="004942A1"/>
    <w:rsid w:val="0049433F"/>
    <w:rsid w:val="00494489"/>
    <w:rsid w:val="00494522"/>
    <w:rsid w:val="004945C9"/>
    <w:rsid w:val="004946F0"/>
    <w:rsid w:val="0049489B"/>
    <w:rsid w:val="004948F7"/>
    <w:rsid w:val="0049493B"/>
    <w:rsid w:val="004949B6"/>
    <w:rsid w:val="00494A30"/>
    <w:rsid w:val="00494B1B"/>
    <w:rsid w:val="00494B4E"/>
    <w:rsid w:val="00494B59"/>
    <w:rsid w:val="00494B83"/>
    <w:rsid w:val="00494BB6"/>
    <w:rsid w:val="00494C24"/>
    <w:rsid w:val="00494D38"/>
    <w:rsid w:val="00494D43"/>
    <w:rsid w:val="00494E39"/>
    <w:rsid w:val="00494E48"/>
    <w:rsid w:val="00494F11"/>
    <w:rsid w:val="00494FAB"/>
    <w:rsid w:val="00494FC0"/>
    <w:rsid w:val="00495044"/>
    <w:rsid w:val="00495157"/>
    <w:rsid w:val="004952A8"/>
    <w:rsid w:val="004952FA"/>
    <w:rsid w:val="00495319"/>
    <w:rsid w:val="004953BC"/>
    <w:rsid w:val="004953FA"/>
    <w:rsid w:val="00495516"/>
    <w:rsid w:val="0049568D"/>
    <w:rsid w:val="004956B1"/>
    <w:rsid w:val="004956E1"/>
    <w:rsid w:val="004956EC"/>
    <w:rsid w:val="00495709"/>
    <w:rsid w:val="00495768"/>
    <w:rsid w:val="00495788"/>
    <w:rsid w:val="0049580C"/>
    <w:rsid w:val="00495859"/>
    <w:rsid w:val="004958AB"/>
    <w:rsid w:val="004958BB"/>
    <w:rsid w:val="0049590D"/>
    <w:rsid w:val="0049591C"/>
    <w:rsid w:val="00495B01"/>
    <w:rsid w:val="00495B10"/>
    <w:rsid w:val="00495B36"/>
    <w:rsid w:val="00495CD8"/>
    <w:rsid w:val="00495D03"/>
    <w:rsid w:val="00495D14"/>
    <w:rsid w:val="00495D33"/>
    <w:rsid w:val="00495D38"/>
    <w:rsid w:val="00495D6D"/>
    <w:rsid w:val="00495E45"/>
    <w:rsid w:val="00495E5B"/>
    <w:rsid w:val="00495F3F"/>
    <w:rsid w:val="00495FCD"/>
    <w:rsid w:val="00495FD6"/>
    <w:rsid w:val="004960EC"/>
    <w:rsid w:val="004961C0"/>
    <w:rsid w:val="0049632C"/>
    <w:rsid w:val="0049635E"/>
    <w:rsid w:val="004963D3"/>
    <w:rsid w:val="004963D9"/>
    <w:rsid w:val="004963E9"/>
    <w:rsid w:val="004964F8"/>
    <w:rsid w:val="0049650E"/>
    <w:rsid w:val="00496633"/>
    <w:rsid w:val="0049667C"/>
    <w:rsid w:val="004966F5"/>
    <w:rsid w:val="004966F6"/>
    <w:rsid w:val="00496773"/>
    <w:rsid w:val="004967F9"/>
    <w:rsid w:val="0049689E"/>
    <w:rsid w:val="004968D3"/>
    <w:rsid w:val="00496996"/>
    <w:rsid w:val="00496B71"/>
    <w:rsid w:val="00496BF8"/>
    <w:rsid w:val="00496CE8"/>
    <w:rsid w:val="00496CF8"/>
    <w:rsid w:val="00496D10"/>
    <w:rsid w:val="00496EEF"/>
    <w:rsid w:val="00496F67"/>
    <w:rsid w:val="00496FE9"/>
    <w:rsid w:val="00497165"/>
    <w:rsid w:val="00497187"/>
    <w:rsid w:val="004971C0"/>
    <w:rsid w:val="00497234"/>
    <w:rsid w:val="0049745A"/>
    <w:rsid w:val="0049746A"/>
    <w:rsid w:val="0049749B"/>
    <w:rsid w:val="004974E1"/>
    <w:rsid w:val="00497609"/>
    <w:rsid w:val="004976F7"/>
    <w:rsid w:val="0049774F"/>
    <w:rsid w:val="004977BB"/>
    <w:rsid w:val="0049791A"/>
    <w:rsid w:val="004979AF"/>
    <w:rsid w:val="00497A9D"/>
    <w:rsid w:val="00497B26"/>
    <w:rsid w:val="00497B5D"/>
    <w:rsid w:val="00497B68"/>
    <w:rsid w:val="00497B83"/>
    <w:rsid w:val="00497BE3"/>
    <w:rsid w:val="00497C1D"/>
    <w:rsid w:val="00497D0D"/>
    <w:rsid w:val="00497D76"/>
    <w:rsid w:val="00497DC1"/>
    <w:rsid w:val="00497E45"/>
    <w:rsid w:val="00497E72"/>
    <w:rsid w:val="00497EC2"/>
    <w:rsid w:val="00497EC4"/>
    <w:rsid w:val="00497F79"/>
    <w:rsid w:val="00497FAE"/>
    <w:rsid w:val="004A000A"/>
    <w:rsid w:val="004A000E"/>
    <w:rsid w:val="004A004F"/>
    <w:rsid w:val="004A0072"/>
    <w:rsid w:val="004A00BB"/>
    <w:rsid w:val="004A00CA"/>
    <w:rsid w:val="004A019B"/>
    <w:rsid w:val="004A01BA"/>
    <w:rsid w:val="004A01F2"/>
    <w:rsid w:val="004A024D"/>
    <w:rsid w:val="004A0287"/>
    <w:rsid w:val="004A02E7"/>
    <w:rsid w:val="004A0326"/>
    <w:rsid w:val="004A03C9"/>
    <w:rsid w:val="004A0434"/>
    <w:rsid w:val="004A04D6"/>
    <w:rsid w:val="004A058D"/>
    <w:rsid w:val="004A06BE"/>
    <w:rsid w:val="004A076A"/>
    <w:rsid w:val="004A076E"/>
    <w:rsid w:val="004A078A"/>
    <w:rsid w:val="004A0942"/>
    <w:rsid w:val="004A0A06"/>
    <w:rsid w:val="004A0A56"/>
    <w:rsid w:val="004A0A84"/>
    <w:rsid w:val="004A0ACE"/>
    <w:rsid w:val="004A0B25"/>
    <w:rsid w:val="004A0C43"/>
    <w:rsid w:val="004A0CA3"/>
    <w:rsid w:val="004A0DC3"/>
    <w:rsid w:val="004A0DFA"/>
    <w:rsid w:val="004A0E34"/>
    <w:rsid w:val="004A0EE7"/>
    <w:rsid w:val="004A0FDB"/>
    <w:rsid w:val="004A1007"/>
    <w:rsid w:val="004A1035"/>
    <w:rsid w:val="004A1085"/>
    <w:rsid w:val="004A1093"/>
    <w:rsid w:val="004A10B8"/>
    <w:rsid w:val="004A10F2"/>
    <w:rsid w:val="004A124A"/>
    <w:rsid w:val="004A1490"/>
    <w:rsid w:val="004A152A"/>
    <w:rsid w:val="004A154D"/>
    <w:rsid w:val="004A158E"/>
    <w:rsid w:val="004A1615"/>
    <w:rsid w:val="004A163A"/>
    <w:rsid w:val="004A166F"/>
    <w:rsid w:val="004A1715"/>
    <w:rsid w:val="004A1718"/>
    <w:rsid w:val="004A1729"/>
    <w:rsid w:val="004A1873"/>
    <w:rsid w:val="004A18B1"/>
    <w:rsid w:val="004A18F7"/>
    <w:rsid w:val="004A196A"/>
    <w:rsid w:val="004A19BB"/>
    <w:rsid w:val="004A19E4"/>
    <w:rsid w:val="004A1B40"/>
    <w:rsid w:val="004A1CD1"/>
    <w:rsid w:val="004A1D08"/>
    <w:rsid w:val="004A1E5B"/>
    <w:rsid w:val="004A1EF2"/>
    <w:rsid w:val="004A1F84"/>
    <w:rsid w:val="004A1FFB"/>
    <w:rsid w:val="004A201A"/>
    <w:rsid w:val="004A20C6"/>
    <w:rsid w:val="004A21CD"/>
    <w:rsid w:val="004A22D5"/>
    <w:rsid w:val="004A22DA"/>
    <w:rsid w:val="004A230C"/>
    <w:rsid w:val="004A23DB"/>
    <w:rsid w:val="004A24C1"/>
    <w:rsid w:val="004A25AB"/>
    <w:rsid w:val="004A25BB"/>
    <w:rsid w:val="004A25D3"/>
    <w:rsid w:val="004A25F7"/>
    <w:rsid w:val="004A2635"/>
    <w:rsid w:val="004A264F"/>
    <w:rsid w:val="004A27C3"/>
    <w:rsid w:val="004A27CC"/>
    <w:rsid w:val="004A28A9"/>
    <w:rsid w:val="004A2967"/>
    <w:rsid w:val="004A2A64"/>
    <w:rsid w:val="004A2AAB"/>
    <w:rsid w:val="004A2AB0"/>
    <w:rsid w:val="004A2C31"/>
    <w:rsid w:val="004A2C46"/>
    <w:rsid w:val="004A2F50"/>
    <w:rsid w:val="004A2FB0"/>
    <w:rsid w:val="004A2FB4"/>
    <w:rsid w:val="004A2FB7"/>
    <w:rsid w:val="004A30F5"/>
    <w:rsid w:val="004A3179"/>
    <w:rsid w:val="004A3280"/>
    <w:rsid w:val="004A33B0"/>
    <w:rsid w:val="004A33EE"/>
    <w:rsid w:val="004A3433"/>
    <w:rsid w:val="004A34D7"/>
    <w:rsid w:val="004A365D"/>
    <w:rsid w:val="004A36B3"/>
    <w:rsid w:val="004A36FE"/>
    <w:rsid w:val="004A372E"/>
    <w:rsid w:val="004A37C7"/>
    <w:rsid w:val="004A3837"/>
    <w:rsid w:val="004A384A"/>
    <w:rsid w:val="004A3888"/>
    <w:rsid w:val="004A388C"/>
    <w:rsid w:val="004A3996"/>
    <w:rsid w:val="004A39C7"/>
    <w:rsid w:val="004A39C8"/>
    <w:rsid w:val="004A3A16"/>
    <w:rsid w:val="004A3A58"/>
    <w:rsid w:val="004A3AD5"/>
    <w:rsid w:val="004A3B0B"/>
    <w:rsid w:val="004A3B62"/>
    <w:rsid w:val="004A3BE9"/>
    <w:rsid w:val="004A3C30"/>
    <w:rsid w:val="004A3C4B"/>
    <w:rsid w:val="004A3C59"/>
    <w:rsid w:val="004A3D92"/>
    <w:rsid w:val="004A3DBD"/>
    <w:rsid w:val="004A3E1C"/>
    <w:rsid w:val="004A3E4D"/>
    <w:rsid w:val="004A3E50"/>
    <w:rsid w:val="004A3EB2"/>
    <w:rsid w:val="004A4003"/>
    <w:rsid w:val="004A400D"/>
    <w:rsid w:val="004A4199"/>
    <w:rsid w:val="004A42EB"/>
    <w:rsid w:val="004A4311"/>
    <w:rsid w:val="004A435D"/>
    <w:rsid w:val="004A4446"/>
    <w:rsid w:val="004A444B"/>
    <w:rsid w:val="004A4473"/>
    <w:rsid w:val="004A44E1"/>
    <w:rsid w:val="004A4548"/>
    <w:rsid w:val="004A4593"/>
    <w:rsid w:val="004A45B7"/>
    <w:rsid w:val="004A461D"/>
    <w:rsid w:val="004A46AF"/>
    <w:rsid w:val="004A46ED"/>
    <w:rsid w:val="004A4740"/>
    <w:rsid w:val="004A4742"/>
    <w:rsid w:val="004A478C"/>
    <w:rsid w:val="004A47FB"/>
    <w:rsid w:val="004A4812"/>
    <w:rsid w:val="004A486B"/>
    <w:rsid w:val="004A489A"/>
    <w:rsid w:val="004A48EF"/>
    <w:rsid w:val="004A49CF"/>
    <w:rsid w:val="004A4A5A"/>
    <w:rsid w:val="004A4B51"/>
    <w:rsid w:val="004A4B69"/>
    <w:rsid w:val="004A4BF7"/>
    <w:rsid w:val="004A4D57"/>
    <w:rsid w:val="004A4DFB"/>
    <w:rsid w:val="004A4E24"/>
    <w:rsid w:val="004A4E50"/>
    <w:rsid w:val="004A4EEA"/>
    <w:rsid w:val="004A5005"/>
    <w:rsid w:val="004A505C"/>
    <w:rsid w:val="004A5081"/>
    <w:rsid w:val="004A5118"/>
    <w:rsid w:val="004A527F"/>
    <w:rsid w:val="004A5322"/>
    <w:rsid w:val="004A542D"/>
    <w:rsid w:val="004A55F3"/>
    <w:rsid w:val="004A560A"/>
    <w:rsid w:val="004A5681"/>
    <w:rsid w:val="004A56F8"/>
    <w:rsid w:val="004A57FB"/>
    <w:rsid w:val="004A58CC"/>
    <w:rsid w:val="004A5999"/>
    <w:rsid w:val="004A5A3E"/>
    <w:rsid w:val="004A5A86"/>
    <w:rsid w:val="004A5AFF"/>
    <w:rsid w:val="004A5B4C"/>
    <w:rsid w:val="004A5BD9"/>
    <w:rsid w:val="004A5C06"/>
    <w:rsid w:val="004A5C88"/>
    <w:rsid w:val="004A5CA1"/>
    <w:rsid w:val="004A5CD7"/>
    <w:rsid w:val="004A5D4C"/>
    <w:rsid w:val="004A5D5D"/>
    <w:rsid w:val="004A5DA2"/>
    <w:rsid w:val="004A5DD0"/>
    <w:rsid w:val="004A5E7D"/>
    <w:rsid w:val="004A5ECF"/>
    <w:rsid w:val="004A601B"/>
    <w:rsid w:val="004A6055"/>
    <w:rsid w:val="004A6175"/>
    <w:rsid w:val="004A61A7"/>
    <w:rsid w:val="004A6221"/>
    <w:rsid w:val="004A6222"/>
    <w:rsid w:val="004A629D"/>
    <w:rsid w:val="004A629F"/>
    <w:rsid w:val="004A6306"/>
    <w:rsid w:val="004A634E"/>
    <w:rsid w:val="004A636A"/>
    <w:rsid w:val="004A6423"/>
    <w:rsid w:val="004A64ED"/>
    <w:rsid w:val="004A651C"/>
    <w:rsid w:val="004A6548"/>
    <w:rsid w:val="004A655E"/>
    <w:rsid w:val="004A665A"/>
    <w:rsid w:val="004A6677"/>
    <w:rsid w:val="004A66FC"/>
    <w:rsid w:val="004A66FE"/>
    <w:rsid w:val="004A6767"/>
    <w:rsid w:val="004A68AA"/>
    <w:rsid w:val="004A6987"/>
    <w:rsid w:val="004A69B1"/>
    <w:rsid w:val="004A6A82"/>
    <w:rsid w:val="004A6AAA"/>
    <w:rsid w:val="004A6AB2"/>
    <w:rsid w:val="004A6AD8"/>
    <w:rsid w:val="004A6B63"/>
    <w:rsid w:val="004A6C08"/>
    <w:rsid w:val="004A6C5A"/>
    <w:rsid w:val="004A6D1A"/>
    <w:rsid w:val="004A6D1F"/>
    <w:rsid w:val="004A6D61"/>
    <w:rsid w:val="004A6E09"/>
    <w:rsid w:val="004A6E0D"/>
    <w:rsid w:val="004A6EDB"/>
    <w:rsid w:val="004A71C2"/>
    <w:rsid w:val="004A71CD"/>
    <w:rsid w:val="004A7240"/>
    <w:rsid w:val="004A7263"/>
    <w:rsid w:val="004A7269"/>
    <w:rsid w:val="004A72D6"/>
    <w:rsid w:val="004A7439"/>
    <w:rsid w:val="004A74D1"/>
    <w:rsid w:val="004A7715"/>
    <w:rsid w:val="004A7736"/>
    <w:rsid w:val="004A7794"/>
    <w:rsid w:val="004A78EF"/>
    <w:rsid w:val="004A79B7"/>
    <w:rsid w:val="004A79E9"/>
    <w:rsid w:val="004A7A16"/>
    <w:rsid w:val="004A7A73"/>
    <w:rsid w:val="004A7AF0"/>
    <w:rsid w:val="004A7B51"/>
    <w:rsid w:val="004A7C22"/>
    <w:rsid w:val="004A7DAE"/>
    <w:rsid w:val="004A7DF2"/>
    <w:rsid w:val="004A7DFC"/>
    <w:rsid w:val="004A7E03"/>
    <w:rsid w:val="004A7E3B"/>
    <w:rsid w:val="004A7E58"/>
    <w:rsid w:val="004A7EA7"/>
    <w:rsid w:val="004A7F82"/>
    <w:rsid w:val="004A7FC4"/>
    <w:rsid w:val="004B0145"/>
    <w:rsid w:val="004B0216"/>
    <w:rsid w:val="004B035F"/>
    <w:rsid w:val="004B03D0"/>
    <w:rsid w:val="004B044D"/>
    <w:rsid w:val="004B045F"/>
    <w:rsid w:val="004B04A1"/>
    <w:rsid w:val="004B0565"/>
    <w:rsid w:val="004B0596"/>
    <w:rsid w:val="004B06B0"/>
    <w:rsid w:val="004B0713"/>
    <w:rsid w:val="004B07FC"/>
    <w:rsid w:val="004B0830"/>
    <w:rsid w:val="004B0848"/>
    <w:rsid w:val="004B085D"/>
    <w:rsid w:val="004B0946"/>
    <w:rsid w:val="004B09A3"/>
    <w:rsid w:val="004B0A50"/>
    <w:rsid w:val="004B0B1D"/>
    <w:rsid w:val="004B0B87"/>
    <w:rsid w:val="004B0B8D"/>
    <w:rsid w:val="004B0C96"/>
    <w:rsid w:val="004B0D08"/>
    <w:rsid w:val="004B0DA7"/>
    <w:rsid w:val="004B0E0A"/>
    <w:rsid w:val="004B0E3D"/>
    <w:rsid w:val="004B0E69"/>
    <w:rsid w:val="004B0F2D"/>
    <w:rsid w:val="004B1107"/>
    <w:rsid w:val="004B110F"/>
    <w:rsid w:val="004B1256"/>
    <w:rsid w:val="004B1274"/>
    <w:rsid w:val="004B1278"/>
    <w:rsid w:val="004B1282"/>
    <w:rsid w:val="004B1344"/>
    <w:rsid w:val="004B142C"/>
    <w:rsid w:val="004B1530"/>
    <w:rsid w:val="004B15AC"/>
    <w:rsid w:val="004B1684"/>
    <w:rsid w:val="004B1694"/>
    <w:rsid w:val="004B16E8"/>
    <w:rsid w:val="004B1774"/>
    <w:rsid w:val="004B17C7"/>
    <w:rsid w:val="004B184D"/>
    <w:rsid w:val="004B18E8"/>
    <w:rsid w:val="004B19F6"/>
    <w:rsid w:val="004B1AF6"/>
    <w:rsid w:val="004B1AF7"/>
    <w:rsid w:val="004B1B0A"/>
    <w:rsid w:val="004B1B0F"/>
    <w:rsid w:val="004B1BA0"/>
    <w:rsid w:val="004B1BFF"/>
    <w:rsid w:val="004B1C09"/>
    <w:rsid w:val="004B1C2F"/>
    <w:rsid w:val="004B1D1A"/>
    <w:rsid w:val="004B1D7F"/>
    <w:rsid w:val="004B1F19"/>
    <w:rsid w:val="004B1F66"/>
    <w:rsid w:val="004B1FA8"/>
    <w:rsid w:val="004B2057"/>
    <w:rsid w:val="004B209B"/>
    <w:rsid w:val="004B21B1"/>
    <w:rsid w:val="004B21D8"/>
    <w:rsid w:val="004B21DF"/>
    <w:rsid w:val="004B2226"/>
    <w:rsid w:val="004B22CD"/>
    <w:rsid w:val="004B232A"/>
    <w:rsid w:val="004B2403"/>
    <w:rsid w:val="004B2409"/>
    <w:rsid w:val="004B24CA"/>
    <w:rsid w:val="004B24FC"/>
    <w:rsid w:val="004B2531"/>
    <w:rsid w:val="004B2613"/>
    <w:rsid w:val="004B2625"/>
    <w:rsid w:val="004B263F"/>
    <w:rsid w:val="004B26E7"/>
    <w:rsid w:val="004B2804"/>
    <w:rsid w:val="004B29CB"/>
    <w:rsid w:val="004B2A9E"/>
    <w:rsid w:val="004B2B9B"/>
    <w:rsid w:val="004B2BBD"/>
    <w:rsid w:val="004B2CB1"/>
    <w:rsid w:val="004B2D34"/>
    <w:rsid w:val="004B2D66"/>
    <w:rsid w:val="004B2F81"/>
    <w:rsid w:val="004B2FC5"/>
    <w:rsid w:val="004B302C"/>
    <w:rsid w:val="004B305B"/>
    <w:rsid w:val="004B3193"/>
    <w:rsid w:val="004B31AF"/>
    <w:rsid w:val="004B3223"/>
    <w:rsid w:val="004B332F"/>
    <w:rsid w:val="004B3332"/>
    <w:rsid w:val="004B335E"/>
    <w:rsid w:val="004B3388"/>
    <w:rsid w:val="004B3396"/>
    <w:rsid w:val="004B347F"/>
    <w:rsid w:val="004B34FE"/>
    <w:rsid w:val="004B352E"/>
    <w:rsid w:val="004B35EC"/>
    <w:rsid w:val="004B360B"/>
    <w:rsid w:val="004B37B4"/>
    <w:rsid w:val="004B38C6"/>
    <w:rsid w:val="004B39AB"/>
    <w:rsid w:val="004B39B9"/>
    <w:rsid w:val="004B39DC"/>
    <w:rsid w:val="004B3A96"/>
    <w:rsid w:val="004B3AC6"/>
    <w:rsid w:val="004B3AF1"/>
    <w:rsid w:val="004B3BBE"/>
    <w:rsid w:val="004B3BDF"/>
    <w:rsid w:val="004B3C92"/>
    <w:rsid w:val="004B3D23"/>
    <w:rsid w:val="004B3D48"/>
    <w:rsid w:val="004B3D8C"/>
    <w:rsid w:val="004B3DAB"/>
    <w:rsid w:val="004B3DBF"/>
    <w:rsid w:val="004B3E04"/>
    <w:rsid w:val="004B3E6C"/>
    <w:rsid w:val="004B3EDE"/>
    <w:rsid w:val="004B3F04"/>
    <w:rsid w:val="004B4074"/>
    <w:rsid w:val="004B4145"/>
    <w:rsid w:val="004B433A"/>
    <w:rsid w:val="004B4405"/>
    <w:rsid w:val="004B4482"/>
    <w:rsid w:val="004B449A"/>
    <w:rsid w:val="004B44C8"/>
    <w:rsid w:val="004B44EC"/>
    <w:rsid w:val="004B4542"/>
    <w:rsid w:val="004B456A"/>
    <w:rsid w:val="004B45A0"/>
    <w:rsid w:val="004B45C4"/>
    <w:rsid w:val="004B4646"/>
    <w:rsid w:val="004B4679"/>
    <w:rsid w:val="004B46BF"/>
    <w:rsid w:val="004B473E"/>
    <w:rsid w:val="004B477C"/>
    <w:rsid w:val="004B478D"/>
    <w:rsid w:val="004B47BC"/>
    <w:rsid w:val="004B47CA"/>
    <w:rsid w:val="004B47EC"/>
    <w:rsid w:val="004B48E9"/>
    <w:rsid w:val="004B491A"/>
    <w:rsid w:val="004B49F2"/>
    <w:rsid w:val="004B4A07"/>
    <w:rsid w:val="004B4A98"/>
    <w:rsid w:val="004B4AD2"/>
    <w:rsid w:val="004B4AED"/>
    <w:rsid w:val="004B4AF2"/>
    <w:rsid w:val="004B4B80"/>
    <w:rsid w:val="004B4B9F"/>
    <w:rsid w:val="004B4BA9"/>
    <w:rsid w:val="004B4BC5"/>
    <w:rsid w:val="004B4C5F"/>
    <w:rsid w:val="004B4CA8"/>
    <w:rsid w:val="004B4CB1"/>
    <w:rsid w:val="004B4D48"/>
    <w:rsid w:val="004B4D58"/>
    <w:rsid w:val="004B4F2D"/>
    <w:rsid w:val="004B4F82"/>
    <w:rsid w:val="004B4FB0"/>
    <w:rsid w:val="004B5065"/>
    <w:rsid w:val="004B50CA"/>
    <w:rsid w:val="004B5166"/>
    <w:rsid w:val="004B5223"/>
    <w:rsid w:val="004B52AE"/>
    <w:rsid w:val="004B536D"/>
    <w:rsid w:val="004B53A8"/>
    <w:rsid w:val="004B53C8"/>
    <w:rsid w:val="004B53DE"/>
    <w:rsid w:val="004B5434"/>
    <w:rsid w:val="004B543A"/>
    <w:rsid w:val="004B54DF"/>
    <w:rsid w:val="004B54E2"/>
    <w:rsid w:val="004B5530"/>
    <w:rsid w:val="004B5592"/>
    <w:rsid w:val="004B55CB"/>
    <w:rsid w:val="004B565D"/>
    <w:rsid w:val="004B571B"/>
    <w:rsid w:val="004B5756"/>
    <w:rsid w:val="004B57B7"/>
    <w:rsid w:val="004B57CB"/>
    <w:rsid w:val="004B5816"/>
    <w:rsid w:val="004B583D"/>
    <w:rsid w:val="004B586E"/>
    <w:rsid w:val="004B587D"/>
    <w:rsid w:val="004B5933"/>
    <w:rsid w:val="004B596B"/>
    <w:rsid w:val="004B5974"/>
    <w:rsid w:val="004B5984"/>
    <w:rsid w:val="004B5A09"/>
    <w:rsid w:val="004B5A52"/>
    <w:rsid w:val="004B5A89"/>
    <w:rsid w:val="004B5A92"/>
    <w:rsid w:val="004B5AC0"/>
    <w:rsid w:val="004B5AFC"/>
    <w:rsid w:val="004B5BDE"/>
    <w:rsid w:val="004B5C12"/>
    <w:rsid w:val="004B5CA1"/>
    <w:rsid w:val="004B5D03"/>
    <w:rsid w:val="004B5DA1"/>
    <w:rsid w:val="004B5E16"/>
    <w:rsid w:val="004B5E68"/>
    <w:rsid w:val="004B5E70"/>
    <w:rsid w:val="004B5F25"/>
    <w:rsid w:val="004B5F8F"/>
    <w:rsid w:val="004B5FDA"/>
    <w:rsid w:val="004B6201"/>
    <w:rsid w:val="004B6276"/>
    <w:rsid w:val="004B627F"/>
    <w:rsid w:val="004B6284"/>
    <w:rsid w:val="004B6339"/>
    <w:rsid w:val="004B63B8"/>
    <w:rsid w:val="004B6400"/>
    <w:rsid w:val="004B6584"/>
    <w:rsid w:val="004B660F"/>
    <w:rsid w:val="004B6650"/>
    <w:rsid w:val="004B6700"/>
    <w:rsid w:val="004B6791"/>
    <w:rsid w:val="004B686B"/>
    <w:rsid w:val="004B68DB"/>
    <w:rsid w:val="004B6907"/>
    <w:rsid w:val="004B698B"/>
    <w:rsid w:val="004B6B09"/>
    <w:rsid w:val="004B6B12"/>
    <w:rsid w:val="004B6B17"/>
    <w:rsid w:val="004B6C3E"/>
    <w:rsid w:val="004B6C64"/>
    <w:rsid w:val="004B6D15"/>
    <w:rsid w:val="004B6E4E"/>
    <w:rsid w:val="004B6EB6"/>
    <w:rsid w:val="004B6FD5"/>
    <w:rsid w:val="004B708F"/>
    <w:rsid w:val="004B713B"/>
    <w:rsid w:val="004B7222"/>
    <w:rsid w:val="004B7224"/>
    <w:rsid w:val="004B7269"/>
    <w:rsid w:val="004B72B6"/>
    <w:rsid w:val="004B734A"/>
    <w:rsid w:val="004B73DD"/>
    <w:rsid w:val="004B73F1"/>
    <w:rsid w:val="004B743F"/>
    <w:rsid w:val="004B74B4"/>
    <w:rsid w:val="004B7596"/>
    <w:rsid w:val="004B75A9"/>
    <w:rsid w:val="004B7614"/>
    <w:rsid w:val="004B7679"/>
    <w:rsid w:val="004B76D8"/>
    <w:rsid w:val="004B7753"/>
    <w:rsid w:val="004B776D"/>
    <w:rsid w:val="004B77F7"/>
    <w:rsid w:val="004B782F"/>
    <w:rsid w:val="004B7870"/>
    <w:rsid w:val="004B7A25"/>
    <w:rsid w:val="004B7A51"/>
    <w:rsid w:val="004B7AEB"/>
    <w:rsid w:val="004B7B8E"/>
    <w:rsid w:val="004B7C7F"/>
    <w:rsid w:val="004B7CC8"/>
    <w:rsid w:val="004B7CEE"/>
    <w:rsid w:val="004B7D81"/>
    <w:rsid w:val="004B7EE5"/>
    <w:rsid w:val="004C006F"/>
    <w:rsid w:val="004C007C"/>
    <w:rsid w:val="004C00C2"/>
    <w:rsid w:val="004C00D5"/>
    <w:rsid w:val="004C013B"/>
    <w:rsid w:val="004C0255"/>
    <w:rsid w:val="004C02A5"/>
    <w:rsid w:val="004C033D"/>
    <w:rsid w:val="004C0370"/>
    <w:rsid w:val="004C0396"/>
    <w:rsid w:val="004C0489"/>
    <w:rsid w:val="004C0530"/>
    <w:rsid w:val="004C0532"/>
    <w:rsid w:val="004C053F"/>
    <w:rsid w:val="004C054D"/>
    <w:rsid w:val="004C0583"/>
    <w:rsid w:val="004C0598"/>
    <w:rsid w:val="004C05AB"/>
    <w:rsid w:val="004C05E7"/>
    <w:rsid w:val="004C0670"/>
    <w:rsid w:val="004C067B"/>
    <w:rsid w:val="004C0786"/>
    <w:rsid w:val="004C07B2"/>
    <w:rsid w:val="004C07C3"/>
    <w:rsid w:val="004C07D9"/>
    <w:rsid w:val="004C088E"/>
    <w:rsid w:val="004C0893"/>
    <w:rsid w:val="004C08F4"/>
    <w:rsid w:val="004C093E"/>
    <w:rsid w:val="004C09C8"/>
    <w:rsid w:val="004C0A63"/>
    <w:rsid w:val="004C0BD7"/>
    <w:rsid w:val="004C0C5F"/>
    <w:rsid w:val="004C0CF7"/>
    <w:rsid w:val="004C0E08"/>
    <w:rsid w:val="004C0E62"/>
    <w:rsid w:val="004C0EC8"/>
    <w:rsid w:val="004C0F14"/>
    <w:rsid w:val="004C0FC2"/>
    <w:rsid w:val="004C10B0"/>
    <w:rsid w:val="004C10FF"/>
    <w:rsid w:val="004C1163"/>
    <w:rsid w:val="004C11C7"/>
    <w:rsid w:val="004C121A"/>
    <w:rsid w:val="004C1238"/>
    <w:rsid w:val="004C12A8"/>
    <w:rsid w:val="004C12B5"/>
    <w:rsid w:val="004C136E"/>
    <w:rsid w:val="004C1413"/>
    <w:rsid w:val="004C153E"/>
    <w:rsid w:val="004C1544"/>
    <w:rsid w:val="004C15AC"/>
    <w:rsid w:val="004C15AF"/>
    <w:rsid w:val="004C15D9"/>
    <w:rsid w:val="004C1644"/>
    <w:rsid w:val="004C1645"/>
    <w:rsid w:val="004C164F"/>
    <w:rsid w:val="004C1677"/>
    <w:rsid w:val="004C16C0"/>
    <w:rsid w:val="004C18A3"/>
    <w:rsid w:val="004C18DD"/>
    <w:rsid w:val="004C18DE"/>
    <w:rsid w:val="004C1993"/>
    <w:rsid w:val="004C1A42"/>
    <w:rsid w:val="004C1A8B"/>
    <w:rsid w:val="004C1ABA"/>
    <w:rsid w:val="004C1B2B"/>
    <w:rsid w:val="004C1B5D"/>
    <w:rsid w:val="004C1B87"/>
    <w:rsid w:val="004C1C2E"/>
    <w:rsid w:val="004C1DFA"/>
    <w:rsid w:val="004C1E21"/>
    <w:rsid w:val="004C1FBC"/>
    <w:rsid w:val="004C2031"/>
    <w:rsid w:val="004C2182"/>
    <w:rsid w:val="004C222B"/>
    <w:rsid w:val="004C225C"/>
    <w:rsid w:val="004C226D"/>
    <w:rsid w:val="004C228D"/>
    <w:rsid w:val="004C2296"/>
    <w:rsid w:val="004C2305"/>
    <w:rsid w:val="004C2316"/>
    <w:rsid w:val="004C2317"/>
    <w:rsid w:val="004C2323"/>
    <w:rsid w:val="004C2334"/>
    <w:rsid w:val="004C2346"/>
    <w:rsid w:val="004C24B6"/>
    <w:rsid w:val="004C24F0"/>
    <w:rsid w:val="004C2534"/>
    <w:rsid w:val="004C2560"/>
    <w:rsid w:val="004C2759"/>
    <w:rsid w:val="004C28A7"/>
    <w:rsid w:val="004C28C4"/>
    <w:rsid w:val="004C297C"/>
    <w:rsid w:val="004C2998"/>
    <w:rsid w:val="004C2A5D"/>
    <w:rsid w:val="004C2AAC"/>
    <w:rsid w:val="004C2AF5"/>
    <w:rsid w:val="004C2B1E"/>
    <w:rsid w:val="004C2B5D"/>
    <w:rsid w:val="004C2C0E"/>
    <w:rsid w:val="004C2C3B"/>
    <w:rsid w:val="004C2C5B"/>
    <w:rsid w:val="004C2C87"/>
    <w:rsid w:val="004C2CAC"/>
    <w:rsid w:val="004C2EE2"/>
    <w:rsid w:val="004C2F4E"/>
    <w:rsid w:val="004C3117"/>
    <w:rsid w:val="004C3195"/>
    <w:rsid w:val="004C333D"/>
    <w:rsid w:val="004C3400"/>
    <w:rsid w:val="004C340F"/>
    <w:rsid w:val="004C3480"/>
    <w:rsid w:val="004C349F"/>
    <w:rsid w:val="004C354D"/>
    <w:rsid w:val="004C3583"/>
    <w:rsid w:val="004C35CB"/>
    <w:rsid w:val="004C3603"/>
    <w:rsid w:val="004C361F"/>
    <w:rsid w:val="004C3686"/>
    <w:rsid w:val="004C3729"/>
    <w:rsid w:val="004C3743"/>
    <w:rsid w:val="004C374D"/>
    <w:rsid w:val="004C3760"/>
    <w:rsid w:val="004C3798"/>
    <w:rsid w:val="004C37E6"/>
    <w:rsid w:val="004C392D"/>
    <w:rsid w:val="004C39D9"/>
    <w:rsid w:val="004C3B23"/>
    <w:rsid w:val="004C3B74"/>
    <w:rsid w:val="004C3D43"/>
    <w:rsid w:val="004C3DC4"/>
    <w:rsid w:val="004C3DF2"/>
    <w:rsid w:val="004C3DF8"/>
    <w:rsid w:val="004C3EF6"/>
    <w:rsid w:val="004C3F27"/>
    <w:rsid w:val="004C3FB5"/>
    <w:rsid w:val="004C401B"/>
    <w:rsid w:val="004C408A"/>
    <w:rsid w:val="004C40A9"/>
    <w:rsid w:val="004C40D3"/>
    <w:rsid w:val="004C41E8"/>
    <w:rsid w:val="004C42C4"/>
    <w:rsid w:val="004C4327"/>
    <w:rsid w:val="004C4397"/>
    <w:rsid w:val="004C43D3"/>
    <w:rsid w:val="004C4447"/>
    <w:rsid w:val="004C44CC"/>
    <w:rsid w:val="004C44CD"/>
    <w:rsid w:val="004C44D5"/>
    <w:rsid w:val="004C4548"/>
    <w:rsid w:val="004C465C"/>
    <w:rsid w:val="004C468A"/>
    <w:rsid w:val="004C4764"/>
    <w:rsid w:val="004C4768"/>
    <w:rsid w:val="004C47A3"/>
    <w:rsid w:val="004C4847"/>
    <w:rsid w:val="004C48F8"/>
    <w:rsid w:val="004C4961"/>
    <w:rsid w:val="004C4979"/>
    <w:rsid w:val="004C4A01"/>
    <w:rsid w:val="004C4A84"/>
    <w:rsid w:val="004C4B1A"/>
    <w:rsid w:val="004C4CD5"/>
    <w:rsid w:val="004C4D8B"/>
    <w:rsid w:val="004C4F39"/>
    <w:rsid w:val="004C4FDE"/>
    <w:rsid w:val="004C5063"/>
    <w:rsid w:val="004C50A1"/>
    <w:rsid w:val="004C50E7"/>
    <w:rsid w:val="004C512A"/>
    <w:rsid w:val="004C5177"/>
    <w:rsid w:val="004C52B6"/>
    <w:rsid w:val="004C5300"/>
    <w:rsid w:val="004C53A5"/>
    <w:rsid w:val="004C5521"/>
    <w:rsid w:val="004C5542"/>
    <w:rsid w:val="004C55AF"/>
    <w:rsid w:val="004C5665"/>
    <w:rsid w:val="004C56E0"/>
    <w:rsid w:val="004C5718"/>
    <w:rsid w:val="004C5753"/>
    <w:rsid w:val="004C5927"/>
    <w:rsid w:val="004C59EE"/>
    <w:rsid w:val="004C5A2F"/>
    <w:rsid w:val="004C5A78"/>
    <w:rsid w:val="004C5AC4"/>
    <w:rsid w:val="004C5B5E"/>
    <w:rsid w:val="004C5B7B"/>
    <w:rsid w:val="004C5C72"/>
    <w:rsid w:val="004C5CA6"/>
    <w:rsid w:val="004C5D08"/>
    <w:rsid w:val="004C5D3A"/>
    <w:rsid w:val="004C5D9D"/>
    <w:rsid w:val="004C5EA1"/>
    <w:rsid w:val="004C5EFA"/>
    <w:rsid w:val="004C5FA1"/>
    <w:rsid w:val="004C606D"/>
    <w:rsid w:val="004C608E"/>
    <w:rsid w:val="004C6130"/>
    <w:rsid w:val="004C6138"/>
    <w:rsid w:val="004C61BB"/>
    <w:rsid w:val="004C61C4"/>
    <w:rsid w:val="004C61CA"/>
    <w:rsid w:val="004C6225"/>
    <w:rsid w:val="004C6364"/>
    <w:rsid w:val="004C63C8"/>
    <w:rsid w:val="004C65CC"/>
    <w:rsid w:val="004C65D3"/>
    <w:rsid w:val="004C65D5"/>
    <w:rsid w:val="004C65EA"/>
    <w:rsid w:val="004C66E8"/>
    <w:rsid w:val="004C67C8"/>
    <w:rsid w:val="004C67DA"/>
    <w:rsid w:val="004C67EC"/>
    <w:rsid w:val="004C6806"/>
    <w:rsid w:val="004C6866"/>
    <w:rsid w:val="004C6951"/>
    <w:rsid w:val="004C6999"/>
    <w:rsid w:val="004C69E0"/>
    <w:rsid w:val="004C69FB"/>
    <w:rsid w:val="004C69FF"/>
    <w:rsid w:val="004C6A53"/>
    <w:rsid w:val="004C6A69"/>
    <w:rsid w:val="004C6B83"/>
    <w:rsid w:val="004C6B97"/>
    <w:rsid w:val="004C6BA8"/>
    <w:rsid w:val="004C6C06"/>
    <w:rsid w:val="004C6C32"/>
    <w:rsid w:val="004C6D03"/>
    <w:rsid w:val="004C6E55"/>
    <w:rsid w:val="004C6ED4"/>
    <w:rsid w:val="004C7130"/>
    <w:rsid w:val="004C71A2"/>
    <w:rsid w:val="004C71E6"/>
    <w:rsid w:val="004C72B1"/>
    <w:rsid w:val="004C73AA"/>
    <w:rsid w:val="004C73EC"/>
    <w:rsid w:val="004C7401"/>
    <w:rsid w:val="004C7595"/>
    <w:rsid w:val="004C7640"/>
    <w:rsid w:val="004C77A7"/>
    <w:rsid w:val="004C77BE"/>
    <w:rsid w:val="004C77DE"/>
    <w:rsid w:val="004C77EE"/>
    <w:rsid w:val="004C7816"/>
    <w:rsid w:val="004C78FA"/>
    <w:rsid w:val="004C7900"/>
    <w:rsid w:val="004C79DE"/>
    <w:rsid w:val="004C7AC8"/>
    <w:rsid w:val="004C7C5C"/>
    <w:rsid w:val="004C7E5D"/>
    <w:rsid w:val="004C7E7A"/>
    <w:rsid w:val="004C7F72"/>
    <w:rsid w:val="004C7F96"/>
    <w:rsid w:val="004C7FA4"/>
    <w:rsid w:val="004C7FCC"/>
    <w:rsid w:val="004D02CA"/>
    <w:rsid w:val="004D033C"/>
    <w:rsid w:val="004D0363"/>
    <w:rsid w:val="004D038D"/>
    <w:rsid w:val="004D03AF"/>
    <w:rsid w:val="004D03F4"/>
    <w:rsid w:val="004D048C"/>
    <w:rsid w:val="004D0494"/>
    <w:rsid w:val="004D0511"/>
    <w:rsid w:val="004D0555"/>
    <w:rsid w:val="004D056D"/>
    <w:rsid w:val="004D05C4"/>
    <w:rsid w:val="004D05FF"/>
    <w:rsid w:val="004D064A"/>
    <w:rsid w:val="004D0686"/>
    <w:rsid w:val="004D0780"/>
    <w:rsid w:val="004D07D2"/>
    <w:rsid w:val="004D0828"/>
    <w:rsid w:val="004D08B1"/>
    <w:rsid w:val="004D097C"/>
    <w:rsid w:val="004D0AC4"/>
    <w:rsid w:val="004D0AF0"/>
    <w:rsid w:val="004D0AFB"/>
    <w:rsid w:val="004D0EA4"/>
    <w:rsid w:val="004D0EB1"/>
    <w:rsid w:val="004D0FAA"/>
    <w:rsid w:val="004D0FED"/>
    <w:rsid w:val="004D1002"/>
    <w:rsid w:val="004D104F"/>
    <w:rsid w:val="004D11B5"/>
    <w:rsid w:val="004D12B4"/>
    <w:rsid w:val="004D12FA"/>
    <w:rsid w:val="004D13FF"/>
    <w:rsid w:val="004D1400"/>
    <w:rsid w:val="004D1436"/>
    <w:rsid w:val="004D1437"/>
    <w:rsid w:val="004D1442"/>
    <w:rsid w:val="004D1507"/>
    <w:rsid w:val="004D1588"/>
    <w:rsid w:val="004D1619"/>
    <w:rsid w:val="004D1628"/>
    <w:rsid w:val="004D1713"/>
    <w:rsid w:val="004D1801"/>
    <w:rsid w:val="004D1858"/>
    <w:rsid w:val="004D1964"/>
    <w:rsid w:val="004D1972"/>
    <w:rsid w:val="004D19A7"/>
    <w:rsid w:val="004D19AB"/>
    <w:rsid w:val="004D19F3"/>
    <w:rsid w:val="004D1A41"/>
    <w:rsid w:val="004D1A69"/>
    <w:rsid w:val="004D1A6C"/>
    <w:rsid w:val="004D1AB7"/>
    <w:rsid w:val="004D1AF1"/>
    <w:rsid w:val="004D1CBF"/>
    <w:rsid w:val="004D1D20"/>
    <w:rsid w:val="004D1D41"/>
    <w:rsid w:val="004D1D42"/>
    <w:rsid w:val="004D1D5E"/>
    <w:rsid w:val="004D1E73"/>
    <w:rsid w:val="004D1E84"/>
    <w:rsid w:val="004D1E91"/>
    <w:rsid w:val="004D1F0B"/>
    <w:rsid w:val="004D1F87"/>
    <w:rsid w:val="004D200B"/>
    <w:rsid w:val="004D2107"/>
    <w:rsid w:val="004D21E2"/>
    <w:rsid w:val="004D2207"/>
    <w:rsid w:val="004D224D"/>
    <w:rsid w:val="004D2250"/>
    <w:rsid w:val="004D2331"/>
    <w:rsid w:val="004D23D1"/>
    <w:rsid w:val="004D24ED"/>
    <w:rsid w:val="004D254F"/>
    <w:rsid w:val="004D255B"/>
    <w:rsid w:val="004D2603"/>
    <w:rsid w:val="004D2673"/>
    <w:rsid w:val="004D268D"/>
    <w:rsid w:val="004D26BF"/>
    <w:rsid w:val="004D26C4"/>
    <w:rsid w:val="004D26EC"/>
    <w:rsid w:val="004D27E7"/>
    <w:rsid w:val="004D28BC"/>
    <w:rsid w:val="004D28CE"/>
    <w:rsid w:val="004D294E"/>
    <w:rsid w:val="004D2BA2"/>
    <w:rsid w:val="004D2BBE"/>
    <w:rsid w:val="004D2BC0"/>
    <w:rsid w:val="004D2D2C"/>
    <w:rsid w:val="004D2D70"/>
    <w:rsid w:val="004D2D9F"/>
    <w:rsid w:val="004D2EFC"/>
    <w:rsid w:val="004D302D"/>
    <w:rsid w:val="004D309A"/>
    <w:rsid w:val="004D3106"/>
    <w:rsid w:val="004D3125"/>
    <w:rsid w:val="004D3171"/>
    <w:rsid w:val="004D3180"/>
    <w:rsid w:val="004D31D3"/>
    <w:rsid w:val="004D322E"/>
    <w:rsid w:val="004D3249"/>
    <w:rsid w:val="004D32AD"/>
    <w:rsid w:val="004D339E"/>
    <w:rsid w:val="004D34E8"/>
    <w:rsid w:val="004D34F3"/>
    <w:rsid w:val="004D3555"/>
    <w:rsid w:val="004D3720"/>
    <w:rsid w:val="004D3761"/>
    <w:rsid w:val="004D3814"/>
    <w:rsid w:val="004D393B"/>
    <w:rsid w:val="004D3B32"/>
    <w:rsid w:val="004D3B52"/>
    <w:rsid w:val="004D3BC7"/>
    <w:rsid w:val="004D3C4C"/>
    <w:rsid w:val="004D3C6B"/>
    <w:rsid w:val="004D3CAA"/>
    <w:rsid w:val="004D3D04"/>
    <w:rsid w:val="004D3D40"/>
    <w:rsid w:val="004D3E16"/>
    <w:rsid w:val="004D3EA2"/>
    <w:rsid w:val="004D3EC8"/>
    <w:rsid w:val="004D3F9A"/>
    <w:rsid w:val="004D3FBA"/>
    <w:rsid w:val="004D4010"/>
    <w:rsid w:val="004D4035"/>
    <w:rsid w:val="004D4180"/>
    <w:rsid w:val="004D4212"/>
    <w:rsid w:val="004D4217"/>
    <w:rsid w:val="004D4233"/>
    <w:rsid w:val="004D4253"/>
    <w:rsid w:val="004D42A6"/>
    <w:rsid w:val="004D4309"/>
    <w:rsid w:val="004D4343"/>
    <w:rsid w:val="004D4383"/>
    <w:rsid w:val="004D43CE"/>
    <w:rsid w:val="004D468E"/>
    <w:rsid w:val="004D4730"/>
    <w:rsid w:val="004D486C"/>
    <w:rsid w:val="004D48BC"/>
    <w:rsid w:val="004D492C"/>
    <w:rsid w:val="004D49B1"/>
    <w:rsid w:val="004D49DD"/>
    <w:rsid w:val="004D49E7"/>
    <w:rsid w:val="004D4A8F"/>
    <w:rsid w:val="004D4AE3"/>
    <w:rsid w:val="004D4AF3"/>
    <w:rsid w:val="004D4DEC"/>
    <w:rsid w:val="004D4E2D"/>
    <w:rsid w:val="004D4E8E"/>
    <w:rsid w:val="004D4F76"/>
    <w:rsid w:val="004D4FDE"/>
    <w:rsid w:val="004D5012"/>
    <w:rsid w:val="004D50FF"/>
    <w:rsid w:val="004D5174"/>
    <w:rsid w:val="004D51CD"/>
    <w:rsid w:val="004D5299"/>
    <w:rsid w:val="004D52B4"/>
    <w:rsid w:val="004D52C6"/>
    <w:rsid w:val="004D53AE"/>
    <w:rsid w:val="004D53BE"/>
    <w:rsid w:val="004D55E7"/>
    <w:rsid w:val="004D55EF"/>
    <w:rsid w:val="004D55F9"/>
    <w:rsid w:val="004D5668"/>
    <w:rsid w:val="004D56D2"/>
    <w:rsid w:val="004D579D"/>
    <w:rsid w:val="004D57AD"/>
    <w:rsid w:val="004D5813"/>
    <w:rsid w:val="004D586B"/>
    <w:rsid w:val="004D5957"/>
    <w:rsid w:val="004D598B"/>
    <w:rsid w:val="004D5994"/>
    <w:rsid w:val="004D5A7E"/>
    <w:rsid w:val="004D5A89"/>
    <w:rsid w:val="004D5B42"/>
    <w:rsid w:val="004D5B75"/>
    <w:rsid w:val="004D5C04"/>
    <w:rsid w:val="004D5CFA"/>
    <w:rsid w:val="004D5D52"/>
    <w:rsid w:val="004D5E62"/>
    <w:rsid w:val="004D5E8A"/>
    <w:rsid w:val="004D5EC4"/>
    <w:rsid w:val="004D6012"/>
    <w:rsid w:val="004D612E"/>
    <w:rsid w:val="004D615C"/>
    <w:rsid w:val="004D6197"/>
    <w:rsid w:val="004D61BF"/>
    <w:rsid w:val="004D626D"/>
    <w:rsid w:val="004D62F4"/>
    <w:rsid w:val="004D6357"/>
    <w:rsid w:val="004D6389"/>
    <w:rsid w:val="004D638B"/>
    <w:rsid w:val="004D63FF"/>
    <w:rsid w:val="004D651D"/>
    <w:rsid w:val="004D65AE"/>
    <w:rsid w:val="004D6693"/>
    <w:rsid w:val="004D66CF"/>
    <w:rsid w:val="004D6750"/>
    <w:rsid w:val="004D680B"/>
    <w:rsid w:val="004D68D1"/>
    <w:rsid w:val="004D69E8"/>
    <w:rsid w:val="004D6A19"/>
    <w:rsid w:val="004D6AB2"/>
    <w:rsid w:val="004D6B15"/>
    <w:rsid w:val="004D6B1D"/>
    <w:rsid w:val="004D6BDF"/>
    <w:rsid w:val="004D6C4D"/>
    <w:rsid w:val="004D6CB0"/>
    <w:rsid w:val="004D6CE1"/>
    <w:rsid w:val="004D6E44"/>
    <w:rsid w:val="004D7130"/>
    <w:rsid w:val="004D716F"/>
    <w:rsid w:val="004D7171"/>
    <w:rsid w:val="004D7219"/>
    <w:rsid w:val="004D7221"/>
    <w:rsid w:val="004D722C"/>
    <w:rsid w:val="004D723A"/>
    <w:rsid w:val="004D7257"/>
    <w:rsid w:val="004D730E"/>
    <w:rsid w:val="004D7354"/>
    <w:rsid w:val="004D7459"/>
    <w:rsid w:val="004D7690"/>
    <w:rsid w:val="004D77CC"/>
    <w:rsid w:val="004D780D"/>
    <w:rsid w:val="004D7891"/>
    <w:rsid w:val="004D78AF"/>
    <w:rsid w:val="004D7911"/>
    <w:rsid w:val="004D7A1C"/>
    <w:rsid w:val="004D7A32"/>
    <w:rsid w:val="004D7B62"/>
    <w:rsid w:val="004D7CBE"/>
    <w:rsid w:val="004D7CC9"/>
    <w:rsid w:val="004D7D35"/>
    <w:rsid w:val="004D7D6C"/>
    <w:rsid w:val="004D7DED"/>
    <w:rsid w:val="004D7E16"/>
    <w:rsid w:val="004D7E7E"/>
    <w:rsid w:val="004D7EC6"/>
    <w:rsid w:val="004D7ECD"/>
    <w:rsid w:val="004D7F6B"/>
    <w:rsid w:val="004D7F9D"/>
    <w:rsid w:val="004D7FDE"/>
    <w:rsid w:val="004D7FED"/>
    <w:rsid w:val="004E0034"/>
    <w:rsid w:val="004E0192"/>
    <w:rsid w:val="004E01A2"/>
    <w:rsid w:val="004E01B5"/>
    <w:rsid w:val="004E01D6"/>
    <w:rsid w:val="004E02BD"/>
    <w:rsid w:val="004E035A"/>
    <w:rsid w:val="004E03D5"/>
    <w:rsid w:val="004E04A0"/>
    <w:rsid w:val="004E04CF"/>
    <w:rsid w:val="004E052A"/>
    <w:rsid w:val="004E0537"/>
    <w:rsid w:val="004E0566"/>
    <w:rsid w:val="004E05D6"/>
    <w:rsid w:val="004E067E"/>
    <w:rsid w:val="004E078C"/>
    <w:rsid w:val="004E079D"/>
    <w:rsid w:val="004E082D"/>
    <w:rsid w:val="004E0856"/>
    <w:rsid w:val="004E08C0"/>
    <w:rsid w:val="004E0907"/>
    <w:rsid w:val="004E093D"/>
    <w:rsid w:val="004E094B"/>
    <w:rsid w:val="004E0997"/>
    <w:rsid w:val="004E0B61"/>
    <w:rsid w:val="004E0BFA"/>
    <w:rsid w:val="004E0C2C"/>
    <w:rsid w:val="004E0C46"/>
    <w:rsid w:val="004E0C94"/>
    <w:rsid w:val="004E0D76"/>
    <w:rsid w:val="004E0D7D"/>
    <w:rsid w:val="004E0DCE"/>
    <w:rsid w:val="004E0FD1"/>
    <w:rsid w:val="004E1040"/>
    <w:rsid w:val="004E109E"/>
    <w:rsid w:val="004E1159"/>
    <w:rsid w:val="004E11B3"/>
    <w:rsid w:val="004E1216"/>
    <w:rsid w:val="004E122B"/>
    <w:rsid w:val="004E1297"/>
    <w:rsid w:val="004E12BA"/>
    <w:rsid w:val="004E12CB"/>
    <w:rsid w:val="004E12CC"/>
    <w:rsid w:val="004E1323"/>
    <w:rsid w:val="004E1354"/>
    <w:rsid w:val="004E142A"/>
    <w:rsid w:val="004E1590"/>
    <w:rsid w:val="004E15AE"/>
    <w:rsid w:val="004E1605"/>
    <w:rsid w:val="004E165C"/>
    <w:rsid w:val="004E17F2"/>
    <w:rsid w:val="004E1901"/>
    <w:rsid w:val="004E198E"/>
    <w:rsid w:val="004E19D5"/>
    <w:rsid w:val="004E1AF5"/>
    <w:rsid w:val="004E1D37"/>
    <w:rsid w:val="004E1D64"/>
    <w:rsid w:val="004E1D97"/>
    <w:rsid w:val="004E1DB5"/>
    <w:rsid w:val="004E1E20"/>
    <w:rsid w:val="004E1E3F"/>
    <w:rsid w:val="004E1E86"/>
    <w:rsid w:val="004E20BB"/>
    <w:rsid w:val="004E20DB"/>
    <w:rsid w:val="004E210E"/>
    <w:rsid w:val="004E2181"/>
    <w:rsid w:val="004E22BD"/>
    <w:rsid w:val="004E231D"/>
    <w:rsid w:val="004E23FC"/>
    <w:rsid w:val="004E2424"/>
    <w:rsid w:val="004E2440"/>
    <w:rsid w:val="004E2472"/>
    <w:rsid w:val="004E24C9"/>
    <w:rsid w:val="004E2500"/>
    <w:rsid w:val="004E27BD"/>
    <w:rsid w:val="004E2805"/>
    <w:rsid w:val="004E28F3"/>
    <w:rsid w:val="004E293B"/>
    <w:rsid w:val="004E29BC"/>
    <w:rsid w:val="004E2A3F"/>
    <w:rsid w:val="004E2C90"/>
    <w:rsid w:val="004E2CD6"/>
    <w:rsid w:val="004E2CE5"/>
    <w:rsid w:val="004E2CFF"/>
    <w:rsid w:val="004E2D70"/>
    <w:rsid w:val="004E2DCA"/>
    <w:rsid w:val="004E2DE1"/>
    <w:rsid w:val="004E2DFB"/>
    <w:rsid w:val="004E2E00"/>
    <w:rsid w:val="004E2EF2"/>
    <w:rsid w:val="004E2F18"/>
    <w:rsid w:val="004E2FE5"/>
    <w:rsid w:val="004E3086"/>
    <w:rsid w:val="004E30FC"/>
    <w:rsid w:val="004E3126"/>
    <w:rsid w:val="004E3142"/>
    <w:rsid w:val="004E315B"/>
    <w:rsid w:val="004E3163"/>
    <w:rsid w:val="004E31F2"/>
    <w:rsid w:val="004E3244"/>
    <w:rsid w:val="004E32FB"/>
    <w:rsid w:val="004E336D"/>
    <w:rsid w:val="004E33AD"/>
    <w:rsid w:val="004E33CD"/>
    <w:rsid w:val="004E3400"/>
    <w:rsid w:val="004E3425"/>
    <w:rsid w:val="004E3474"/>
    <w:rsid w:val="004E34B2"/>
    <w:rsid w:val="004E34BF"/>
    <w:rsid w:val="004E34C1"/>
    <w:rsid w:val="004E3527"/>
    <w:rsid w:val="004E3564"/>
    <w:rsid w:val="004E356B"/>
    <w:rsid w:val="004E358F"/>
    <w:rsid w:val="004E35DF"/>
    <w:rsid w:val="004E35E6"/>
    <w:rsid w:val="004E35F3"/>
    <w:rsid w:val="004E367E"/>
    <w:rsid w:val="004E3712"/>
    <w:rsid w:val="004E3731"/>
    <w:rsid w:val="004E373F"/>
    <w:rsid w:val="004E3751"/>
    <w:rsid w:val="004E3769"/>
    <w:rsid w:val="004E387F"/>
    <w:rsid w:val="004E38A1"/>
    <w:rsid w:val="004E3943"/>
    <w:rsid w:val="004E39F6"/>
    <w:rsid w:val="004E39FA"/>
    <w:rsid w:val="004E3A07"/>
    <w:rsid w:val="004E3B15"/>
    <w:rsid w:val="004E3B49"/>
    <w:rsid w:val="004E3CF2"/>
    <w:rsid w:val="004E3D0A"/>
    <w:rsid w:val="004E3EF9"/>
    <w:rsid w:val="004E3F45"/>
    <w:rsid w:val="004E3FDB"/>
    <w:rsid w:val="004E400A"/>
    <w:rsid w:val="004E40D9"/>
    <w:rsid w:val="004E41AC"/>
    <w:rsid w:val="004E4246"/>
    <w:rsid w:val="004E427C"/>
    <w:rsid w:val="004E42CA"/>
    <w:rsid w:val="004E4302"/>
    <w:rsid w:val="004E442C"/>
    <w:rsid w:val="004E4439"/>
    <w:rsid w:val="004E4442"/>
    <w:rsid w:val="004E4444"/>
    <w:rsid w:val="004E4450"/>
    <w:rsid w:val="004E449D"/>
    <w:rsid w:val="004E44E0"/>
    <w:rsid w:val="004E4522"/>
    <w:rsid w:val="004E4564"/>
    <w:rsid w:val="004E45A2"/>
    <w:rsid w:val="004E45E6"/>
    <w:rsid w:val="004E46AE"/>
    <w:rsid w:val="004E46C8"/>
    <w:rsid w:val="004E46DF"/>
    <w:rsid w:val="004E4793"/>
    <w:rsid w:val="004E479B"/>
    <w:rsid w:val="004E47F2"/>
    <w:rsid w:val="004E4800"/>
    <w:rsid w:val="004E4899"/>
    <w:rsid w:val="004E496B"/>
    <w:rsid w:val="004E4A61"/>
    <w:rsid w:val="004E4AC1"/>
    <w:rsid w:val="004E4ADF"/>
    <w:rsid w:val="004E4B3E"/>
    <w:rsid w:val="004E4D3E"/>
    <w:rsid w:val="004E4E05"/>
    <w:rsid w:val="004E4E20"/>
    <w:rsid w:val="004E4ECC"/>
    <w:rsid w:val="004E4FC1"/>
    <w:rsid w:val="004E5069"/>
    <w:rsid w:val="004E5072"/>
    <w:rsid w:val="004E5073"/>
    <w:rsid w:val="004E50F6"/>
    <w:rsid w:val="004E51F5"/>
    <w:rsid w:val="004E53AA"/>
    <w:rsid w:val="004E5461"/>
    <w:rsid w:val="004E5462"/>
    <w:rsid w:val="004E5501"/>
    <w:rsid w:val="004E5528"/>
    <w:rsid w:val="004E5587"/>
    <w:rsid w:val="004E5648"/>
    <w:rsid w:val="004E5711"/>
    <w:rsid w:val="004E5714"/>
    <w:rsid w:val="004E588C"/>
    <w:rsid w:val="004E58A7"/>
    <w:rsid w:val="004E58E3"/>
    <w:rsid w:val="004E58EC"/>
    <w:rsid w:val="004E5961"/>
    <w:rsid w:val="004E59D0"/>
    <w:rsid w:val="004E59D4"/>
    <w:rsid w:val="004E5A4B"/>
    <w:rsid w:val="004E5A56"/>
    <w:rsid w:val="004E5A5C"/>
    <w:rsid w:val="004E5AE0"/>
    <w:rsid w:val="004E5B63"/>
    <w:rsid w:val="004E5B88"/>
    <w:rsid w:val="004E5CC5"/>
    <w:rsid w:val="004E5CDE"/>
    <w:rsid w:val="004E5CE6"/>
    <w:rsid w:val="004E5D14"/>
    <w:rsid w:val="004E5D83"/>
    <w:rsid w:val="004E5D8F"/>
    <w:rsid w:val="004E5DFF"/>
    <w:rsid w:val="004E5E0D"/>
    <w:rsid w:val="004E5EEA"/>
    <w:rsid w:val="004E5F48"/>
    <w:rsid w:val="004E600B"/>
    <w:rsid w:val="004E606D"/>
    <w:rsid w:val="004E611D"/>
    <w:rsid w:val="004E6124"/>
    <w:rsid w:val="004E619E"/>
    <w:rsid w:val="004E61C5"/>
    <w:rsid w:val="004E623E"/>
    <w:rsid w:val="004E6297"/>
    <w:rsid w:val="004E62A5"/>
    <w:rsid w:val="004E62B7"/>
    <w:rsid w:val="004E630F"/>
    <w:rsid w:val="004E63C1"/>
    <w:rsid w:val="004E6452"/>
    <w:rsid w:val="004E647C"/>
    <w:rsid w:val="004E650E"/>
    <w:rsid w:val="004E653D"/>
    <w:rsid w:val="004E65A9"/>
    <w:rsid w:val="004E6686"/>
    <w:rsid w:val="004E6704"/>
    <w:rsid w:val="004E671A"/>
    <w:rsid w:val="004E6788"/>
    <w:rsid w:val="004E68E7"/>
    <w:rsid w:val="004E69B5"/>
    <w:rsid w:val="004E69B9"/>
    <w:rsid w:val="004E69E0"/>
    <w:rsid w:val="004E69EE"/>
    <w:rsid w:val="004E6A84"/>
    <w:rsid w:val="004E6AAB"/>
    <w:rsid w:val="004E6AE2"/>
    <w:rsid w:val="004E6B99"/>
    <w:rsid w:val="004E6BF9"/>
    <w:rsid w:val="004E6C48"/>
    <w:rsid w:val="004E6CA9"/>
    <w:rsid w:val="004E6CFA"/>
    <w:rsid w:val="004E6D30"/>
    <w:rsid w:val="004E6D6F"/>
    <w:rsid w:val="004E6E64"/>
    <w:rsid w:val="004E6EB7"/>
    <w:rsid w:val="004E6F63"/>
    <w:rsid w:val="004E7087"/>
    <w:rsid w:val="004E710F"/>
    <w:rsid w:val="004E718D"/>
    <w:rsid w:val="004E71CB"/>
    <w:rsid w:val="004E71EC"/>
    <w:rsid w:val="004E720E"/>
    <w:rsid w:val="004E7219"/>
    <w:rsid w:val="004E7260"/>
    <w:rsid w:val="004E7269"/>
    <w:rsid w:val="004E72FC"/>
    <w:rsid w:val="004E7418"/>
    <w:rsid w:val="004E7438"/>
    <w:rsid w:val="004E7641"/>
    <w:rsid w:val="004E76EA"/>
    <w:rsid w:val="004E774B"/>
    <w:rsid w:val="004E77C7"/>
    <w:rsid w:val="004E7809"/>
    <w:rsid w:val="004E7835"/>
    <w:rsid w:val="004E7845"/>
    <w:rsid w:val="004E78E7"/>
    <w:rsid w:val="004E793B"/>
    <w:rsid w:val="004E79C3"/>
    <w:rsid w:val="004E7AC3"/>
    <w:rsid w:val="004E7B2D"/>
    <w:rsid w:val="004E7B2E"/>
    <w:rsid w:val="004E7C4E"/>
    <w:rsid w:val="004E7CA4"/>
    <w:rsid w:val="004E7EAF"/>
    <w:rsid w:val="004E7EDF"/>
    <w:rsid w:val="004E7F5A"/>
    <w:rsid w:val="004EE770"/>
    <w:rsid w:val="004F010E"/>
    <w:rsid w:val="004F0180"/>
    <w:rsid w:val="004F018E"/>
    <w:rsid w:val="004F01AC"/>
    <w:rsid w:val="004F0249"/>
    <w:rsid w:val="004F0276"/>
    <w:rsid w:val="004F0500"/>
    <w:rsid w:val="004F050E"/>
    <w:rsid w:val="004F0563"/>
    <w:rsid w:val="004F0631"/>
    <w:rsid w:val="004F0640"/>
    <w:rsid w:val="004F06DD"/>
    <w:rsid w:val="004F06F5"/>
    <w:rsid w:val="004F072D"/>
    <w:rsid w:val="004F075F"/>
    <w:rsid w:val="004F0764"/>
    <w:rsid w:val="004F080F"/>
    <w:rsid w:val="004F08DB"/>
    <w:rsid w:val="004F0975"/>
    <w:rsid w:val="004F09B7"/>
    <w:rsid w:val="004F0A23"/>
    <w:rsid w:val="004F0AB1"/>
    <w:rsid w:val="004F0B61"/>
    <w:rsid w:val="004F0BB3"/>
    <w:rsid w:val="004F0BFE"/>
    <w:rsid w:val="004F0DA8"/>
    <w:rsid w:val="004F0DC3"/>
    <w:rsid w:val="004F0E66"/>
    <w:rsid w:val="004F0F1D"/>
    <w:rsid w:val="004F0FA1"/>
    <w:rsid w:val="004F1185"/>
    <w:rsid w:val="004F11E1"/>
    <w:rsid w:val="004F1201"/>
    <w:rsid w:val="004F128D"/>
    <w:rsid w:val="004F13DC"/>
    <w:rsid w:val="004F1423"/>
    <w:rsid w:val="004F1425"/>
    <w:rsid w:val="004F15C9"/>
    <w:rsid w:val="004F1651"/>
    <w:rsid w:val="004F1657"/>
    <w:rsid w:val="004F16C1"/>
    <w:rsid w:val="004F16DD"/>
    <w:rsid w:val="004F176F"/>
    <w:rsid w:val="004F1772"/>
    <w:rsid w:val="004F1938"/>
    <w:rsid w:val="004F1987"/>
    <w:rsid w:val="004F19A3"/>
    <w:rsid w:val="004F19F3"/>
    <w:rsid w:val="004F1B57"/>
    <w:rsid w:val="004F1B93"/>
    <w:rsid w:val="004F1C96"/>
    <w:rsid w:val="004F1CB9"/>
    <w:rsid w:val="004F1D29"/>
    <w:rsid w:val="004F1D61"/>
    <w:rsid w:val="004F1DEB"/>
    <w:rsid w:val="004F1E08"/>
    <w:rsid w:val="004F1E80"/>
    <w:rsid w:val="004F1EC3"/>
    <w:rsid w:val="004F1EE7"/>
    <w:rsid w:val="004F2009"/>
    <w:rsid w:val="004F2010"/>
    <w:rsid w:val="004F204D"/>
    <w:rsid w:val="004F205A"/>
    <w:rsid w:val="004F20FD"/>
    <w:rsid w:val="004F2111"/>
    <w:rsid w:val="004F218E"/>
    <w:rsid w:val="004F21D5"/>
    <w:rsid w:val="004F2229"/>
    <w:rsid w:val="004F2267"/>
    <w:rsid w:val="004F226D"/>
    <w:rsid w:val="004F2363"/>
    <w:rsid w:val="004F23C4"/>
    <w:rsid w:val="004F23DA"/>
    <w:rsid w:val="004F263C"/>
    <w:rsid w:val="004F2640"/>
    <w:rsid w:val="004F27D3"/>
    <w:rsid w:val="004F286C"/>
    <w:rsid w:val="004F2875"/>
    <w:rsid w:val="004F2915"/>
    <w:rsid w:val="004F2A0E"/>
    <w:rsid w:val="004F2A6C"/>
    <w:rsid w:val="004F2A93"/>
    <w:rsid w:val="004F2AE1"/>
    <w:rsid w:val="004F2D1C"/>
    <w:rsid w:val="004F2D28"/>
    <w:rsid w:val="004F2D8D"/>
    <w:rsid w:val="004F2DBC"/>
    <w:rsid w:val="004F2DEC"/>
    <w:rsid w:val="004F2F81"/>
    <w:rsid w:val="004F2FA6"/>
    <w:rsid w:val="004F3038"/>
    <w:rsid w:val="004F3062"/>
    <w:rsid w:val="004F3064"/>
    <w:rsid w:val="004F30A8"/>
    <w:rsid w:val="004F3122"/>
    <w:rsid w:val="004F316E"/>
    <w:rsid w:val="004F319B"/>
    <w:rsid w:val="004F31C3"/>
    <w:rsid w:val="004F3258"/>
    <w:rsid w:val="004F32A7"/>
    <w:rsid w:val="004F345B"/>
    <w:rsid w:val="004F34A2"/>
    <w:rsid w:val="004F34C8"/>
    <w:rsid w:val="004F34D9"/>
    <w:rsid w:val="004F350C"/>
    <w:rsid w:val="004F3627"/>
    <w:rsid w:val="004F3630"/>
    <w:rsid w:val="004F3686"/>
    <w:rsid w:val="004F36A6"/>
    <w:rsid w:val="004F36C2"/>
    <w:rsid w:val="004F36C3"/>
    <w:rsid w:val="004F3707"/>
    <w:rsid w:val="004F3788"/>
    <w:rsid w:val="004F38FE"/>
    <w:rsid w:val="004F3AA9"/>
    <w:rsid w:val="004F3AFC"/>
    <w:rsid w:val="004F3B2B"/>
    <w:rsid w:val="004F3B74"/>
    <w:rsid w:val="004F3BE0"/>
    <w:rsid w:val="004F3C7F"/>
    <w:rsid w:val="004F3E15"/>
    <w:rsid w:val="004F3F86"/>
    <w:rsid w:val="004F3FD9"/>
    <w:rsid w:val="004F411C"/>
    <w:rsid w:val="004F4125"/>
    <w:rsid w:val="004F412A"/>
    <w:rsid w:val="004F413C"/>
    <w:rsid w:val="004F4178"/>
    <w:rsid w:val="004F42F7"/>
    <w:rsid w:val="004F4364"/>
    <w:rsid w:val="004F443E"/>
    <w:rsid w:val="004F4453"/>
    <w:rsid w:val="004F447B"/>
    <w:rsid w:val="004F44F1"/>
    <w:rsid w:val="004F44F9"/>
    <w:rsid w:val="004F4502"/>
    <w:rsid w:val="004F45D3"/>
    <w:rsid w:val="004F4641"/>
    <w:rsid w:val="004F4667"/>
    <w:rsid w:val="004F4686"/>
    <w:rsid w:val="004F46A1"/>
    <w:rsid w:val="004F46BF"/>
    <w:rsid w:val="004F4722"/>
    <w:rsid w:val="004F4730"/>
    <w:rsid w:val="004F4747"/>
    <w:rsid w:val="004F47B5"/>
    <w:rsid w:val="004F4828"/>
    <w:rsid w:val="004F484C"/>
    <w:rsid w:val="004F4901"/>
    <w:rsid w:val="004F492A"/>
    <w:rsid w:val="004F494F"/>
    <w:rsid w:val="004F495B"/>
    <w:rsid w:val="004F499F"/>
    <w:rsid w:val="004F49D7"/>
    <w:rsid w:val="004F4ABD"/>
    <w:rsid w:val="004F4B31"/>
    <w:rsid w:val="004F4B33"/>
    <w:rsid w:val="004F4BC8"/>
    <w:rsid w:val="004F4C11"/>
    <w:rsid w:val="004F4CE1"/>
    <w:rsid w:val="004F4D0F"/>
    <w:rsid w:val="004F4E3F"/>
    <w:rsid w:val="004F4E5C"/>
    <w:rsid w:val="004F4E66"/>
    <w:rsid w:val="004F4ECB"/>
    <w:rsid w:val="004F5022"/>
    <w:rsid w:val="004F5090"/>
    <w:rsid w:val="004F50B7"/>
    <w:rsid w:val="004F50BB"/>
    <w:rsid w:val="004F5125"/>
    <w:rsid w:val="004F5140"/>
    <w:rsid w:val="004F525A"/>
    <w:rsid w:val="004F52BC"/>
    <w:rsid w:val="004F5311"/>
    <w:rsid w:val="004F536B"/>
    <w:rsid w:val="004F5491"/>
    <w:rsid w:val="004F54E3"/>
    <w:rsid w:val="004F5515"/>
    <w:rsid w:val="004F55BE"/>
    <w:rsid w:val="004F55F4"/>
    <w:rsid w:val="004F5612"/>
    <w:rsid w:val="004F561B"/>
    <w:rsid w:val="004F56D3"/>
    <w:rsid w:val="004F570D"/>
    <w:rsid w:val="004F582B"/>
    <w:rsid w:val="004F58A5"/>
    <w:rsid w:val="004F5903"/>
    <w:rsid w:val="004F595D"/>
    <w:rsid w:val="004F59D2"/>
    <w:rsid w:val="004F5A3A"/>
    <w:rsid w:val="004F5A55"/>
    <w:rsid w:val="004F5C61"/>
    <w:rsid w:val="004F5CD4"/>
    <w:rsid w:val="004F5D1D"/>
    <w:rsid w:val="004F5D28"/>
    <w:rsid w:val="004F5D5B"/>
    <w:rsid w:val="004F5E6E"/>
    <w:rsid w:val="004F5E79"/>
    <w:rsid w:val="004F5F25"/>
    <w:rsid w:val="004F6014"/>
    <w:rsid w:val="004F6053"/>
    <w:rsid w:val="004F60DD"/>
    <w:rsid w:val="004F60E4"/>
    <w:rsid w:val="004F6127"/>
    <w:rsid w:val="004F616A"/>
    <w:rsid w:val="004F61AD"/>
    <w:rsid w:val="004F61CB"/>
    <w:rsid w:val="004F61EA"/>
    <w:rsid w:val="004F6355"/>
    <w:rsid w:val="004F636B"/>
    <w:rsid w:val="004F6377"/>
    <w:rsid w:val="004F63BD"/>
    <w:rsid w:val="004F6449"/>
    <w:rsid w:val="004F657A"/>
    <w:rsid w:val="004F6612"/>
    <w:rsid w:val="004F6728"/>
    <w:rsid w:val="004F67FF"/>
    <w:rsid w:val="004F6894"/>
    <w:rsid w:val="004F68B8"/>
    <w:rsid w:val="004F69D7"/>
    <w:rsid w:val="004F69EF"/>
    <w:rsid w:val="004F6AB3"/>
    <w:rsid w:val="004F6AE4"/>
    <w:rsid w:val="004F6BC6"/>
    <w:rsid w:val="004F6D76"/>
    <w:rsid w:val="004F6E1E"/>
    <w:rsid w:val="004F6EB2"/>
    <w:rsid w:val="004F6F00"/>
    <w:rsid w:val="004F6F0D"/>
    <w:rsid w:val="004F701A"/>
    <w:rsid w:val="004F7043"/>
    <w:rsid w:val="004F71B4"/>
    <w:rsid w:val="004F7217"/>
    <w:rsid w:val="004F734B"/>
    <w:rsid w:val="004F73F0"/>
    <w:rsid w:val="004F7434"/>
    <w:rsid w:val="004F750F"/>
    <w:rsid w:val="004F7557"/>
    <w:rsid w:val="004F767A"/>
    <w:rsid w:val="004F76E0"/>
    <w:rsid w:val="004F770F"/>
    <w:rsid w:val="004F7754"/>
    <w:rsid w:val="004F77A3"/>
    <w:rsid w:val="004F77A8"/>
    <w:rsid w:val="004F77F1"/>
    <w:rsid w:val="004F78B1"/>
    <w:rsid w:val="004F78BB"/>
    <w:rsid w:val="004F794C"/>
    <w:rsid w:val="004F798E"/>
    <w:rsid w:val="004F7992"/>
    <w:rsid w:val="004F79D9"/>
    <w:rsid w:val="004F79E6"/>
    <w:rsid w:val="004F7A8A"/>
    <w:rsid w:val="004F7AEA"/>
    <w:rsid w:val="004F7B17"/>
    <w:rsid w:val="004F7B30"/>
    <w:rsid w:val="004F7B86"/>
    <w:rsid w:val="004F7B90"/>
    <w:rsid w:val="004F7BCD"/>
    <w:rsid w:val="004F7C07"/>
    <w:rsid w:val="004F7C63"/>
    <w:rsid w:val="004F7C71"/>
    <w:rsid w:val="004F7D0E"/>
    <w:rsid w:val="004F7D24"/>
    <w:rsid w:val="004F7D49"/>
    <w:rsid w:val="004F7E24"/>
    <w:rsid w:val="004F7E3B"/>
    <w:rsid w:val="004F7E50"/>
    <w:rsid w:val="004F7EC3"/>
    <w:rsid w:val="004F7F6D"/>
    <w:rsid w:val="004F7FA0"/>
    <w:rsid w:val="004F7FB0"/>
    <w:rsid w:val="005001C6"/>
    <w:rsid w:val="00500271"/>
    <w:rsid w:val="0050037F"/>
    <w:rsid w:val="005004C6"/>
    <w:rsid w:val="0050057A"/>
    <w:rsid w:val="0050058C"/>
    <w:rsid w:val="0050059B"/>
    <w:rsid w:val="005005CC"/>
    <w:rsid w:val="00500601"/>
    <w:rsid w:val="00500612"/>
    <w:rsid w:val="0050061B"/>
    <w:rsid w:val="005006D6"/>
    <w:rsid w:val="00500727"/>
    <w:rsid w:val="00500782"/>
    <w:rsid w:val="005007F8"/>
    <w:rsid w:val="0050081D"/>
    <w:rsid w:val="00500869"/>
    <w:rsid w:val="005008DB"/>
    <w:rsid w:val="0050094A"/>
    <w:rsid w:val="00500A2D"/>
    <w:rsid w:val="00500B25"/>
    <w:rsid w:val="00500B57"/>
    <w:rsid w:val="00500B59"/>
    <w:rsid w:val="00500C5E"/>
    <w:rsid w:val="00500DC6"/>
    <w:rsid w:val="00500DD3"/>
    <w:rsid w:val="00500DEB"/>
    <w:rsid w:val="00500E2F"/>
    <w:rsid w:val="00500E90"/>
    <w:rsid w:val="00500ECF"/>
    <w:rsid w:val="00500EE5"/>
    <w:rsid w:val="00500EE8"/>
    <w:rsid w:val="00500F70"/>
    <w:rsid w:val="0050101A"/>
    <w:rsid w:val="00501029"/>
    <w:rsid w:val="00501066"/>
    <w:rsid w:val="0050108A"/>
    <w:rsid w:val="005010BA"/>
    <w:rsid w:val="005011A4"/>
    <w:rsid w:val="005011D9"/>
    <w:rsid w:val="0050142B"/>
    <w:rsid w:val="005014D5"/>
    <w:rsid w:val="0050166C"/>
    <w:rsid w:val="005016E3"/>
    <w:rsid w:val="00501739"/>
    <w:rsid w:val="00501868"/>
    <w:rsid w:val="0050188C"/>
    <w:rsid w:val="005018AE"/>
    <w:rsid w:val="0050194F"/>
    <w:rsid w:val="00501A2F"/>
    <w:rsid w:val="00501A3A"/>
    <w:rsid w:val="00501A86"/>
    <w:rsid w:val="00501A87"/>
    <w:rsid w:val="00501B2C"/>
    <w:rsid w:val="00501C02"/>
    <w:rsid w:val="00501C64"/>
    <w:rsid w:val="00501C6E"/>
    <w:rsid w:val="00501CB2"/>
    <w:rsid w:val="00501D20"/>
    <w:rsid w:val="00501DEB"/>
    <w:rsid w:val="00501F8A"/>
    <w:rsid w:val="00501FD1"/>
    <w:rsid w:val="00502086"/>
    <w:rsid w:val="00502095"/>
    <w:rsid w:val="00502274"/>
    <w:rsid w:val="00502381"/>
    <w:rsid w:val="0050238C"/>
    <w:rsid w:val="005023AE"/>
    <w:rsid w:val="00502401"/>
    <w:rsid w:val="005024D9"/>
    <w:rsid w:val="0050254B"/>
    <w:rsid w:val="0050254D"/>
    <w:rsid w:val="00502801"/>
    <w:rsid w:val="00502811"/>
    <w:rsid w:val="0050285F"/>
    <w:rsid w:val="005029AC"/>
    <w:rsid w:val="005029B0"/>
    <w:rsid w:val="005029E3"/>
    <w:rsid w:val="00502A8D"/>
    <w:rsid w:val="00502AAF"/>
    <w:rsid w:val="00502AC7"/>
    <w:rsid w:val="00502B5A"/>
    <w:rsid w:val="00502B6B"/>
    <w:rsid w:val="00502C1F"/>
    <w:rsid w:val="00502C31"/>
    <w:rsid w:val="00502D25"/>
    <w:rsid w:val="00502E1A"/>
    <w:rsid w:val="00502E77"/>
    <w:rsid w:val="00502EAA"/>
    <w:rsid w:val="00502F23"/>
    <w:rsid w:val="00502FA0"/>
    <w:rsid w:val="00502FD5"/>
    <w:rsid w:val="00503027"/>
    <w:rsid w:val="00503052"/>
    <w:rsid w:val="005030F5"/>
    <w:rsid w:val="005030FC"/>
    <w:rsid w:val="0050316F"/>
    <w:rsid w:val="005031CA"/>
    <w:rsid w:val="005032CC"/>
    <w:rsid w:val="005033C2"/>
    <w:rsid w:val="00503407"/>
    <w:rsid w:val="00503448"/>
    <w:rsid w:val="005034E2"/>
    <w:rsid w:val="0050350C"/>
    <w:rsid w:val="0050362E"/>
    <w:rsid w:val="00503774"/>
    <w:rsid w:val="005037E1"/>
    <w:rsid w:val="005038C2"/>
    <w:rsid w:val="0050397E"/>
    <w:rsid w:val="005039D8"/>
    <w:rsid w:val="00503ACF"/>
    <w:rsid w:val="00503B38"/>
    <w:rsid w:val="00503BB3"/>
    <w:rsid w:val="00503BCA"/>
    <w:rsid w:val="00503C00"/>
    <w:rsid w:val="00503C76"/>
    <w:rsid w:val="00503D31"/>
    <w:rsid w:val="00503DA4"/>
    <w:rsid w:val="00503E0F"/>
    <w:rsid w:val="00503E57"/>
    <w:rsid w:val="00503E98"/>
    <w:rsid w:val="00503F46"/>
    <w:rsid w:val="00503F5C"/>
    <w:rsid w:val="00504015"/>
    <w:rsid w:val="00504039"/>
    <w:rsid w:val="0050407C"/>
    <w:rsid w:val="0050409D"/>
    <w:rsid w:val="00504100"/>
    <w:rsid w:val="005041E7"/>
    <w:rsid w:val="00504226"/>
    <w:rsid w:val="005042DB"/>
    <w:rsid w:val="00504323"/>
    <w:rsid w:val="0050435D"/>
    <w:rsid w:val="0050436C"/>
    <w:rsid w:val="005044BE"/>
    <w:rsid w:val="005044FB"/>
    <w:rsid w:val="005045AB"/>
    <w:rsid w:val="0050461D"/>
    <w:rsid w:val="0050466B"/>
    <w:rsid w:val="005047BF"/>
    <w:rsid w:val="005047C4"/>
    <w:rsid w:val="0050486C"/>
    <w:rsid w:val="0050488E"/>
    <w:rsid w:val="005048AA"/>
    <w:rsid w:val="005048CB"/>
    <w:rsid w:val="0050498C"/>
    <w:rsid w:val="00504BA3"/>
    <w:rsid w:val="00504CE5"/>
    <w:rsid w:val="00504E62"/>
    <w:rsid w:val="00504EA5"/>
    <w:rsid w:val="00504EE7"/>
    <w:rsid w:val="00505028"/>
    <w:rsid w:val="00505177"/>
    <w:rsid w:val="0050527E"/>
    <w:rsid w:val="005052F2"/>
    <w:rsid w:val="0050531A"/>
    <w:rsid w:val="00505359"/>
    <w:rsid w:val="005053A5"/>
    <w:rsid w:val="00505530"/>
    <w:rsid w:val="00505588"/>
    <w:rsid w:val="0050559C"/>
    <w:rsid w:val="00505629"/>
    <w:rsid w:val="0050568E"/>
    <w:rsid w:val="005056EE"/>
    <w:rsid w:val="005058A2"/>
    <w:rsid w:val="00505981"/>
    <w:rsid w:val="00505BAC"/>
    <w:rsid w:val="00505C30"/>
    <w:rsid w:val="00505CD8"/>
    <w:rsid w:val="00505D2F"/>
    <w:rsid w:val="00505D64"/>
    <w:rsid w:val="00505E97"/>
    <w:rsid w:val="00505ECB"/>
    <w:rsid w:val="00506081"/>
    <w:rsid w:val="00506098"/>
    <w:rsid w:val="00506114"/>
    <w:rsid w:val="00506183"/>
    <w:rsid w:val="005061FB"/>
    <w:rsid w:val="00506298"/>
    <w:rsid w:val="00506471"/>
    <w:rsid w:val="005064A2"/>
    <w:rsid w:val="005065B9"/>
    <w:rsid w:val="005065D0"/>
    <w:rsid w:val="005066BE"/>
    <w:rsid w:val="005066EC"/>
    <w:rsid w:val="005066FC"/>
    <w:rsid w:val="00506892"/>
    <w:rsid w:val="005068CB"/>
    <w:rsid w:val="00506921"/>
    <w:rsid w:val="00506A8E"/>
    <w:rsid w:val="00506B67"/>
    <w:rsid w:val="00506F35"/>
    <w:rsid w:val="00506F95"/>
    <w:rsid w:val="00506FD0"/>
    <w:rsid w:val="00507190"/>
    <w:rsid w:val="005071E6"/>
    <w:rsid w:val="00507299"/>
    <w:rsid w:val="005072F7"/>
    <w:rsid w:val="00507303"/>
    <w:rsid w:val="0050739B"/>
    <w:rsid w:val="005073FE"/>
    <w:rsid w:val="005074A0"/>
    <w:rsid w:val="005075EF"/>
    <w:rsid w:val="00507606"/>
    <w:rsid w:val="00507625"/>
    <w:rsid w:val="005077E2"/>
    <w:rsid w:val="00507813"/>
    <w:rsid w:val="00507962"/>
    <w:rsid w:val="00507993"/>
    <w:rsid w:val="005079D0"/>
    <w:rsid w:val="00507B6C"/>
    <w:rsid w:val="00507B8E"/>
    <w:rsid w:val="00507B97"/>
    <w:rsid w:val="00507BD7"/>
    <w:rsid w:val="00507C21"/>
    <w:rsid w:val="00507C3E"/>
    <w:rsid w:val="00507C64"/>
    <w:rsid w:val="00507D1A"/>
    <w:rsid w:val="00507D5A"/>
    <w:rsid w:val="00507E2F"/>
    <w:rsid w:val="00507E9F"/>
    <w:rsid w:val="00507EBE"/>
    <w:rsid w:val="00510010"/>
    <w:rsid w:val="00510248"/>
    <w:rsid w:val="00510327"/>
    <w:rsid w:val="005103C2"/>
    <w:rsid w:val="00510413"/>
    <w:rsid w:val="0051044C"/>
    <w:rsid w:val="005104E7"/>
    <w:rsid w:val="0051053E"/>
    <w:rsid w:val="005106D8"/>
    <w:rsid w:val="005106DB"/>
    <w:rsid w:val="0051082D"/>
    <w:rsid w:val="00510834"/>
    <w:rsid w:val="005109FD"/>
    <w:rsid w:val="00510B17"/>
    <w:rsid w:val="00510B2B"/>
    <w:rsid w:val="00510B72"/>
    <w:rsid w:val="00510BA8"/>
    <w:rsid w:val="00510C5A"/>
    <w:rsid w:val="00510C9A"/>
    <w:rsid w:val="00510D73"/>
    <w:rsid w:val="00510E29"/>
    <w:rsid w:val="00510E40"/>
    <w:rsid w:val="00510E47"/>
    <w:rsid w:val="00510EE9"/>
    <w:rsid w:val="00510F56"/>
    <w:rsid w:val="00510F86"/>
    <w:rsid w:val="00510FE9"/>
    <w:rsid w:val="0051102E"/>
    <w:rsid w:val="0051112C"/>
    <w:rsid w:val="0051119B"/>
    <w:rsid w:val="0051122C"/>
    <w:rsid w:val="0051122F"/>
    <w:rsid w:val="005112D5"/>
    <w:rsid w:val="005112E0"/>
    <w:rsid w:val="00511305"/>
    <w:rsid w:val="00511331"/>
    <w:rsid w:val="0051133B"/>
    <w:rsid w:val="00511373"/>
    <w:rsid w:val="00511432"/>
    <w:rsid w:val="005116CB"/>
    <w:rsid w:val="005116D8"/>
    <w:rsid w:val="00511797"/>
    <w:rsid w:val="005117BE"/>
    <w:rsid w:val="005117D6"/>
    <w:rsid w:val="00511840"/>
    <w:rsid w:val="0051193F"/>
    <w:rsid w:val="005119A2"/>
    <w:rsid w:val="00511A40"/>
    <w:rsid w:val="00511AA4"/>
    <w:rsid w:val="00511ACA"/>
    <w:rsid w:val="00511AF9"/>
    <w:rsid w:val="00511B6C"/>
    <w:rsid w:val="00511BC5"/>
    <w:rsid w:val="00511C49"/>
    <w:rsid w:val="00511DBB"/>
    <w:rsid w:val="00511DF0"/>
    <w:rsid w:val="00511E60"/>
    <w:rsid w:val="00511E95"/>
    <w:rsid w:val="00511EC4"/>
    <w:rsid w:val="00511ED1"/>
    <w:rsid w:val="00511F42"/>
    <w:rsid w:val="00511FCF"/>
    <w:rsid w:val="0051209A"/>
    <w:rsid w:val="005120A8"/>
    <w:rsid w:val="00512175"/>
    <w:rsid w:val="005121B8"/>
    <w:rsid w:val="005121C5"/>
    <w:rsid w:val="005121EE"/>
    <w:rsid w:val="005122B1"/>
    <w:rsid w:val="005122DF"/>
    <w:rsid w:val="00512354"/>
    <w:rsid w:val="00512470"/>
    <w:rsid w:val="00512537"/>
    <w:rsid w:val="0051256D"/>
    <w:rsid w:val="00512625"/>
    <w:rsid w:val="00512707"/>
    <w:rsid w:val="00512712"/>
    <w:rsid w:val="005127F9"/>
    <w:rsid w:val="00512820"/>
    <w:rsid w:val="00512892"/>
    <w:rsid w:val="005128D0"/>
    <w:rsid w:val="00512952"/>
    <w:rsid w:val="0051297D"/>
    <w:rsid w:val="005129BB"/>
    <w:rsid w:val="005129E4"/>
    <w:rsid w:val="00512AA1"/>
    <w:rsid w:val="00512B68"/>
    <w:rsid w:val="00512B9B"/>
    <w:rsid w:val="00512BA6"/>
    <w:rsid w:val="00512C26"/>
    <w:rsid w:val="00512C67"/>
    <w:rsid w:val="00512CBE"/>
    <w:rsid w:val="00512CDC"/>
    <w:rsid w:val="00512CDE"/>
    <w:rsid w:val="00512D13"/>
    <w:rsid w:val="00512D15"/>
    <w:rsid w:val="00512D3B"/>
    <w:rsid w:val="00512D7F"/>
    <w:rsid w:val="00512D91"/>
    <w:rsid w:val="00512DD1"/>
    <w:rsid w:val="00512E09"/>
    <w:rsid w:val="00512E1E"/>
    <w:rsid w:val="00512EAD"/>
    <w:rsid w:val="00512F35"/>
    <w:rsid w:val="00512F83"/>
    <w:rsid w:val="005131D8"/>
    <w:rsid w:val="005132B6"/>
    <w:rsid w:val="00513317"/>
    <w:rsid w:val="00513353"/>
    <w:rsid w:val="00513444"/>
    <w:rsid w:val="00513593"/>
    <w:rsid w:val="005135BC"/>
    <w:rsid w:val="005135E2"/>
    <w:rsid w:val="005135E5"/>
    <w:rsid w:val="00513601"/>
    <w:rsid w:val="0051360E"/>
    <w:rsid w:val="0051373E"/>
    <w:rsid w:val="005137BA"/>
    <w:rsid w:val="005137D0"/>
    <w:rsid w:val="00513857"/>
    <w:rsid w:val="00513859"/>
    <w:rsid w:val="005139B2"/>
    <w:rsid w:val="00513A36"/>
    <w:rsid w:val="00513A7F"/>
    <w:rsid w:val="00513AE4"/>
    <w:rsid w:val="00513B07"/>
    <w:rsid w:val="00513B22"/>
    <w:rsid w:val="00513B89"/>
    <w:rsid w:val="00513C20"/>
    <w:rsid w:val="00513CD5"/>
    <w:rsid w:val="00513D21"/>
    <w:rsid w:val="00513DB9"/>
    <w:rsid w:val="00513FCE"/>
    <w:rsid w:val="005140D9"/>
    <w:rsid w:val="005140FD"/>
    <w:rsid w:val="0051416C"/>
    <w:rsid w:val="00514192"/>
    <w:rsid w:val="005141E2"/>
    <w:rsid w:val="00514210"/>
    <w:rsid w:val="0051428C"/>
    <w:rsid w:val="0051429F"/>
    <w:rsid w:val="00514376"/>
    <w:rsid w:val="0051449E"/>
    <w:rsid w:val="0051454B"/>
    <w:rsid w:val="00514556"/>
    <w:rsid w:val="005145D3"/>
    <w:rsid w:val="005145D4"/>
    <w:rsid w:val="0051468C"/>
    <w:rsid w:val="0051468D"/>
    <w:rsid w:val="005146A6"/>
    <w:rsid w:val="00514779"/>
    <w:rsid w:val="005147DA"/>
    <w:rsid w:val="00514860"/>
    <w:rsid w:val="00514876"/>
    <w:rsid w:val="005148AB"/>
    <w:rsid w:val="0051495A"/>
    <w:rsid w:val="00514961"/>
    <w:rsid w:val="00514B32"/>
    <w:rsid w:val="00514B66"/>
    <w:rsid w:val="00514B6A"/>
    <w:rsid w:val="00514B7B"/>
    <w:rsid w:val="00514BA1"/>
    <w:rsid w:val="00514C37"/>
    <w:rsid w:val="00514CE7"/>
    <w:rsid w:val="00514DBA"/>
    <w:rsid w:val="00514E59"/>
    <w:rsid w:val="00514F41"/>
    <w:rsid w:val="00514FDB"/>
    <w:rsid w:val="00515087"/>
    <w:rsid w:val="0051519A"/>
    <w:rsid w:val="005151D9"/>
    <w:rsid w:val="005151ED"/>
    <w:rsid w:val="005151F1"/>
    <w:rsid w:val="00515221"/>
    <w:rsid w:val="0051526F"/>
    <w:rsid w:val="0051529D"/>
    <w:rsid w:val="005152DA"/>
    <w:rsid w:val="00515318"/>
    <w:rsid w:val="005153A7"/>
    <w:rsid w:val="00515485"/>
    <w:rsid w:val="00515559"/>
    <w:rsid w:val="005155B7"/>
    <w:rsid w:val="00515658"/>
    <w:rsid w:val="00515908"/>
    <w:rsid w:val="00515914"/>
    <w:rsid w:val="00515952"/>
    <w:rsid w:val="005159A7"/>
    <w:rsid w:val="00515A15"/>
    <w:rsid w:val="00515A42"/>
    <w:rsid w:val="00515A6E"/>
    <w:rsid w:val="00515AD6"/>
    <w:rsid w:val="00515BAD"/>
    <w:rsid w:val="00515DB3"/>
    <w:rsid w:val="00515E17"/>
    <w:rsid w:val="00515E8A"/>
    <w:rsid w:val="00515F19"/>
    <w:rsid w:val="00515F2A"/>
    <w:rsid w:val="0051601C"/>
    <w:rsid w:val="005160A0"/>
    <w:rsid w:val="005160D3"/>
    <w:rsid w:val="005160EE"/>
    <w:rsid w:val="005161E9"/>
    <w:rsid w:val="00516213"/>
    <w:rsid w:val="005163F5"/>
    <w:rsid w:val="00516415"/>
    <w:rsid w:val="0051643A"/>
    <w:rsid w:val="0051646B"/>
    <w:rsid w:val="005164B4"/>
    <w:rsid w:val="005164D9"/>
    <w:rsid w:val="0051651C"/>
    <w:rsid w:val="00516692"/>
    <w:rsid w:val="00516697"/>
    <w:rsid w:val="005166C5"/>
    <w:rsid w:val="0051672E"/>
    <w:rsid w:val="00516814"/>
    <w:rsid w:val="0051695E"/>
    <w:rsid w:val="00516AB7"/>
    <w:rsid w:val="00516ADD"/>
    <w:rsid w:val="00516DA4"/>
    <w:rsid w:val="00516DAC"/>
    <w:rsid w:val="00516E14"/>
    <w:rsid w:val="00516E4C"/>
    <w:rsid w:val="00516F9F"/>
    <w:rsid w:val="00517069"/>
    <w:rsid w:val="00517083"/>
    <w:rsid w:val="00517090"/>
    <w:rsid w:val="00517091"/>
    <w:rsid w:val="00517098"/>
    <w:rsid w:val="005170E6"/>
    <w:rsid w:val="00517142"/>
    <w:rsid w:val="0051725D"/>
    <w:rsid w:val="00517280"/>
    <w:rsid w:val="00517299"/>
    <w:rsid w:val="005172EB"/>
    <w:rsid w:val="0051731C"/>
    <w:rsid w:val="005173EE"/>
    <w:rsid w:val="00517470"/>
    <w:rsid w:val="00517575"/>
    <w:rsid w:val="00517597"/>
    <w:rsid w:val="005175E1"/>
    <w:rsid w:val="00517604"/>
    <w:rsid w:val="005178C4"/>
    <w:rsid w:val="005178C6"/>
    <w:rsid w:val="00517906"/>
    <w:rsid w:val="005179E6"/>
    <w:rsid w:val="00517B18"/>
    <w:rsid w:val="00517C35"/>
    <w:rsid w:val="00517C9C"/>
    <w:rsid w:val="00517CB6"/>
    <w:rsid w:val="00517E3F"/>
    <w:rsid w:val="00517E53"/>
    <w:rsid w:val="00517EC4"/>
    <w:rsid w:val="00517F3A"/>
    <w:rsid w:val="00517F3D"/>
    <w:rsid w:val="00520026"/>
    <w:rsid w:val="00520059"/>
    <w:rsid w:val="00520093"/>
    <w:rsid w:val="005200BD"/>
    <w:rsid w:val="00520134"/>
    <w:rsid w:val="00520205"/>
    <w:rsid w:val="00520277"/>
    <w:rsid w:val="00520293"/>
    <w:rsid w:val="005202B2"/>
    <w:rsid w:val="005202BD"/>
    <w:rsid w:val="005202D5"/>
    <w:rsid w:val="005203F0"/>
    <w:rsid w:val="0052040D"/>
    <w:rsid w:val="00520521"/>
    <w:rsid w:val="00520562"/>
    <w:rsid w:val="005205B9"/>
    <w:rsid w:val="0052064C"/>
    <w:rsid w:val="00520665"/>
    <w:rsid w:val="005206B8"/>
    <w:rsid w:val="005206F8"/>
    <w:rsid w:val="0052077C"/>
    <w:rsid w:val="005208F8"/>
    <w:rsid w:val="00520919"/>
    <w:rsid w:val="00520A2E"/>
    <w:rsid w:val="00520AEA"/>
    <w:rsid w:val="00520B1F"/>
    <w:rsid w:val="00520B68"/>
    <w:rsid w:val="00520C31"/>
    <w:rsid w:val="00520C56"/>
    <w:rsid w:val="00520D17"/>
    <w:rsid w:val="00520D9F"/>
    <w:rsid w:val="00520E7C"/>
    <w:rsid w:val="00520F52"/>
    <w:rsid w:val="00520F61"/>
    <w:rsid w:val="0052101D"/>
    <w:rsid w:val="005210B3"/>
    <w:rsid w:val="005210FF"/>
    <w:rsid w:val="00521272"/>
    <w:rsid w:val="005213AF"/>
    <w:rsid w:val="005213F8"/>
    <w:rsid w:val="00521461"/>
    <w:rsid w:val="00521489"/>
    <w:rsid w:val="0052157C"/>
    <w:rsid w:val="005215CF"/>
    <w:rsid w:val="005215D7"/>
    <w:rsid w:val="005215F7"/>
    <w:rsid w:val="00521783"/>
    <w:rsid w:val="00521814"/>
    <w:rsid w:val="00521883"/>
    <w:rsid w:val="00521A39"/>
    <w:rsid w:val="00521A41"/>
    <w:rsid w:val="00521A5C"/>
    <w:rsid w:val="00521A6B"/>
    <w:rsid w:val="00521B82"/>
    <w:rsid w:val="00521BA6"/>
    <w:rsid w:val="00521BA8"/>
    <w:rsid w:val="00521C7E"/>
    <w:rsid w:val="00521D17"/>
    <w:rsid w:val="00521D1E"/>
    <w:rsid w:val="00521D7B"/>
    <w:rsid w:val="00521DA3"/>
    <w:rsid w:val="00521DFF"/>
    <w:rsid w:val="00521EB5"/>
    <w:rsid w:val="00521FD8"/>
    <w:rsid w:val="00522182"/>
    <w:rsid w:val="005221BE"/>
    <w:rsid w:val="005222F4"/>
    <w:rsid w:val="00522335"/>
    <w:rsid w:val="00522369"/>
    <w:rsid w:val="00522384"/>
    <w:rsid w:val="005224BB"/>
    <w:rsid w:val="005224F8"/>
    <w:rsid w:val="00522674"/>
    <w:rsid w:val="005226CC"/>
    <w:rsid w:val="00522786"/>
    <w:rsid w:val="005227A3"/>
    <w:rsid w:val="005227AD"/>
    <w:rsid w:val="0052283D"/>
    <w:rsid w:val="00522882"/>
    <w:rsid w:val="00522899"/>
    <w:rsid w:val="0052289A"/>
    <w:rsid w:val="00522985"/>
    <w:rsid w:val="005229CD"/>
    <w:rsid w:val="005229FE"/>
    <w:rsid w:val="00522C63"/>
    <w:rsid w:val="00522CEF"/>
    <w:rsid w:val="00522CF2"/>
    <w:rsid w:val="00522DB2"/>
    <w:rsid w:val="00522ED0"/>
    <w:rsid w:val="00522FA3"/>
    <w:rsid w:val="0052300B"/>
    <w:rsid w:val="00523011"/>
    <w:rsid w:val="005230AC"/>
    <w:rsid w:val="0052310E"/>
    <w:rsid w:val="005231F7"/>
    <w:rsid w:val="00523274"/>
    <w:rsid w:val="005232A2"/>
    <w:rsid w:val="0052332A"/>
    <w:rsid w:val="00523340"/>
    <w:rsid w:val="00523394"/>
    <w:rsid w:val="005233A7"/>
    <w:rsid w:val="005233C2"/>
    <w:rsid w:val="005233FB"/>
    <w:rsid w:val="005234F0"/>
    <w:rsid w:val="0052354A"/>
    <w:rsid w:val="00523689"/>
    <w:rsid w:val="00523692"/>
    <w:rsid w:val="00523700"/>
    <w:rsid w:val="00523991"/>
    <w:rsid w:val="005239F5"/>
    <w:rsid w:val="005239FF"/>
    <w:rsid w:val="00523AC8"/>
    <w:rsid w:val="00523B8C"/>
    <w:rsid w:val="00523B93"/>
    <w:rsid w:val="00523C44"/>
    <w:rsid w:val="00523C74"/>
    <w:rsid w:val="00523C77"/>
    <w:rsid w:val="00523D85"/>
    <w:rsid w:val="00523DDA"/>
    <w:rsid w:val="00523DDD"/>
    <w:rsid w:val="00523E31"/>
    <w:rsid w:val="00523FDA"/>
    <w:rsid w:val="0052414C"/>
    <w:rsid w:val="005242DD"/>
    <w:rsid w:val="00524345"/>
    <w:rsid w:val="0052435A"/>
    <w:rsid w:val="00524636"/>
    <w:rsid w:val="005246BE"/>
    <w:rsid w:val="005246E7"/>
    <w:rsid w:val="005246FC"/>
    <w:rsid w:val="005247DB"/>
    <w:rsid w:val="0052480D"/>
    <w:rsid w:val="00524913"/>
    <w:rsid w:val="00524A0D"/>
    <w:rsid w:val="00524AB7"/>
    <w:rsid w:val="00524AE9"/>
    <w:rsid w:val="00524B8A"/>
    <w:rsid w:val="00524C06"/>
    <w:rsid w:val="00524C45"/>
    <w:rsid w:val="00524CE7"/>
    <w:rsid w:val="00524D0C"/>
    <w:rsid w:val="00524E01"/>
    <w:rsid w:val="00524E5C"/>
    <w:rsid w:val="00524E9A"/>
    <w:rsid w:val="00524EAB"/>
    <w:rsid w:val="00524EDD"/>
    <w:rsid w:val="00524EE2"/>
    <w:rsid w:val="00524F8C"/>
    <w:rsid w:val="00524FEF"/>
    <w:rsid w:val="00525100"/>
    <w:rsid w:val="0052519A"/>
    <w:rsid w:val="005251BB"/>
    <w:rsid w:val="00525325"/>
    <w:rsid w:val="00525390"/>
    <w:rsid w:val="005253B5"/>
    <w:rsid w:val="005254C5"/>
    <w:rsid w:val="005254FA"/>
    <w:rsid w:val="005255DB"/>
    <w:rsid w:val="005257D4"/>
    <w:rsid w:val="005257E9"/>
    <w:rsid w:val="00525802"/>
    <w:rsid w:val="0052580F"/>
    <w:rsid w:val="0052585D"/>
    <w:rsid w:val="0052594F"/>
    <w:rsid w:val="00525A4C"/>
    <w:rsid w:val="00525B0D"/>
    <w:rsid w:val="00525C98"/>
    <w:rsid w:val="00525CB4"/>
    <w:rsid w:val="00525CD2"/>
    <w:rsid w:val="00525CDE"/>
    <w:rsid w:val="00525DA6"/>
    <w:rsid w:val="00525E17"/>
    <w:rsid w:val="00525E97"/>
    <w:rsid w:val="00525EC5"/>
    <w:rsid w:val="00525EF3"/>
    <w:rsid w:val="00525F11"/>
    <w:rsid w:val="00525F6A"/>
    <w:rsid w:val="0052607F"/>
    <w:rsid w:val="00526149"/>
    <w:rsid w:val="00526188"/>
    <w:rsid w:val="005261AC"/>
    <w:rsid w:val="005262E4"/>
    <w:rsid w:val="00526348"/>
    <w:rsid w:val="00526377"/>
    <w:rsid w:val="0052638D"/>
    <w:rsid w:val="005263F2"/>
    <w:rsid w:val="0052644B"/>
    <w:rsid w:val="00526528"/>
    <w:rsid w:val="005265EA"/>
    <w:rsid w:val="00526628"/>
    <w:rsid w:val="005266B6"/>
    <w:rsid w:val="005267AE"/>
    <w:rsid w:val="00526815"/>
    <w:rsid w:val="005268C8"/>
    <w:rsid w:val="005268E0"/>
    <w:rsid w:val="0052692C"/>
    <w:rsid w:val="00526AAB"/>
    <w:rsid w:val="00526AB1"/>
    <w:rsid w:val="00526C00"/>
    <w:rsid w:val="00526CB9"/>
    <w:rsid w:val="00526CC0"/>
    <w:rsid w:val="00526D90"/>
    <w:rsid w:val="00526E38"/>
    <w:rsid w:val="00526E5E"/>
    <w:rsid w:val="00526EEA"/>
    <w:rsid w:val="00526F04"/>
    <w:rsid w:val="00526F18"/>
    <w:rsid w:val="00526F20"/>
    <w:rsid w:val="00526FEC"/>
    <w:rsid w:val="0052704D"/>
    <w:rsid w:val="0052707D"/>
    <w:rsid w:val="0052725E"/>
    <w:rsid w:val="005272C6"/>
    <w:rsid w:val="005272D6"/>
    <w:rsid w:val="0052739E"/>
    <w:rsid w:val="005273AD"/>
    <w:rsid w:val="0052741A"/>
    <w:rsid w:val="0052749A"/>
    <w:rsid w:val="005274DF"/>
    <w:rsid w:val="005274ED"/>
    <w:rsid w:val="00527513"/>
    <w:rsid w:val="00527566"/>
    <w:rsid w:val="005275D5"/>
    <w:rsid w:val="005277A3"/>
    <w:rsid w:val="005277A6"/>
    <w:rsid w:val="005277BB"/>
    <w:rsid w:val="005277C0"/>
    <w:rsid w:val="005279FB"/>
    <w:rsid w:val="00527AC4"/>
    <w:rsid w:val="00527B06"/>
    <w:rsid w:val="00527B82"/>
    <w:rsid w:val="00527BFA"/>
    <w:rsid w:val="00527C10"/>
    <w:rsid w:val="00527C69"/>
    <w:rsid w:val="00527D3F"/>
    <w:rsid w:val="00527D63"/>
    <w:rsid w:val="00527E6B"/>
    <w:rsid w:val="00527F85"/>
    <w:rsid w:val="00527FC1"/>
    <w:rsid w:val="00527FC7"/>
    <w:rsid w:val="00530165"/>
    <w:rsid w:val="005301A0"/>
    <w:rsid w:val="00530266"/>
    <w:rsid w:val="00530336"/>
    <w:rsid w:val="00530354"/>
    <w:rsid w:val="005303B5"/>
    <w:rsid w:val="00530466"/>
    <w:rsid w:val="00530479"/>
    <w:rsid w:val="005304BE"/>
    <w:rsid w:val="005304D4"/>
    <w:rsid w:val="00530661"/>
    <w:rsid w:val="005307B3"/>
    <w:rsid w:val="00530840"/>
    <w:rsid w:val="0053085D"/>
    <w:rsid w:val="00530878"/>
    <w:rsid w:val="00530973"/>
    <w:rsid w:val="00530A8D"/>
    <w:rsid w:val="00530B0B"/>
    <w:rsid w:val="00530B50"/>
    <w:rsid w:val="00530BFA"/>
    <w:rsid w:val="00530C57"/>
    <w:rsid w:val="00530C68"/>
    <w:rsid w:val="00530DDD"/>
    <w:rsid w:val="00530E17"/>
    <w:rsid w:val="00530EC4"/>
    <w:rsid w:val="00530F53"/>
    <w:rsid w:val="00530F69"/>
    <w:rsid w:val="00530FB4"/>
    <w:rsid w:val="00531010"/>
    <w:rsid w:val="00531016"/>
    <w:rsid w:val="00531093"/>
    <w:rsid w:val="005310E6"/>
    <w:rsid w:val="00531149"/>
    <w:rsid w:val="005312BD"/>
    <w:rsid w:val="00531305"/>
    <w:rsid w:val="00531312"/>
    <w:rsid w:val="00531374"/>
    <w:rsid w:val="00531441"/>
    <w:rsid w:val="00531485"/>
    <w:rsid w:val="005314A2"/>
    <w:rsid w:val="005314BA"/>
    <w:rsid w:val="00531531"/>
    <w:rsid w:val="00531569"/>
    <w:rsid w:val="00531586"/>
    <w:rsid w:val="00531588"/>
    <w:rsid w:val="0053162F"/>
    <w:rsid w:val="00531656"/>
    <w:rsid w:val="00531669"/>
    <w:rsid w:val="00531725"/>
    <w:rsid w:val="00531764"/>
    <w:rsid w:val="00531778"/>
    <w:rsid w:val="0053185F"/>
    <w:rsid w:val="005318E6"/>
    <w:rsid w:val="005319B1"/>
    <w:rsid w:val="005319D7"/>
    <w:rsid w:val="005319FC"/>
    <w:rsid w:val="00531A78"/>
    <w:rsid w:val="00531A97"/>
    <w:rsid w:val="00531AD3"/>
    <w:rsid w:val="00531B3B"/>
    <w:rsid w:val="00531BAE"/>
    <w:rsid w:val="00531BE3"/>
    <w:rsid w:val="00531C4E"/>
    <w:rsid w:val="00531D99"/>
    <w:rsid w:val="00531DE5"/>
    <w:rsid w:val="00531EF5"/>
    <w:rsid w:val="00531F3C"/>
    <w:rsid w:val="00532026"/>
    <w:rsid w:val="005320A1"/>
    <w:rsid w:val="00532177"/>
    <w:rsid w:val="00532198"/>
    <w:rsid w:val="0053222A"/>
    <w:rsid w:val="00532259"/>
    <w:rsid w:val="00532278"/>
    <w:rsid w:val="0053230A"/>
    <w:rsid w:val="0053235A"/>
    <w:rsid w:val="00532458"/>
    <w:rsid w:val="00532493"/>
    <w:rsid w:val="005324C5"/>
    <w:rsid w:val="005324E7"/>
    <w:rsid w:val="005324F2"/>
    <w:rsid w:val="0053251D"/>
    <w:rsid w:val="0053259E"/>
    <w:rsid w:val="005325F8"/>
    <w:rsid w:val="0053262E"/>
    <w:rsid w:val="0053276B"/>
    <w:rsid w:val="0053278E"/>
    <w:rsid w:val="00532945"/>
    <w:rsid w:val="00532997"/>
    <w:rsid w:val="00532A22"/>
    <w:rsid w:val="00532AEA"/>
    <w:rsid w:val="00532D49"/>
    <w:rsid w:val="00532DC5"/>
    <w:rsid w:val="00532DD8"/>
    <w:rsid w:val="00532F94"/>
    <w:rsid w:val="00532FC9"/>
    <w:rsid w:val="00532FF1"/>
    <w:rsid w:val="00533110"/>
    <w:rsid w:val="00533165"/>
    <w:rsid w:val="0053317C"/>
    <w:rsid w:val="00533204"/>
    <w:rsid w:val="00533261"/>
    <w:rsid w:val="005333BB"/>
    <w:rsid w:val="005333C3"/>
    <w:rsid w:val="0053341A"/>
    <w:rsid w:val="00533468"/>
    <w:rsid w:val="0053347A"/>
    <w:rsid w:val="00533507"/>
    <w:rsid w:val="00533566"/>
    <w:rsid w:val="00533578"/>
    <w:rsid w:val="005335C0"/>
    <w:rsid w:val="005335C6"/>
    <w:rsid w:val="00533675"/>
    <w:rsid w:val="005336C0"/>
    <w:rsid w:val="00533744"/>
    <w:rsid w:val="0053377A"/>
    <w:rsid w:val="005337A1"/>
    <w:rsid w:val="00533804"/>
    <w:rsid w:val="0053384C"/>
    <w:rsid w:val="00533858"/>
    <w:rsid w:val="005338DC"/>
    <w:rsid w:val="005338E4"/>
    <w:rsid w:val="00533A9C"/>
    <w:rsid w:val="00533BAA"/>
    <w:rsid w:val="00533BFE"/>
    <w:rsid w:val="00533CB7"/>
    <w:rsid w:val="00533D14"/>
    <w:rsid w:val="00533D7A"/>
    <w:rsid w:val="00533DD3"/>
    <w:rsid w:val="00533DE7"/>
    <w:rsid w:val="00533E72"/>
    <w:rsid w:val="00533E79"/>
    <w:rsid w:val="00534175"/>
    <w:rsid w:val="005341C6"/>
    <w:rsid w:val="00534207"/>
    <w:rsid w:val="00534228"/>
    <w:rsid w:val="0053430F"/>
    <w:rsid w:val="005343C3"/>
    <w:rsid w:val="005343CF"/>
    <w:rsid w:val="005344F2"/>
    <w:rsid w:val="0053450F"/>
    <w:rsid w:val="00534598"/>
    <w:rsid w:val="005346D7"/>
    <w:rsid w:val="00534721"/>
    <w:rsid w:val="0053477E"/>
    <w:rsid w:val="005347AE"/>
    <w:rsid w:val="0053481E"/>
    <w:rsid w:val="00534991"/>
    <w:rsid w:val="005349CB"/>
    <w:rsid w:val="005349FB"/>
    <w:rsid w:val="005349FF"/>
    <w:rsid w:val="00534A32"/>
    <w:rsid w:val="00534C05"/>
    <w:rsid w:val="00534CC1"/>
    <w:rsid w:val="00534CCE"/>
    <w:rsid w:val="00534D78"/>
    <w:rsid w:val="00534DFD"/>
    <w:rsid w:val="00534E30"/>
    <w:rsid w:val="00534E5F"/>
    <w:rsid w:val="00534FB5"/>
    <w:rsid w:val="0053504B"/>
    <w:rsid w:val="0053507D"/>
    <w:rsid w:val="0053508D"/>
    <w:rsid w:val="005350D7"/>
    <w:rsid w:val="005350F9"/>
    <w:rsid w:val="0053514C"/>
    <w:rsid w:val="0053524F"/>
    <w:rsid w:val="0053525E"/>
    <w:rsid w:val="005352E4"/>
    <w:rsid w:val="00535441"/>
    <w:rsid w:val="0053548D"/>
    <w:rsid w:val="0053548F"/>
    <w:rsid w:val="005354D4"/>
    <w:rsid w:val="0053561D"/>
    <w:rsid w:val="0053572D"/>
    <w:rsid w:val="00535755"/>
    <w:rsid w:val="00535759"/>
    <w:rsid w:val="00535767"/>
    <w:rsid w:val="00535814"/>
    <w:rsid w:val="00535822"/>
    <w:rsid w:val="00535888"/>
    <w:rsid w:val="0053590C"/>
    <w:rsid w:val="0053599D"/>
    <w:rsid w:val="00535A77"/>
    <w:rsid w:val="00535B5A"/>
    <w:rsid w:val="00535C54"/>
    <w:rsid w:val="00535D6E"/>
    <w:rsid w:val="00535DCF"/>
    <w:rsid w:val="00535E31"/>
    <w:rsid w:val="00535E6E"/>
    <w:rsid w:val="00535E7B"/>
    <w:rsid w:val="00535EEC"/>
    <w:rsid w:val="00535EF6"/>
    <w:rsid w:val="00535FBB"/>
    <w:rsid w:val="00535FE4"/>
    <w:rsid w:val="0053601F"/>
    <w:rsid w:val="005360B4"/>
    <w:rsid w:val="00536108"/>
    <w:rsid w:val="005361C9"/>
    <w:rsid w:val="005361E1"/>
    <w:rsid w:val="005362A0"/>
    <w:rsid w:val="005363A7"/>
    <w:rsid w:val="005363F2"/>
    <w:rsid w:val="00536407"/>
    <w:rsid w:val="00536425"/>
    <w:rsid w:val="00536531"/>
    <w:rsid w:val="0053658E"/>
    <w:rsid w:val="00536656"/>
    <w:rsid w:val="0053666B"/>
    <w:rsid w:val="005366A3"/>
    <w:rsid w:val="005366DD"/>
    <w:rsid w:val="00536730"/>
    <w:rsid w:val="005367C3"/>
    <w:rsid w:val="00536822"/>
    <w:rsid w:val="0053682C"/>
    <w:rsid w:val="00536872"/>
    <w:rsid w:val="005368C7"/>
    <w:rsid w:val="005368D5"/>
    <w:rsid w:val="005369BA"/>
    <w:rsid w:val="005369C9"/>
    <w:rsid w:val="005369F6"/>
    <w:rsid w:val="00536A9F"/>
    <w:rsid w:val="00536AB3"/>
    <w:rsid w:val="00536C45"/>
    <w:rsid w:val="00536C5B"/>
    <w:rsid w:val="00536CB4"/>
    <w:rsid w:val="00536CDA"/>
    <w:rsid w:val="00536D30"/>
    <w:rsid w:val="00536E24"/>
    <w:rsid w:val="00536ED6"/>
    <w:rsid w:val="00536F78"/>
    <w:rsid w:val="00537088"/>
    <w:rsid w:val="005370B8"/>
    <w:rsid w:val="005370D2"/>
    <w:rsid w:val="00537136"/>
    <w:rsid w:val="0053714C"/>
    <w:rsid w:val="005371A6"/>
    <w:rsid w:val="00537285"/>
    <w:rsid w:val="005373E8"/>
    <w:rsid w:val="005374DE"/>
    <w:rsid w:val="0053758F"/>
    <w:rsid w:val="005375AC"/>
    <w:rsid w:val="005375AE"/>
    <w:rsid w:val="005375B0"/>
    <w:rsid w:val="00537669"/>
    <w:rsid w:val="0053769D"/>
    <w:rsid w:val="005376C0"/>
    <w:rsid w:val="005377B3"/>
    <w:rsid w:val="00537873"/>
    <w:rsid w:val="00537888"/>
    <w:rsid w:val="005378D4"/>
    <w:rsid w:val="005378F0"/>
    <w:rsid w:val="00537923"/>
    <w:rsid w:val="00537A30"/>
    <w:rsid w:val="00537B4A"/>
    <w:rsid w:val="00537B6C"/>
    <w:rsid w:val="00537BF1"/>
    <w:rsid w:val="00537D41"/>
    <w:rsid w:val="00537D6B"/>
    <w:rsid w:val="00537E44"/>
    <w:rsid w:val="00537E4F"/>
    <w:rsid w:val="00537E54"/>
    <w:rsid w:val="00537F11"/>
    <w:rsid w:val="00537FE1"/>
    <w:rsid w:val="005400BE"/>
    <w:rsid w:val="00540114"/>
    <w:rsid w:val="00540198"/>
    <w:rsid w:val="0054019B"/>
    <w:rsid w:val="005401BC"/>
    <w:rsid w:val="005401BF"/>
    <w:rsid w:val="005401FC"/>
    <w:rsid w:val="0054023B"/>
    <w:rsid w:val="0054027C"/>
    <w:rsid w:val="005403A1"/>
    <w:rsid w:val="005403A2"/>
    <w:rsid w:val="005403AD"/>
    <w:rsid w:val="005403CE"/>
    <w:rsid w:val="0054040C"/>
    <w:rsid w:val="005404AB"/>
    <w:rsid w:val="00540596"/>
    <w:rsid w:val="005405BD"/>
    <w:rsid w:val="005405EB"/>
    <w:rsid w:val="00540622"/>
    <w:rsid w:val="00540635"/>
    <w:rsid w:val="0054068F"/>
    <w:rsid w:val="005406C4"/>
    <w:rsid w:val="0054074E"/>
    <w:rsid w:val="00540775"/>
    <w:rsid w:val="005407D2"/>
    <w:rsid w:val="00540842"/>
    <w:rsid w:val="0054089B"/>
    <w:rsid w:val="0054092C"/>
    <w:rsid w:val="00540B7E"/>
    <w:rsid w:val="00540C54"/>
    <w:rsid w:val="00540CB9"/>
    <w:rsid w:val="00540CFE"/>
    <w:rsid w:val="00540D7A"/>
    <w:rsid w:val="00540DE7"/>
    <w:rsid w:val="00540E3E"/>
    <w:rsid w:val="00540E7F"/>
    <w:rsid w:val="00540EAB"/>
    <w:rsid w:val="00540EC9"/>
    <w:rsid w:val="00540EDD"/>
    <w:rsid w:val="00540F58"/>
    <w:rsid w:val="00540F5B"/>
    <w:rsid w:val="00540F63"/>
    <w:rsid w:val="00541076"/>
    <w:rsid w:val="00541120"/>
    <w:rsid w:val="005411A1"/>
    <w:rsid w:val="005411DA"/>
    <w:rsid w:val="00541225"/>
    <w:rsid w:val="00541268"/>
    <w:rsid w:val="00541297"/>
    <w:rsid w:val="005413CA"/>
    <w:rsid w:val="0054140C"/>
    <w:rsid w:val="00541439"/>
    <w:rsid w:val="0054143B"/>
    <w:rsid w:val="0054150C"/>
    <w:rsid w:val="0054154E"/>
    <w:rsid w:val="005415FE"/>
    <w:rsid w:val="00541637"/>
    <w:rsid w:val="005416A0"/>
    <w:rsid w:val="0054179A"/>
    <w:rsid w:val="005417FB"/>
    <w:rsid w:val="0054181D"/>
    <w:rsid w:val="00541828"/>
    <w:rsid w:val="005418A9"/>
    <w:rsid w:val="005419FD"/>
    <w:rsid w:val="00541A1D"/>
    <w:rsid w:val="00541C42"/>
    <w:rsid w:val="00541C57"/>
    <w:rsid w:val="00541CF2"/>
    <w:rsid w:val="00541D2F"/>
    <w:rsid w:val="00541DAB"/>
    <w:rsid w:val="00541ED4"/>
    <w:rsid w:val="00541F2B"/>
    <w:rsid w:val="00541F3C"/>
    <w:rsid w:val="00541F86"/>
    <w:rsid w:val="00541FCE"/>
    <w:rsid w:val="00542077"/>
    <w:rsid w:val="005423FE"/>
    <w:rsid w:val="005424E0"/>
    <w:rsid w:val="005424EA"/>
    <w:rsid w:val="00542501"/>
    <w:rsid w:val="0054250E"/>
    <w:rsid w:val="005425A1"/>
    <w:rsid w:val="0054262D"/>
    <w:rsid w:val="00542698"/>
    <w:rsid w:val="005426C8"/>
    <w:rsid w:val="00542716"/>
    <w:rsid w:val="0054279D"/>
    <w:rsid w:val="00542993"/>
    <w:rsid w:val="005429B7"/>
    <w:rsid w:val="00542BCA"/>
    <w:rsid w:val="00542BE2"/>
    <w:rsid w:val="00542C78"/>
    <w:rsid w:val="00542CCC"/>
    <w:rsid w:val="00542D7E"/>
    <w:rsid w:val="00542DF3"/>
    <w:rsid w:val="00542E0E"/>
    <w:rsid w:val="00542E30"/>
    <w:rsid w:val="00542EDF"/>
    <w:rsid w:val="00542F3F"/>
    <w:rsid w:val="00542F94"/>
    <w:rsid w:val="00542FBC"/>
    <w:rsid w:val="00542FC2"/>
    <w:rsid w:val="00542FE1"/>
    <w:rsid w:val="00542FFE"/>
    <w:rsid w:val="0054326C"/>
    <w:rsid w:val="00543369"/>
    <w:rsid w:val="005433BB"/>
    <w:rsid w:val="00543518"/>
    <w:rsid w:val="00543570"/>
    <w:rsid w:val="005435BF"/>
    <w:rsid w:val="00543655"/>
    <w:rsid w:val="0054365B"/>
    <w:rsid w:val="005436E0"/>
    <w:rsid w:val="0054373B"/>
    <w:rsid w:val="00543748"/>
    <w:rsid w:val="005437CF"/>
    <w:rsid w:val="00543805"/>
    <w:rsid w:val="00543932"/>
    <w:rsid w:val="005439A8"/>
    <w:rsid w:val="005439AA"/>
    <w:rsid w:val="005439AD"/>
    <w:rsid w:val="00543A63"/>
    <w:rsid w:val="00543BDA"/>
    <w:rsid w:val="00543C3A"/>
    <w:rsid w:val="00543C67"/>
    <w:rsid w:val="00543E0F"/>
    <w:rsid w:val="00543EC0"/>
    <w:rsid w:val="00543ED7"/>
    <w:rsid w:val="00543FB7"/>
    <w:rsid w:val="00543FDB"/>
    <w:rsid w:val="00543FF1"/>
    <w:rsid w:val="005440A0"/>
    <w:rsid w:val="005440B0"/>
    <w:rsid w:val="005440E8"/>
    <w:rsid w:val="00544166"/>
    <w:rsid w:val="00544212"/>
    <w:rsid w:val="00544227"/>
    <w:rsid w:val="005442D9"/>
    <w:rsid w:val="00544378"/>
    <w:rsid w:val="005443C7"/>
    <w:rsid w:val="005443CA"/>
    <w:rsid w:val="005443D5"/>
    <w:rsid w:val="0054444C"/>
    <w:rsid w:val="00544553"/>
    <w:rsid w:val="005446BB"/>
    <w:rsid w:val="005446F8"/>
    <w:rsid w:val="005447B5"/>
    <w:rsid w:val="0054487C"/>
    <w:rsid w:val="005448A3"/>
    <w:rsid w:val="005449B9"/>
    <w:rsid w:val="00544A12"/>
    <w:rsid w:val="00544A4D"/>
    <w:rsid w:val="00544BE9"/>
    <w:rsid w:val="00544CC6"/>
    <w:rsid w:val="00544D44"/>
    <w:rsid w:val="00544D4E"/>
    <w:rsid w:val="00544E2B"/>
    <w:rsid w:val="00544EA9"/>
    <w:rsid w:val="00544F19"/>
    <w:rsid w:val="00544F76"/>
    <w:rsid w:val="00544F8F"/>
    <w:rsid w:val="00544F9A"/>
    <w:rsid w:val="00545156"/>
    <w:rsid w:val="005452ED"/>
    <w:rsid w:val="005454B9"/>
    <w:rsid w:val="005455AB"/>
    <w:rsid w:val="005455B0"/>
    <w:rsid w:val="005456EB"/>
    <w:rsid w:val="005456F6"/>
    <w:rsid w:val="00545744"/>
    <w:rsid w:val="005457E5"/>
    <w:rsid w:val="00545858"/>
    <w:rsid w:val="00545946"/>
    <w:rsid w:val="0054599A"/>
    <w:rsid w:val="00545AA3"/>
    <w:rsid w:val="00545C29"/>
    <w:rsid w:val="00545D30"/>
    <w:rsid w:val="00545D58"/>
    <w:rsid w:val="00545F96"/>
    <w:rsid w:val="00545FBC"/>
    <w:rsid w:val="00546041"/>
    <w:rsid w:val="005460CE"/>
    <w:rsid w:val="005460EB"/>
    <w:rsid w:val="005461C1"/>
    <w:rsid w:val="005461EB"/>
    <w:rsid w:val="005462B1"/>
    <w:rsid w:val="005462CC"/>
    <w:rsid w:val="005462DD"/>
    <w:rsid w:val="0054633E"/>
    <w:rsid w:val="0054635D"/>
    <w:rsid w:val="00546371"/>
    <w:rsid w:val="0054637D"/>
    <w:rsid w:val="00546408"/>
    <w:rsid w:val="005464BC"/>
    <w:rsid w:val="005464FA"/>
    <w:rsid w:val="00546529"/>
    <w:rsid w:val="005465EB"/>
    <w:rsid w:val="005466B7"/>
    <w:rsid w:val="005466DC"/>
    <w:rsid w:val="00546756"/>
    <w:rsid w:val="00546794"/>
    <w:rsid w:val="005467AD"/>
    <w:rsid w:val="00546806"/>
    <w:rsid w:val="00546826"/>
    <w:rsid w:val="00546844"/>
    <w:rsid w:val="005468A7"/>
    <w:rsid w:val="005468E9"/>
    <w:rsid w:val="0054697A"/>
    <w:rsid w:val="005469B9"/>
    <w:rsid w:val="005469E3"/>
    <w:rsid w:val="005469E8"/>
    <w:rsid w:val="00546A0A"/>
    <w:rsid w:val="00546A56"/>
    <w:rsid w:val="00546A99"/>
    <w:rsid w:val="00546B22"/>
    <w:rsid w:val="00546B6D"/>
    <w:rsid w:val="00546B77"/>
    <w:rsid w:val="00546BE4"/>
    <w:rsid w:val="00546C4E"/>
    <w:rsid w:val="00546D0C"/>
    <w:rsid w:val="00546D19"/>
    <w:rsid w:val="00546DA8"/>
    <w:rsid w:val="00546DDB"/>
    <w:rsid w:val="00546E52"/>
    <w:rsid w:val="00546F14"/>
    <w:rsid w:val="00546FB0"/>
    <w:rsid w:val="0054702E"/>
    <w:rsid w:val="00547037"/>
    <w:rsid w:val="005470B5"/>
    <w:rsid w:val="005470EB"/>
    <w:rsid w:val="005470EF"/>
    <w:rsid w:val="00547101"/>
    <w:rsid w:val="00547173"/>
    <w:rsid w:val="005471B9"/>
    <w:rsid w:val="005471D9"/>
    <w:rsid w:val="00547222"/>
    <w:rsid w:val="00547257"/>
    <w:rsid w:val="005472D7"/>
    <w:rsid w:val="00547383"/>
    <w:rsid w:val="005473D7"/>
    <w:rsid w:val="005474A0"/>
    <w:rsid w:val="005475DE"/>
    <w:rsid w:val="005476BD"/>
    <w:rsid w:val="00547733"/>
    <w:rsid w:val="00547831"/>
    <w:rsid w:val="00547842"/>
    <w:rsid w:val="0054794E"/>
    <w:rsid w:val="00547ABB"/>
    <w:rsid w:val="00547AD2"/>
    <w:rsid w:val="00547B39"/>
    <w:rsid w:val="00547B6A"/>
    <w:rsid w:val="00547BDE"/>
    <w:rsid w:val="00547C25"/>
    <w:rsid w:val="00547C46"/>
    <w:rsid w:val="00547C93"/>
    <w:rsid w:val="00547D90"/>
    <w:rsid w:val="00547DD2"/>
    <w:rsid w:val="00547EA1"/>
    <w:rsid w:val="00547F58"/>
    <w:rsid w:val="00547F66"/>
    <w:rsid w:val="00550052"/>
    <w:rsid w:val="00550144"/>
    <w:rsid w:val="0055028C"/>
    <w:rsid w:val="00550302"/>
    <w:rsid w:val="00550306"/>
    <w:rsid w:val="00550327"/>
    <w:rsid w:val="00550369"/>
    <w:rsid w:val="005503EB"/>
    <w:rsid w:val="00550412"/>
    <w:rsid w:val="00550414"/>
    <w:rsid w:val="00550442"/>
    <w:rsid w:val="005504B2"/>
    <w:rsid w:val="005504ED"/>
    <w:rsid w:val="0055058D"/>
    <w:rsid w:val="00550618"/>
    <w:rsid w:val="00550655"/>
    <w:rsid w:val="005507C8"/>
    <w:rsid w:val="005507D7"/>
    <w:rsid w:val="00550919"/>
    <w:rsid w:val="00550939"/>
    <w:rsid w:val="00550967"/>
    <w:rsid w:val="00550975"/>
    <w:rsid w:val="005509E4"/>
    <w:rsid w:val="005509E8"/>
    <w:rsid w:val="005509EA"/>
    <w:rsid w:val="00550A40"/>
    <w:rsid w:val="00550AC5"/>
    <w:rsid w:val="00550B0D"/>
    <w:rsid w:val="00550B3F"/>
    <w:rsid w:val="00550B90"/>
    <w:rsid w:val="00550BCB"/>
    <w:rsid w:val="00550CAF"/>
    <w:rsid w:val="00550D98"/>
    <w:rsid w:val="00550E03"/>
    <w:rsid w:val="00550E4D"/>
    <w:rsid w:val="00550F33"/>
    <w:rsid w:val="00550F7D"/>
    <w:rsid w:val="00551006"/>
    <w:rsid w:val="0055100C"/>
    <w:rsid w:val="005510BE"/>
    <w:rsid w:val="005510EF"/>
    <w:rsid w:val="005511A5"/>
    <w:rsid w:val="005511CE"/>
    <w:rsid w:val="0055122F"/>
    <w:rsid w:val="00551245"/>
    <w:rsid w:val="0055125D"/>
    <w:rsid w:val="005512A3"/>
    <w:rsid w:val="005512C0"/>
    <w:rsid w:val="00551316"/>
    <w:rsid w:val="0055157F"/>
    <w:rsid w:val="00551714"/>
    <w:rsid w:val="00551727"/>
    <w:rsid w:val="005517AA"/>
    <w:rsid w:val="00551859"/>
    <w:rsid w:val="005518B0"/>
    <w:rsid w:val="005518F1"/>
    <w:rsid w:val="00551900"/>
    <w:rsid w:val="005519F2"/>
    <w:rsid w:val="00551B42"/>
    <w:rsid w:val="00551B53"/>
    <w:rsid w:val="00551C23"/>
    <w:rsid w:val="00551C4E"/>
    <w:rsid w:val="00551D2D"/>
    <w:rsid w:val="00551DCD"/>
    <w:rsid w:val="00551E91"/>
    <w:rsid w:val="00551F20"/>
    <w:rsid w:val="005520D3"/>
    <w:rsid w:val="0055210A"/>
    <w:rsid w:val="00552229"/>
    <w:rsid w:val="00552298"/>
    <w:rsid w:val="00552349"/>
    <w:rsid w:val="005523B6"/>
    <w:rsid w:val="0055253C"/>
    <w:rsid w:val="0055256E"/>
    <w:rsid w:val="00552589"/>
    <w:rsid w:val="005525D3"/>
    <w:rsid w:val="00552607"/>
    <w:rsid w:val="0055263E"/>
    <w:rsid w:val="0055276D"/>
    <w:rsid w:val="00552775"/>
    <w:rsid w:val="00552815"/>
    <w:rsid w:val="00552830"/>
    <w:rsid w:val="005528D0"/>
    <w:rsid w:val="00552930"/>
    <w:rsid w:val="00552A4F"/>
    <w:rsid w:val="00552AD2"/>
    <w:rsid w:val="00552B06"/>
    <w:rsid w:val="00552B96"/>
    <w:rsid w:val="00552BD4"/>
    <w:rsid w:val="00552DD6"/>
    <w:rsid w:val="00552EF3"/>
    <w:rsid w:val="00552F48"/>
    <w:rsid w:val="00552FE7"/>
    <w:rsid w:val="00553054"/>
    <w:rsid w:val="0055326A"/>
    <w:rsid w:val="005532B3"/>
    <w:rsid w:val="005532D3"/>
    <w:rsid w:val="005532FC"/>
    <w:rsid w:val="0055332C"/>
    <w:rsid w:val="00553428"/>
    <w:rsid w:val="0055345E"/>
    <w:rsid w:val="005534AA"/>
    <w:rsid w:val="00553500"/>
    <w:rsid w:val="00553502"/>
    <w:rsid w:val="005535C2"/>
    <w:rsid w:val="00553606"/>
    <w:rsid w:val="00553699"/>
    <w:rsid w:val="0055378E"/>
    <w:rsid w:val="005537B1"/>
    <w:rsid w:val="00553813"/>
    <w:rsid w:val="0055386A"/>
    <w:rsid w:val="005538AD"/>
    <w:rsid w:val="005538F9"/>
    <w:rsid w:val="00553A54"/>
    <w:rsid w:val="00553B1E"/>
    <w:rsid w:val="00553B6E"/>
    <w:rsid w:val="00553CEC"/>
    <w:rsid w:val="00553CFA"/>
    <w:rsid w:val="00553D74"/>
    <w:rsid w:val="00553E4A"/>
    <w:rsid w:val="00553E96"/>
    <w:rsid w:val="00553EE8"/>
    <w:rsid w:val="00553EFD"/>
    <w:rsid w:val="00553F12"/>
    <w:rsid w:val="00553F2D"/>
    <w:rsid w:val="00553F3B"/>
    <w:rsid w:val="00553F91"/>
    <w:rsid w:val="00554038"/>
    <w:rsid w:val="00554107"/>
    <w:rsid w:val="00554129"/>
    <w:rsid w:val="0055422E"/>
    <w:rsid w:val="00554247"/>
    <w:rsid w:val="005543C1"/>
    <w:rsid w:val="0055440E"/>
    <w:rsid w:val="00554477"/>
    <w:rsid w:val="0055452A"/>
    <w:rsid w:val="005545D6"/>
    <w:rsid w:val="0055465E"/>
    <w:rsid w:val="00554974"/>
    <w:rsid w:val="00554A34"/>
    <w:rsid w:val="00554AEF"/>
    <w:rsid w:val="00554BE3"/>
    <w:rsid w:val="00554C85"/>
    <w:rsid w:val="00554C89"/>
    <w:rsid w:val="00554C98"/>
    <w:rsid w:val="00554E29"/>
    <w:rsid w:val="00554E6D"/>
    <w:rsid w:val="00554EA7"/>
    <w:rsid w:val="00554F16"/>
    <w:rsid w:val="00554FAC"/>
    <w:rsid w:val="00554FF1"/>
    <w:rsid w:val="0055502E"/>
    <w:rsid w:val="00555033"/>
    <w:rsid w:val="00555157"/>
    <w:rsid w:val="00555383"/>
    <w:rsid w:val="00555575"/>
    <w:rsid w:val="00555582"/>
    <w:rsid w:val="005555E2"/>
    <w:rsid w:val="005555EA"/>
    <w:rsid w:val="005558FF"/>
    <w:rsid w:val="00555967"/>
    <w:rsid w:val="00555991"/>
    <w:rsid w:val="00555995"/>
    <w:rsid w:val="005559D1"/>
    <w:rsid w:val="00555A09"/>
    <w:rsid w:val="00555A7B"/>
    <w:rsid w:val="00555AB4"/>
    <w:rsid w:val="00555B24"/>
    <w:rsid w:val="00555C12"/>
    <w:rsid w:val="00555C28"/>
    <w:rsid w:val="00555CBA"/>
    <w:rsid w:val="00555D36"/>
    <w:rsid w:val="00555EAE"/>
    <w:rsid w:val="00555EE7"/>
    <w:rsid w:val="00555F5F"/>
    <w:rsid w:val="00556085"/>
    <w:rsid w:val="00556165"/>
    <w:rsid w:val="00556231"/>
    <w:rsid w:val="00556237"/>
    <w:rsid w:val="005562F9"/>
    <w:rsid w:val="00556308"/>
    <w:rsid w:val="0055633B"/>
    <w:rsid w:val="00556393"/>
    <w:rsid w:val="005565D5"/>
    <w:rsid w:val="005565F8"/>
    <w:rsid w:val="00556630"/>
    <w:rsid w:val="00556658"/>
    <w:rsid w:val="00556673"/>
    <w:rsid w:val="00556681"/>
    <w:rsid w:val="005566D7"/>
    <w:rsid w:val="00556711"/>
    <w:rsid w:val="00556720"/>
    <w:rsid w:val="00556739"/>
    <w:rsid w:val="005567FF"/>
    <w:rsid w:val="00556825"/>
    <w:rsid w:val="0055682D"/>
    <w:rsid w:val="005568D3"/>
    <w:rsid w:val="00556944"/>
    <w:rsid w:val="00556A08"/>
    <w:rsid w:val="00556A62"/>
    <w:rsid w:val="00556A67"/>
    <w:rsid w:val="00556ACB"/>
    <w:rsid w:val="00556B9E"/>
    <w:rsid w:val="00556C05"/>
    <w:rsid w:val="00556C2E"/>
    <w:rsid w:val="00556C6D"/>
    <w:rsid w:val="00556C85"/>
    <w:rsid w:val="00556CCF"/>
    <w:rsid w:val="00556CD7"/>
    <w:rsid w:val="00556D0C"/>
    <w:rsid w:val="00556D54"/>
    <w:rsid w:val="00556DBA"/>
    <w:rsid w:val="00556DCF"/>
    <w:rsid w:val="00556F93"/>
    <w:rsid w:val="0055701F"/>
    <w:rsid w:val="005570A2"/>
    <w:rsid w:val="005570CD"/>
    <w:rsid w:val="00557164"/>
    <w:rsid w:val="005571CF"/>
    <w:rsid w:val="005571ED"/>
    <w:rsid w:val="005572BD"/>
    <w:rsid w:val="005572C1"/>
    <w:rsid w:val="00557329"/>
    <w:rsid w:val="005573F8"/>
    <w:rsid w:val="005574C7"/>
    <w:rsid w:val="0055750F"/>
    <w:rsid w:val="00557531"/>
    <w:rsid w:val="00557538"/>
    <w:rsid w:val="005575B7"/>
    <w:rsid w:val="00557678"/>
    <w:rsid w:val="00557774"/>
    <w:rsid w:val="005577BE"/>
    <w:rsid w:val="00557938"/>
    <w:rsid w:val="005579C9"/>
    <w:rsid w:val="00557B2B"/>
    <w:rsid w:val="00557B46"/>
    <w:rsid w:val="00557BD4"/>
    <w:rsid w:val="00557D3B"/>
    <w:rsid w:val="00557D4E"/>
    <w:rsid w:val="00557D62"/>
    <w:rsid w:val="00557DB2"/>
    <w:rsid w:val="00557E05"/>
    <w:rsid w:val="00557E70"/>
    <w:rsid w:val="00557E7F"/>
    <w:rsid w:val="00557EA5"/>
    <w:rsid w:val="00557FBD"/>
    <w:rsid w:val="00560032"/>
    <w:rsid w:val="00560047"/>
    <w:rsid w:val="00560096"/>
    <w:rsid w:val="00560102"/>
    <w:rsid w:val="0056019B"/>
    <w:rsid w:val="005601F1"/>
    <w:rsid w:val="00560242"/>
    <w:rsid w:val="0056028E"/>
    <w:rsid w:val="00560299"/>
    <w:rsid w:val="00560309"/>
    <w:rsid w:val="00560337"/>
    <w:rsid w:val="00560364"/>
    <w:rsid w:val="005603AA"/>
    <w:rsid w:val="005603F9"/>
    <w:rsid w:val="005604AD"/>
    <w:rsid w:val="005604F5"/>
    <w:rsid w:val="005606A8"/>
    <w:rsid w:val="00560720"/>
    <w:rsid w:val="005607C8"/>
    <w:rsid w:val="005607CE"/>
    <w:rsid w:val="00560814"/>
    <w:rsid w:val="005608DC"/>
    <w:rsid w:val="00560A13"/>
    <w:rsid w:val="00560A42"/>
    <w:rsid w:val="00560BB2"/>
    <w:rsid w:val="00560BB4"/>
    <w:rsid w:val="00560C64"/>
    <w:rsid w:val="00560D55"/>
    <w:rsid w:val="00560EA4"/>
    <w:rsid w:val="005610BD"/>
    <w:rsid w:val="005610BE"/>
    <w:rsid w:val="0056110B"/>
    <w:rsid w:val="0056110F"/>
    <w:rsid w:val="00561113"/>
    <w:rsid w:val="0056113F"/>
    <w:rsid w:val="005611BE"/>
    <w:rsid w:val="0056123A"/>
    <w:rsid w:val="005612BB"/>
    <w:rsid w:val="00561313"/>
    <w:rsid w:val="00561484"/>
    <w:rsid w:val="0056153D"/>
    <w:rsid w:val="00561563"/>
    <w:rsid w:val="005615C7"/>
    <w:rsid w:val="005615F7"/>
    <w:rsid w:val="00561678"/>
    <w:rsid w:val="005616A5"/>
    <w:rsid w:val="005616B6"/>
    <w:rsid w:val="005616CC"/>
    <w:rsid w:val="0056175B"/>
    <w:rsid w:val="00561767"/>
    <w:rsid w:val="00561812"/>
    <w:rsid w:val="00561855"/>
    <w:rsid w:val="005618B5"/>
    <w:rsid w:val="00561934"/>
    <w:rsid w:val="00561986"/>
    <w:rsid w:val="00561B3A"/>
    <w:rsid w:val="00561CAA"/>
    <w:rsid w:val="00561D8C"/>
    <w:rsid w:val="00561E21"/>
    <w:rsid w:val="00562055"/>
    <w:rsid w:val="005620BF"/>
    <w:rsid w:val="00562162"/>
    <w:rsid w:val="0056216F"/>
    <w:rsid w:val="005621A8"/>
    <w:rsid w:val="005621C4"/>
    <w:rsid w:val="005622DC"/>
    <w:rsid w:val="005623DC"/>
    <w:rsid w:val="005623E8"/>
    <w:rsid w:val="005623EC"/>
    <w:rsid w:val="0056240A"/>
    <w:rsid w:val="005624E1"/>
    <w:rsid w:val="00562503"/>
    <w:rsid w:val="00562511"/>
    <w:rsid w:val="005625BA"/>
    <w:rsid w:val="00562665"/>
    <w:rsid w:val="005626D4"/>
    <w:rsid w:val="005626DA"/>
    <w:rsid w:val="00562736"/>
    <w:rsid w:val="00562740"/>
    <w:rsid w:val="005627D9"/>
    <w:rsid w:val="0056282C"/>
    <w:rsid w:val="00562923"/>
    <w:rsid w:val="00562AB9"/>
    <w:rsid w:val="00562B05"/>
    <w:rsid w:val="00562B9E"/>
    <w:rsid w:val="00562C42"/>
    <w:rsid w:val="00562C8C"/>
    <w:rsid w:val="00562D79"/>
    <w:rsid w:val="00562E19"/>
    <w:rsid w:val="00562E44"/>
    <w:rsid w:val="00562E5A"/>
    <w:rsid w:val="00562E6C"/>
    <w:rsid w:val="00562EBB"/>
    <w:rsid w:val="00562EC2"/>
    <w:rsid w:val="00562F00"/>
    <w:rsid w:val="00563044"/>
    <w:rsid w:val="00563077"/>
    <w:rsid w:val="005630AE"/>
    <w:rsid w:val="005630BD"/>
    <w:rsid w:val="005632CE"/>
    <w:rsid w:val="005633CE"/>
    <w:rsid w:val="005633E1"/>
    <w:rsid w:val="00563408"/>
    <w:rsid w:val="0056341E"/>
    <w:rsid w:val="00563424"/>
    <w:rsid w:val="005634DA"/>
    <w:rsid w:val="005635F6"/>
    <w:rsid w:val="00563678"/>
    <w:rsid w:val="00563698"/>
    <w:rsid w:val="005637B5"/>
    <w:rsid w:val="00563809"/>
    <w:rsid w:val="005638C0"/>
    <w:rsid w:val="005638FB"/>
    <w:rsid w:val="00563A13"/>
    <w:rsid w:val="00563A49"/>
    <w:rsid w:val="00563B1A"/>
    <w:rsid w:val="00563BEE"/>
    <w:rsid w:val="00563BFA"/>
    <w:rsid w:val="00563C3D"/>
    <w:rsid w:val="00563C55"/>
    <w:rsid w:val="00563C73"/>
    <w:rsid w:val="00563DD2"/>
    <w:rsid w:val="00563DE7"/>
    <w:rsid w:val="00563E04"/>
    <w:rsid w:val="00563E62"/>
    <w:rsid w:val="00563FD1"/>
    <w:rsid w:val="00564038"/>
    <w:rsid w:val="00564149"/>
    <w:rsid w:val="00564178"/>
    <w:rsid w:val="00564183"/>
    <w:rsid w:val="005641B8"/>
    <w:rsid w:val="00564219"/>
    <w:rsid w:val="005642C7"/>
    <w:rsid w:val="005642FA"/>
    <w:rsid w:val="00564323"/>
    <w:rsid w:val="005643B8"/>
    <w:rsid w:val="00564421"/>
    <w:rsid w:val="005644D1"/>
    <w:rsid w:val="0056454D"/>
    <w:rsid w:val="0056455E"/>
    <w:rsid w:val="00564610"/>
    <w:rsid w:val="0056461F"/>
    <w:rsid w:val="00564649"/>
    <w:rsid w:val="0056465B"/>
    <w:rsid w:val="005646F5"/>
    <w:rsid w:val="0056471F"/>
    <w:rsid w:val="00564787"/>
    <w:rsid w:val="0056482B"/>
    <w:rsid w:val="00564840"/>
    <w:rsid w:val="00564860"/>
    <w:rsid w:val="005648C3"/>
    <w:rsid w:val="0056492C"/>
    <w:rsid w:val="005649E0"/>
    <w:rsid w:val="005649E3"/>
    <w:rsid w:val="005649E9"/>
    <w:rsid w:val="00564B1B"/>
    <w:rsid w:val="00564CCD"/>
    <w:rsid w:val="00564E10"/>
    <w:rsid w:val="00564E24"/>
    <w:rsid w:val="00564EE9"/>
    <w:rsid w:val="00564F07"/>
    <w:rsid w:val="005650FD"/>
    <w:rsid w:val="005651FF"/>
    <w:rsid w:val="00565234"/>
    <w:rsid w:val="0056532C"/>
    <w:rsid w:val="00565493"/>
    <w:rsid w:val="005654B1"/>
    <w:rsid w:val="005654C4"/>
    <w:rsid w:val="00565538"/>
    <w:rsid w:val="00565627"/>
    <w:rsid w:val="00565646"/>
    <w:rsid w:val="005656D0"/>
    <w:rsid w:val="005656E6"/>
    <w:rsid w:val="00565782"/>
    <w:rsid w:val="005657B4"/>
    <w:rsid w:val="005657DC"/>
    <w:rsid w:val="005658D9"/>
    <w:rsid w:val="00565A10"/>
    <w:rsid w:val="00565A5C"/>
    <w:rsid w:val="00565B14"/>
    <w:rsid w:val="00565B6E"/>
    <w:rsid w:val="00565BA7"/>
    <w:rsid w:val="00565BFA"/>
    <w:rsid w:val="00565C71"/>
    <w:rsid w:val="00565C8E"/>
    <w:rsid w:val="00565D6F"/>
    <w:rsid w:val="00565DB0"/>
    <w:rsid w:val="00565E12"/>
    <w:rsid w:val="00565E83"/>
    <w:rsid w:val="00565EE1"/>
    <w:rsid w:val="00565F3E"/>
    <w:rsid w:val="00565F57"/>
    <w:rsid w:val="00565F89"/>
    <w:rsid w:val="0056607F"/>
    <w:rsid w:val="005660DE"/>
    <w:rsid w:val="0056619A"/>
    <w:rsid w:val="00566240"/>
    <w:rsid w:val="0056625D"/>
    <w:rsid w:val="005662AE"/>
    <w:rsid w:val="0056648E"/>
    <w:rsid w:val="00566508"/>
    <w:rsid w:val="0056661A"/>
    <w:rsid w:val="00566636"/>
    <w:rsid w:val="0056663C"/>
    <w:rsid w:val="005667B9"/>
    <w:rsid w:val="005667BC"/>
    <w:rsid w:val="005668EC"/>
    <w:rsid w:val="0056692B"/>
    <w:rsid w:val="00566934"/>
    <w:rsid w:val="0056697D"/>
    <w:rsid w:val="005669B0"/>
    <w:rsid w:val="005669BD"/>
    <w:rsid w:val="00566A18"/>
    <w:rsid w:val="00566B09"/>
    <w:rsid w:val="00566C32"/>
    <w:rsid w:val="00566CED"/>
    <w:rsid w:val="00566CF5"/>
    <w:rsid w:val="00566D7C"/>
    <w:rsid w:val="00566E85"/>
    <w:rsid w:val="00566F6C"/>
    <w:rsid w:val="00567022"/>
    <w:rsid w:val="0056706C"/>
    <w:rsid w:val="0056708A"/>
    <w:rsid w:val="005670C5"/>
    <w:rsid w:val="005671A7"/>
    <w:rsid w:val="0056727A"/>
    <w:rsid w:val="00567430"/>
    <w:rsid w:val="00567505"/>
    <w:rsid w:val="0056756E"/>
    <w:rsid w:val="00567641"/>
    <w:rsid w:val="005676D4"/>
    <w:rsid w:val="00567785"/>
    <w:rsid w:val="0056786F"/>
    <w:rsid w:val="00567891"/>
    <w:rsid w:val="005678D5"/>
    <w:rsid w:val="005678E8"/>
    <w:rsid w:val="00567974"/>
    <w:rsid w:val="00567A3C"/>
    <w:rsid w:val="00567A5F"/>
    <w:rsid w:val="00567A86"/>
    <w:rsid w:val="00567B28"/>
    <w:rsid w:val="00567B4C"/>
    <w:rsid w:val="00567B94"/>
    <w:rsid w:val="00567BF0"/>
    <w:rsid w:val="00567CE6"/>
    <w:rsid w:val="00567D61"/>
    <w:rsid w:val="00567D9A"/>
    <w:rsid w:val="00567DBB"/>
    <w:rsid w:val="00567E08"/>
    <w:rsid w:val="00567E0C"/>
    <w:rsid w:val="00567E1A"/>
    <w:rsid w:val="00567E5D"/>
    <w:rsid w:val="00567E7B"/>
    <w:rsid w:val="00567F3F"/>
    <w:rsid w:val="00567FD4"/>
    <w:rsid w:val="005700D7"/>
    <w:rsid w:val="005700EE"/>
    <w:rsid w:val="005701F0"/>
    <w:rsid w:val="00570216"/>
    <w:rsid w:val="005702A1"/>
    <w:rsid w:val="005702A2"/>
    <w:rsid w:val="00570455"/>
    <w:rsid w:val="00570469"/>
    <w:rsid w:val="0057047B"/>
    <w:rsid w:val="0057047F"/>
    <w:rsid w:val="00570483"/>
    <w:rsid w:val="0057056C"/>
    <w:rsid w:val="005705E9"/>
    <w:rsid w:val="005705FA"/>
    <w:rsid w:val="00570633"/>
    <w:rsid w:val="00570819"/>
    <w:rsid w:val="00570843"/>
    <w:rsid w:val="0057087B"/>
    <w:rsid w:val="005708B8"/>
    <w:rsid w:val="005708D0"/>
    <w:rsid w:val="00570917"/>
    <w:rsid w:val="00570981"/>
    <w:rsid w:val="00570984"/>
    <w:rsid w:val="00570A34"/>
    <w:rsid w:val="00570B5B"/>
    <w:rsid w:val="00570B5D"/>
    <w:rsid w:val="00570D41"/>
    <w:rsid w:val="00570D6B"/>
    <w:rsid w:val="00570DD2"/>
    <w:rsid w:val="00570DFE"/>
    <w:rsid w:val="00570ED7"/>
    <w:rsid w:val="00570F0A"/>
    <w:rsid w:val="00570F93"/>
    <w:rsid w:val="00571007"/>
    <w:rsid w:val="00571009"/>
    <w:rsid w:val="00571024"/>
    <w:rsid w:val="00571048"/>
    <w:rsid w:val="0057113E"/>
    <w:rsid w:val="0057122D"/>
    <w:rsid w:val="00571295"/>
    <w:rsid w:val="00571314"/>
    <w:rsid w:val="005713B9"/>
    <w:rsid w:val="0057140A"/>
    <w:rsid w:val="0057147B"/>
    <w:rsid w:val="00571498"/>
    <w:rsid w:val="0057150B"/>
    <w:rsid w:val="00571611"/>
    <w:rsid w:val="005717A2"/>
    <w:rsid w:val="005717FA"/>
    <w:rsid w:val="00571820"/>
    <w:rsid w:val="00571864"/>
    <w:rsid w:val="00571A5F"/>
    <w:rsid w:val="00571A8B"/>
    <w:rsid w:val="00571A9B"/>
    <w:rsid w:val="00571B54"/>
    <w:rsid w:val="00571C94"/>
    <w:rsid w:val="00571CBB"/>
    <w:rsid w:val="00571CDD"/>
    <w:rsid w:val="00571D25"/>
    <w:rsid w:val="00571D3D"/>
    <w:rsid w:val="00571D49"/>
    <w:rsid w:val="00571EEA"/>
    <w:rsid w:val="00571FAC"/>
    <w:rsid w:val="0057201E"/>
    <w:rsid w:val="005721F3"/>
    <w:rsid w:val="00572214"/>
    <w:rsid w:val="00572245"/>
    <w:rsid w:val="00572313"/>
    <w:rsid w:val="00572384"/>
    <w:rsid w:val="00572477"/>
    <w:rsid w:val="0057248B"/>
    <w:rsid w:val="0057248F"/>
    <w:rsid w:val="00572650"/>
    <w:rsid w:val="0057269F"/>
    <w:rsid w:val="00572707"/>
    <w:rsid w:val="00572729"/>
    <w:rsid w:val="0057274A"/>
    <w:rsid w:val="00572792"/>
    <w:rsid w:val="00572AA1"/>
    <w:rsid w:val="00572ACA"/>
    <w:rsid w:val="00572B5F"/>
    <w:rsid w:val="00572B77"/>
    <w:rsid w:val="00572BB0"/>
    <w:rsid w:val="00572D04"/>
    <w:rsid w:val="00572D3C"/>
    <w:rsid w:val="00572FBD"/>
    <w:rsid w:val="0057315B"/>
    <w:rsid w:val="005731B4"/>
    <w:rsid w:val="005731B7"/>
    <w:rsid w:val="005731FF"/>
    <w:rsid w:val="00573253"/>
    <w:rsid w:val="00573340"/>
    <w:rsid w:val="00573361"/>
    <w:rsid w:val="00573373"/>
    <w:rsid w:val="0057340D"/>
    <w:rsid w:val="00573453"/>
    <w:rsid w:val="005734AB"/>
    <w:rsid w:val="0057359C"/>
    <w:rsid w:val="005736A9"/>
    <w:rsid w:val="00573790"/>
    <w:rsid w:val="005738A0"/>
    <w:rsid w:val="005739D5"/>
    <w:rsid w:val="00573A78"/>
    <w:rsid w:val="00573B6F"/>
    <w:rsid w:val="00573B75"/>
    <w:rsid w:val="00573D2F"/>
    <w:rsid w:val="00573DA4"/>
    <w:rsid w:val="00573DC4"/>
    <w:rsid w:val="00573E93"/>
    <w:rsid w:val="00573EE1"/>
    <w:rsid w:val="00573EFA"/>
    <w:rsid w:val="00573EFB"/>
    <w:rsid w:val="00573FDD"/>
    <w:rsid w:val="005740DD"/>
    <w:rsid w:val="00574291"/>
    <w:rsid w:val="005742D9"/>
    <w:rsid w:val="005743B6"/>
    <w:rsid w:val="005743BF"/>
    <w:rsid w:val="005743C5"/>
    <w:rsid w:val="005744CC"/>
    <w:rsid w:val="00574521"/>
    <w:rsid w:val="005745E8"/>
    <w:rsid w:val="00574637"/>
    <w:rsid w:val="005747F8"/>
    <w:rsid w:val="00574802"/>
    <w:rsid w:val="00574855"/>
    <w:rsid w:val="005748B2"/>
    <w:rsid w:val="00574A2C"/>
    <w:rsid w:val="00574A82"/>
    <w:rsid w:val="00574ABD"/>
    <w:rsid w:val="00574B08"/>
    <w:rsid w:val="00574B48"/>
    <w:rsid w:val="00574B5D"/>
    <w:rsid w:val="00574B63"/>
    <w:rsid w:val="00574C52"/>
    <w:rsid w:val="00574C61"/>
    <w:rsid w:val="00574CE9"/>
    <w:rsid w:val="00574CFD"/>
    <w:rsid w:val="00574D08"/>
    <w:rsid w:val="00574D88"/>
    <w:rsid w:val="00574E17"/>
    <w:rsid w:val="00574E29"/>
    <w:rsid w:val="00574F45"/>
    <w:rsid w:val="00574F97"/>
    <w:rsid w:val="00574F9E"/>
    <w:rsid w:val="00574FA2"/>
    <w:rsid w:val="00574FAC"/>
    <w:rsid w:val="005750E0"/>
    <w:rsid w:val="00575182"/>
    <w:rsid w:val="005751D4"/>
    <w:rsid w:val="005751EB"/>
    <w:rsid w:val="00575207"/>
    <w:rsid w:val="00575209"/>
    <w:rsid w:val="00575211"/>
    <w:rsid w:val="00575232"/>
    <w:rsid w:val="005752B7"/>
    <w:rsid w:val="005752BF"/>
    <w:rsid w:val="005752D6"/>
    <w:rsid w:val="005752F8"/>
    <w:rsid w:val="005752F9"/>
    <w:rsid w:val="0057536A"/>
    <w:rsid w:val="00575396"/>
    <w:rsid w:val="0057545F"/>
    <w:rsid w:val="005755DF"/>
    <w:rsid w:val="005756F8"/>
    <w:rsid w:val="0057574E"/>
    <w:rsid w:val="005757CA"/>
    <w:rsid w:val="005758FC"/>
    <w:rsid w:val="00575BC0"/>
    <w:rsid w:val="00575C69"/>
    <w:rsid w:val="00575C6B"/>
    <w:rsid w:val="00575C93"/>
    <w:rsid w:val="00575DA0"/>
    <w:rsid w:val="00575E0A"/>
    <w:rsid w:val="00575E51"/>
    <w:rsid w:val="00575E64"/>
    <w:rsid w:val="00575E6C"/>
    <w:rsid w:val="00575F44"/>
    <w:rsid w:val="00575FCE"/>
    <w:rsid w:val="0057600D"/>
    <w:rsid w:val="0057609F"/>
    <w:rsid w:val="0057618B"/>
    <w:rsid w:val="00576196"/>
    <w:rsid w:val="0057621E"/>
    <w:rsid w:val="005762B1"/>
    <w:rsid w:val="005763E6"/>
    <w:rsid w:val="005764CD"/>
    <w:rsid w:val="005764F5"/>
    <w:rsid w:val="00576588"/>
    <w:rsid w:val="00576697"/>
    <w:rsid w:val="005766EC"/>
    <w:rsid w:val="00576738"/>
    <w:rsid w:val="00576783"/>
    <w:rsid w:val="005767A1"/>
    <w:rsid w:val="005768E6"/>
    <w:rsid w:val="005768E8"/>
    <w:rsid w:val="0057692C"/>
    <w:rsid w:val="00576ACF"/>
    <w:rsid w:val="00576B35"/>
    <w:rsid w:val="00576BB0"/>
    <w:rsid w:val="00576BC9"/>
    <w:rsid w:val="00576C18"/>
    <w:rsid w:val="00576C48"/>
    <w:rsid w:val="00576DB8"/>
    <w:rsid w:val="00576E03"/>
    <w:rsid w:val="00576E60"/>
    <w:rsid w:val="00576E97"/>
    <w:rsid w:val="00576EA8"/>
    <w:rsid w:val="00576FAC"/>
    <w:rsid w:val="00577042"/>
    <w:rsid w:val="0057709E"/>
    <w:rsid w:val="0057715C"/>
    <w:rsid w:val="0057717D"/>
    <w:rsid w:val="00577196"/>
    <w:rsid w:val="005771B6"/>
    <w:rsid w:val="00577202"/>
    <w:rsid w:val="00577222"/>
    <w:rsid w:val="00577294"/>
    <w:rsid w:val="005772A4"/>
    <w:rsid w:val="005772DA"/>
    <w:rsid w:val="005774FA"/>
    <w:rsid w:val="0057751D"/>
    <w:rsid w:val="00577522"/>
    <w:rsid w:val="00577610"/>
    <w:rsid w:val="00577749"/>
    <w:rsid w:val="00577793"/>
    <w:rsid w:val="005778B5"/>
    <w:rsid w:val="00577905"/>
    <w:rsid w:val="00577951"/>
    <w:rsid w:val="0057796F"/>
    <w:rsid w:val="00577A34"/>
    <w:rsid w:val="00577AED"/>
    <w:rsid w:val="00577B38"/>
    <w:rsid w:val="00577C53"/>
    <w:rsid w:val="00577CBB"/>
    <w:rsid w:val="00577CDC"/>
    <w:rsid w:val="00577D78"/>
    <w:rsid w:val="00577D88"/>
    <w:rsid w:val="00577EA3"/>
    <w:rsid w:val="00577F31"/>
    <w:rsid w:val="00577F4F"/>
    <w:rsid w:val="00577FB9"/>
    <w:rsid w:val="0057F38F"/>
    <w:rsid w:val="0058002F"/>
    <w:rsid w:val="00580067"/>
    <w:rsid w:val="005800D9"/>
    <w:rsid w:val="0058012F"/>
    <w:rsid w:val="00580175"/>
    <w:rsid w:val="0058017E"/>
    <w:rsid w:val="0058018B"/>
    <w:rsid w:val="0058020E"/>
    <w:rsid w:val="00580376"/>
    <w:rsid w:val="005803EB"/>
    <w:rsid w:val="005803F3"/>
    <w:rsid w:val="0058047E"/>
    <w:rsid w:val="005804C0"/>
    <w:rsid w:val="005804CF"/>
    <w:rsid w:val="005805B1"/>
    <w:rsid w:val="0058065B"/>
    <w:rsid w:val="00580660"/>
    <w:rsid w:val="005806D0"/>
    <w:rsid w:val="00580824"/>
    <w:rsid w:val="00580908"/>
    <w:rsid w:val="00580913"/>
    <w:rsid w:val="0058096A"/>
    <w:rsid w:val="005809A2"/>
    <w:rsid w:val="005809B8"/>
    <w:rsid w:val="005809F6"/>
    <w:rsid w:val="00580B2D"/>
    <w:rsid w:val="00580B45"/>
    <w:rsid w:val="00580D4A"/>
    <w:rsid w:val="00580F18"/>
    <w:rsid w:val="00580F21"/>
    <w:rsid w:val="00580FDE"/>
    <w:rsid w:val="005810A2"/>
    <w:rsid w:val="0058114C"/>
    <w:rsid w:val="00581162"/>
    <w:rsid w:val="00581165"/>
    <w:rsid w:val="0058116E"/>
    <w:rsid w:val="005811EE"/>
    <w:rsid w:val="0058122B"/>
    <w:rsid w:val="005812B9"/>
    <w:rsid w:val="005812DF"/>
    <w:rsid w:val="005812F7"/>
    <w:rsid w:val="00581313"/>
    <w:rsid w:val="00581395"/>
    <w:rsid w:val="005814A0"/>
    <w:rsid w:val="005814AD"/>
    <w:rsid w:val="005814DD"/>
    <w:rsid w:val="00581574"/>
    <w:rsid w:val="005815E9"/>
    <w:rsid w:val="00581724"/>
    <w:rsid w:val="0058177A"/>
    <w:rsid w:val="00581784"/>
    <w:rsid w:val="005818C3"/>
    <w:rsid w:val="005819B1"/>
    <w:rsid w:val="00581B1C"/>
    <w:rsid w:val="00581C90"/>
    <w:rsid w:val="00581D31"/>
    <w:rsid w:val="00581E98"/>
    <w:rsid w:val="00581F1C"/>
    <w:rsid w:val="0058203C"/>
    <w:rsid w:val="0058205F"/>
    <w:rsid w:val="00582077"/>
    <w:rsid w:val="005820CB"/>
    <w:rsid w:val="005821A6"/>
    <w:rsid w:val="005821F3"/>
    <w:rsid w:val="00582212"/>
    <w:rsid w:val="00582237"/>
    <w:rsid w:val="00582282"/>
    <w:rsid w:val="00582292"/>
    <w:rsid w:val="00582383"/>
    <w:rsid w:val="0058239A"/>
    <w:rsid w:val="005823D4"/>
    <w:rsid w:val="005823DA"/>
    <w:rsid w:val="005823DB"/>
    <w:rsid w:val="0058246A"/>
    <w:rsid w:val="00582528"/>
    <w:rsid w:val="00582530"/>
    <w:rsid w:val="00582557"/>
    <w:rsid w:val="00582589"/>
    <w:rsid w:val="005825B0"/>
    <w:rsid w:val="005825C1"/>
    <w:rsid w:val="005825D8"/>
    <w:rsid w:val="005826C0"/>
    <w:rsid w:val="005826F2"/>
    <w:rsid w:val="00582762"/>
    <w:rsid w:val="005827D5"/>
    <w:rsid w:val="005828B2"/>
    <w:rsid w:val="00582905"/>
    <w:rsid w:val="00582A25"/>
    <w:rsid w:val="00582A2A"/>
    <w:rsid w:val="00582C4C"/>
    <w:rsid w:val="00582C88"/>
    <w:rsid w:val="00582E04"/>
    <w:rsid w:val="00582EE8"/>
    <w:rsid w:val="00582F80"/>
    <w:rsid w:val="00582FB8"/>
    <w:rsid w:val="00582FE3"/>
    <w:rsid w:val="00582FEB"/>
    <w:rsid w:val="00583064"/>
    <w:rsid w:val="005830DC"/>
    <w:rsid w:val="005830E9"/>
    <w:rsid w:val="005831D9"/>
    <w:rsid w:val="00583233"/>
    <w:rsid w:val="00583372"/>
    <w:rsid w:val="005833C7"/>
    <w:rsid w:val="00583452"/>
    <w:rsid w:val="005834CC"/>
    <w:rsid w:val="00583518"/>
    <w:rsid w:val="00583521"/>
    <w:rsid w:val="00583541"/>
    <w:rsid w:val="00583695"/>
    <w:rsid w:val="005836CD"/>
    <w:rsid w:val="005837EA"/>
    <w:rsid w:val="0058384E"/>
    <w:rsid w:val="0058391B"/>
    <w:rsid w:val="005839AB"/>
    <w:rsid w:val="00583B95"/>
    <w:rsid w:val="00583CCA"/>
    <w:rsid w:val="00583D3E"/>
    <w:rsid w:val="00583D92"/>
    <w:rsid w:val="00583DBC"/>
    <w:rsid w:val="00583E61"/>
    <w:rsid w:val="00583E80"/>
    <w:rsid w:val="00583EBC"/>
    <w:rsid w:val="00583F4C"/>
    <w:rsid w:val="00583F59"/>
    <w:rsid w:val="00584277"/>
    <w:rsid w:val="00584282"/>
    <w:rsid w:val="00584323"/>
    <w:rsid w:val="005843C5"/>
    <w:rsid w:val="0058441F"/>
    <w:rsid w:val="00584452"/>
    <w:rsid w:val="0058451A"/>
    <w:rsid w:val="005845B8"/>
    <w:rsid w:val="0058470A"/>
    <w:rsid w:val="00584717"/>
    <w:rsid w:val="00584894"/>
    <w:rsid w:val="00584987"/>
    <w:rsid w:val="00584A11"/>
    <w:rsid w:val="00584C20"/>
    <w:rsid w:val="00584D30"/>
    <w:rsid w:val="00584D31"/>
    <w:rsid w:val="00584D9D"/>
    <w:rsid w:val="00584D9E"/>
    <w:rsid w:val="00584DB9"/>
    <w:rsid w:val="00584E19"/>
    <w:rsid w:val="00584E55"/>
    <w:rsid w:val="00584F82"/>
    <w:rsid w:val="00584FCB"/>
    <w:rsid w:val="00584FCF"/>
    <w:rsid w:val="00585001"/>
    <w:rsid w:val="0058500F"/>
    <w:rsid w:val="00585036"/>
    <w:rsid w:val="005850E8"/>
    <w:rsid w:val="005851A4"/>
    <w:rsid w:val="005851C4"/>
    <w:rsid w:val="005851F1"/>
    <w:rsid w:val="0058525B"/>
    <w:rsid w:val="0058536F"/>
    <w:rsid w:val="00585391"/>
    <w:rsid w:val="0058539F"/>
    <w:rsid w:val="0058541D"/>
    <w:rsid w:val="00585453"/>
    <w:rsid w:val="0058546F"/>
    <w:rsid w:val="005854A6"/>
    <w:rsid w:val="005854E9"/>
    <w:rsid w:val="005854FC"/>
    <w:rsid w:val="00585514"/>
    <w:rsid w:val="00585555"/>
    <w:rsid w:val="0058555A"/>
    <w:rsid w:val="0058555B"/>
    <w:rsid w:val="00585691"/>
    <w:rsid w:val="005856E7"/>
    <w:rsid w:val="00585773"/>
    <w:rsid w:val="005858EB"/>
    <w:rsid w:val="005858F3"/>
    <w:rsid w:val="005859C0"/>
    <w:rsid w:val="00585A4C"/>
    <w:rsid w:val="00585AF1"/>
    <w:rsid w:val="00585B4F"/>
    <w:rsid w:val="00585C06"/>
    <w:rsid w:val="00585C47"/>
    <w:rsid w:val="00585C80"/>
    <w:rsid w:val="00585D04"/>
    <w:rsid w:val="00585D51"/>
    <w:rsid w:val="00585EBE"/>
    <w:rsid w:val="00585FAF"/>
    <w:rsid w:val="00586115"/>
    <w:rsid w:val="00586172"/>
    <w:rsid w:val="005861E9"/>
    <w:rsid w:val="005862B3"/>
    <w:rsid w:val="005862C1"/>
    <w:rsid w:val="005862F4"/>
    <w:rsid w:val="00586395"/>
    <w:rsid w:val="0058643F"/>
    <w:rsid w:val="005864C2"/>
    <w:rsid w:val="00586564"/>
    <w:rsid w:val="00586607"/>
    <w:rsid w:val="0058663E"/>
    <w:rsid w:val="005866AC"/>
    <w:rsid w:val="005866C2"/>
    <w:rsid w:val="0058679C"/>
    <w:rsid w:val="005867DF"/>
    <w:rsid w:val="0058682D"/>
    <w:rsid w:val="00586886"/>
    <w:rsid w:val="0058690F"/>
    <w:rsid w:val="005869B0"/>
    <w:rsid w:val="00586B41"/>
    <w:rsid w:val="00586B7E"/>
    <w:rsid w:val="00586C03"/>
    <w:rsid w:val="00586C54"/>
    <w:rsid w:val="00586D0E"/>
    <w:rsid w:val="00586D1E"/>
    <w:rsid w:val="00586DB8"/>
    <w:rsid w:val="00586DBF"/>
    <w:rsid w:val="00586DDE"/>
    <w:rsid w:val="00586F31"/>
    <w:rsid w:val="00586F8F"/>
    <w:rsid w:val="00586FD7"/>
    <w:rsid w:val="00587047"/>
    <w:rsid w:val="00587114"/>
    <w:rsid w:val="00587135"/>
    <w:rsid w:val="00587154"/>
    <w:rsid w:val="00587254"/>
    <w:rsid w:val="005872C8"/>
    <w:rsid w:val="005872CA"/>
    <w:rsid w:val="00587330"/>
    <w:rsid w:val="0058735E"/>
    <w:rsid w:val="00587412"/>
    <w:rsid w:val="0058751E"/>
    <w:rsid w:val="00587544"/>
    <w:rsid w:val="0058755A"/>
    <w:rsid w:val="00587612"/>
    <w:rsid w:val="0058770F"/>
    <w:rsid w:val="00587738"/>
    <w:rsid w:val="0058774F"/>
    <w:rsid w:val="00587792"/>
    <w:rsid w:val="00587826"/>
    <w:rsid w:val="005878C4"/>
    <w:rsid w:val="00587901"/>
    <w:rsid w:val="00587931"/>
    <w:rsid w:val="0058796B"/>
    <w:rsid w:val="005879C0"/>
    <w:rsid w:val="005879FC"/>
    <w:rsid w:val="00587A68"/>
    <w:rsid w:val="00587ACF"/>
    <w:rsid w:val="00587C07"/>
    <w:rsid w:val="00587C75"/>
    <w:rsid w:val="00587C88"/>
    <w:rsid w:val="00587DAF"/>
    <w:rsid w:val="00587E2E"/>
    <w:rsid w:val="00587EE1"/>
    <w:rsid w:val="00587F26"/>
    <w:rsid w:val="00587FCF"/>
    <w:rsid w:val="00587FF6"/>
    <w:rsid w:val="0059004F"/>
    <w:rsid w:val="005900F3"/>
    <w:rsid w:val="00590161"/>
    <w:rsid w:val="0059020F"/>
    <w:rsid w:val="00590244"/>
    <w:rsid w:val="005902F1"/>
    <w:rsid w:val="00590366"/>
    <w:rsid w:val="0059036D"/>
    <w:rsid w:val="005903FA"/>
    <w:rsid w:val="005904F1"/>
    <w:rsid w:val="00590530"/>
    <w:rsid w:val="005905F9"/>
    <w:rsid w:val="00590697"/>
    <w:rsid w:val="005906E1"/>
    <w:rsid w:val="00590709"/>
    <w:rsid w:val="00590728"/>
    <w:rsid w:val="0059072A"/>
    <w:rsid w:val="0059095C"/>
    <w:rsid w:val="005909BC"/>
    <w:rsid w:val="005909DB"/>
    <w:rsid w:val="005909E0"/>
    <w:rsid w:val="00590B1C"/>
    <w:rsid w:val="00590C01"/>
    <w:rsid w:val="00590CBD"/>
    <w:rsid w:val="00590D0C"/>
    <w:rsid w:val="00590D75"/>
    <w:rsid w:val="00590EF0"/>
    <w:rsid w:val="00590F38"/>
    <w:rsid w:val="00590F9E"/>
    <w:rsid w:val="00590FBD"/>
    <w:rsid w:val="005910AA"/>
    <w:rsid w:val="0059110C"/>
    <w:rsid w:val="005911D4"/>
    <w:rsid w:val="005911DB"/>
    <w:rsid w:val="00591320"/>
    <w:rsid w:val="005913FC"/>
    <w:rsid w:val="005914B7"/>
    <w:rsid w:val="005914F5"/>
    <w:rsid w:val="00591579"/>
    <w:rsid w:val="005915AA"/>
    <w:rsid w:val="005915FE"/>
    <w:rsid w:val="0059171D"/>
    <w:rsid w:val="00591821"/>
    <w:rsid w:val="005918C3"/>
    <w:rsid w:val="005918D9"/>
    <w:rsid w:val="0059191E"/>
    <w:rsid w:val="00591920"/>
    <w:rsid w:val="00591978"/>
    <w:rsid w:val="00591A1C"/>
    <w:rsid w:val="00591A3A"/>
    <w:rsid w:val="00591A7E"/>
    <w:rsid w:val="00591B99"/>
    <w:rsid w:val="00591BF0"/>
    <w:rsid w:val="00591CA2"/>
    <w:rsid w:val="00591CEE"/>
    <w:rsid w:val="00591D48"/>
    <w:rsid w:val="00591E18"/>
    <w:rsid w:val="00591EB3"/>
    <w:rsid w:val="00592020"/>
    <w:rsid w:val="005920D8"/>
    <w:rsid w:val="0059214F"/>
    <w:rsid w:val="005922D7"/>
    <w:rsid w:val="0059231B"/>
    <w:rsid w:val="00592372"/>
    <w:rsid w:val="005923A4"/>
    <w:rsid w:val="00592466"/>
    <w:rsid w:val="005924BB"/>
    <w:rsid w:val="005925C9"/>
    <w:rsid w:val="00592627"/>
    <w:rsid w:val="005926F2"/>
    <w:rsid w:val="00592735"/>
    <w:rsid w:val="0059275C"/>
    <w:rsid w:val="005927BA"/>
    <w:rsid w:val="0059281F"/>
    <w:rsid w:val="0059285E"/>
    <w:rsid w:val="005928DD"/>
    <w:rsid w:val="00592939"/>
    <w:rsid w:val="00592EFF"/>
    <w:rsid w:val="00592F3F"/>
    <w:rsid w:val="0059301D"/>
    <w:rsid w:val="00593034"/>
    <w:rsid w:val="0059305D"/>
    <w:rsid w:val="005930BF"/>
    <w:rsid w:val="00593119"/>
    <w:rsid w:val="005931EA"/>
    <w:rsid w:val="00593334"/>
    <w:rsid w:val="005933FA"/>
    <w:rsid w:val="00593448"/>
    <w:rsid w:val="00593494"/>
    <w:rsid w:val="005934CB"/>
    <w:rsid w:val="005934D2"/>
    <w:rsid w:val="005935CE"/>
    <w:rsid w:val="005935D1"/>
    <w:rsid w:val="0059367F"/>
    <w:rsid w:val="005936AA"/>
    <w:rsid w:val="005936DE"/>
    <w:rsid w:val="005937A7"/>
    <w:rsid w:val="00593885"/>
    <w:rsid w:val="00593971"/>
    <w:rsid w:val="00593983"/>
    <w:rsid w:val="00593BBA"/>
    <w:rsid w:val="00593BC3"/>
    <w:rsid w:val="00593C20"/>
    <w:rsid w:val="00593C49"/>
    <w:rsid w:val="00593C5B"/>
    <w:rsid w:val="00593C79"/>
    <w:rsid w:val="00593C7D"/>
    <w:rsid w:val="00593CCF"/>
    <w:rsid w:val="00593D76"/>
    <w:rsid w:val="00593DF7"/>
    <w:rsid w:val="00593E90"/>
    <w:rsid w:val="00593FC2"/>
    <w:rsid w:val="00593FE1"/>
    <w:rsid w:val="00594007"/>
    <w:rsid w:val="00594018"/>
    <w:rsid w:val="005940AA"/>
    <w:rsid w:val="005940B7"/>
    <w:rsid w:val="005940CB"/>
    <w:rsid w:val="0059411C"/>
    <w:rsid w:val="00594156"/>
    <w:rsid w:val="005942A5"/>
    <w:rsid w:val="005942FC"/>
    <w:rsid w:val="0059438D"/>
    <w:rsid w:val="005943A4"/>
    <w:rsid w:val="005943FC"/>
    <w:rsid w:val="0059451E"/>
    <w:rsid w:val="0059452E"/>
    <w:rsid w:val="00594566"/>
    <w:rsid w:val="0059456D"/>
    <w:rsid w:val="0059458F"/>
    <w:rsid w:val="00594595"/>
    <w:rsid w:val="00594634"/>
    <w:rsid w:val="00594653"/>
    <w:rsid w:val="0059466B"/>
    <w:rsid w:val="00594671"/>
    <w:rsid w:val="005946CA"/>
    <w:rsid w:val="005946F2"/>
    <w:rsid w:val="00594719"/>
    <w:rsid w:val="00594830"/>
    <w:rsid w:val="00594851"/>
    <w:rsid w:val="005948B6"/>
    <w:rsid w:val="00594B6F"/>
    <w:rsid w:val="00594BA8"/>
    <w:rsid w:val="00594C1E"/>
    <w:rsid w:val="00594C72"/>
    <w:rsid w:val="00594D74"/>
    <w:rsid w:val="00594DB4"/>
    <w:rsid w:val="00594EDA"/>
    <w:rsid w:val="00594EEB"/>
    <w:rsid w:val="00594F46"/>
    <w:rsid w:val="00594FA6"/>
    <w:rsid w:val="00594FDE"/>
    <w:rsid w:val="00594FFF"/>
    <w:rsid w:val="005950EE"/>
    <w:rsid w:val="00595181"/>
    <w:rsid w:val="005951DD"/>
    <w:rsid w:val="00595278"/>
    <w:rsid w:val="00595319"/>
    <w:rsid w:val="00595331"/>
    <w:rsid w:val="00595368"/>
    <w:rsid w:val="0059537D"/>
    <w:rsid w:val="00595430"/>
    <w:rsid w:val="0059543B"/>
    <w:rsid w:val="005954EA"/>
    <w:rsid w:val="0059551F"/>
    <w:rsid w:val="0059553D"/>
    <w:rsid w:val="00595568"/>
    <w:rsid w:val="00595642"/>
    <w:rsid w:val="0059567D"/>
    <w:rsid w:val="00595713"/>
    <w:rsid w:val="005958ED"/>
    <w:rsid w:val="0059598C"/>
    <w:rsid w:val="00595A38"/>
    <w:rsid w:val="00595A3A"/>
    <w:rsid w:val="00595B91"/>
    <w:rsid w:val="00595C46"/>
    <w:rsid w:val="00595D54"/>
    <w:rsid w:val="00595D90"/>
    <w:rsid w:val="00595EF4"/>
    <w:rsid w:val="00595FD8"/>
    <w:rsid w:val="00595FF2"/>
    <w:rsid w:val="0059606E"/>
    <w:rsid w:val="00596341"/>
    <w:rsid w:val="0059636E"/>
    <w:rsid w:val="0059641A"/>
    <w:rsid w:val="005964DA"/>
    <w:rsid w:val="0059667E"/>
    <w:rsid w:val="005966E3"/>
    <w:rsid w:val="005966FE"/>
    <w:rsid w:val="00596743"/>
    <w:rsid w:val="0059674B"/>
    <w:rsid w:val="00596890"/>
    <w:rsid w:val="00596895"/>
    <w:rsid w:val="0059689F"/>
    <w:rsid w:val="00596A5E"/>
    <w:rsid w:val="00596A9A"/>
    <w:rsid w:val="00596B19"/>
    <w:rsid w:val="00596B9A"/>
    <w:rsid w:val="00596C06"/>
    <w:rsid w:val="00596C24"/>
    <w:rsid w:val="00596C52"/>
    <w:rsid w:val="00596DFF"/>
    <w:rsid w:val="00596E0C"/>
    <w:rsid w:val="00596E0D"/>
    <w:rsid w:val="00596E29"/>
    <w:rsid w:val="00596E6F"/>
    <w:rsid w:val="00596EE5"/>
    <w:rsid w:val="00596F19"/>
    <w:rsid w:val="00596FCC"/>
    <w:rsid w:val="00597018"/>
    <w:rsid w:val="00597269"/>
    <w:rsid w:val="005972D2"/>
    <w:rsid w:val="005973D4"/>
    <w:rsid w:val="005973D8"/>
    <w:rsid w:val="0059741B"/>
    <w:rsid w:val="00597445"/>
    <w:rsid w:val="005974CD"/>
    <w:rsid w:val="00597614"/>
    <w:rsid w:val="005976A1"/>
    <w:rsid w:val="005976C0"/>
    <w:rsid w:val="0059773A"/>
    <w:rsid w:val="00597973"/>
    <w:rsid w:val="00597980"/>
    <w:rsid w:val="005979B8"/>
    <w:rsid w:val="005979D8"/>
    <w:rsid w:val="00597A42"/>
    <w:rsid w:val="00597B1E"/>
    <w:rsid w:val="00597BF2"/>
    <w:rsid w:val="00597BF3"/>
    <w:rsid w:val="00597CD4"/>
    <w:rsid w:val="00597D25"/>
    <w:rsid w:val="00597DE5"/>
    <w:rsid w:val="00597F32"/>
    <w:rsid w:val="00597FE8"/>
    <w:rsid w:val="005A0068"/>
    <w:rsid w:val="005A00A8"/>
    <w:rsid w:val="005A0148"/>
    <w:rsid w:val="005A01B9"/>
    <w:rsid w:val="005A02A0"/>
    <w:rsid w:val="005A0356"/>
    <w:rsid w:val="005A035A"/>
    <w:rsid w:val="005A03B2"/>
    <w:rsid w:val="005A03FB"/>
    <w:rsid w:val="005A0412"/>
    <w:rsid w:val="005A045B"/>
    <w:rsid w:val="005A049D"/>
    <w:rsid w:val="005A05CA"/>
    <w:rsid w:val="005A061E"/>
    <w:rsid w:val="005A0631"/>
    <w:rsid w:val="005A07A1"/>
    <w:rsid w:val="005A07E2"/>
    <w:rsid w:val="005A07FF"/>
    <w:rsid w:val="005A0840"/>
    <w:rsid w:val="005A09E0"/>
    <w:rsid w:val="005A09F6"/>
    <w:rsid w:val="005A0A1D"/>
    <w:rsid w:val="005A0A6D"/>
    <w:rsid w:val="005A0AB4"/>
    <w:rsid w:val="005A0AFE"/>
    <w:rsid w:val="005A0B20"/>
    <w:rsid w:val="005A0CFE"/>
    <w:rsid w:val="005A0D19"/>
    <w:rsid w:val="005A0D24"/>
    <w:rsid w:val="005A0DB6"/>
    <w:rsid w:val="005A0E1D"/>
    <w:rsid w:val="005A0E3C"/>
    <w:rsid w:val="005A0E65"/>
    <w:rsid w:val="005A0E9B"/>
    <w:rsid w:val="005A0EC3"/>
    <w:rsid w:val="005A0ED3"/>
    <w:rsid w:val="005A1207"/>
    <w:rsid w:val="005A1208"/>
    <w:rsid w:val="005A12EC"/>
    <w:rsid w:val="005A13DF"/>
    <w:rsid w:val="005A1445"/>
    <w:rsid w:val="005A1458"/>
    <w:rsid w:val="005A1483"/>
    <w:rsid w:val="005A14B2"/>
    <w:rsid w:val="005A14D4"/>
    <w:rsid w:val="005A1721"/>
    <w:rsid w:val="005A1753"/>
    <w:rsid w:val="005A1761"/>
    <w:rsid w:val="005A1854"/>
    <w:rsid w:val="005A197B"/>
    <w:rsid w:val="005A1A37"/>
    <w:rsid w:val="005A1A5C"/>
    <w:rsid w:val="005A1B43"/>
    <w:rsid w:val="005A1B8E"/>
    <w:rsid w:val="005A1BD1"/>
    <w:rsid w:val="005A1CE2"/>
    <w:rsid w:val="005A1D5D"/>
    <w:rsid w:val="005A1D60"/>
    <w:rsid w:val="005A1E1E"/>
    <w:rsid w:val="005A1E6E"/>
    <w:rsid w:val="005A1F80"/>
    <w:rsid w:val="005A204F"/>
    <w:rsid w:val="005A2165"/>
    <w:rsid w:val="005A219C"/>
    <w:rsid w:val="005A224C"/>
    <w:rsid w:val="005A2252"/>
    <w:rsid w:val="005A2284"/>
    <w:rsid w:val="005A22B0"/>
    <w:rsid w:val="005A22B1"/>
    <w:rsid w:val="005A22D9"/>
    <w:rsid w:val="005A2360"/>
    <w:rsid w:val="005A23C2"/>
    <w:rsid w:val="005A2443"/>
    <w:rsid w:val="005A24C5"/>
    <w:rsid w:val="005A2530"/>
    <w:rsid w:val="005A264D"/>
    <w:rsid w:val="005A2666"/>
    <w:rsid w:val="005A26D9"/>
    <w:rsid w:val="005A2786"/>
    <w:rsid w:val="005A27F3"/>
    <w:rsid w:val="005A28FE"/>
    <w:rsid w:val="005A29A7"/>
    <w:rsid w:val="005A29FC"/>
    <w:rsid w:val="005A2A0F"/>
    <w:rsid w:val="005A2B26"/>
    <w:rsid w:val="005A2B6D"/>
    <w:rsid w:val="005A2BD0"/>
    <w:rsid w:val="005A2BD8"/>
    <w:rsid w:val="005A2D46"/>
    <w:rsid w:val="005A2D8A"/>
    <w:rsid w:val="005A2DD6"/>
    <w:rsid w:val="005A2DEC"/>
    <w:rsid w:val="005A2EE3"/>
    <w:rsid w:val="005A2F10"/>
    <w:rsid w:val="005A3044"/>
    <w:rsid w:val="005A304C"/>
    <w:rsid w:val="005A308A"/>
    <w:rsid w:val="005A31CD"/>
    <w:rsid w:val="005A31F7"/>
    <w:rsid w:val="005A3256"/>
    <w:rsid w:val="005A32F7"/>
    <w:rsid w:val="005A336A"/>
    <w:rsid w:val="005A3523"/>
    <w:rsid w:val="005A3532"/>
    <w:rsid w:val="005A364E"/>
    <w:rsid w:val="005A3765"/>
    <w:rsid w:val="005A3769"/>
    <w:rsid w:val="005A376D"/>
    <w:rsid w:val="005A377A"/>
    <w:rsid w:val="005A3784"/>
    <w:rsid w:val="005A3851"/>
    <w:rsid w:val="005A387A"/>
    <w:rsid w:val="005A389E"/>
    <w:rsid w:val="005A3998"/>
    <w:rsid w:val="005A39FE"/>
    <w:rsid w:val="005A3B02"/>
    <w:rsid w:val="005A3C1A"/>
    <w:rsid w:val="005A3C67"/>
    <w:rsid w:val="005A3CAF"/>
    <w:rsid w:val="005A3CE9"/>
    <w:rsid w:val="005A3E06"/>
    <w:rsid w:val="005A3E24"/>
    <w:rsid w:val="005A3E6F"/>
    <w:rsid w:val="005A3E7C"/>
    <w:rsid w:val="005A3EB7"/>
    <w:rsid w:val="005A3EBF"/>
    <w:rsid w:val="005A3EF0"/>
    <w:rsid w:val="005A3FCF"/>
    <w:rsid w:val="005A4053"/>
    <w:rsid w:val="005A408E"/>
    <w:rsid w:val="005A409C"/>
    <w:rsid w:val="005A40CA"/>
    <w:rsid w:val="005A40FD"/>
    <w:rsid w:val="005A41E3"/>
    <w:rsid w:val="005A41F5"/>
    <w:rsid w:val="005A43A4"/>
    <w:rsid w:val="005A44EF"/>
    <w:rsid w:val="005A452E"/>
    <w:rsid w:val="005A45C5"/>
    <w:rsid w:val="005A4682"/>
    <w:rsid w:val="005A4899"/>
    <w:rsid w:val="005A48EF"/>
    <w:rsid w:val="005A4931"/>
    <w:rsid w:val="005A49A9"/>
    <w:rsid w:val="005A49DA"/>
    <w:rsid w:val="005A4A3F"/>
    <w:rsid w:val="005A4ABD"/>
    <w:rsid w:val="005A4BD5"/>
    <w:rsid w:val="005A4BD6"/>
    <w:rsid w:val="005A4BFF"/>
    <w:rsid w:val="005A4C4A"/>
    <w:rsid w:val="005A4CDF"/>
    <w:rsid w:val="005A4CEE"/>
    <w:rsid w:val="005A4CF2"/>
    <w:rsid w:val="005A4D1B"/>
    <w:rsid w:val="005A4D2F"/>
    <w:rsid w:val="005A4DDE"/>
    <w:rsid w:val="005A4FF3"/>
    <w:rsid w:val="005A50AF"/>
    <w:rsid w:val="005A50D9"/>
    <w:rsid w:val="005A50E8"/>
    <w:rsid w:val="005A5212"/>
    <w:rsid w:val="005A528A"/>
    <w:rsid w:val="005A5374"/>
    <w:rsid w:val="005A537B"/>
    <w:rsid w:val="005A5394"/>
    <w:rsid w:val="005A53B4"/>
    <w:rsid w:val="005A551D"/>
    <w:rsid w:val="005A55FC"/>
    <w:rsid w:val="005A5735"/>
    <w:rsid w:val="005A5751"/>
    <w:rsid w:val="005A57C5"/>
    <w:rsid w:val="005A587C"/>
    <w:rsid w:val="005A58AC"/>
    <w:rsid w:val="005A5966"/>
    <w:rsid w:val="005A59A5"/>
    <w:rsid w:val="005A59D7"/>
    <w:rsid w:val="005A5B2F"/>
    <w:rsid w:val="005A5B7E"/>
    <w:rsid w:val="005A5B93"/>
    <w:rsid w:val="005A5C0A"/>
    <w:rsid w:val="005A5CCA"/>
    <w:rsid w:val="005A5D12"/>
    <w:rsid w:val="005A5E0B"/>
    <w:rsid w:val="005A5EF3"/>
    <w:rsid w:val="005A5FA7"/>
    <w:rsid w:val="005A6050"/>
    <w:rsid w:val="005A6091"/>
    <w:rsid w:val="005A61EF"/>
    <w:rsid w:val="005A6237"/>
    <w:rsid w:val="005A62A5"/>
    <w:rsid w:val="005A63CA"/>
    <w:rsid w:val="005A6400"/>
    <w:rsid w:val="005A6405"/>
    <w:rsid w:val="005A6559"/>
    <w:rsid w:val="005A65B4"/>
    <w:rsid w:val="005A670D"/>
    <w:rsid w:val="005A6823"/>
    <w:rsid w:val="005A68F0"/>
    <w:rsid w:val="005A6959"/>
    <w:rsid w:val="005A6AB3"/>
    <w:rsid w:val="005A6AD3"/>
    <w:rsid w:val="005A6B09"/>
    <w:rsid w:val="005A6B13"/>
    <w:rsid w:val="005A6B3E"/>
    <w:rsid w:val="005A6B66"/>
    <w:rsid w:val="005A6B80"/>
    <w:rsid w:val="005A6C32"/>
    <w:rsid w:val="005A6DD9"/>
    <w:rsid w:val="005A6DF9"/>
    <w:rsid w:val="005A6E0C"/>
    <w:rsid w:val="005A6E39"/>
    <w:rsid w:val="005A6ED8"/>
    <w:rsid w:val="005A6EDC"/>
    <w:rsid w:val="005A6F12"/>
    <w:rsid w:val="005A6F5F"/>
    <w:rsid w:val="005A7045"/>
    <w:rsid w:val="005A7083"/>
    <w:rsid w:val="005A710C"/>
    <w:rsid w:val="005A7159"/>
    <w:rsid w:val="005A71DE"/>
    <w:rsid w:val="005A71E4"/>
    <w:rsid w:val="005A7205"/>
    <w:rsid w:val="005A72C8"/>
    <w:rsid w:val="005A735B"/>
    <w:rsid w:val="005A736E"/>
    <w:rsid w:val="005A73DC"/>
    <w:rsid w:val="005A7472"/>
    <w:rsid w:val="005A7547"/>
    <w:rsid w:val="005A7578"/>
    <w:rsid w:val="005A7669"/>
    <w:rsid w:val="005A76D0"/>
    <w:rsid w:val="005A7762"/>
    <w:rsid w:val="005A77DF"/>
    <w:rsid w:val="005A780A"/>
    <w:rsid w:val="005A7815"/>
    <w:rsid w:val="005A7828"/>
    <w:rsid w:val="005A7831"/>
    <w:rsid w:val="005A78D0"/>
    <w:rsid w:val="005A78D6"/>
    <w:rsid w:val="005A7B4E"/>
    <w:rsid w:val="005A7C2F"/>
    <w:rsid w:val="005A7C36"/>
    <w:rsid w:val="005A7C47"/>
    <w:rsid w:val="005A7C73"/>
    <w:rsid w:val="005A7D0E"/>
    <w:rsid w:val="005A7D69"/>
    <w:rsid w:val="005A7D9A"/>
    <w:rsid w:val="005A7DA6"/>
    <w:rsid w:val="005A7DD7"/>
    <w:rsid w:val="005A7DE8"/>
    <w:rsid w:val="005A7DEE"/>
    <w:rsid w:val="005A7E00"/>
    <w:rsid w:val="005B0087"/>
    <w:rsid w:val="005B00DE"/>
    <w:rsid w:val="005B014C"/>
    <w:rsid w:val="005B01E7"/>
    <w:rsid w:val="005B0201"/>
    <w:rsid w:val="005B024B"/>
    <w:rsid w:val="005B03D1"/>
    <w:rsid w:val="005B040E"/>
    <w:rsid w:val="005B0552"/>
    <w:rsid w:val="005B057B"/>
    <w:rsid w:val="005B05C1"/>
    <w:rsid w:val="005B060D"/>
    <w:rsid w:val="005B061C"/>
    <w:rsid w:val="005B065B"/>
    <w:rsid w:val="005B0685"/>
    <w:rsid w:val="005B0769"/>
    <w:rsid w:val="005B080F"/>
    <w:rsid w:val="005B0908"/>
    <w:rsid w:val="005B098B"/>
    <w:rsid w:val="005B0A43"/>
    <w:rsid w:val="005B0C2E"/>
    <w:rsid w:val="005B0CCB"/>
    <w:rsid w:val="005B0D14"/>
    <w:rsid w:val="005B0D6A"/>
    <w:rsid w:val="005B0EE2"/>
    <w:rsid w:val="005B0F15"/>
    <w:rsid w:val="005B0F37"/>
    <w:rsid w:val="005B0FBB"/>
    <w:rsid w:val="005B10B4"/>
    <w:rsid w:val="005B118A"/>
    <w:rsid w:val="005B1211"/>
    <w:rsid w:val="005B1247"/>
    <w:rsid w:val="005B1365"/>
    <w:rsid w:val="005B155E"/>
    <w:rsid w:val="005B15D8"/>
    <w:rsid w:val="005B1606"/>
    <w:rsid w:val="005B160D"/>
    <w:rsid w:val="005B1734"/>
    <w:rsid w:val="005B185F"/>
    <w:rsid w:val="005B186D"/>
    <w:rsid w:val="005B18AA"/>
    <w:rsid w:val="005B1991"/>
    <w:rsid w:val="005B199E"/>
    <w:rsid w:val="005B19E1"/>
    <w:rsid w:val="005B1B16"/>
    <w:rsid w:val="005B1B25"/>
    <w:rsid w:val="005B1B28"/>
    <w:rsid w:val="005B1B68"/>
    <w:rsid w:val="005B1C2F"/>
    <w:rsid w:val="005B1CA2"/>
    <w:rsid w:val="005B1D19"/>
    <w:rsid w:val="005B1D77"/>
    <w:rsid w:val="005B1F33"/>
    <w:rsid w:val="005B1F63"/>
    <w:rsid w:val="005B1FB2"/>
    <w:rsid w:val="005B1FD0"/>
    <w:rsid w:val="005B1FE3"/>
    <w:rsid w:val="005B2053"/>
    <w:rsid w:val="005B20B6"/>
    <w:rsid w:val="005B20E6"/>
    <w:rsid w:val="005B2134"/>
    <w:rsid w:val="005B2186"/>
    <w:rsid w:val="005B2246"/>
    <w:rsid w:val="005B2252"/>
    <w:rsid w:val="005B2398"/>
    <w:rsid w:val="005B23E7"/>
    <w:rsid w:val="005B23EE"/>
    <w:rsid w:val="005B2404"/>
    <w:rsid w:val="005B241A"/>
    <w:rsid w:val="005B2545"/>
    <w:rsid w:val="005B2691"/>
    <w:rsid w:val="005B269D"/>
    <w:rsid w:val="005B26AB"/>
    <w:rsid w:val="005B2751"/>
    <w:rsid w:val="005B27E4"/>
    <w:rsid w:val="005B2848"/>
    <w:rsid w:val="005B289A"/>
    <w:rsid w:val="005B28A4"/>
    <w:rsid w:val="005B293C"/>
    <w:rsid w:val="005B29A0"/>
    <w:rsid w:val="005B29CA"/>
    <w:rsid w:val="005B2A20"/>
    <w:rsid w:val="005B2A99"/>
    <w:rsid w:val="005B2AA2"/>
    <w:rsid w:val="005B2AAF"/>
    <w:rsid w:val="005B2AFD"/>
    <w:rsid w:val="005B2B24"/>
    <w:rsid w:val="005B2B34"/>
    <w:rsid w:val="005B2BAB"/>
    <w:rsid w:val="005B2BC5"/>
    <w:rsid w:val="005B2C63"/>
    <w:rsid w:val="005B2D49"/>
    <w:rsid w:val="005B2E04"/>
    <w:rsid w:val="005B2E67"/>
    <w:rsid w:val="005B2F00"/>
    <w:rsid w:val="005B2F30"/>
    <w:rsid w:val="005B3010"/>
    <w:rsid w:val="005B3017"/>
    <w:rsid w:val="005B3075"/>
    <w:rsid w:val="005B30B6"/>
    <w:rsid w:val="005B3187"/>
    <w:rsid w:val="005B31FC"/>
    <w:rsid w:val="005B3265"/>
    <w:rsid w:val="005B327D"/>
    <w:rsid w:val="005B3384"/>
    <w:rsid w:val="005B3390"/>
    <w:rsid w:val="005B33BE"/>
    <w:rsid w:val="005B3420"/>
    <w:rsid w:val="005B348B"/>
    <w:rsid w:val="005B34AE"/>
    <w:rsid w:val="005B353A"/>
    <w:rsid w:val="005B3558"/>
    <w:rsid w:val="005B355B"/>
    <w:rsid w:val="005B3723"/>
    <w:rsid w:val="005B37C3"/>
    <w:rsid w:val="005B3803"/>
    <w:rsid w:val="005B393F"/>
    <w:rsid w:val="005B3A49"/>
    <w:rsid w:val="005B3AEF"/>
    <w:rsid w:val="005B3B1F"/>
    <w:rsid w:val="005B3D17"/>
    <w:rsid w:val="005B3F0B"/>
    <w:rsid w:val="005B3F66"/>
    <w:rsid w:val="005B3F8D"/>
    <w:rsid w:val="005B3FE0"/>
    <w:rsid w:val="005B400B"/>
    <w:rsid w:val="005B4048"/>
    <w:rsid w:val="005B4075"/>
    <w:rsid w:val="005B407A"/>
    <w:rsid w:val="005B40E6"/>
    <w:rsid w:val="005B410F"/>
    <w:rsid w:val="005B4160"/>
    <w:rsid w:val="005B41A4"/>
    <w:rsid w:val="005B41DF"/>
    <w:rsid w:val="005B424F"/>
    <w:rsid w:val="005B42EE"/>
    <w:rsid w:val="005B4408"/>
    <w:rsid w:val="005B448F"/>
    <w:rsid w:val="005B4496"/>
    <w:rsid w:val="005B449F"/>
    <w:rsid w:val="005B4587"/>
    <w:rsid w:val="005B45CC"/>
    <w:rsid w:val="005B46F9"/>
    <w:rsid w:val="005B4778"/>
    <w:rsid w:val="005B483B"/>
    <w:rsid w:val="005B4AF0"/>
    <w:rsid w:val="005B4B8E"/>
    <w:rsid w:val="005B4C30"/>
    <w:rsid w:val="005B4CA8"/>
    <w:rsid w:val="005B4CC9"/>
    <w:rsid w:val="005B4DB0"/>
    <w:rsid w:val="005B4E95"/>
    <w:rsid w:val="005B4EC4"/>
    <w:rsid w:val="005B4EE2"/>
    <w:rsid w:val="005B4FC0"/>
    <w:rsid w:val="005B4FDB"/>
    <w:rsid w:val="005B5099"/>
    <w:rsid w:val="005B5168"/>
    <w:rsid w:val="005B5176"/>
    <w:rsid w:val="005B51B7"/>
    <w:rsid w:val="005B5244"/>
    <w:rsid w:val="005B5254"/>
    <w:rsid w:val="005B5316"/>
    <w:rsid w:val="005B5351"/>
    <w:rsid w:val="005B5379"/>
    <w:rsid w:val="005B537F"/>
    <w:rsid w:val="005B5386"/>
    <w:rsid w:val="005B549C"/>
    <w:rsid w:val="005B5519"/>
    <w:rsid w:val="005B5525"/>
    <w:rsid w:val="005B553F"/>
    <w:rsid w:val="005B55F4"/>
    <w:rsid w:val="005B5659"/>
    <w:rsid w:val="005B568D"/>
    <w:rsid w:val="005B569B"/>
    <w:rsid w:val="005B56DF"/>
    <w:rsid w:val="005B5772"/>
    <w:rsid w:val="005B57B6"/>
    <w:rsid w:val="005B5880"/>
    <w:rsid w:val="005B58AC"/>
    <w:rsid w:val="005B58C5"/>
    <w:rsid w:val="005B58FB"/>
    <w:rsid w:val="005B598F"/>
    <w:rsid w:val="005B59A7"/>
    <w:rsid w:val="005B59E4"/>
    <w:rsid w:val="005B5A53"/>
    <w:rsid w:val="005B5ACF"/>
    <w:rsid w:val="005B5B64"/>
    <w:rsid w:val="005B5C15"/>
    <w:rsid w:val="005B5C46"/>
    <w:rsid w:val="005B5C77"/>
    <w:rsid w:val="005B5DD5"/>
    <w:rsid w:val="005B5E26"/>
    <w:rsid w:val="005B5E7F"/>
    <w:rsid w:val="005B600A"/>
    <w:rsid w:val="005B607D"/>
    <w:rsid w:val="005B612E"/>
    <w:rsid w:val="005B618A"/>
    <w:rsid w:val="005B62A9"/>
    <w:rsid w:val="005B62E8"/>
    <w:rsid w:val="005B6363"/>
    <w:rsid w:val="005B6441"/>
    <w:rsid w:val="005B644E"/>
    <w:rsid w:val="005B64DE"/>
    <w:rsid w:val="005B64F3"/>
    <w:rsid w:val="005B6601"/>
    <w:rsid w:val="005B6646"/>
    <w:rsid w:val="005B66BB"/>
    <w:rsid w:val="005B66FB"/>
    <w:rsid w:val="005B6789"/>
    <w:rsid w:val="005B67E5"/>
    <w:rsid w:val="005B67F0"/>
    <w:rsid w:val="005B6837"/>
    <w:rsid w:val="005B6877"/>
    <w:rsid w:val="005B687D"/>
    <w:rsid w:val="005B6897"/>
    <w:rsid w:val="005B68BD"/>
    <w:rsid w:val="005B68DB"/>
    <w:rsid w:val="005B68EF"/>
    <w:rsid w:val="005B6A6B"/>
    <w:rsid w:val="005B6C47"/>
    <w:rsid w:val="005B6C5F"/>
    <w:rsid w:val="005B6DD0"/>
    <w:rsid w:val="005B6EC3"/>
    <w:rsid w:val="005B7144"/>
    <w:rsid w:val="005B715E"/>
    <w:rsid w:val="005B724E"/>
    <w:rsid w:val="005B733A"/>
    <w:rsid w:val="005B744F"/>
    <w:rsid w:val="005B749B"/>
    <w:rsid w:val="005B74BF"/>
    <w:rsid w:val="005B74DA"/>
    <w:rsid w:val="005B7556"/>
    <w:rsid w:val="005B75AB"/>
    <w:rsid w:val="005B75C0"/>
    <w:rsid w:val="005B787C"/>
    <w:rsid w:val="005B7918"/>
    <w:rsid w:val="005B7976"/>
    <w:rsid w:val="005B7A0D"/>
    <w:rsid w:val="005B7A47"/>
    <w:rsid w:val="005B7A62"/>
    <w:rsid w:val="005B7AE6"/>
    <w:rsid w:val="005B7B4B"/>
    <w:rsid w:val="005B7C5B"/>
    <w:rsid w:val="005B7C94"/>
    <w:rsid w:val="005B7D3E"/>
    <w:rsid w:val="005B7DCB"/>
    <w:rsid w:val="005B7DF9"/>
    <w:rsid w:val="005B7E05"/>
    <w:rsid w:val="005B7E30"/>
    <w:rsid w:val="005B7EB0"/>
    <w:rsid w:val="005B7F24"/>
    <w:rsid w:val="005B7F5B"/>
    <w:rsid w:val="005B7F80"/>
    <w:rsid w:val="005B7F99"/>
    <w:rsid w:val="005B7F9B"/>
    <w:rsid w:val="005B7FEC"/>
    <w:rsid w:val="005C009F"/>
    <w:rsid w:val="005C0176"/>
    <w:rsid w:val="005C019C"/>
    <w:rsid w:val="005C01A5"/>
    <w:rsid w:val="005C031C"/>
    <w:rsid w:val="005C0505"/>
    <w:rsid w:val="005C05C6"/>
    <w:rsid w:val="005C06D0"/>
    <w:rsid w:val="005C06E8"/>
    <w:rsid w:val="005C06F2"/>
    <w:rsid w:val="005C071F"/>
    <w:rsid w:val="005C0777"/>
    <w:rsid w:val="005C0836"/>
    <w:rsid w:val="005C08EB"/>
    <w:rsid w:val="005C099B"/>
    <w:rsid w:val="005C0A35"/>
    <w:rsid w:val="005C0ACC"/>
    <w:rsid w:val="005C0B6D"/>
    <w:rsid w:val="005C0B9B"/>
    <w:rsid w:val="005C0CA4"/>
    <w:rsid w:val="005C0D23"/>
    <w:rsid w:val="005C0D42"/>
    <w:rsid w:val="005C0E10"/>
    <w:rsid w:val="005C0F19"/>
    <w:rsid w:val="005C0F75"/>
    <w:rsid w:val="005C0FAB"/>
    <w:rsid w:val="005C0FD9"/>
    <w:rsid w:val="005C0FE0"/>
    <w:rsid w:val="005C1049"/>
    <w:rsid w:val="005C1126"/>
    <w:rsid w:val="005C1135"/>
    <w:rsid w:val="005C117D"/>
    <w:rsid w:val="005C11D4"/>
    <w:rsid w:val="005C1337"/>
    <w:rsid w:val="005C134B"/>
    <w:rsid w:val="005C13DF"/>
    <w:rsid w:val="005C1408"/>
    <w:rsid w:val="005C1452"/>
    <w:rsid w:val="005C14F1"/>
    <w:rsid w:val="005C150F"/>
    <w:rsid w:val="005C1601"/>
    <w:rsid w:val="005C160A"/>
    <w:rsid w:val="005C17A3"/>
    <w:rsid w:val="005C17AB"/>
    <w:rsid w:val="005C180B"/>
    <w:rsid w:val="005C1876"/>
    <w:rsid w:val="005C18E4"/>
    <w:rsid w:val="005C18F2"/>
    <w:rsid w:val="005C18FB"/>
    <w:rsid w:val="005C199E"/>
    <w:rsid w:val="005C1A9E"/>
    <w:rsid w:val="005C1AE9"/>
    <w:rsid w:val="005C1B2C"/>
    <w:rsid w:val="005C1B5A"/>
    <w:rsid w:val="005C1B8A"/>
    <w:rsid w:val="005C1BDC"/>
    <w:rsid w:val="005C1C5B"/>
    <w:rsid w:val="005C1CE3"/>
    <w:rsid w:val="005C1E25"/>
    <w:rsid w:val="005C1F2C"/>
    <w:rsid w:val="005C1F6D"/>
    <w:rsid w:val="005C1FAE"/>
    <w:rsid w:val="005C2071"/>
    <w:rsid w:val="005C2086"/>
    <w:rsid w:val="005C20A2"/>
    <w:rsid w:val="005C214F"/>
    <w:rsid w:val="005C2194"/>
    <w:rsid w:val="005C2214"/>
    <w:rsid w:val="005C2234"/>
    <w:rsid w:val="005C2288"/>
    <w:rsid w:val="005C239F"/>
    <w:rsid w:val="005C250F"/>
    <w:rsid w:val="005C263F"/>
    <w:rsid w:val="005C265C"/>
    <w:rsid w:val="005C2691"/>
    <w:rsid w:val="005C2712"/>
    <w:rsid w:val="005C2859"/>
    <w:rsid w:val="005C28C2"/>
    <w:rsid w:val="005C28FB"/>
    <w:rsid w:val="005C2927"/>
    <w:rsid w:val="005C29BE"/>
    <w:rsid w:val="005C2AFC"/>
    <w:rsid w:val="005C2BCC"/>
    <w:rsid w:val="005C2C31"/>
    <w:rsid w:val="005C2C8E"/>
    <w:rsid w:val="005C2D56"/>
    <w:rsid w:val="005C2DE1"/>
    <w:rsid w:val="005C2E5A"/>
    <w:rsid w:val="005C2E88"/>
    <w:rsid w:val="005C2F9B"/>
    <w:rsid w:val="005C30C2"/>
    <w:rsid w:val="005C3250"/>
    <w:rsid w:val="005C3256"/>
    <w:rsid w:val="005C33C3"/>
    <w:rsid w:val="005C33D7"/>
    <w:rsid w:val="005C33F3"/>
    <w:rsid w:val="005C345B"/>
    <w:rsid w:val="005C3513"/>
    <w:rsid w:val="005C354E"/>
    <w:rsid w:val="005C3557"/>
    <w:rsid w:val="005C35DC"/>
    <w:rsid w:val="005C366C"/>
    <w:rsid w:val="005C36A2"/>
    <w:rsid w:val="005C36C0"/>
    <w:rsid w:val="005C375F"/>
    <w:rsid w:val="005C38D1"/>
    <w:rsid w:val="005C3939"/>
    <w:rsid w:val="005C39A6"/>
    <w:rsid w:val="005C3A6E"/>
    <w:rsid w:val="005C3AE7"/>
    <w:rsid w:val="005C3BE4"/>
    <w:rsid w:val="005C3CD9"/>
    <w:rsid w:val="005C3DE4"/>
    <w:rsid w:val="005C3EEA"/>
    <w:rsid w:val="005C3F01"/>
    <w:rsid w:val="005C3F9C"/>
    <w:rsid w:val="005C3FC4"/>
    <w:rsid w:val="005C4016"/>
    <w:rsid w:val="005C4040"/>
    <w:rsid w:val="005C4113"/>
    <w:rsid w:val="005C4184"/>
    <w:rsid w:val="005C41CF"/>
    <w:rsid w:val="005C41F7"/>
    <w:rsid w:val="005C4211"/>
    <w:rsid w:val="005C4216"/>
    <w:rsid w:val="005C4242"/>
    <w:rsid w:val="005C42DB"/>
    <w:rsid w:val="005C42E6"/>
    <w:rsid w:val="005C432E"/>
    <w:rsid w:val="005C452A"/>
    <w:rsid w:val="005C45BA"/>
    <w:rsid w:val="005C4601"/>
    <w:rsid w:val="005C4639"/>
    <w:rsid w:val="005C4732"/>
    <w:rsid w:val="005C49C4"/>
    <w:rsid w:val="005C49F2"/>
    <w:rsid w:val="005C4A11"/>
    <w:rsid w:val="005C4B70"/>
    <w:rsid w:val="005C4BD1"/>
    <w:rsid w:val="005C4C1F"/>
    <w:rsid w:val="005C4D5A"/>
    <w:rsid w:val="005C4DC8"/>
    <w:rsid w:val="005C4DD3"/>
    <w:rsid w:val="005C4E02"/>
    <w:rsid w:val="005C4E46"/>
    <w:rsid w:val="005C4E5A"/>
    <w:rsid w:val="005C4E67"/>
    <w:rsid w:val="005C4F12"/>
    <w:rsid w:val="005C505A"/>
    <w:rsid w:val="005C5110"/>
    <w:rsid w:val="005C5128"/>
    <w:rsid w:val="005C513D"/>
    <w:rsid w:val="005C51F1"/>
    <w:rsid w:val="005C5253"/>
    <w:rsid w:val="005C5313"/>
    <w:rsid w:val="005C534F"/>
    <w:rsid w:val="005C5391"/>
    <w:rsid w:val="005C53F8"/>
    <w:rsid w:val="005C5543"/>
    <w:rsid w:val="005C5674"/>
    <w:rsid w:val="005C571B"/>
    <w:rsid w:val="005C572B"/>
    <w:rsid w:val="005C5777"/>
    <w:rsid w:val="005C57FB"/>
    <w:rsid w:val="005C5858"/>
    <w:rsid w:val="005C58AC"/>
    <w:rsid w:val="005C58EA"/>
    <w:rsid w:val="005C5969"/>
    <w:rsid w:val="005C5989"/>
    <w:rsid w:val="005C59E3"/>
    <w:rsid w:val="005C5B30"/>
    <w:rsid w:val="005C5B3B"/>
    <w:rsid w:val="005C5C03"/>
    <w:rsid w:val="005C5C0C"/>
    <w:rsid w:val="005C5C7B"/>
    <w:rsid w:val="005C5C98"/>
    <w:rsid w:val="005C5CC5"/>
    <w:rsid w:val="005C5DFD"/>
    <w:rsid w:val="005C5E1C"/>
    <w:rsid w:val="005C5E41"/>
    <w:rsid w:val="005C5F3B"/>
    <w:rsid w:val="005C6000"/>
    <w:rsid w:val="005C6053"/>
    <w:rsid w:val="005C6102"/>
    <w:rsid w:val="005C616B"/>
    <w:rsid w:val="005C6304"/>
    <w:rsid w:val="005C637E"/>
    <w:rsid w:val="005C63C6"/>
    <w:rsid w:val="005C640E"/>
    <w:rsid w:val="005C645D"/>
    <w:rsid w:val="005C64AA"/>
    <w:rsid w:val="005C64E0"/>
    <w:rsid w:val="005C6546"/>
    <w:rsid w:val="005C6579"/>
    <w:rsid w:val="005C65D9"/>
    <w:rsid w:val="005C6673"/>
    <w:rsid w:val="005C66EC"/>
    <w:rsid w:val="005C66EF"/>
    <w:rsid w:val="005C671C"/>
    <w:rsid w:val="005C6796"/>
    <w:rsid w:val="005C67B1"/>
    <w:rsid w:val="005C67C1"/>
    <w:rsid w:val="005C67EE"/>
    <w:rsid w:val="005C680D"/>
    <w:rsid w:val="005C68F5"/>
    <w:rsid w:val="005C694B"/>
    <w:rsid w:val="005C69AA"/>
    <w:rsid w:val="005C6A9B"/>
    <w:rsid w:val="005C6B03"/>
    <w:rsid w:val="005C6BD1"/>
    <w:rsid w:val="005C6BEB"/>
    <w:rsid w:val="005C6C6F"/>
    <w:rsid w:val="005C6C70"/>
    <w:rsid w:val="005C6C71"/>
    <w:rsid w:val="005C6DCC"/>
    <w:rsid w:val="005C6EAE"/>
    <w:rsid w:val="005C6FB6"/>
    <w:rsid w:val="005C6FE1"/>
    <w:rsid w:val="005C6FF1"/>
    <w:rsid w:val="005C700A"/>
    <w:rsid w:val="005C704F"/>
    <w:rsid w:val="005C7141"/>
    <w:rsid w:val="005C71F5"/>
    <w:rsid w:val="005C72BF"/>
    <w:rsid w:val="005C73A9"/>
    <w:rsid w:val="005C73F3"/>
    <w:rsid w:val="005C754C"/>
    <w:rsid w:val="005C7611"/>
    <w:rsid w:val="005C7718"/>
    <w:rsid w:val="005C773F"/>
    <w:rsid w:val="005C78A8"/>
    <w:rsid w:val="005C78E1"/>
    <w:rsid w:val="005C7972"/>
    <w:rsid w:val="005C7ACB"/>
    <w:rsid w:val="005C7AD2"/>
    <w:rsid w:val="005C7ADC"/>
    <w:rsid w:val="005C7B8A"/>
    <w:rsid w:val="005C7BA7"/>
    <w:rsid w:val="005C7DAA"/>
    <w:rsid w:val="005C7DDD"/>
    <w:rsid w:val="005C7DF4"/>
    <w:rsid w:val="005C7E70"/>
    <w:rsid w:val="005C7E98"/>
    <w:rsid w:val="005C7EAD"/>
    <w:rsid w:val="005C7F3F"/>
    <w:rsid w:val="005C7F8F"/>
    <w:rsid w:val="005C7F96"/>
    <w:rsid w:val="005D0055"/>
    <w:rsid w:val="005D00D8"/>
    <w:rsid w:val="005D00E2"/>
    <w:rsid w:val="005D0145"/>
    <w:rsid w:val="005D028F"/>
    <w:rsid w:val="005D034F"/>
    <w:rsid w:val="005D0372"/>
    <w:rsid w:val="005D0422"/>
    <w:rsid w:val="005D0435"/>
    <w:rsid w:val="005D04D1"/>
    <w:rsid w:val="005D053F"/>
    <w:rsid w:val="005D0612"/>
    <w:rsid w:val="005D06D8"/>
    <w:rsid w:val="005D06F4"/>
    <w:rsid w:val="005D07DD"/>
    <w:rsid w:val="005D087F"/>
    <w:rsid w:val="005D08CC"/>
    <w:rsid w:val="005D08E0"/>
    <w:rsid w:val="005D0910"/>
    <w:rsid w:val="005D0932"/>
    <w:rsid w:val="005D09B5"/>
    <w:rsid w:val="005D0B24"/>
    <w:rsid w:val="005D0D3A"/>
    <w:rsid w:val="005D0DE8"/>
    <w:rsid w:val="005D0DFC"/>
    <w:rsid w:val="005D0EC2"/>
    <w:rsid w:val="005D0FA7"/>
    <w:rsid w:val="005D0FFD"/>
    <w:rsid w:val="005D10B7"/>
    <w:rsid w:val="005D10FA"/>
    <w:rsid w:val="005D1144"/>
    <w:rsid w:val="005D1171"/>
    <w:rsid w:val="005D1243"/>
    <w:rsid w:val="005D1376"/>
    <w:rsid w:val="005D14D6"/>
    <w:rsid w:val="005D1535"/>
    <w:rsid w:val="005D160B"/>
    <w:rsid w:val="005D160C"/>
    <w:rsid w:val="005D163D"/>
    <w:rsid w:val="005D175E"/>
    <w:rsid w:val="005D1809"/>
    <w:rsid w:val="005D1909"/>
    <w:rsid w:val="005D196F"/>
    <w:rsid w:val="005D19CF"/>
    <w:rsid w:val="005D1A88"/>
    <w:rsid w:val="005D1B01"/>
    <w:rsid w:val="005D1B33"/>
    <w:rsid w:val="005D1B4B"/>
    <w:rsid w:val="005D1B9D"/>
    <w:rsid w:val="005D1BB7"/>
    <w:rsid w:val="005D1C14"/>
    <w:rsid w:val="005D1C21"/>
    <w:rsid w:val="005D1C27"/>
    <w:rsid w:val="005D1C78"/>
    <w:rsid w:val="005D1CFF"/>
    <w:rsid w:val="005D1DAB"/>
    <w:rsid w:val="005D1E51"/>
    <w:rsid w:val="005D1E64"/>
    <w:rsid w:val="005D1F0B"/>
    <w:rsid w:val="005D1F57"/>
    <w:rsid w:val="005D2235"/>
    <w:rsid w:val="005D2237"/>
    <w:rsid w:val="005D230B"/>
    <w:rsid w:val="005D23CB"/>
    <w:rsid w:val="005D240A"/>
    <w:rsid w:val="005D246E"/>
    <w:rsid w:val="005D2498"/>
    <w:rsid w:val="005D252C"/>
    <w:rsid w:val="005D25DB"/>
    <w:rsid w:val="005D25EA"/>
    <w:rsid w:val="005D27AB"/>
    <w:rsid w:val="005D27EF"/>
    <w:rsid w:val="005D27F5"/>
    <w:rsid w:val="005D2832"/>
    <w:rsid w:val="005D2840"/>
    <w:rsid w:val="005D2940"/>
    <w:rsid w:val="005D2A29"/>
    <w:rsid w:val="005D2A4F"/>
    <w:rsid w:val="005D2B67"/>
    <w:rsid w:val="005D2BA0"/>
    <w:rsid w:val="005D2BFE"/>
    <w:rsid w:val="005D2C06"/>
    <w:rsid w:val="005D2C0F"/>
    <w:rsid w:val="005D2E32"/>
    <w:rsid w:val="005D2EA1"/>
    <w:rsid w:val="005D2F57"/>
    <w:rsid w:val="005D2F5F"/>
    <w:rsid w:val="005D2F8D"/>
    <w:rsid w:val="005D2FBD"/>
    <w:rsid w:val="005D2FE8"/>
    <w:rsid w:val="005D3096"/>
    <w:rsid w:val="005D30F3"/>
    <w:rsid w:val="005D3183"/>
    <w:rsid w:val="005D318B"/>
    <w:rsid w:val="005D3237"/>
    <w:rsid w:val="005D326C"/>
    <w:rsid w:val="005D3274"/>
    <w:rsid w:val="005D32FB"/>
    <w:rsid w:val="005D340C"/>
    <w:rsid w:val="005D34A3"/>
    <w:rsid w:val="005D3583"/>
    <w:rsid w:val="005D3652"/>
    <w:rsid w:val="005D3672"/>
    <w:rsid w:val="005D3702"/>
    <w:rsid w:val="005D37D6"/>
    <w:rsid w:val="005D3802"/>
    <w:rsid w:val="005D3859"/>
    <w:rsid w:val="005D3872"/>
    <w:rsid w:val="005D3889"/>
    <w:rsid w:val="005D391F"/>
    <w:rsid w:val="005D3923"/>
    <w:rsid w:val="005D39A5"/>
    <w:rsid w:val="005D39AF"/>
    <w:rsid w:val="005D3BE6"/>
    <w:rsid w:val="005D3C88"/>
    <w:rsid w:val="005D3D2F"/>
    <w:rsid w:val="005D3D33"/>
    <w:rsid w:val="005D3E01"/>
    <w:rsid w:val="005D3E24"/>
    <w:rsid w:val="005D3FD7"/>
    <w:rsid w:val="005D3FE0"/>
    <w:rsid w:val="005D404D"/>
    <w:rsid w:val="005D4087"/>
    <w:rsid w:val="005D4114"/>
    <w:rsid w:val="005D41C1"/>
    <w:rsid w:val="005D42C3"/>
    <w:rsid w:val="005D4356"/>
    <w:rsid w:val="005D4544"/>
    <w:rsid w:val="005D45C1"/>
    <w:rsid w:val="005D45D4"/>
    <w:rsid w:val="005D46FC"/>
    <w:rsid w:val="005D4816"/>
    <w:rsid w:val="005D4847"/>
    <w:rsid w:val="005D486B"/>
    <w:rsid w:val="005D4882"/>
    <w:rsid w:val="005D48E4"/>
    <w:rsid w:val="005D4939"/>
    <w:rsid w:val="005D4948"/>
    <w:rsid w:val="005D49E6"/>
    <w:rsid w:val="005D4AA6"/>
    <w:rsid w:val="005D4AC4"/>
    <w:rsid w:val="005D4ADE"/>
    <w:rsid w:val="005D4AE1"/>
    <w:rsid w:val="005D4BA4"/>
    <w:rsid w:val="005D4BCC"/>
    <w:rsid w:val="005D4CD3"/>
    <w:rsid w:val="005D4D85"/>
    <w:rsid w:val="005D4E98"/>
    <w:rsid w:val="005D4FA5"/>
    <w:rsid w:val="005D4FF5"/>
    <w:rsid w:val="005D5015"/>
    <w:rsid w:val="005D50BE"/>
    <w:rsid w:val="005D5137"/>
    <w:rsid w:val="005D515C"/>
    <w:rsid w:val="005D520B"/>
    <w:rsid w:val="005D52A1"/>
    <w:rsid w:val="005D5388"/>
    <w:rsid w:val="005D541B"/>
    <w:rsid w:val="005D5479"/>
    <w:rsid w:val="005D550F"/>
    <w:rsid w:val="005D553F"/>
    <w:rsid w:val="005D5713"/>
    <w:rsid w:val="005D573F"/>
    <w:rsid w:val="005D5765"/>
    <w:rsid w:val="005D5770"/>
    <w:rsid w:val="005D57CE"/>
    <w:rsid w:val="005D585D"/>
    <w:rsid w:val="005D58BB"/>
    <w:rsid w:val="005D592A"/>
    <w:rsid w:val="005D5963"/>
    <w:rsid w:val="005D5A18"/>
    <w:rsid w:val="005D5AA2"/>
    <w:rsid w:val="005D5AAD"/>
    <w:rsid w:val="005D5AB4"/>
    <w:rsid w:val="005D5C4D"/>
    <w:rsid w:val="005D5D0C"/>
    <w:rsid w:val="005D5D5F"/>
    <w:rsid w:val="005D5DE7"/>
    <w:rsid w:val="005D5EE4"/>
    <w:rsid w:val="005D5F69"/>
    <w:rsid w:val="005D5F7E"/>
    <w:rsid w:val="005D5FFB"/>
    <w:rsid w:val="005D60BF"/>
    <w:rsid w:val="005D60F5"/>
    <w:rsid w:val="005D61E7"/>
    <w:rsid w:val="005D621D"/>
    <w:rsid w:val="005D629D"/>
    <w:rsid w:val="005D6306"/>
    <w:rsid w:val="005D6556"/>
    <w:rsid w:val="005D6566"/>
    <w:rsid w:val="005D6579"/>
    <w:rsid w:val="005D6584"/>
    <w:rsid w:val="005D65E1"/>
    <w:rsid w:val="005D6601"/>
    <w:rsid w:val="005D6603"/>
    <w:rsid w:val="005D6622"/>
    <w:rsid w:val="005D6642"/>
    <w:rsid w:val="005D6714"/>
    <w:rsid w:val="005D67A2"/>
    <w:rsid w:val="005D67C9"/>
    <w:rsid w:val="005D67EA"/>
    <w:rsid w:val="005D67ED"/>
    <w:rsid w:val="005D6954"/>
    <w:rsid w:val="005D6990"/>
    <w:rsid w:val="005D6ADA"/>
    <w:rsid w:val="005D6AEA"/>
    <w:rsid w:val="005D6B5A"/>
    <w:rsid w:val="005D6BB2"/>
    <w:rsid w:val="005D6BBD"/>
    <w:rsid w:val="005D6CBE"/>
    <w:rsid w:val="005D6E27"/>
    <w:rsid w:val="005D6E45"/>
    <w:rsid w:val="005D6E91"/>
    <w:rsid w:val="005D70FC"/>
    <w:rsid w:val="005D7105"/>
    <w:rsid w:val="005D715B"/>
    <w:rsid w:val="005D716E"/>
    <w:rsid w:val="005D7185"/>
    <w:rsid w:val="005D723B"/>
    <w:rsid w:val="005D7280"/>
    <w:rsid w:val="005D72B7"/>
    <w:rsid w:val="005D7365"/>
    <w:rsid w:val="005D758C"/>
    <w:rsid w:val="005D7679"/>
    <w:rsid w:val="005D773B"/>
    <w:rsid w:val="005D77DD"/>
    <w:rsid w:val="005D77E2"/>
    <w:rsid w:val="005D7814"/>
    <w:rsid w:val="005D7818"/>
    <w:rsid w:val="005D78F0"/>
    <w:rsid w:val="005D7998"/>
    <w:rsid w:val="005D79CB"/>
    <w:rsid w:val="005D7A02"/>
    <w:rsid w:val="005D7A1A"/>
    <w:rsid w:val="005D7A35"/>
    <w:rsid w:val="005D7A37"/>
    <w:rsid w:val="005D7A7D"/>
    <w:rsid w:val="005D7A7F"/>
    <w:rsid w:val="005D7A80"/>
    <w:rsid w:val="005D7AA9"/>
    <w:rsid w:val="005D7ACE"/>
    <w:rsid w:val="005D7CE1"/>
    <w:rsid w:val="005D7D41"/>
    <w:rsid w:val="005D7DE4"/>
    <w:rsid w:val="005D7E52"/>
    <w:rsid w:val="005D7E70"/>
    <w:rsid w:val="005D7E9A"/>
    <w:rsid w:val="005D7EC7"/>
    <w:rsid w:val="005D7F6D"/>
    <w:rsid w:val="005E01F1"/>
    <w:rsid w:val="005E0286"/>
    <w:rsid w:val="005E028B"/>
    <w:rsid w:val="005E02DA"/>
    <w:rsid w:val="005E046C"/>
    <w:rsid w:val="005E05A9"/>
    <w:rsid w:val="005E05DE"/>
    <w:rsid w:val="005E06A4"/>
    <w:rsid w:val="005E076B"/>
    <w:rsid w:val="005E0865"/>
    <w:rsid w:val="005E0878"/>
    <w:rsid w:val="005E08C7"/>
    <w:rsid w:val="005E09B0"/>
    <w:rsid w:val="005E0A52"/>
    <w:rsid w:val="005E0ACA"/>
    <w:rsid w:val="005E0B23"/>
    <w:rsid w:val="005E0B3E"/>
    <w:rsid w:val="005E0C59"/>
    <w:rsid w:val="005E0D6F"/>
    <w:rsid w:val="005E0D79"/>
    <w:rsid w:val="005E0E0B"/>
    <w:rsid w:val="005E0E5F"/>
    <w:rsid w:val="005E0F1E"/>
    <w:rsid w:val="005E0F24"/>
    <w:rsid w:val="005E0F5D"/>
    <w:rsid w:val="005E0F94"/>
    <w:rsid w:val="005E103A"/>
    <w:rsid w:val="005E10E4"/>
    <w:rsid w:val="005E1191"/>
    <w:rsid w:val="005E1281"/>
    <w:rsid w:val="005E13FE"/>
    <w:rsid w:val="005E1410"/>
    <w:rsid w:val="005E14F4"/>
    <w:rsid w:val="005E1599"/>
    <w:rsid w:val="005E170D"/>
    <w:rsid w:val="005E180E"/>
    <w:rsid w:val="005E1843"/>
    <w:rsid w:val="005E1949"/>
    <w:rsid w:val="005E1A06"/>
    <w:rsid w:val="005E1A4E"/>
    <w:rsid w:val="005E1A6A"/>
    <w:rsid w:val="005E1B30"/>
    <w:rsid w:val="005E1BAE"/>
    <w:rsid w:val="005E1C13"/>
    <w:rsid w:val="005E1C5F"/>
    <w:rsid w:val="005E1CC3"/>
    <w:rsid w:val="005E1E90"/>
    <w:rsid w:val="005E1EE3"/>
    <w:rsid w:val="005E1F42"/>
    <w:rsid w:val="005E1F7C"/>
    <w:rsid w:val="005E1F94"/>
    <w:rsid w:val="005E1FCB"/>
    <w:rsid w:val="005E20A1"/>
    <w:rsid w:val="005E2137"/>
    <w:rsid w:val="005E250B"/>
    <w:rsid w:val="005E25B2"/>
    <w:rsid w:val="005E260D"/>
    <w:rsid w:val="005E2629"/>
    <w:rsid w:val="005E26F3"/>
    <w:rsid w:val="005E278C"/>
    <w:rsid w:val="005E27ED"/>
    <w:rsid w:val="005E280E"/>
    <w:rsid w:val="005E281C"/>
    <w:rsid w:val="005E29D2"/>
    <w:rsid w:val="005E2A14"/>
    <w:rsid w:val="005E2A46"/>
    <w:rsid w:val="005E2A7F"/>
    <w:rsid w:val="005E2BE1"/>
    <w:rsid w:val="005E2C23"/>
    <w:rsid w:val="005E2C30"/>
    <w:rsid w:val="005E2CDD"/>
    <w:rsid w:val="005E2D49"/>
    <w:rsid w:val="005E2E07"/>
    <w:rsid w:val="005E2E60"/>
    <w:rsid w:val="005E2E81"/>
    <w:rsid w:val="005E2E90"/>
    <w:rsid w:val="005E2FBF"/>
    <w:rsid w:val="005E2FC7"/>
    <w:rsid w:val="005E303F"/>
    <w:rsid w:val="005E3078"/>
    <w:rsid w:val="005E30B7"/>
    <w:rsid w:val="005E31B0"/>
    <w:rsid w:val="005E3225"/>
    <w:rsid w:val="005E3247"/>
    <w:rsid w:val="005E32AB"/>
    <w:rsid w:val="005E3328"/>
    <w:rsid w:val="005E33E9"/>
    <w:rsid w:val="005E34A8"/>
    <w:rsid w:val="005E34AB"/>
    <w:rsid w:val="005E34CC"/>
    <w:rsid w:val="005E3567"/>
    <w:rsid w:val="005E35FE"/>
    <w:rsid w:val="005E36D9"/>
    <w:rsid w:val="005E3743"/>
    <w:rsid w:val="005E37DC"/>
    <w:rsid w:val="005E38E0"/>
    <w:rsid w:val="005E393E"/>
    <w:rsid w:val="005E397D"/>
    <w:rsid w:val="005E39D2"/>
    <w:rsid w:val="005E3A51"/>
    <w:rsid w:val="005E3A78"/>
    <w:rsid w:val="005E3ADC"/>
    <w:rsid w:val="005E3B95"/>
    <w:rsid w:val="005E3C4E"/>
    <w:rsid w:val="005E3CCB"/>
    <w:rsid w:val="005E3D42"/>
    <w:rsid w:val="005E3DF4"/>
    <w:rsid w:val="005E3E3F"/>
    <w:rsid w:val="005E3E55"/>
    <w:rsid w:val="005E3EDA"/>
    <w:rsid w:val="005E3F08"/>
    <w:rsid w:val="005E3FF8"/>
    <w:rsid w:val="005E413A"/>
    <w:rsid w:val="005E4160"/>
    <w:rsid w:val="005E41D5"/>
    <w:rsid w:val="005E42B7"/>
    <w:rsid w:val="005E4471"/>
    <w:rsid w:val="005E4502"/>
    <w:rsid w:val="005E450A"/>
    <w:rsid w:val="005E4607"/>
    <w:rsid w:val="005E468C"/>
    <w:rsid w:val="005E46B8"/>
    <w:rsid w:val="005E4736"/>
    <w:rsid w:val="005E484C"/>
    <w:rsid w:val="005E485B"/>
    <w:rsid w:val="005E489B"/>
    <w:rsid w:val="005E48A8"/>
    <w:rsid w:val="005E48B5"/>
    <w:rsid w:val="005E48CD"/>
    <w:rsid w:val="005E48F9"/>
    <w:rsid w:val="005E49AB"/>
    <w:rsid w:val="005E4A3D"/>
    <w:rsid w:val="005E4A75"/>
    <w:rsid w:val="005E4B79"/>
    <w:rsid w:val="005E4BA5"/>
    <w:rsid w:val="005E4BD1"/>
    <w:rsid w:val="005E4BE9"/>
    <w:rsid w:val="005E4C54"/>
    <w:rsid w:val="005E4CA7"/>
    <w:rsid w:val="005E4D5C"/>
    <w:rsid w:val="005E4DCE"/>
    <w:rsid w:val="005E4E24"/>
    <w:rsid w:val="005E4EE7"/>
    <w:rsid w:val="005E4F2B"/>
    <w:rsid w:val="005E4F40"/>
    <w:rsid w:val="005E4F6C"/>
    <w:rsid w:val="005E4F85"/>
    <w:rsid w:val="005E5152"/>
    <w:rsid w:val="005E5183"/>
    <w:rsid w:val="005E521B"/>
    <w:rsid w:val="005E5286"/>
    <w:rsid w:val="005E5297"/>
    <w:rsid w:val="005E531C"/>
    <w:rsid w:val="005E5363"/>
    <w:rsid w:val="005E5524"/>
    <w:rsid w:val="005E556A"/>
    <w:rsid w:val="005E55DB"/>
    <w:rsid w:val="005E5603"/>
    <w:rsid w:val="005E57A5"/>
    <w:rsid w:val="005E57C7"/>
    <w:rsid w:val="005E5801"/>
    <w:rsid w:val="005E582D"/>
    <w:rsid w:val="005E587A"/>
    <w:rsid w:val="005E58B8"/>
    <w:rsid w:val="005E5944"/>
    <w:rsid w:val="005E594F"/>
    <w:rsid w:val="005E5987"/>
    <w:rsid w:val="005E59BF"/>
    <w:rsid w:val="005E59ED"/>
    <w:rsid w:val="005E5A0B"/>
    <w:rsid w:val="005E5A25"/>
    <w:rsid w:val="005E5A36"/>
    <w:rsid w:val="005E5A8B"/>
    <w:rsid w:val="005E5B5F"/>
    <w:rsid w:val="005E5BE5"/>
    <w:rsid w:val="005E5C55"/>
    <w:rsid w:val="005E5CA7"/>
    <w:rsid w:val="005E5CB2"/>
    <w:rsid w:val="005E5DA1"/>
    <w:rsid w:val="005E5E82"/>
    <w:rsid w:val="005E5F4B"/>
    <w:rsid w:val="005E5F89"/>
    <w:rsid w:val="005E5FA9"/>
    <w:rsid w:val="005E5FC3"/>
    <w:rsid w:val="005E6025"/>
    <w:rsid w:val="005E609D"/>
    <w:rsid w:val="005E60FA"/>
    <w:rsid w:val="005E61C6"/>
    <w:rsid w:val="005E61D2"/>
    <w:rsid w:val="005E61E1"/>
    <w:rsid w:val="005E62D8"/>
    <w:rsid w:val="005E62DE"/>
    <w:rsid w:val="005E633A"/>
    <w:rsid w:val="005E63C4"/>
    <w:rsid w:val="005E6472"/>
    <w:rsid w:val="005E64A0"/>
    <w:rsid w:val="005E64D7"/>
    <w:rsid w:val="005E6534"/>
    <w:rsid w:val="005E65F9"/>
    <w:rsid w:val="005E6704"/>
    <w:rsid w:val="005E67CD"/>
    <w:rsid w:val="005E687B"/>
    <w:rsid w:val="005E688C"/>
    <w:rsid w:val="005E68DF"/>
    <w:rsid w:val="005E6989"/>
    <w:rsid w:val="005E6994"/>
    <w:rsid w:val="005E69C5"/>
    <w:rsid w:val="005E69F6"/>
    <w:rsid w:val="005E6BA3"/>
    <w:rsid w:val="005E6BBB"/>
    <w:rsid w:val="005E6BBC"/>
    <w:rsid w:val="005E6BC1"/>
    <w:rsid w:val="005E6C62"/>
    <w:rsid w:val="005E6DA3"/>
    <w:rsid w:val="005E6E56"/>
    <w:rsid w:val="005E6E8C"/>
    <w:rsid w:val="005E6EAF"/>
    <w:rsid w:val="005E7078"/>
    <w:rsid w:val="005E7121"/>
    <w:rsid w:val="005E7146"/>
    <w:rsid w:val="005E7279"/>
    <w:rsid w:val="005E731E"/>
    <w:rsid w:val="005E73FE"/>
    <w:rsid w:val="005E741B"/>
    <w:rsid w:val="005E746D"/>
    <w:rsid w:val="005E7503"/>
    <w:rsid w:val="005E7524"/>
    <w:rsid w:val="005E75E9"/>
    <w:rsid w:val="005E7615"/>
    <w:rsid w:val="005E7664"/>
    <w:rsid w:val="005E7687"/>
    <w:rsid w:val="005E768B"/>
    <w:rsid w:val="005E76DE"/>
    <w:rsid w:val="005E76FA"/>
    <w:rsid w:val="005E778A"/>
    <w:rsid w:val="005E781B"/>
    <w:rsid w:val="005E792C"/>
    <w:rsid w:val="005E7A8C"/>
    <w:rsid w:val="005E7AA0"/>
    <w:rsid w:val="005E7AE0"/>
    <w:rsid w:val="005E7B95"/>
    <w:rsid w:val="005E7BDF"/>
    <w:rsid w:val="005E7BFB"/>
    <w:rsid w:val="005E7C4C"/>
    <w:rsid w:val="005E7D8F"/>
    <w:rsid w:val="005E7DA3"/>
    <w:rsid w:val="005E7E6B"/>
    <w:rsid w:val="005E7FA5"/>
    <w:rsid w:val="005F00B1"/>
    <w:rsid w:val="005F01CF"/>
    <w:rsid w:val="005F01FC"/>
    <w:rsid w:val="005F020E"/>
    <w:rsid w:val="005F029E"/>
    <w:rsid w:val="005F02ED"/>
    <w:rsid w:val="005F02F2"/>
    <w:rsid w:val="005F03C8"/>
    <w:rsid w:val="005F043F"/>
    <w:rsid w:val="005F0457"/>
    <w:rsid w:val="005F0461"/>
    <w:rsid w:val="005F05CB"/>
    <w:rsid w:val="005F05D3"/>
    <w:rsid w:val="005F061F"/>
    <w:rsid w:val="005F063F"/>
    <w:rsid w:val="005F06D3"/>
    <w:rsid w:val="005F077D"/>
    <w:rsid w:val="005F0788"/>
    <w:rsid w:val="005F07AB"/>
    <w:rsid w:val="005F0842"/>
    <w:rsid w:val="005F0950"/>
    <w:rsid w:val="005F09ED"/>
    <w:rsid w:val="005F09F0"/>
    <w:rsid w:val="005F0AB5"/>
    <w:rsid w:val="005F0B6F"/>
    <w:rsid w:val="005F0C97"/>
    <w:rsid w:val="005F0CEA"/>
    <w:rsid w:val="005F0D3C"/>
    <w:rsid w:val="005F0D5E"/>
    <w:rsid w:val="005F0ECB"/>
    <w:rsid w:val="005F0F3C"/>
    <w:rsid w:val="005F1052"/>
    <w:rsid w:val="005F111D"/>
    <w:rsid w:val="005F114C"/>
    <w:rsid w:val="005F12A6"/>
    <w:rsid w:val="005F12B6"/>
    <w:rsid w:val="005F137B"/>
    <w:rsid w:val="005F13D3"/>
    <w:rsid w:val="005F13ED"/>
    <w:rsid w:val="005F14D9"/>
    <w:rsid w:val="005F14DA"/>
    <w:rsid w:val="005F15CA"/>
    <w:rsid w:val="005F1608"/>
    <w:rsid w:val="005F163F"/>
    <w:rsid w:val="005F16B8"/>
    <w:rsid w:val="005F1707"/>
    <w:rsid w:val="005F17C7"/>
    <w:rsid w:val="005F17E4"/>
    <w:rsid w:val="005F17EB"/>
    <w:rsid w:val="005F1882"/>
    <w:rsid w:val="005F18A7"/>
    <w:rsid w:val="005F18DD"/>
    <w:rsid w:val="005F18F8"/>
    <w:rsid w:val="005F18FF"/>
    <w:rsid w:val="005F1B07"/>
    <w:rsid w:val="005F1B91"/>
    <w:rsid w:val="005F1C93"/>
    <w:rsid w:val="005F1CD3"/>
    <w:rsid w:val="005F1CDB"/>
    <w:rsid w:val="005F1CEB"/>
    <w:rsid w:val="005F1D55"/>
    <w:rsid w:val="005F1EA5"/>
    <w:rsid w:val="005F20A3"/>
    <w:rsid w:val="005F213F"/>
    <w:rsid w:val="005F215C"/>
    <w:rsid w:val="005F2161"/>
    <w:rsid w:val="005F2186"/>
    <w:rsid w:val="005F21C7"/>
    <w:rsid w:val="005F2263"/>
    <w:rsid w:val="005F22F6"/>
    <w:rsid w:val="005F2333"/>
    <w:rsid w:val="005F23A0"/>
    <w:rsid w:val="005F2422"/>
    <w:rsid w:val="005F245D"/>
    <w:rsid w:val="005F2478"/>
    <w:rsid w:val="005F247D"/>
    <w:rsid w:val="005F25BC"/>
    <w:rsid w:val="005F25C2"/>
    <w:rsid w:val="005F25DE"/>
    <w:rsid w:val="005F266B"/>
    <w:rsid w:val="005F2699"/>
    <w:rsid w:val="005F26DA"/>
    <w:rsid w:val="005F2704"/>
    <w:rsid w:val="005F272F"/>
    <w:rsid w:val="005F27D8"/>
    <w:rsid w:val="005F2869"/>
    <w:rsid w:val="005F28E0"/>
    <w:rsid w:val="005F29C4"/>
    <w:rsid w:val="005F2A93"/>
    <w:rsid w:val="005F2ABC"/>
    <w:rsid w:val="005F2BAD"/>
    <w:rsid w:val="005F2BCE"/>
    <w:rsid w:val="005F2C41"/>
    <w:rsid w:val="005F2DA8"/>
    <w:rsid w:val="005F2E20"/>
    <w:rsid w:val="005F2E2F"/>
    <w:rsid w:val="005F2EDD"/>
    <w:rsid w:val="005F2F58"/>
    <w:rsid w:val="005F2FAD"/>
    <w:rsid w:val="005F2FDE"/>
    <w:rsid w:val="005F2FEE"/>
    <w:rsid w:val="005F30FC"/>
    <w:rsid w:val="005F318A"/>
    <w:rsid w:val="005F3201"/>
    <w:rsid w:val="005F32B4"/>
    <w:rsid w:val="005F32CA"/>
    <w:rsid w:val="005F330C"/>
    <w:rsid w:val="005F33E6"/>
    <w:rsid w:val="005F3435"/>
    <w:rsid w:val="005F3461"/>
    <w:rsid w:val="005F3503"/>
    <w:rsid w:val="005F3661"/>
    <w:rsid w:val="005F3696"/>
    <w:rsid w:val="005F36A8"/>
    <w:rsid w:val="005F370B"/>
    <w:rsid w:val="005F371D"/>
    <w:rsid w:val="005F3832"/>
    <w:rsid w:val="005F385D"/>
    <w:rsid w:val="005F38D6"/>
    <w:rsid w:val="005F38E1"/>
    <w:rsid w:val="005F3912"/>
    <w:rsid w:val="005F3A39"/>
    <w:rsid w:val="005F3A8B"/>
    <w:rsid w:val="005F3A95"/>
    <w:rsid w:val="005F3B16"/>
    <w:rsid w:val="005F3B19"/>
    <w:rsid w:val="005F3BA5"/>
    <w:rsid w:val="005F3CA4"/>
    <w:rsid w:val="005F3CF4"/>
    <w:rsid w:val="005F3E7D"/>
    <w:rsid w:val="005F3F11"/>
    <w:rsid w:val="005F3F70"/>
    <w:rsid w:val="005F4084"/>
    <w:rsid w:val="005F40FD"/>
    <w:rsid w:val="005F42F1"/>
    <w:rsid w:val="005F4324"/>
    <w:rsid w:val="005F437A"/>
    <w:rsid w:val="005F43D6"/>
    <w:rsid w:val="005F44D3"/>
    <w:rsid w:val="005F45D0"/>
    <w:rsid w:val="005F472F"/>
    <w:rsid w:val="005F480E"/>
    <w:rsid w:val="005F48AF"/>
    <w:rsid w:val="005F48BF"/>
    <w:rsid w:val="005F48CC"/>
    <w:rsid w:val="005F48D4"/>
    <w:rsid w:val="005F4AD0"/>
    <w:rsid w:val="005F4AD1"/>
    <w:rsid w:val="005F4B80"/>
    <w:rsid w:val="005F4CD9"/>
    <w:rsid w:val="005F4CE8"/>
    <w:rsid w:val="005F4CF6"/>
    <w:rsid w:val="005F4D8A"/>
    <w:rsid w:val="005F4DA7"/>
    <w:rsid w:val="005F4F70"/>
    <w:rsid w:val="005F500A"/>
    <w:rsid w:val="005F508A"/>
    <w:rsid w:val="005F5147"/>
    <w:rsid w:val="005F5185"/>
    <w:rsid w:val="005F519B"/>
    <w:rsid w:val="005F519F"/>
    <w:rsid w:val="005F5265"/>
    <w:rsid w:val="005F52AA"/>
    <w:rsid w:val="005F53A2"/>
    <w:rsid w:val="005F549D"/>
    <w:rsid w:val="005F54C8"/>
    <w:rsid w:val="005F54F9"/>
    <w:rsid w:val="005F5631"/>
    <w:rsid w:val="005F56B3"/>
    <w:rsid w:val="005F56CB"/>
    <w:rsid w:val="005F56F8"/>
    <w:rsid w:val="005F576E"/>
    <w:rsid w:val="005F5799"/>
    <w:rsid w:val="005F57BB"/>
    <w:rsid w:val="005F57EC"/>
    <w:rsid w:val="005F5839"/>
    <w:rsid w:val="005F5855"/>
    <w:rsid w:val="005F5892"/>
    <w:rsid w:val="005F58E7"/>
    <w:rsid w:val="005F5951"/>
    <w:rsid w:val="005F597A"/>
    <w:rsid w:val="005F59C8"/>
    <w:rsid w:val="005F5B88"/>
    <w:rsid w:val="005F5BAF"/>
    <w:rsid w:val="005F5BB2"/>
    <w:rsid w:val="005F5C04"/>
    <w:rsid w:val="005F5DA8"/>
    <w:rsid w:val="005F5E6E"/>
    <w:rsid w:val="005F5EEC"/>
    <w:rsid w:val="005F5EF2"/>
    <w:rsid w:val="005F5F96"/>
    <w:rsid w:val="005F6055"/>
    <w:rsid w:val="005F61B6"/>
    <w:rsid w:val="005F61E4"/>
    <w:rsid w:val="005F6249"/>
    <w:rsid w:val="005F62BB"/>
    <w:rsid w:val="005F6339"/>
    <w:rsid w:val="005F639B"/>
    <w:rsid w:val="005F6417"/>
    <w:rsid w:val="005F64A8"/>
    <w:rsid w:val="005F64ED"/>
    <w:rsid w:val="005F66B6"/>
    <w:rsid w:val="005F6717"/>
    <w:rsid w:val="005F67D1"/>
    <w:rsid w:val="005F690F"/>
    <w:rsid w:val="005F692C"/>
    <w:rsid w:val="005F699D"/>
    <w:rsid w:val="005F69FC"/>
    <w:rsid w:val="005F69FD"/>
    <w:rsid w:val="005F6A1B"/>
    <w:rsid w:val="005F6A40"/>
    <w:rsid w:val="005F6AAB"/>
    <w:rsid w:val="005F6B59"/>
    <w:rsid w:val="005F6B75"/>
    <w:rsid w:val="005F6C65"/>
    <w:rsid w:val="005F6D70"/>
    <w:rsid w:val="005F6D98"/>
    <w:rsid w:val="005F6E23"/>
    <w:rsid w:val="005F6E39"/>
    <w:rsid w:val="005F6EBD"/>
    <w:rsid w:val="005F6FE2"/>
    <w:rsid w:val="005F703A"/>
    <w:rsid w:val="005F71CA"/>
    <w:rsid w:val="005F7259"/>
    <w:rsid w:val="005F727C"/>
    <w:rsid w:val="005F7346"/>
    <w:rsid w:val="005F7356"/>
    <w:rsid w:val="005F7394"/>
    <w:rsid w:val="005F73D7"/>
    <w:rsid w:val="005F74F4"/>
    <w:rsid w:val="005F74FA"/>
    <w:rsid w:val="005F74FD"/>
    <w:rsid w:val="005F750E"/>
    <w:rsid w:val="005F7588"/>
    <w:rsid w:val="005F7612"/>
    <w:rsid w:val="005F763C"/>
    <w:rsid w:val="005F7642"/>
    <w:rsid w:val="005F765D"/>
    <w:rsid w:val="005F7755"/>
    <w:rsid w:val="005F7790"/>
    <w:rsid w:val="005F7872"/>
    <w:rsid w:val="005F78C7"/>
    <w:rsid w:val="005F7A85"/>
    <w:rsid w:val="005F7A9C"/>
    <w:rsid w:val="005F7B01"/>
    <w:rsid w:val="005F7B62"/>
    <w:rsid w:val="005F7C02"/>
    <w:rsid w:val="005F7D61"/>
    <w:rsid w:val="005F7D7E"/>
    <w:rsid w:val="005F7DFB"/>
    <w:rsid w:val="005F7E1A"/>
    <w:rsid w:val="005F7E7A"/>
    <w:rsid w:val="005F7E8E"/>
    <w:rsid w:val="0060012B"/>
    <w:rsid w:val="006002B7"/>
    <w:rsid w:val="00600390"/>
    <w:rsid w:val="0060041F"/>
    <w:rsid w:val="00600470"/>
    <w:rsid w:val="006004DA"/>
    <w:rsid w:val="00600543"/>
    <w:rsid w:val="00600558"/>
    <w:rsid w:val="00600574"/>
    <w:rsid w:val="006005FC"/>
    <w:rsid w:val="0060063C"/>
    <w:rsid w:val="0060073D"/>
    <w:rsid w:val="00600742"/>
    <w:rsid w:val="00600796"/>
    <w:rsid w:val="00600797"/>
    <w:rsid w:val="00600888"/>
    <w:rsid w:val="00600923"/>
    <w:rsid w:val="00600982"/>
    <w:rsid w:val="006009F0"/>
    <w:rsid w:val="00600A03"/>
    <w:rsid w:val="00600C7B"/>
    <w:rsid w:val="00600CCD"/>
    <w:rsid w:val="00600CE5"/>
    <w:rsid w:val="00600D3C"/>
    <w:rsid w:val="00600DBC"/>
    <w:rsid w:val="00600ED7"/>
    <w:rsid w:val="00600FB6"/>
    <w:rsid w:val="00600FD3"/>
    <w:rsid w:val="00601193"/>
    <w:rsid w:val="00601264"/>
    <w:rsid w:val="006013E9"/>
    <w:rsid w:val="006014D6"/>
    <w:rsid w:val="006014E6"/>
    <w:rsid w:val="00601551"/>
    <w:rsid w:val="0060157B"/>
    <w:rsid w:val="006015A7"/>
    <w:rsid w:val="0060162F"/>
    <w:rsid w:val="0060169F"/>
    <w:rsid w:val="00601702"/>
    <w:rsid w:val="00601714"/>
    <w:rsid w:val="00601736"/>
    <w:rsid w:val="006018D7"/>
    <w:rsid w:val="00601971"/>
    <w:rsid w:val="00601975"/>
    <w:rsid w:val="006019D1"/>
    <w:rsid w:val="00601A17"/>
    <w:rsid w:val="00601B0D"/>
    <w:rsid w:val="00601B27"/>
    <w:rsid w:val="00601B68"/>
    <w:rsid w:val="00601D33"/>
    <w:rsid w:val="00601DCF"/>
    <w:rsid w:val="00601DDD"/>
    <w:rsid w:val="00601E65"/>
    <w:rsid w:val="00601EB6"/>
    <w:rsid w:val="00601F35"/>
    <w:rsid w:val="00601FBB"/>
    <w:rsid w:val="00602186"/>
    <w:rsid w:val="00602284"/>
    <w:rsid w:val="00602338"/>
    <w:rsid w:val="00602366"/>
    <w:rsid w:val="0060238B"/>
    <w:rsid w:val="006023CD"/>
    <w:rsid w:val="006023E7"/>
    <w:rsid w:val="00602412"/>
    <w:rsid w:val="00602478"/>
    <w:rsid w:val="006025D1"/>
    <w:rsid w:val="006026DB"/>
    <w:rsid w:val="006026DE"/>
    <w:rsid w:val="00602714"/>
    <w:rsid w:val="0060277F"/>
    <w:rsid w:val="00602852"/>
    <w:rsid w:val="00602935"/>
    <w:rsid w:val="00602995"/>
    <w:rsid w:val="006029C8"/>
    <w:rsid w:val="006029D4"/>
    <w:rsid w:val="00602AE1"/>
    <w:rsid w:val="00602C2F"/>
    <w:rsid w:val="00602DC7"/>
    <w:rsid w:val="00602E1E"/>
    <w:rsid w:val="00602E80"/>
    <w:rsid w:val="00602FCD"/>
    <w:rsid w:val="00602FD9"/>
    <w:rsid w:val="0060305C"/>
    <w:rsid w:val="00603111"/>
    <w:rsid w:val="006033DB"/>
    <w:rsid w:val="006034D5"/>
    <w:rsid w:val="00603518"/>
    <w:rsid w:val="0060362D"/>
    <w:rsid w:val="0060364B"/>
    <w:rsid w:val="0060365F"/>
    <w:rsid w:val="00603721"/>
    <w:rsid w:val="006037F0"/>
    <w:rsid w:val="0060384C"/>
    <w:rsid w:val="006038A9"/>
    <w:rsid w:val="00603936"/>
    <w:rsid w:val="0060398D"/>
    <w:rsid w:val="006039A4"/>
    <w:rsid w:val="00603A19"/>
    <w:rsid w:val="00603A35"/>
    <w:rsid w:val="00603ABD"/>
    <w:rsid w:val="00603D91"/>
    <w:rsid w:val="00603D95"/>
    <w:rsid w:val="00603E14"/>
    <w:rsid w:val="00603E9D"/>
    <w:rsid w:val="00603EC9"/>
    <w:rsid w:val="00603EF8"/>
    <w:rsid w:val="00603F16"/>
    <w:rsid w:val="00603F27"/>
    <w:rsid w:val="0060429F"/>
    <w:rsid w:val="00604473"/>
    <w:rsid w:val="006044B4"/>
    <w:rsid w:val="00604503"/>
    <w:rsid w:val="006045C9"/>
    <w:rsid w:val="00604606"/>
    <w:rsid w:val="00604613"/>
    <w:rsid w:val="0060461D"/>
    <w:rsid w:val="0060466B"/>
    <w:rsid w:val="00604686"/>
    <w:rsid w:val="006046B6"/>
    <w:rsid w:val="0060474B"/>
    <w:rsid w:val="00604783"/>
    <w:rsid w:val="006047A0"/>
    <w:rsid w:val="006047D6"/>
    <w:rsid w:val="006047EA"/>
    <w:rsid w:val="0060487F"/>
    <w:rsid w:val="006048B2"/>
    <w:rsid w:val="00604969"/>
    <w:rsid w:val="00604A1D"/>
    <w:rsid w:val="00604AAF"/>
    <w:rsid w:val="00604AFC"/>
    <w:rsid w:val="00604B28"/>
    <w:rsid w:val="00604C82"/>
    <w:rsid w:val="00604CD3"/>
    <w:rsid w:val="00604DE6"/>
    <w:rsid w:val="00604DF6"/>
    <w:rsid w:val="00604E51"/>
    <w:rsid w:val="00604F79"/>
    <w:rsid w:val="00605066"/>
    <w:rsid w:val="00605082"/>
    <w:rsid w:val="00605121"/>
    <w:rsid w:val="006051D4"/>
    <w:rsid w:val="006052A9"/>
    <w:rsid w:val="006052DA"/>
    <w:rsid w:val="0060531B"/>
    <w:rsid w:val="0060532E"/>
    <w:rsid w:val="0060535C"/>
    <w:rsid w:val="00605391"/>
    <w:rsid w:val="00605399"/>
    <w:rsid w:val="006053B7"/>
    <w:rsid w:val="006053FC"/>
    <w:rsid w:val="0060543F"/>
    <w:rsid w:val="00605525"/>
    <w:rsid w:val="006056D4"/>
    <w:rsid w:val="00605742"/>
    <w:rsid w:val="006057CF"/>
    <w:rsid w:val="006058A7"/>
    <w:rsid w:val="006058F9"/>
    <w:rsid w:val="006059FF"/>
    <w:rsid w:val="00605A20"/>
    <w:rsid w:val="00605AC3"/>
    <w:rsid w:val="00605B80"/>
    <w:rsid w:val="00605B84"/>
    <w:rsid w:val="00605BB4"/>
    <w:rsid w:val="00605C77"/>
    <w:rsid w:val="00605CCA"/>
    <w:rsid w:val="00605DBF"/>
    <w:rsid w:val="00605E19"/>
    <w:rsid w:val="00605E9B"/>
    <w:rsid w:val="00605EBF"/>
    <w:rsid w:val="00605F89"/>
    <w:rsid w:val="00605FA2"/>
    <w:rsid w:val="00605FC0"/>
    <w:rsid w:val="00605FEB"/>
    <w:rsid w:val="00606029"/>
    <w:rsid w:val="00606056"/>
    <w:rsid w:val="00606069"/>
    <w:rsid w:val="0060625F"/>
    <w:rsid w:val="006062CA"/>
    <w:rsid w:val="00606322"/>
    <w:rsid w:val="006064E1"/>
    <w:rsid w:val="00606682"/>
    <w:rsid w:val="0060672E"/>
    <w:rsid w:val="006067AB"/>
    <w:rsid w:val="006067E8"/>
    <w:rsid w:val="0060680D"/>
    <w:rsid w:val="00606846"/>
    <w:rsid w:val="0060694A"/>
    <w:rsid w:val="0060696F"/>
    <w:rsid w:val="0060698B"/>
    <w:rsid w:val="00606BAA"/>
    <w:rsid w:val="00606C0A"/>
    <w:rsid w:val="00606C21"/>
    <w:rsid w:val="00606C8A"/>
    <w:rsid w:val="00606E88"/>
    <w:rsid w:val="00607041"/>
    <w:rsid w:val="006070D1"/>
    <w:rsid w:val="00607110"/>
    <w:rsid w:val="00607148"/>
    <w:rsid w:val="0060717F"/>
    <w:rsid w:val="00607192"/>
    <w:rsid w:val="006071DF"/>
    <w:rsid w:val="006071F4"/>
    <w:rsid w:val="0060724B"/>
    <w:rsid w:val="00607296"/>
    <w:rsid w:val="006072E6"/>
    <w:rsid w:val="0060730C"/>
    <w:rsid w:val="006074D5"/>
    <w:rsid w:val="00607512"/>
    <w:rsid w:val="00607649"/>
    <w:rsid w:val="0060765D"/>
    <w:rsid w:val="006076B3"/>
    <w:rsid w:val="006076DC"/>
    <w:rsid w:val="006076FE"/>
    <w:rsid w:val="0060772D"/>
    <w:rsid w:val="0060778E"/>
    <w:rsid w:val="006077C2"/>
    <w:rsid w:val="00607800"/>
    <w:rsid w:val="0060785A"/>
    <w:rsid w:val="00607887"/>
    <w:rsid w:val="006078CD"/>
    <w:rsid w:val="006078D9"/>
    <w:rsid w:val="006078EA"/>
    <w:rsid w:val="00607945"/>
    <w:rsid w:val="006079A7"/>
    <w:rsid w:val="00607ACC"/>
    <w:rsid w:val="00607D04"/>
    <w:rsid w:val="00607D4A"/>
    <w:rsid w:val="00607E1B"/>
    <w:rsid w:val="00607F07"/>
    <w:rsid w:val="00607F68"/>
    <w:rsid w:val="00607F6D"/>
    <w:rsid w:val="00607F9B"/>
    <w:rsid w:val="006100FB"/>
    <w:rsid w:val="006102E5"/>
    <w:rsid w:val="00610368"/>
    <w:rsid w:val="0061036E"/>
    <w:rsid w:val="006103E4"/>
    <w:rsid w:val="0061044A"/>
    <w:rsid w:val="006104DC"/>
    <w:rsid w:val="0061050B"/>
    <w:rsid w:val="00610575"/>
    <w:rsid w:val="006105C6"/>
    <w:rsid w:val="006105DE"/>
    <w:rsid w:val="00610670"/>
    <w:rsid w:val="00610776"/>
    <w:rsid w:val="00610795"/>
    <w:rsid w:val="00610824"/>
    <w:rsid w:val="0061086B"/>
    <w:rsid w:val="00610881"/>
    <w:rsid w:val="006108E4"/>
    <w:rsid w:val="0061097E"/>
    <w:rsid w:val="006109E9"/>
    <w:rsid w:val="00610A20"/>
    <w:rsid w:val="00610B93"/>
    <w:rsid w:val="00610BB9"/>
    <w:rsid w:val="00610DA6"/>
    <w:rsid w:val="00610E6C"/>
    <w:rsid w:val="00610F1C"/>
    <w:rsid w:val="00610F6C"/>
    <w:rsid w:val="00610F72"/>
    <w:rsid w:val="00610FC9"/>
    <w:rsid w:val="006111DA"/>
    <w:rsid w:val="0061124C"/>
    <w:rsid w:val="00611287"/>
    <w:rsid w:val="006112AB"/>
    <w:rsid w:val="006112C9"/>
    <w:rsid w:val="0061147C"/>
    <w:rsid w:val="006115F5"/>
    <w:rsid w:val="00611634"/>
    <w:rsid w:val="006116AB"/>
    <w:rsid w:val="006116D5"/>
    <w:rsid w:val="00611752"/>
    <w:rsid w:val="00611830"/>
    <w:rsid w:val="006118AA"/>
    <w:rsid w:val="006118AE"/>
    <w:rsid w:val="006118DB"/>
    <w:rsid w:val="00611960"/>
    <w:rsid w:val="00611A21"/>
    <w:rsid w:val="00611A92"/>
    <w:rsid w:val="00611B1A"/>
    <w:rsid w:val="00611B6A"/>
    <w:rsid w:val="00611C37"/>
    <w:rsid w:val="00611C3B"/>
    <w:rsid w:val="00611C9D"/>
    <w:rsid w:val="00611DA4"/>
    <w:rsid w:val="00611E3F"/>
    <w:rsid w:val="00611E90"/>
    <w:rsid w:val="00611F6B"/>
    <w:rsid w:val="00611F86"/>
    <w:rsid w:val="00611F91"/>
    <w:rsid w:val="00612035"/>
    <w:rsid w:val="00612100"/>
    <w:rsid w:val="0061215E"/>
    <w:rsid w:val="006122DA"/>
    <w:rsid w:val="0061240F"/>
    <w:rsid w:val="00612563"/>
    <w:rsid w:val="00612581"/>
    <w:rsid w:val="0061260D"/>
    <w:rsid w:val="006126BD"/>
    <w:rsid w:val="006126D9"/>
    <w:rsid w:val="00612764"/>
    <w:rsid w:val="0061277F"/>
    <w:rsid w:val="006127F7"/>
    <w:rsid w:val="00612829"/>
    <w:rsid w:val="006128DF"/>
    <w:rsid w:val="006129A8"/>
    <w:rsid w:val="006129C7"/>
    <w:rsid w:val="00612A38"/>
    <w:rsid w:val="00612A61"/>
    <w:rsid w:val="00612A96"/>
    <w:rsid w:val="00612AB2"/>
    <w:rsid w:val="00612B34"/>
    <w:rsid w:val="00612C9F"/>
    <w:rsid w:val="00612CC0"/>
    <w:rsid w:val="00612D24"/>
    <w:rsid w:val="00612DBE"/>
    <w:rsid w:val="00612DBF"/>
    <w:rsid w:val="00612E7C"/>
    <w:rsid w:val="00612F2B"/>
    <w:rsid w:val="00612F38"/>
    <w:rsid w:val="00612F48"/>
    <w:rsid w:val="006130AC"/>
    <w:rsid w:val="006130D9"/>
    <w:rsid w:val="00613142"/>
    <w:rsid w:val="00613167"/>
    <w:rsid w:val="00613209"/>
    <w:rsid w:val="00613251"/>
    <w:rsid w:val="0061344B"/>
    <w:rsid w:val="006134F8"/>
    <w:rsid w:val="006135D4"/>
    <w:rsid w:val="006135D9"/>
    <w:rsid w:val="00613681"/>
    <w:rsid w:val="0061368A"/>
    <w:rsid w:val="006136C9"/>
    <w:rsid w:val="006137A7"/>
    <w:rsid w:val="0061381F"/>
    <w:rsid w:val="00613920"/>
    <w:rsid w:val="006139F8"/>
    <w:rsid w:val="00613AF0"/>
    <w:rsid w:val="00613B48"/>
    <w:rsid w:val="00613C4E"/>
    <w:rsid w:val="00613C7F"/>
    <w:rsid w:val="00613CE3"/>
    <w:rsid w:val="00613D0C"/>
    <w:rsid w:val="00613D36"/>
    <w:rsid w:val="00613E22"/>
    <w:rsid w:val="00613EB9"/>
    <w:rsid w:val="00613EBA"/>
    <w:rsid w:val="00613F27"/>
    <w:rsid w:val="00613F95"/>
    <w:rsid w:val="00613FBC"/>
    <w:rsid w:val="00614090"/>
    <w:rsid w:val="006140DA"/>
    <w:rsid w:val="0061420D"/>
    <w:rsid w:val="006144A4"/>
    <w:rsid w:val="006144AA"/>
    <w:rsid w:val="00614554"/>
    <w:rsid w:val="006145A9"/>
    <w:rsid w:val="006146FA"/>
    <w:rsid w:val="00614723"/>
    <w:rsid w:val="00614783"/>
    <w:rsid w:val="006147EE"/>
    <w:rsid w:val="0061488A"/>
    <w:rsid w:val="00614936"/>
    <w:rsid w:val="00614938"/>
    <w:rsid w:val="0061498D"/>
    <w:rsid w:val="00614A22"/>
    <w:rsid w:val="00614A3D"/>
    <w:rsid w:val="00614AD5"/>
    <w:rsid w:val="00614C2F"/>
    <w:rsid w:val="00614DD1"/>
    <w:rsid w:val="00614E82"/>
    <w:rsid w:val="00614FC4"/>
    <w:rsid w:val="00614FE6"/>
    <w:rsid w:val="00615002"/>
    <w:rsid w:val="00615122"/>
    <w:rsid w:val="00615179"/>
    <w:rsid w:val="00615211"/>
    <w:rsid w:val="0061523A"/>
    <w:rsid w:val="00615282"/>
    <w:rsid w:val="006153F6"/>
    <w:rsid w:val="0061545E"/>
    <w:rsid w:val="0061546A"/>
    <w:rsid w:val="00615543"/>
    <w:rsid w:val="0061561B"/>
    <w:rsid w:val="0061561E"/>
    <w:rsid w:val="0061565C"/>
    <w:rsid w:val="0061571F"/>
    <w:rsid w:val="006157CC"/>
    <w:rsid w:val="00615849"/>
    <w:rsid w:val="006158BD"/>
    <w:rsid w:val="006158FB"/>
    <w:rsid w:val="006159EA"/>
    <w:rsid w:val="00615A3D"/>
    <w:rsid w:val="00615B3D"/>
    <w:rsid w:val="00615B47"/>
    <w:rsid w:val="00615BA8"/>
    <w:rsid w:val="00615BF3"/>
    <w:rsid w:val="00615C8B"/>
    <w:rsid w:val="00615C9B"/>
    <w:rsid w:val="00615CA3"/>
    <w:rsid w:val="00615CB2"/>
    <w:rsid w:val="00615D47"/>
    <w:rsid w:val="00615D62"/>
    <w:rsid w:val="00615DA3"/>
    <w:rsid w:val="00615E1B"/>
    <w:rsid w:val="00615E8D"/>
    <w:rsid w:val="00615F15"/>
    <w:rsid w:val="00615F81"/>
    <w:rsid w:val="00615F97"/>
    <w:rsid w:val="00615FA6"/>
    <w:rsid w:val="0061603F"/>
    <w:rsid w:val="00616219"/>
    <w:rsid w:val="00616260"/>
    <w:rsid w:val="0061627A"/>
    <w:rsid w:val="0061627F"/>
    <w:rsid w:val="006162EC"/>
    <w:rsid w:val="00616402"/>
    <w:rsid w:val="00616421"/>
    <w:rsid w:val="006164C3"/>
    <w:rsid w:val="00616643"/>
    <w:rsid w:val="006166D2"/>
    <w:rsid w:val="006166FD"/>
    <w:rsid w:val="006167EC"/>
    <w:rsid w:val="0061685D"/>
    <w:rsid w:val="006169DC"/>
    <w:rsid w:val="00616A62"/>
    <w:rsid w:val="00616AA9"/>
    <w:rsid w:val="00616ACC"/>
    <w:rsid w:val="00616B6C"/>
    <w:rsid w:val="00616B8A"/>
    <w:rsid w:val="00616BC0"/>
    <w:rsid w:val="00616BCA"/>
    <w:rsid w:val="00616C0F"/>
    <w:rsid w:val="00616C44"/>
    <w:rsid w:val="00616C66"/>
    <w:rsid w:val="00616CF4"/>
    <w:rsid w:val="00616D36"/>
    <w:rsid w:val="00616D58"/>
    <w:rsid w:val="00616D71"/>
    <w:rsid w:val="00616D90"/>
    <w:rsid w:val="00616E3E"/>
    <w:rsid w:val="00616E46"/>
    <w:rsid w:val="00616E4A"/>
    <w:rsid w:val="00616E70"/>
    <w:rsid w:val="00616E76"/>
    <w:rsid w:val="00616EC4"/>
    <w:rsid w:val="00617172"/>
    <w:rsid w:val="00617211"/>
    <w:rsid w:val="006172B1"/>
    <w:rsid w:val="006172CF"/>
    <w:rsid w:val="006173DC"/>
    <w:rsid w:val="00617423"/>
    <w:rsid w:val="00617452"/>
    <w:rsid w:val="0061753C"/>
    <w:rsid w:val="006175A3"/>
    <w:rsid w:val="006176C3"/>
    <w:rsid w:val="006176FE"/>
    <w:rsid w:val="00617701"/>
    <w:rsid w:val="0061783C"/>
    <w:rsid w:val="006178F2"/>
    <w:rsid w:val="0061790D"/>
    <w:rsid w:val="0061791D"/>
    <w:rsid w:val="0061795F"/>
    <w:rsid w:val="006179A0"/>
    <w:rsid w:val="006179B5"/>
    <w:rsid w:val="00617A4B"/>
    <w:rsid w:val="00617BEB"/>
    <w:rsid w:val="00617C1D"/>
    <w:rsid w:val="00617CEF"/>
    <w:rsid w:val="00617D8A"/>
    <w:rsid w:val="00617DF6"/>
    <w:rsid w:val="00617E16"/>
    <w:rsid w:val="00617E8F"/>
    <w:rsid w:val="00617EB7"/>
    <w:rsid w:val="00617F9E"/>
    <w:rsid w:val="00620010"/>
    <w:rsid w:val="00620053"/>
    <w:rsid w:val="0062009A"/>
    <w:rsid w:val="006200D8"/>
    <w:rsid w:val="006200E0"/>
    <w:rsid w:val="00620196"/>
    <w:rsid w:val="006201F0"/>
    <w:rsid w:val="00620213"/>
    <w:rsid w:val="00620218"/>
    <w:rsid w:val="006203D2"/>
    <w:rsid w:val="00620422"/>
    <w:rsid w:val="00620465"/>
    <w:rsid w:val="006204AC"/>
    <w:rsid w:val="0062055B"/>
    <w:rsid w:val="0062057C"/>
    <w:rsid w:val="00620660"/>
    <w:rsid w:val="006206C8"/>
    <w:rsid w:val="0062079A"/>
    <w:rsid w:val="006207A5"/>
    <w:rsid w:val="006207DF"/>
    <w:rsid w:val="006207F0"/>
    <w:rsid w:val="00620815"/>
    <w:rsid w:val="0062083F"/>
    <w:rsid w:val="00620899"/>
    <w:rsid w:val="00620A41"/>
    <w:rsid w:val="00620A50"/>
    <w:rsid w:val="00620A7E"/>
    <w:rsid w:val="00620B16"/>
    <w:rsid w:val="00620BB1"/>
    <w:rsid w:val="00620BF3"/>
    <w:rsid w:val="00620C0B"/>
    <w:rsid w:val="00620C2B"/>
    <w:rsid w:val="00620C2C"/>
    <w:rsid w:val="00620C55"/>
    <w:rsid w:val="00620D33"/>
    <w:rsid w:val="00620EBD"/>
    <w:rsid w:val="00620F63"/>
    <w:rsid w:val="00620F87"/>
    <w:rsid w:val="00620FA0"/>
    <w:rsid w:val="00620FAC"/>
    <w:rsid w:val="00621046"/>
    <w:rsid w:val="0062107B"/>
    <w:rsid w:val="00621098"/>
    <w:rsid w:val="00621145"/>
    <w:rsid w:val="00621167"/>
    <w:rsid w:val="00621232"/>
    <w:rsid w:val="0062140C"/>
    <w:rsid w:val="0062141F"/>
    <w:rsid w:val="0062152D"/>
    <w:rsid w:val="006215CC"/>
    <w:rsid w:val="0062161A"/>
    <w:rsid w:val="0062165B"/>
    <w:rsid w:val="00621661"/>
    <w:rsid w:val="00621717"/>
    <w:rsid w:val="006217AD"/>
    <w:rsid w:val="006217E1"/>
    <w:rsid w:val="00621869"/>
    <w:rsid w:val="006218F6"/>
    <w:rsid w:val="00621903"/>
    <w:rsid w:val="00621909"/>
    <w:rsid w:val="00621A2D"/>
    <w:rsid w:val="00621A9F"/>
    <w:rsid w:val="00621B5F"/>
    <w:rsid w:val="00621B85"/>
    <w:rsid w:val="00621C38"/>
    <w:rsid w:val="00621D46"/>
    <w:rsid w:val="00621E15"/>
    <w:rsid w:val="00621E2D"/>
    <w:rsid w:val="00621E57"/>
    <w:rsid w:val="00621E73"/>
    <w:rsid w:val="00621F43"/>
    <w:rsid w:val="006220BE"/>
    <w:rsid w:val="006221CC"/>
    <w:rsid w:val="006221FD"/>
    <w:rsid w:val="0062224C"/>
    <w:rsid w:val="006222A9"/>
    <w:rsid w:val="006222BD"/>
    <w:rsid w:val="006222E7"/>
    <w:rsid w:val="00622326"/>
    <w:rsid w:val="0062243F"/>
    <w:rsid w:val="006224D0"/>
    <w:rsid w:val="006224E3"/>
    <w:rsid w:val="0062276F"/>
    <w:rsid w:val="006227A0"/>
    <w:rsid w:val="006227B7"/>
    <w:rsid w:val="00622919"/>
    <w:rsid w:val="0062291D"/>
    <w:rsid w:val="0062298D"/>
    <w:rsid w:val="00622998"/>
    <w:rsid w:val="006229A5"/>
    <w:rsid w:val="006229DF"/>
    <w:rsid w:val="006229E5"/>
    <w:rsid w:val="00622A23"/>
    <w:rsid w:val="00622A79"/>
    <w:rsid w:val="00622C59"/>
    <w:rsid w:val="00622C5B"/>
    <w:rsid w:val="00622CDB"/>
    <w:rsid w:val="00622D28"/>
    <w:rsid w:val="00622D30"/>
    <w:rsid w:val="00622D57"/>
    <w:rsid w:val="00622E28"/>
    <w:rsid w:val="00622E86"/>
    <w:rsid w:val="00622EA1"/>
    <w:rsid w:val="00622EA2"/>
    <w:rsid w:val="00622F2F"/>
    <w:rsid w:val="006230FA"/>
    <w:rsid w:val="006230FB"/>
    <w:rsid w:val="00623138"/>
    <w:rsid w:val="00623244"/>
    <w:rsid w:val="00623302"/>
    <w:rsid w:val="0062334B"/>
    <w:rsid w:val="0062338C"/>
    <w:rsid w:val="0062341C"/>
    <w:rsid w:val="0062345D"/>
    <w:rsid w:val="00623576"/>
    <w:rsid w:val="006235E2"/>
    <w:rsid w:val="00623673"/>
    <w:rsid w:val="006236E2"/>
    <w:rsid w:val="0062372A"/>
    <w:rsid w:val="006237A2"/>
    <w:rsid w:val="00623913"/>
    <w:rsid w:val="00623937"/>
    <w:rsid w:val="0062397D"/>
    <w:rsid w:val="00623986"/>
    <w:rsid w:val="006239A1"/>
    <w:rsid w:val="006239AF"/>
    <w:rsid w:val="006239B3"/>
    <w:rsid w:val="006239C0"/>
    <w:rsid w:val="00623A41"/>
    <w:rsid w:val="00623A63"/>
    <w:rsid w:val="00623A69"/>
    <w:rsid w:val="00623A7C"/>
    <w:rsid w:val="00623A8C"/>
    <w:rsid w:val="00623B43"/>
    <w:rsid w:val="00623C32"/>
    <w:rsid w:val="00623C42"/>
    <w:rsid w:val="00623C4B"/>
    <w:rsid w:val="00623CC0"/>
    <w:rsid w:val="00623D5A"/>
    <w:rsid w:val="00623D63"/>
    <w:rsid w:val="00623DDC"/>
    <w:rsid w:val="00623E16"/>
    <w:rsid w:val="00623ECD"/>
    <w:rsid w:val="00623F27"/>
    <w:rsid w:val="00623F6E"/>
    <w:rsid w:val="0062417C"/>
    <w:rsid w:val="006241AE"/>
    <w:rsid w:val="00624246"/>
    <w:rsid w:val="00624259"/>
    <w:rsid w:val="0062428E"/>
    <w:rsid w:val="0062436D"/>
    <w:rsid w:val="00624407"/>
    <w:rsid w:val="0062441B"/>
    <w:rsid w:val="00624429"/>
    <w:rsid w:val="006244BD"/>
    <w:rsid w:val="006245DB"/>
    <w:rsid w:val="006246ED"/>
    <w:rsid w:val="00624714"/>
    <w:rsid w:val="006248F5"/>
    <w:rsid w:val="0062496D"/>
    <w:rsid w:val="00624A24"/>
    <w:rsid w:val="00624A37"/>
    <w:rsid w:val="00624AB7"/>
    <w:rsid w:val="00624B15"/>
    <w:rsid w:val="00624C05"/>
    <w:rsid w:val="00624C19"/>
    <w:rsid w:val="00624CB3"/>
    <w:rsid w:val="00624D5F"/>
    <w:rsid w:val="00624DD1"/>
    <w:rsid w:val="00624EB1"/>
    <w:rsid w:val="00624ED0"/>
    <w:rsid w:val="00624F09"/>
    <w:rsid w:val="00624F3A"/>
    <w:rsid w:val="00624F47"/>
    <w:rsid w:val="00624FB7"/>
    <w:rsid w:val="006250BC"/>
    <w:rsid w:val="0062514F"/>
    <w:rsid w:val="00625168"/>
    <w:rsid w:val="006251E3"/>
    <w:rsid w:val="0062523A"/>
    <w:rsid w:val="00625257"/>
    <w:rsid w:val="0062527D"/>
    <w:rsid w:val="00625301"/>
    <w:rsid w:val="00625374"/>
    <w:rsid w:val="0062542F"/>
    <w:rsid w:val="0062544A"/>
    <w:rsid w:val="00625481"/>
    <w:rsid w:val="006254FD"/>
    <w:rsid w:val="0062555E"/>
    <w:rsid w:val="0062556C"/>
    <w:rsid w:val="006255EC"/>
    <w:rsid w:val="00625604"/>
    <w:rsid w:val="006256CF"/>
    <w:rsid w:val="0062572C"/>
    <w:rsid w:val="00625826"/>
    <w:rsid w:val="00625829"/>
    <w:rsid w:val="00625859"/>
    <w:rsid w:val="00625894"/>
    <w:rsid w:val="006259A0"/>
    <w:rsid w:val="006259D2"/>
    <w:rsid w:val="006259F6"/>
    <w:rsid w:val="006259FD"/>
    <w:rsid w:val="00625A28"/>
    <w:rsid w:val="00625A6A"/>
    <w:rsid w:val="00625ADC"/>
    <w:rsid w:val="00625C3D"/>
    <w:rsid w:val="00625C8A"/>
    <w:rsid w:val="00625D2F"/>
    <w:rsid w:val="00625DB3"/>
    <w:rsid w:val="00625E2E"/>
    <w:rsid w:val="00625E41"/>
    <w:rsid w:val="00625E4F"/>
    <w:rsid w:val="00625ED3"/>
    <w:rsid w:val="00625EED"/>
    <w:rsid w:val="00625EEF"/>
    <w:rsid w:val="0062601B"/>
    <w:rsid w:val="0062607D"/>
    <w:rsid w:val="00626093"/>
    <w:rsid w:val="0062611C"/>
    <w:rsid w:val="006261B5"/>
    <w:rsid w:val="006261F9"/>
    <w:rsid w:val="00626214"/>
    <w:rsid w:val="00626317"/>
    <w:rsid w:val="006263D3"/>
    <w:rsid w:val="006264E0"/>
    <w:rsid w:val="00626588"/>
    <w:rsid w:val="006265B3"/>
    <w:rsid w:val="006266B3"/>
    <w:rsid w:val="00626722"/>
    <w:rsid w:val="0062678B"/>
    <w:rsid w:val="006267C9"/>
    <w:rsid w:val="00626863"/>
    <w:rsid w:val="006269EB"/>
    <w:rsid w:val="00626AA2"/>
    <w:rsid w:val="00626AF3"/>
    <w:rsid w:val="00626BC0"/>
    <w:rsid w:val="00626C27"/>
    <w:rsid w:val="00626C8C"/>
    <w:rsid w:val="00626D07"/>
    <w:rsid w:val="00626D36"/>
    <w:rsid w:val="00626D44"/>
    <w:rsid w:val="00626D5D"/>
    <w:rsid w:val="00626DFC"/>
    <w:rsid w:val="00626E1F"/>
    <w:rsid w:val="00626E65"/>
    <w:rsid w:val="00626F2D"/>
    <w:rsid w:val="00626F37"/>
    <w:rsid w:val="00626F44"/>
    <w:rsid w:val="00626FF6"/>
    <w:rsid w:val="0062701B"/>
    <w:rsid w:val="00627212"/>
    <w:rsid w:val="00627306"/>
    <w:rsid w:val="006273CB"/>
    <w:rsid w:val="0062741C"/>
    <w:rsid w:val="006274CE"/>
    <w:rsid w:val="00627575"/>
    <w:rsid w:val="00627607"/>
    <w:rsid w:val="006277CC"/>
    <w:rsid w:val="006277DB"/>
    <w:rsid w:val="00627899"/>
    <w:rsid w:val="00627977"/>
    <w:rsid w:val="00627A9F"/>
    <w:rsid w:val="00627ABC"/>
    <w:rsid w:val="00627AF4"/>
    <w:rsid w:val="00627B4D"/>
    <w:rsid w:val="00627C3A"/>
    <w:rsid w:val="00627C5F"/>
    <w:rsid w:val="00627D9E"/>
    <w:rsid w:val="00627DE4"/>
    <w:rsid w:val="00627E37"/>
    <w:rsid w:val="00627E46"/>
    <w:rsid w:val="00627EF3"/>
    <w:rsid w:val="00627EFE"/>
    <w:rsid w:val="00627F3F"/>
    <w:rsid w:val="00627FC7"/>
    <w:rsid w:val="00627FED"/>
    <w:rsid w:val="0063001C"/>
    <w:rsid w:val="0063004C"/>
    <w:rsid w:val="00630151"/>
    <w:rsid w:val="0063015B"/>
    <w:rsid w:val="00630175"/>
    <w:rsid w:val="006301B4"/>
    <w:rsid w:val="00630243"/>
    <w:rsid w:val="00630269"/>
    <w:rsid w:val="0063026A"/>
    <w:rsid w:val="006303E9"/>
    <w:rsid w:val="006303F0"/>
    <w:rsid w:val="006304EF"/>
    <w:rsid w:val="0063050A"/>
    <w:rsid w:val="0063051D"/>
    <w:rsid w:val="00630584"/>
    <w:rsid w:val="0063058E"/>
    <w:rsid w:val="00630649"/>
    <w:rsid w:val="0063069C"/>
    <w:rsid w:val="006306B9"/>
    <w:rsid w:val="006306CF"/>
    <w:rsid w:val="00630711"/>
    <w:rsid w:val="00630736"/>
    <w:rsid w:val="0063086F"/>
    <w:rsid w:val="00630942"/>
    <w:rsid w:val="0063096C"/>
    <w:rsid w:val="0063097F"/>
    <w:rsid w:val="006309BF"/>
    <w:rsid w:val="006309F4"/>
    <w:rsid w:val="00630A33"/>
    <w:rsid w:val="00630A3E"/>
    <w:rsid w:val="00630A53"/>
    <w:rsid w:val="00630B03"/>
    <w:rsid w:val="00630B32"/>
    <w:rsid w:val="00630B37"/>
    <w:rsid w:val="00630BD8"/>
    <w:rsid w:val="00630BE4"/>
    <w:rsid w:val="00630C84"/>
    <w:rsid w:val="00630CB1"/>
    <w:rsid w:val="00630DAB"/>
    <w:rsid w:val="00630E04"/>
    <w:rsid w:val="00630E3B"/>
    <w:rsid w:val="00630EB5"/>
    <w:rsid w:val="00630F61"/>
    <w:rsid w:val="00630F7D"/>
    <w:rsid w:val="00630FB3"/>
    <w:rsid w:val="006310BD"/>
    <w:rsid w:val="00631220"/>
    <w:rsid w:val="00631294"/>
    <w:rsid w:val="006312E9"/>
    <w:rsid w:val="0063131F"/>
    <w:rsid w:val="0063138C"/>
    <w:rsid w:val="006313ED"/>
    <w:rsid w:val="00631440"/>
    <w:rsid w:val="00631515"/>
    <w:rsid w:val="006315CE"/>
    <w:rsid w:val="006315D0"/>
    <w:rsid w:val="0063163F"/>
    <w:rsid w:val="00631668"/>
    <w:rsid w:val="00631684"/>
    <w:rsid w:val="0063168B"/>
    <w:rsid w:val="0063171E"/>
    <w:rsid w:val="0063174C"/>
    <w:rsid w:val="00631844"/>
    <w:rsid w:val="0063191F"/>
    <w:rsid w:val="00631952"/>
    <w:rsid w:val="00631960"/>
    <w:rsid w:val="006319DA"/>
    <w:rsid w:val="00631A9B"/>
    <w:rsid w:val="00631B31"/>
    <w:rsid w:val="00631B69"/>
    <w:rsid w:val="00631C23"/>
    <w:rsid w:val="00631C7A"/>
    <w:rsid w:val="00631C7F"/>
    <w:rsid w:val="00631CA9"/>
    <w:rsid w:val="00631CD4"/>
    <w:rsid w:val="00631DB3"/>
    <w:rsid w:val="00631E3C"/>
    <w:rsid w:val="00631E46"/>
    <w:rsid w:val="00631EA8"/>
    <w:rsid w:val="00631EFF"/>
    <w:rsid w:val="00631F35"/>
    <w:rsid w:val="00631F77"/>
    <w:rsid w:val="00632011"/>
    <w:rsid w:val="00632018"/>
    <w:rsid w:val="00632171"/>
    <w:rsid w:val="006323CC"/>
    <w:rsid w:val="006324E3"/>
    <w:rsid w:val="00632582"/>
    <w:rsid w:val="006325AA"/>
    <w:rsid w:val="006325D1"/>
    <w:rsid w:val="00632826"/>
    <w:rsid w:val="006328A1"/>
    <w:rsid w:val="006328EF"/>
    <w:rsid w:val="00632907"/>
    <w:rsid w:val="006329AC"/>
    <w:rsid w:val="00632B0A"/>
    <w:rsid w:val="00632B32"/>
    <w:rsid w:val="00632B59"/>
    <w:rsid w:val="00632BA1"/>
    <w:rsid w:val="00632BF1"/>
    <w:rsid w:val="00632C3C"/>
    <w:rsid w:val="00632E66"/>
    <w:rsid w:val="00632EDC"/>
    <w:rsid w:val="00632FC5"/>
    <w:rsid w:val="006330C5"/>
    <w:rsid w:val="00633155"/>
    <w:rsid w:val="00633219"/>
    <w:rsid w:val="006332AC"/>
    <w:rsid w:val="0063335B"/>
    <w:rsid w:val="00633386"/>
    <w:rsid w:val="00633481"/>
    <w:rsid w:val="00633483"/>
    <w:rsid w:val="006334A3"/>
    <w:rsid w:val="00633592"/>
    <w:rsid w:val="006336C6"/>
    <w:rsid w:val="00633729"/>
    <w:rsid w:val="006337B2"/>
    <w:rsid w:val="006337CB"/>
    <w:rsid w:val="0063381A"/>
    <w:rsid w:val="006338EF"/>
    <w:rsid w:val="00633959"/>
    <w:rsid w:val="00633A7D"/>
    <w:rsid w:val="00633B55"/>
    <w:rsid w:val="00633C4D"/>
    <w:rsid w:val="00633C5B"/>
    <w:rsid w:val="00633CA6"/>
    <w:rsid w:val="00633D5D"/>
    <w:rsid w:val="00633E5F"/>
    <w:rsid w:val="00633FF9"/>
    <w:rsid w:val="006340AD"/>
    <w:rsid w:val="00634118"/>
    <w:rsid w:val="00634120"/>
    <w:rsid w:val="0063417A"/>
    <w:rsid w:val="006341B1"/>
    <w:rsid w:val="006341ED"/>
    <w:rsid w:val="006341EF"/>
    <w:rsid w:val="00634248"/>
    <w:rsid w:val="00634278"/>
    <w:rsid w:val="00634292"/>
    <w:rsid w:val="006343E6"/>
    <w:rsid w:val="00634466"/>
    <w:rsid w:val="00634535"/>
    <w:rsid w:val="00634630"/>
    <w:rsid w:val="0063463C"/>
    <w:rsid w:val="00634651"/>
    <w:rsid w:val="006346AA"/>
    <w:rsid w:val="00634725"/>
    <w:rsid w:val="006347AA"/>
    <w:rsid w:val="006347DB"/>
    <w:rsid w:val="00634804"/>
    <w:rsid w:val="0063481F"/>
    <w:rsid w:val="00634830"/>
    <w:rsid w:val="00634837"/>
    <w:rsid w:val="006348AF"/>
    <w:rsid w:val="006348C2"/>
    <w:rsid w:val="006349C4"/>
    <w:rsid w:val="006349CD"/>
    <w:rsid w:val="00634A39"/>
    <w:rsid w:val="00634AB5"/>
    <w:rsid w:val="00634B69"/>
    <w:rsid w:val="00634B7E"/>
    <w:rsid w:val="00634BE4"/>
    <w:rsid w:val="00634D37"/>
    <w:rsid w:val="00634D59"/>
    <w:rsid w:val="00634DDC"/>
    <w:rsid w:val="00634DE3"/>
    <w:rsid w:val="00634DF9"/>
    <w:rsid w:val="00634E0E"/>
    <w:rsid w:val="00634E1F"/>
    <w:rsid w:val="00634E6F"/>
    <w:rsid w:val="00634F5B"/>
    <w:rsid w:val="00634F8A"/>
    <w:rsid w:val="00634FA4"/>
    <w:rsid w:val="00634FBE"/>
    <w:rsid w:val="006350B7"/>
    <w:rsid w:val="0063520F"/>
    <w:rsid w:val="00635227"/>
    <w:rsid w:val="00635284"/>
    <w:rsid w:val="00635328"/>
    <w:rsid w:val="006353C8"/>
    <w:rsid w:val="006353D2"/>
    <w:rsid w:val="006353E5"/>
    <w:rsid w:val="0063545A"/>
    <w:rsid w:val="00635488"/>
    <w:rsid w:val="00635537"/>
    <w:rsid w:val="0063553C"/>
    <w:rsid w:val="00635547"/>
    <w:rsid w:val="006355A4"/>
    <w:rsid w:val="00635630"/>
    <w:rsid w:val="0063565E"/>
    <w:rsid w:val="006356CF"/>
    <w:rsid w:val="0063571A"/>
    <w:rsid w:val="00635721"/>
    <w:rsid w:val="006357CF"/>
    <w:rsid w:val="006357D4"/>
    <w:rsid w:val="006357EF"/>
    <w:rsid w:val="006358EC"/>
    <w:rsid w:val="00635945"/>
    <w:rsid w:val="006359A2"/>
    <w:rsid w:val="006359DF"/>
    <w:rsid w:val="00635A2C"/>
    <w:rsid w:val="00635ADF"/>
    <w:rsid w:val="00635BD4"/>
    <w:rsid w:val="00635C97"/>
    <w:rsid w:val="00635CF8"/>
    <w:rsid w:val="00635F19"/>
    <w:rsid w:val="00635F2C"/>
    <w:rsid w:val="00635F2F"/>
    <w:rsid w:val="00635F67"/>
    <w:rsid w:val="00635F8A"/>
    <w:rsid w:val="00635FC6"/>
    <w:rsid w:val="00636043"/>
    <w:rsid w:val="00636103"/>
    <w:rsid w:val="0063613E"/>
    <w:rsid w:val="00636165"/>
    <w:rsid w:val="006361DB"/>
    <w:rsid w:val="0063625C"/>
    <w:rsid w:val="00636294"/>
    <w:rsid w:val="006362B3"/>
    <w:rsid w:val="006363CD"/>
    <w:rsid w:val="0063641E"/>
    <w:rsid w:val="00636496"/>
    <w:rsid w:val="00636550"/>
    <w:rsid w:val="0063659C"/>
    <w:rsid w:val="006365DD"/>
    <w:rsid w:val="0063672C"/>
    <w:rsid w:val="006367EC"/>
    <w:rsid w:val="006367EE"/>
    <w:rsid w:val="00636824"/>
    <w:rsid w:val="00636846"/>
    <w:rsid w:val="0063686C"/>
    <w:rsid w:val="0063690C"/>
    <w:rsid w:val="006369F6"/>
    <w:rsid w:val="00636A55"/>
    <w:rsid w:val="00636B0B"/>
    <w:rsid w:val="00636B36"/>
    <w:rsid w:val="00636BC5"/>
    <w:rsid w:val="00636C3C"/>
    <w:rsid w:val="00636D2F"/>
    <w:rsid w:val="00636DBF"/>
    <w:rsid w:val="00636E58"/>
    <w:rsid w:val="00636F38"/>
    <w:rsid w:val="00636F3C"/>
    <w:rsid w:val="00637040"/>
    <w:rsid w:val="00637054"/>
    <w:rsid w:val="0063706A"/>
    <w:rsid w:val="0063706F"/>
    <w:rsid w:val="00637098"/>
    <w:rsid w:val="006371C9"/>
    <w:rsid w:val="0063720A"/>
    <w:rsid w:val="00637216"/>
    <w:rsid w:val="0063727D"/>
    <w:rsid w:val="006372FB"/>
    <w:rsid w:val="0063730C"/>
    <w:rsid w:val="00637340"/>
    <w:rsid w:val="00637397"/>
    <w:rsid w:val="006373E3"/>
    <w:rsid w:val="0063748B"/>
    <w:rsid w:val="0063758C"/>
    <w:rsid w:val="00637621"/>
    <w:rsid w:val="00637676"/>
    <w:rsid w:val="00637792"/>
    <w:rsid w:val="0063782F"/>
    <w:rsid w:val="00637863"/>
    <w:rsid w:val="0063792F"/>
    <w:rsid w:val="00637965"/>
    <w:rsid w:val="00637AB2"/>
    <w:rsid w:val="00637AB3"/>
    <w:rsid w:val="00637BA4"/>
    <w:rsid w:val="00637BE3"/>
    <w:rsid w:val="00637CDE"/>
    <w:rsid w:val="00637D73"/>
    <w:rsid w:val="00637D89"/>
    <w:rsid w:val="00637DFC"/>
    <w:rsid w:val="00637E25"/>
    <w:rsid w:val="00637E78"/>
    <w:rsid w:val="00637F1E"/>
    <w:rsid w:val="00637F8A"/>
    <w:rsid w:val="00637FEB"/>
    <w:rsid w:val="00640028"/>
    <w:rsid w:val="00640042"/>
    <w:rsid w:val="006400FE"/>
    <w:rsid w:val="00640188"/>
    <w:rsid w:val="006402B8"/>
    <w:rsid w:val="006402C4"/>
    <w:rsid w:val="006402CA"/>
    <w:rsid w:val="0064035D"/>
    <w:rsid w:val="006403AA"/>
    <w:rsid w:val="006403D3"/>
    <w:rsid w:val="0064045D"/>
    <w:rsid w:val="00640495"/>
    <w:rsid w:val="006406D7"/>
    <w:rsid w:val="00640793"/>
    <w:rsid w:val="00640846"/>
    <w:rsid w:val="00640873"/>
    <w:rsid w:val="00640911"/>
    <w:rsid w:val="00640947"/>
    <w:rsid w:val="00640977"/>
    <w:rsid w:val="0064098D"/>
    <w:rsid w:val="00640A0B"/>
    <w:rsid w:val="00640A7D"/>
    <w:rsid w:val="00640AF6"/>
    <w:rsid w:val="00640BE5"/>
    <w:rsid w:val="00640BFC"/>
    <w:rsid w:val="00640C0D"/>
    <w:rsid w:val="00640C2C"/>
    <w:rsid w:val="00640C9A"/>
    <w:rsid w:val="00640EED"/>
    <w:rsid w:val="00640F64"/>
    <w:rsid w:val="00641019"/>
    <w:rsid w:val="00641144"/>
    <w:rsid w:val="00641228"/>
    <w:rsid w:val="006413B4"/>
    <w:rsid w:val="00641449"/>
    <w:rsid w:val="0064147B"/>
    <w:rsid w:val="00641489"/>
    <w:rsid w:val="006415E2"/>
    <w:rsid w:val="0064161D"/>
    <w:rsid w:val="0064161E"/>
    <w:rsid w:val="006416F7"/>
    <w:rsid w:val="00641749"/>
    <w:rsid w:val="0064184F"/>
    <w:rsid w:val="006418FC"/>
    <w:rsid w:val="0064197A"/>
    <w:rsid w:val="006419F0"/>
    <w:rsid w:val="00641B43"/>
    <w:rsid w:val="00641BC5"/>
    <w:rsid w:val="00641C29"/>
    <w:rsid w:val="00641D3E"/>
    <w:rsid w:val="00641DE8"/>
    <w:rsid w:val="00641EB5"/>
    <w:rsid w:val="00641ED0"/>
    <w:rsid w:val="00641ED8"/>
    <w:rsid w:val="00641F11"/>
    <w:rsid w:val="00641F3A"/>
    <w:rsid w:val="00641F7C"/>
    <w:rsid w:val="00641F88"/>
    <w:rsid w:val="0064205A"/>
    <w:rsid w:val="00642097"/>
    <w:rsid w:val="006421C1"/>
    <w:rsid w:val="006421E6"/>
    <w:rsid w:val="006422ED"/>
    <w:rsid w:val="0064239A"/>
    <w:rsid w:val="006423D4"/>
    <w:rsid w:val="0064246C"/>
    <w:rsid w:val="00642485"/>
    <w:rsid w:val="00642488"/>
    <w:rsid w:val="0064250C"/>
    <w:rsid w:val="0064253D"/>
    <w:rsid w:val="00642562"/>
    <w:rsid w:val="00642599"/>
    <w:rsid w:val="0064272D"/>
    <w:rsid w:val="0064272F"/>
    <w:rsid w:val="00642846"/>
    <w:rsid w:val="0064286C"/>
    <w:rsid w:val="0064287A"/>
    <w:rsid w:val="0064290A"/>
    <w:rsid w:val="00642992"/>
    <w:rsid w:val="006429A7"/>
    <w:rsid w:val="00642A8E"/>
    <w:rsid w:val="00642AD4"/>
    <w:rsid w:val="00642AD6"/>
    <w:rsid w:val="00642B8D"/>
    <w:rsid w:val="00642C5F"/>
    <w:rsid w:val="00642C67"/>
    <w:rsid w:val="00642C8B"/>
    <w:rsid w:val="00642CB4"/>
    <w:rsid w:val="00642D40"/>
    <w:rsid w:val="00642EFE"/>
    <w:rsid w:val="00642F0E"/>
    <w:rsid w:val="006430A3"/>
    <w:rsid w:val="006430D8"/>
    <w:rsid w:val="006430FE"/>
    <w:rsid w:val="006431C9"/>
    <w:rsid w:val="006431DE"/>
    <w:rsid w:val="006431E4"/>
    <w:rsid w:val="006431E9"/>
    <w:rsid w:val="00643267"/>
    <w:rsid w:val="006432D3"/>
    <w:rsid w:val="00643304"/>
    <w:rsid w:val="00643348"/>
    <w:rsid w:val="0064343F"/>
    <w:rsid w:val="006434B9"/>
    <w:rsid w:val="0064353B"/>
    <w:rsid w:val="00643607"/>
    <w:rsid w:val="00643647"/>
    <w:rsid w:val="0064370A"/>
    <w:rsid w:val="006437C1"/>
    <w:rsid w:val="0064382C"/>
    <w:rsid w:val="0064384D"/>
    <w:rsid w:val="0064387E"/>
    <w:rsid w:val="00643885"/>
    <w:rsid w:val="00643889"/>
    <w:rsid w:val="006438D4"/>
    <w:rsid w:val="006438EA"/>
    <w:rsid w:val="006438F5"/>
    <w:rsid w:val="00643931"/>
    <w:rsid w:val="00643950"/>
    <w:rsid w:val="00643984"/>
    <w:rsid w:val="00643A56"/>
    <w:rsid w:val="00643ACE"/>
    <w:rsid w:val="00643B2D"/>
    <w:rsid w:val="00643B4B"/>
    <w:rsid w:val="00643B8E"/>
    <w:rsid w:val="00643BD7"/>
    <w:rsid w:val="00643C3E"/>
    <w:rsid w:val="00643C78"/>
    <w:rsid w:val="00643CAE"/>
    <w:rsid w:val="00643D53"/>
    <w:rsid w:val="00643D8D"/>
    <w:rsid w:val="00643E7B"/>
    <w:rsid w:val="00643E9C"/>
    <w:rsid w:val="00643F1D"/>
    <w:rsid w:val="00643FCC"/>
    <w:rsid w:val="00644033"/>
    <w:rsid w:val="00644063"/>
    <w:rsid w:val="00644153"/>
    <w:rsid w:val="00644233"/>
    <w:rsid w:val="00644267"/>
    <w:rsid w:val="00644475"/>
    <w:rsid w:val="0064449A"/>
    <w:rsid w:val="00644507"/>
    <w:rsid w:val="00644519"/>
    <w:rsid w:val="00644541"/>
    <w:rsid w:val="00644552"/>
    <w:rsid w:val="006445B2"/>
    <w:rsid w:val="006445C2"/>
    <w:rsid w:val="006445CF"/>
    <w:rsid w:val="006445F3"/>
    <w:rsid w:val="00644606"/>
    <w:rsid w:val="00644625"/>
    <w:rsid w:val="00644660"/>
    <w:rsid w:val="006446E6"/>
    <w:rsid w:val="00644764"/>
    <w:rsid w:val="00644792"/>
    <w:rsid w:val="0064479C"/>
    <w:rsid w:val="00644802"/>
    <w:rsid w:val="00644831"/>
    <w:rsid w:val="00644971"/>
    <w:rsid w:val="006449C4"/>
    <w:rsid w:val="00644A38"/>
    <w:rsid w:val="00644A60"/>
    <w:rsid w:val="00644A9E"/>
    <w:rsid w:val="00644B8A"/>
    <w:rsid w:val="00644BA5"/>
    <w:rsid w:val="00644C31"/>
    <w:rsid w:val="00644CC6"/>
    <w:rsid w:val="00644D3C"/>
    <w:rsid w:val="00644D6D"/>
    <w:rsid w:val="00644F28"/>
    <w:rsid w:val="006450A3"/>
    <w:rsid w:val="00645154"/>
    <w:rsid w:val="0064516B"/>
    <w:rsid w:val="0064516C"/>
    <w:rsid w:val="006451EB"/>
    <w:rsid w:val="0064522E"/>
    <w:rsid w:val="00645246"/>
    <w:rsid w:val="0064525F"/>
    <w:rsid w:val="0064526A"/>
    <w:rsid w:val="00645578"/>
    <w:rsid w:val="0064566F"/>
    <w:rsid w:val="00645738"/>
    <w:rsid w:val="006457D8"/>
    <w:rsid w:val="006457DD"/>
    <w:rsid w:val="00645811"/>
    <w:rsid w:val="006458C1"/>
    <w:rsid w:val="006459DD"/>
    <w:rsid w:val="00645A9F"/>
    <w:rsid w:val="00645AA2"/>
    <w:rsid w:val="00645DA1"/>
    <w:rsid w:val="00645EDC"/>
    <w:rsid w:val="00645FC2"/>
    <w:rsid w:val="00646045"/>
    <w:rsid w:val="00646046"/>
    <w:rsid w:val="0064613D"/>
    <w:rsid w:val="0064625B"/>
    <w:rsid w:val="006462AE"/>
    <w:rsid w:val="00646416"/>
    <w:rsid w:val="00646476"/>
    <w:rsid w:val="0064648E"/>
    <w:rsid w:val="00646538"/>
    <w:rsid w:val="0064657E"/>
    <w:rsid w:val="006465C7"/>
    <w:rsid w:val="006465CE"/>
    <w:rsid w:val="006465DA"/>
    <w:rsid w:val="00646638"/>
    <w:rsid w:val="0064665F"/>
    <w:rsid w:val="006466A9"/>
    <w:rsid w:val="0064671C"/>
    <w:rsid w:val="0064693F"/>
    <w:rsid w:val="00646BB9"/>
    <w:rsid w:val="00646D04"/>
    <w:rsid w:val="00646D54"/>
    <w:rsid w:val="00646E0D"/>
    <w:rsid w:val="00646E36"/>
    <w:rsid w:val="00646EBB"/>
    <w:rsid w:val="00646EDB"/>
    <w:rsid w:val="00646F32"/>
    <w:rsid w:val="00646FE8"/>
    <w:rsid w:val="00647015"/>
    <w:rsid w:val="0064713C"/>
    <w:rsid w:val="00647166"/>
    <w:rsid w:val="0064717C"/>
    <w:rsid w:val="00647254"/>
    <w:rsid w:val="006472A8"/>
    <w:rsid w:val="006472C4"/>
    <w:rsid w:val="00647381"/>
    <w:rsid w:val="00647384"/>
    <w:rsid w:val="0064739B"/>
    <w:rsid w:val="00647433"/>
    <w:rsid w:val="006474B1"/>
    <w:rsid w:val="00647595"/>
    <w:rsid w:val="00647599"/>
    <w:rsid w:val="00647674"/>
    <w:rsid w:val="0064769D"/>
    <w:rsid w:val="0064770C"/>
    <w:rsid w:val="0064771F"/>
    <w:rsid w:val="006477D8"/>
    <w:rsid w:val="0064781A"/>
    <w:rsid w:val="0064785D"/>
    <w:rsid w:val="00647988"/>
    <w:rsid w:val="00647ABA"/>
    <w:rsid w:val="00647B6C"/>
    <w:rsid w:val="00647BEC"/>
    <w:rsid w:val="00647CD8"/>
    <w:rsid w:val="00647D90"/>
    <w:rsid w:val="00647E8B"/>
    <w:rsid w:val="00647F31"/>
    <w:rsid w:val="00647F44"/>
    <w:rsid w:val="00647FEA"/>
    <w:rsid w:val="00650021"/>
    <w:rsid w:val="00650030"/>
    <w:rsid w:val="0065006B"/>
    <w:rsid w:val="006501F4"/>
    <w:rsid w:val="00650266"/>
    <w:rsid w:val="0065039B"/>
    <w:rsid w:val="006504C3"/>
    <w:rsid w:val="006504D8"/>
    <w:rsid w:val="00650509"/>
    <w:rsid w:val="0065050F"/>
    <w:rsid w:val="006505A6"/>
    <w:rsid w:val="0065061D"/>
    <w:rsid w:val="006506E3"/>
    <w:rsid w:val="00650745"/>
    <w:rsid w:val="006508E7"/>
    <w:rsid w:val="00650920"/>
    <w:rsid w:val="00650928"/>
    <w:rsid w:val="006509C4"/>
    <w:rsid w:val="00650BB7"/>
    <w:rsid w:val="00650CAF"/>
    <w:rsid w:val="00650CC1"/>
    <w:rsid w:val="00650D4A"/>
    <w:rsid w:val="00650E09"/>
    <w:rsid w:val="00650E73"/>
    <w:rsid w:val="00650EF3"/>
    <w:rsid w:val="00651045"/>
    <w:rsid w:val="0065105B"/>
    <w:rsid w:val="0065106D"/>
    <w:rsid w:val="00651079"/>
    <w:rsid w:val="006510E4"/>
    <w:rsid w:val="006510EE"/>
    <w:rsid w:val="00651164"/>
    <w:rsid w:val="006511A9"/>
    <w:rsid w:val="006511D0"/>
    <w:rsid w:val="0065122C"/>
    <w:rsid w:val="006512D4"/>
    <w:rsid w:val="006512FF"/>
    <w:rsid w:val="006514A5"/>
    <w:rsid w:val="00651602"/>
    <w:rsid w:val="00651627"/>
    <w:rsid w:val="00651649"/>
    <w:rsid w:val="0065170D"/>
    <w:rsid w:val="006517B1"/>
    <w:rsid w:val="00651941"/>
    <w:rsid w:val="00651A0F"/>
    <w:rsid w:val="00651A53"/>
    <w:rsid w:val="00651B0C"/>
    <w:rsid w:val="00651B71"/>
    <w:rsid w:val="00651BB6"/>
    <w:rsid w:val="00651BC1"/>
    <w:rsid w:val="00651C42"/>
    <w:rsid w:val="00651CCA"/>
    <w:rsid w:val="00651CFF"/>
    <w:rsid w:val="00651E05"/>
    <w:rsid w:val="00651E08"/>
    <w:rsid w:val="00651E6F"/>
    <w:rsid w:val="00651E85"/>
    <w:rsid w:val="0065202A"/>
    <w:rsid w:val="00652031"/>
    <w:rsid w:val="006520CC"/>
    <w:rsid w:val="0065221C"/>
    <w:rsid w:val="00652270"/>
    <w:rsid w:val="006522BD"/>
    <w:rsid w:val="006522D6"/>
    <w:rsid w:val="00652388"/>
    <w:rsid w:val="00652403"/>
    <w:rsid w:val="00652435"/>
    <w:rsid w:val="006524EE"/>
    <w:rsid w:val="00652542"/>
    <w:rsid w:val="00652671"/>
    <w:rsid w:val="0065281D"/>
    <w:rsid w:val="0065288A"/>
    <w:rsid w:val="006528FD"/>
    <w:rsid w:val="00652953"/>
    <w:rsid w:val="00652956"/>
    <w:rsid w:val="00652966"/>
    <w:rsid w:val="006529B3"/>
    <w:rsid w:val="006529BA"/>
    <w:rsid w:val="00652A65"/>
    <w:rsid w:val="00652B33"/>
    <w:rsid w:val="00652C15"/>
    <w:rsid w:val="00652D2D"/>
    <w:rsid w:val="00652DCB"/>
    <w:rsid w:val="00652EBD"/>
    <w:rsid w:val="00652F0D"/>
    <w:rsid w:val="00653013"/>
    <w:rsid w:val="00653109"/>
    <w:rsid w:val="00653126"/>
    <w:rsid w:val="00653135"/>
    <w:rsid w:val="00653148"/>
    <w:rsid w:val="00653198"/>
    <w:rsid w:val="006531F4"/>
    <w:rsid w:val="006531FA"/>
    <w:rsid w:val="00653202"/>
    <w:rsid w:val="00653248"/>
    <w:rsid w:val="0065329F"/>
    <w:rsid w:val="006532A1"/>
    <w:rsid w:val="006533AE"/>
    <w:rsid w:val="00653424"/>
    <w:rsid w:val="00653480"/>
    <w:rsid w:val="0065348A"/>
    <w:rsid w:val="00653549"/>
    <w:rsid w:val="0065354B"/>
    <w:rsid w:val="0065355A"/>
    <w:rsid w:val="0065357E"/>
    <w:rsid w:val="0065359B"/>
    <w:rsid w:val="00653679"/>
    <w:rsid w:val="006536B0"/>
    <w:rsid w:val="0065370F"/>
    <w:rsid w:val="00653754"/>
    <w:rsid w:val="006537B3"/>
    <w:rsid w:val="006537CA"/>
    <w:rsid w:val="006537EA"/>
    <w:rsid w:val="00653841"/>
    <w:rsid w:val="00653847"/>
    <w:rsid w:val="00653912"/>
    <w:rsid w:val="006539E5"/>
    <w:rsid w:val="00653A99"/>
    <w:rsid w:val="00653C55"/>
    <w:rsid w:val="00653C6E"/>
    <w:rsid w:val="00653D2B"/>
    <w:rsid w:val="00653D41"/>
    <w:rsid w:val="00653DAE"/>
    <w:rsid w:val="00653DB5"/>
    <w:rsid w:val="00653DDF"/>
    <w:rsid w:val="00653F16"/>
    <w:rsid w:val="00653FE2"/>
    <w:rsid w:val="00654043"/>
    <w:rsid w:val="00654086"/>
    <w:rsid w:val="0065411D"/>
    <w:rsid w:val="006541C8"/>
    <w:rsid w:val="006541F8"/>
    <w:rsid w:val="006542FB"/>
    <w:rsid w:val="0065431D"/>
    <w:rsid w:val="0065447A"/>
    <w:rsid w:val="0065449E"/>
    <w:rsid w:val="006544ED"/>
    <w:rsid w:val="00654520"/>
    <w:rsid w:val="00654521"/>
    <w:rsid w:val="006546C0"/>
    <w:rsid w:val="006546CD"/>
    <w:rsid w:val="006546DF"/>
    <w:rsid w:val="0065478A"/>
    <w:rsid w:val="0065485E"/>
    <w:rsid w:val="00654868"/>
    <w:rsid w:val="006548C3"/>
    <w:rsid w:val="00654A24"/>
    <w:rsid w:val="00654AA2"/>
    <w:rsid w:val="00654B61"/>
    <w:rsid w:val="00654B8A"/>
    <w:rsid w:val="00654B97"/>
    <w:rsid w:val="00654C20"/>
    <w:rsid w:val="00654CFC"/>
    <w:rsid w:val="00654D55"/>
    <w:rsid w:val="00654E7A"/>
    <w:rsid w:val="00654F26"/>
    <w:rsid w:val="00655024"/>
    <w:rsid w:val="00655040"/>
    <w:rsid w:val="006550DD"/>
    <w:rsid w:val="0065535F"/>
    <w:rsid w:val="006553AF"/>
    <w:rsid w:val="00655488"/>
    <w:rsid w:val="00655529"/>
    <w:rsid w:val="00655614"/>
    <w:rsid w:val="00655703"/>
    <w:rsid w:val="00655730"/>
    <w:rsid w:val="0065574C"/>
    <w:rsid w:val="006557B1"/>
    <w:rsid w:val="0065583D"/>
    <w:rsid w:val="0065583F"/>
    <w:rsid w:val="00655847"/>
    <w:rsid w:val="00655848"/>
    <w:rsid w:val="00655885"/>
    <w:rsid w:val="006559E3"/>
    <w:rsid w:val="00655BA9"/>
    <w:rsid w:val="00655D29"/>
    <w:rsid w:val="00655D8C"/>
    <w:rsid w:val="00655DD2"/>
    <w:rsid w:val="00655E07"/>
    <w:rsid w:val="00655E27"/>
    <w:rsid w:val="00655E32"/>
    <w:rsid w:val="00655E7A"/>
    <w:rsid w:val="00655E8C"/>
    <w:rsid w:val="00655E92"/>
    <w:rsid w:val="00655FD8"/>
    <w:rsid w:val="00655FE1"/>
    <w:rsid w:val="00655FEC"/>
    <w:rsid w:val="006560A8"/>
    <w:rsid w:val="0065615B"/>
    <w:rsid w:val="006561A4"/>
    <w:rsid w:val="006562CF"/>
    <w:rsid w:val="006562E6"/>
    <w:rsid w:val="00656357"/>
    <w:rsid w:val="0065638B"/>
    <w:rsid w:val="0065638F"/>
    <w:rsid w:val="006563A8"/>
    <w:rsid w:val="006563CC"/>
    <w:rsid w:val="006563D7"/>
    <w:rsid w:val="0065642D"/>
    <w:rsid w:val="006564C7"/>
    <w:rsid w:val="0065669C"/>
    <w:rsid w:val="006567EE"/>
    <w:rsid w:val="006568AA"/>
    <w:rsid w:val="00656AB1"/>
    <w:rsid w:val="00656B6A"/>
    <w:rsid w:val="00656BDB"/>
    <w:rsid w:val="00656BFF"/>
    <w:rsid w:val="00656CA1"/>
    <w:rsid w:val="00656CFD"/>
    <w:rsid w:val="00656DF3"/>
    <w:rsid w:val="00656E64"/>
    <w:rsid w:val="00656F9E"/>
    <w:rsid w:val="00657028"/>
    <w:rsid w:val="006570CA"/>
    <w:rsid w:val="006570F6"/>
    <w:rsid w:val="0065712D"/>
    <w:rsid w:val="00657143"/>
    <w:rsid w:val="00657268"/>
    <w:rsid w:val="00657281"/>
    <w:rsid w:val="006572F3"/>
    <w:rsid w:val="006572FE"/>
    <w:rsid w:val="006575F1"/>
    <w:rsid w:val="0065760F"/>
    <w:rsid w:val="00657685"/>
    <w:rsid w:val="006576A7"/>
    <w:rsid w:val="006576F8"/>
    <w:rsid w:val="0065779F"/>
    <w:rsid w:val="006577D6"/>
    <w:rsid w:val="00657848"/>
    <w:rsid w:val="006578A2"/>
    <w:rsid w:val="006578AB"/>
    <w:rsid w:val="0065798F"/>
    <w:rsid w:val="00657A83"/>
    <w:rsid w:val="00657AF9"/>
    <w:rsid w:val="00657BCE"/>
    <w:rsid w:val="00657BF7"/>
    <w:rsid w:val="00657BFF"/>
    <w:rsid w:val="00657C5E"/>
    <w:rsid w:val="00657CB6"/>
    <w:rsid w:val="00657D36"/>
    <w:rsid w:val="00657D4C"/>
    <w:rsid w:val="00657DAC"/>
    <w:rsid w:val="00657DEE"/>
    <w:rsid w:val="00657EF8"/>
    <w:rsid w:val="00657EFA"/>
    <w:rsid w:val="00657F0A"/>
    <w:rsid w:val="00657F26"/>
    <w:rsid w:val="00657F4D"/>
    <w:rsid w:val="00657F7E"/>
    <w:rsid w:val="00657FF6"/>
    <w:rsid w:val="00660074"/>
    <w:rsid w:val="006600AA"/>
    <w:rsid w:val="006600C5"/>
    <w:rsid w:val="006600F7"/>
    <w:rsid w:val="0066010F"/>
    <w:rsid w:val="00660196"/>
    <w:rsid w:val="00660210"/>
    <w:rsid w:val="00660229"/>
    <w:rsid w:val="006602BF"/>
    <w:rsid w:val="006602CD"/>
    <w:rsid w:val="006603E0"/>
    <w:rsid w:val="006603F4"/>
    <w:rsid w:val="006603FE"/>
    <w:rsid w:val="0066041B"/>
    <w:rsid w:val="00660705"/>
    <w:rsid w:val="00660869"/>
    <w:rsid w:val="0066088A"/>
    <w:rsid w:val="006608B2"/>
    <w:rsid w:val="006608EC"/>
    <w:rsid w:val="0066092F"/>
    <w:rsid w:val="00660A23"/>
    <w:rsid w:val="00660AE0"/>
    <w:rsid w:val="00660B2A"/>
    <w:rsid w:val="00660B40"/>
    <w:rsid w:val="00660BAD"/>
    <w:rsid w:val="00660BB9"/>
    <w:rsid w:val="00660D04"/>
    <w:rsid w:val="00660D43"/>
    <w:rsid w:val="00660D83"/>
    <w:rsid w:val="00660ECA"/>
    <w:rsid w:val="00660F3F"/>
    <w:rsid w:val="00661046"/>
    <w:rsid w:val="0066110E"/>
    <w:rsid w:val="00661158"/>
    <w:rsid w:val="00661198"/>
    <w:rsid w:val="006611EB"/>
    <w:rsid w:val="006611FB"/>
    <w:rsid w:val="00661240"/>
    <w:rsid w:val="00661252"/>
    <w:rsid w:val="006612F1"/>
    <w:rsid w:val="006613B3"/>
    <w:rsid w:val="006613DE"/>
    <w:rsid w:val="006613E4"/>
    <w:rsid w:val="0066141F"/>
    <w:rsid w:val="00661435"/>
    <w:rsid w:val="006614CB"/>
    <w:rsid w:val="0066153C"/>
    <w:rsid w:val="006615DD"/>
    <w:rsid w:val="00661623"/>
    <w:rsid w:val="00661645"/>
    <w:rsid w:val="006616D0"/>
    <w:rsid w:val="00661726"/>
    <w:rsid w:val="00661836"/>
    <w:rsid w:val="00661843"/>
    <w:rsid w:val="006618A9"/>
    <w:rsid w:val="006618BB"/>
    <w:rsid w:val="006619C7"/>
    <w:rsid w:val="006619EA"/>
    <w:rsid w:val="006619EC"/>
    <w:rsid w:val="00661B09"/>
    <w:rsid w:val="00661BB2"/>
    <w:rsid w:val="00661D0D"/>
    <w:rsid w:val="00661D17"/>
    <w:rsid w:val="00661D48"/>
    <w:rsid w:val="00661E42"/>
    <w:rsid w:val="00661EA2"/>
    <w:rsid w:val="00662096"/>
    <w:rsid w:val="00662192"/>
    <w:rsid w:val="006621A2"/>
    <w:rsid w:val="00662256"/>
    <w:rsid w:val="006622DF"/>
    <w:rsid w:val="006622F6"/>
    <w:rsid w:val="0066237F"/>
    <w:rsid w:val="00662418"/>
    <w:rsid w:val="0066255B"/>
    <w:rsid w:val="0066262B"/>
    <w:rsid w:val="0066272E"/>
    <w:rsid w:val="00662735"/>
    <w:rsid w:val="00662804"/>
    <w:rsid w:val="00662861"/>
    <w:rsid w:val="00662867"/>
    <w:rsid w:val="00662885"/>
    <w:rsid w:val="00662910"/>
    <w:rsid w:val="00662A06"/>
    <w:rsid w:val="00662A26"/>
    <w:rsid w:val="00662B5A"/>
    <w:rsid w:val="00662BBE"/>
    <w:rsid w:val="00662BE8"/>
    <w:rsid w:val="00662C19"/>
    <w:rsid w:val="00662C48"/>
    <w:rsid w:val="00662D5C"/>
    <w:rsid w:val="00662D91"/>
    <w:rsid w:val="00662E2B"/>
    <w:rsid w:val="00662E45"/>
    <w:rsid w:val="00662F04"/>
    <w:rsid w:val="00662F76"/>
    <w:rsid w:val="00662FA6"/>
    <w:rsid w:val="00663167"/>
    <w:rsid w:val="006631A9"/>
    <w:rsid w:val="006631B5"/>
    <w:rsid w:val="0066322B"/>
    <w:rsid w:val="00663235"/>
    <w:rsid w:val="0066324A"/>
    <w:rsid w:val="0066334B"/>
    <w:rsid w:val="00663486"/>
    <w:rsid w:val="006634D4"/>
    <w:rsid w:val="0066363C"/>
    <w:rsid w:val="0066393D"/>
    <w:rsid w:val="006639B6"/>
    <w:rsid w:val="00663E38"/>
    <w:rsid w:val="00663E54"/>
    <w:rsid w:val="00663EBB"/>
    <w:rsid w:val="0066400E"/>
    <w:rsid w:val="00664049"/>
    <w:rsid w:val="00664092"/>
    <w:rsid w:val="006640FB"/>
    <w:rsid w:val="0066429F"/>
    <w:rsid w:val="006642BA"/>
    <w:rsid w:val="006642BC"/>
    <w:rsid w:val="006642F0"/>
    <w:rsid w:val="00664336"/>
    <w:rsid w:val="00664353"/>
    <w:rsid w:val="0066435C"/>
    <w:rsid w:val="00664419"/>
    <w:rsid w:val="00664435"/>
    <w:rsid w:val="0066445A"/>
    <w:rsid w:val="006644A5"/>
    <w:rsid w:val="006644D5"/>
    <w:rsid w:val="0066459F"/>
    <w:rsid w:val="006645A3"/>
    <w:rsid w:val="0066460B"/>
    <w:rsid w:val="00664713"/>
    <w:rsid w:val="0066476C"/>
    <w:rsid w:val="006648D5"/>
    <w:rsid w:val="00664921"/>
    <w:rsid w:val="00664A98"/>
    <w:rsid w:val="00664B0E"/>
    <w:rsid w:val="00664BE9"/>
    <w:rsid w:val="00664CA7"/>
    <w:rsid w:val="00664DD2"/>
    <w:rsid w:val="00664DED"/>
    <w:rsid w:val="00664E9B"/>
    <w:rsid w:val="00664F1B"/>
    <w:rsid w:val="00664F7D"/>
    <w:rsid w:val="006650DB"/>
    <w:rsid w:val="006651AF"/>
    <w:rsid w:val="006651C3"/>
    <w:rsid w:val="006652AE"/>
    <w:rsid w:val="006652F1"/>
    <w:rsid w:val="00665341"/>
    <w:rsid w:val="0066548F"/>
    <w:rsid w:val="00665611"/>
    <w:rsid w:val="00665653"/>
    <w:rsid w:val="0066572E"/>
    <w:rsid w:val="006658F1"/>
    <w:rsid w:val="0066596A"/>
    <w:rsid w:val="006659D5"/>
    <w:rsid w:val="00665A4B"/>
    <w:rsid w:val="00665A78"/>
    <w:rsid w:val="00665ABD"/>
    <w:rsid w:val="00665C14"/>
    <w:rsid w:val="00665C26"/>
    <w:rsid w:val="00665D4A"/>
    <w:rsid w:val="00665D8D"/>
    <w:rsid w:val="00665DB4"/>
    <w:rsid w:val="00665DC9"/>
    <w:rsid w:val="00665E2B"/>
    <w:rsid w:val="00665E43"/>
    <w:rsid w:val="00665EC3"/>
    <w:rsid w:val="00665F20"/>
    <w:rsid w:val="00665F92"/>
    <w:rsid w:val="00665FE2"/>
    <w:rsid w:val="00665FFE"/>
    <w:rsid w:val="00666198"/>
    <w:rsid w:val="00666226"/>
    <w:rsid w:val="00666253"/>
    <w:rsid w:val="006662B8"/>
    <w:rsid w:val="0066633C"/>
    <w:rsid w:val="00666347"/>
    <w:rsid w:val="00666411"/>
    <w:rsid w:val="0066642C"/>
    <w:rsid w:val="006664B9"/>
    <w:rsid w:val="00666559"/>
    <w:rsid w:val="006666B3"/>
    <w:rsid w:val="0066671F"/>
    <w:rsid w:val="00666772"/>
    <w:rsid w:val="00666788"/>
    <w:rsid w:val="00666993"/>
    <w:rsid w:val="006669B2"/>
    <w:rsid w:val="006669C5"/>
    <w:rsid w:val="006669D3"/>
    <w:rsid w:val="00666A90"/>
    <w:rsid w:val="00666B0B"/>
    <w:rsid w:val="00666B57"/>
    <w:rsid w:val="00666CFD"/>
    <w:rsid w:val="00666D0A"/>
    <w:rsid w:val="00666E42"/>
    <w:rsid w:val="00666F61"/>
    <w:rsid w:val="00666F67"/>
    <w:rsid w:val="00666FEC"/>
    <w:rsid w:val="00666FF1"/>
    <w:rsid w:val="00667013"/>
    <w:rsid w:val="00667041"/>
    <w:rsid w:val="0066710F"/>
    <w:rsid w:val="0066715B"/>
    <w:rsid w:val="0066721D"/>
    <w:rsid w:val="0066727F"/>
    <w:rsid w:val="006672C2"/>
    <w:rsid w:val="00667327"/>
    <w:rsid w:val="0066738D"/>
    <w:rsid w:val="00667405"/>
    <w:rsid w:val="00667456"/>
    <w:rsid w:val="00667496"/>
    <w:rsid w:val="006674BC"/>
    <w:rsid w:val="0066758C"/>
    <w:rsid w:val="006675F3"/>
    <w:rsid w:val="00667609"/>
    <w:rsid w:val="006676B2"/>
    <w:rsid w:val="00667738"/>
    <w:rsid w:val="0066777A"/>
    <w:rsid w:val="0066786E"/>
    <w:rsid w:val="00667896"/>
    <w:rsid w:val="006678BF"/>
    <w:rsid w:val="006678FD"/>
    <w:rsid w:val="00667942"/>
    <w:rsid w:val="00667982"/>
    <w:rsid w:val="00667AFA"/>
    <w:rsid w:val="00667B27"/>
    <w:rsid w:val="00667BE2"/>
    <w:rsid w:val="00667BF2"/>
    <w:rsid w:val="00667CA2"/>
    <w:rsid w:val="00667CCA"/>
    <w:rsid w:val="00667CEF"/>
    <w:rsid w:val="00667DD4"/>
    <w:rsid w:val="00667E71"/>
    <w:rsid w:val="00667E9A"/>
    <w:rsid w:val="00667F39"/>
    <w:rsid w:val="00667F74"/>
    <w:rsid w:val="0067005E"/>
    <w:rsid w:val="0067006E"/>
    <w:rsid w:val="0067031F"/>
    <w:rsid w:val="006704B2"/>
    <w:rsid w:val="00670599"/>
    <w:rsid w:val="00670636"/>
    <w:rsid w:val="006706C2"/>
    <w:rsid w:val="00670749"/>
    <w:rsid w:val="00670924"/>
    <w:rsid w:val="00670991"/>
    <w:rsid w:val="00670B26"/>
    <w:rsid w:val="00670B7E"/>
    <w:rsid w:val="00670B84"/>
    <w:rsid w:val="00670C34"/>
    <w:rsid w:val="00670DCD"/>
    <w:rsid w:val="00670DE6"/>
    <w:rsid w:val="00670E2C"/>
    <w:rsid w:val="00670F0C"/>
    <w:rsid w:val="00670F7C"/>
    <w:rsid w:val="00670FA8"/>
    <w:rsid w:val="0067107C"/>
    <w:rsid w:val="006710CF"/>
    <w:rsid w:val="0067111F"/>
    <w:rsid w:val="006711CC"/>
    <w:rsid w:val="00671233"/>
    <w:rsid w:val="00671236"/>
    <w:rsid w:val="00671278"/>
    <w:rsid w:val="00671280"/>
    <w:rsid w:val="00671358"/>
    <w:rsid w:val="0067139F"/>
    <w:rsid w:val="00671446"/>
    <w:rsid w:val="0067144A"/>
    <w:rsid w:val="00671471"/>
    <w:rsid w:val="0067149F"/>
    <w:rsid w:val="006714E9"/>
    <w:rsid w:val="006715C4"/>
    <w:rsid w:val="00671694"/>
    <w:rsid w:val="00671769"/>
    <w:rsid w:val="0067181E"/>
    <w:rsid w:val="0067185A"/>
    <w:rsid w:val="006718AA"/>
    <w:rsid w:val="006719C5"/>
    <w:rsid w:val="00671A88"/>
    <w:rsid w:val="00671B2D"/>
    <w:rsid w:val="00671B52"/>
    <w:rsid w:val="00671BD5"/>
    <w:rsid w:val="00671BE4"/>
    <w:rsid w:val="00671C2A"/>
    <w:rsid w:val="00671CA2"/>
    <w:rsid w:val="00671D28"/>
    <w:rsid w:val="00671D85"/>
    <w:rsid w:val="00671D8D"/>
    <w:rsid w:val="00671E17"/>
    <w:rsid w:val="00671EF8"/>
    <w:rsid w:val="006720EB"/>
    <w:rsid w:val="006720F5"/>
    <w:rsid w:val="006721B6"/>
    <w:rsid w:val="00672221"/>
    <w:rsid w:val="006722F8"/>
    <w:rsid w:val="006722FA"/>
    <w:rsid w:val="00672396"/>
    <w:rsid w:val="006723E0"/>
    <w:rsid w:val="006724CF"/>
    <w:rsid w:val="006725A5"/>
    <w:rsid w:val="00672714"/>
    <w:rsid w:val="006728A8"/>
    <w:rsid w:val="006728BD"/>
    <w:rsid w:val="00672963"/>
    <w:rsid w:val="0067299A"/>
    <w:rsid w:val="00672A17"/>
    <w:rsid w:val="00672A42"/>
    <w:rsid w:val="00672A7E"/>
    <w:rsid w:val="00672BF8"/>
    <w:rsid w:val="00672BFF"/>
    <w:rsid w:val="00672C79"/>
    <w:rsid w:val="00672CF6"/>
    <w:rsid w:val="00672E41"/>
    <w:rsid w:val="00672EAB"/>
    <w:rsid w:val="00672F27"/>
    <w:rsid w:val="00672FBF"/>
    <w:rsid w:val="00672FC4"/>
    <w:rsid w:val="00673065"/>
    <w:rsid w:val="006730A6"/>
    <w:rsid w:val="006730C3"/>
    <w:rsid w:val="00673204"/>
    <w:rsid w:val="0067321A"/>
    <w:rsid w:val="00673230"/>
    <w:rsid w:val="0067325B"/>
    <w:rsid w:val="006732DC"/>
    <w:rsid w:val="006734AC"/>
    <w:rsid w:val="006734AF"/>
    <w:rsid w:val="006734F3"/>
    <w:rsid w:val="00673519"/>
    <w:rsid w:val="00673574"/>
    <w:rsid w:val="0067358B"/>
    <w:rsid w:val="006735AD"/>
    <w:rsid w:val="00673675"/>
    <w:rsid w:val="006736C3"/>
    <w:rsid w:val="0067377F"/>
    <w:rsid w:val="00673811"/>
    <w:rsid w:val="00673911"/>
    <w:rsid w:val="0067393C"/>
    <w:rsid w:val="00673964"/>
    <w:rsid w:val="006739C8"/>
    <w:rsid w:val="006739CB"/>
    <w:rsid w:val="00673A38"/>
    <w:rsid w:val="00673B0B"/>
    <w:rsid w:val="00673B34"/>
    <w:rsid w:val="00673BED"/>
    <w:rsid w:val="00673C84"/>
    <w:rsid w:val="00673CDE"/>
    <w:rsid w:val="00673D0E"/>
    <w:rsid w:val="00673D1D"/>
    <w:rsid w:val="00673D8A"/>
    <w:rsid w:val="00673D99"/>
    <w:rsid w:val="00673D9C"/>
    <w:rsid w:val="00673EA7"/>
    <w:rsid w:val="00673EC3"/>
    <w:rsid w:val="00673F0F"/>
    <w:rsid w:val="0067409F"/>
    <w:rsid w:val="0067410A"/>
    <w:rsid w:val="00674130"/>
    <w:rsid w:val="006741C6"/>
    <w:rsid w:val="006742A2"/>
    <w:rsid w:val="006742E0"/>
    <w:rsid w:val="00674451"/>
    <w:rsid w:val="0067447D"/>
    <w:rsid w:val="00674571"/>
    <w:rsid w:val="00674573"/>
    <w:rsid w:val="006745AC"/>
    <w:rsid w:val="00674745"/>
    <w:rsid w:val="006747F3"/>
    <w:rsid w:val="0067482C"/>
    <w:rsid w:val="0067484A"/>
    <w:rsid w:val="00674868"/>
    <w:rsid w:val="006748E1"/>
    <w:rsid w:val="006748E4"/>
    <w:rsid w:val="006749AE"/>
    <w:rsid w:val="006749CD"/>
    <w:rsid w:val="00674A0A"/>
    <w:rsid w:val="00674A4A"/>
    <w:rsid w:val="00674B18"/>
    <w:rsid w:val="00674B81"/>
    <w:rsid w:val="00674BED"/>
    <w:rsid w:val="00674C03"/>
    <w:rsid w:val="00674C4B"/>
    <w:rsid w:val="00674C99"/>
    <w:rsid w:val="00674D41"/>
    <w:rsid w:val="00674DDE"/>
    <w:rsid w:val="00674DE8"/>
    <w:rsid w:val="00674DEF"/>
    <w:rsid w:val="00674E91"/>
    <w:rsid w:val="00674EE7"/>
    <w:rsid w:val="00674F00"/>
    <w:rsid w:val="00674F2C"/>
    <w:rsid w:val="00674F56"/>
    <w:rsid w:val="00675073"/>
    <w:rsid w:val="0067507C"/>
    <w:rsid w:val="006750ED"/>
    <w:rsid w:val="0067511F"/>
    <w:rsid w:val="006751B0"/>
    <w:rsid w:val="006751E2"/>
    <w:rsid w:val="00675390"/>
    <w:rsid w:val="00675449"/>
    <w:rsid w:val="006755AD"/>
    <w:rsid w:val="006755D1"/>
    <w:rsid w:val="006756FB"/>
    <w:rsid w:val="00675716"/>
    <w:rsid w:val="00675724"/>
    <w:rsid w:val="00675738"/>
    <w:rsid w:val="006757A8"/>
    <w:rsid w:val="0067582F"/>
    <w:rsid w:val="00675899"/>
    <w:rsid w:val="0067598E"/>
    <w:rsid w:val="006759BD"/>
    <w:rsid w:val="00675C25"/>
    <w:rsid w:val="00675D90"/>
    <w:rsid w:val="00675DD9"/>
    <w:rsid w:val="00675DF7"/>
    <w:rsid w:val="00675EC4"/>
    <w:rsid w:val="00675EE3"/>
    <w:rsid w:val="00675EEE"/>
    <w:rsid w:val="00675EFC"/>
    <w:rsid w:val="00675F90"/>
    <w:rsid w:val="00675FA0"/>
    <w:rsid w:val="00675FCC"/>
    <w:rsid w:val="0067609B"/>
    <w:rsid w:val="006760AC"/>
    <w:rsid w:val="006760B6"/>
    <w:rsid w:val="0067612D"/>
    <w:rsid w:val="00676160"/>
    <w:rsid w:val="0067620F"/>
    <w:rsid w:val="00676509"/>
    <w:rsid w:val="006765CE"/>
    <w:rsid w:val="006766C9"/>
    <w:rsid w:val="0067683A"/>
    <w:rsid w:val="0067693D"/>
    <w:rsid w:val="00676991"/>
    <w:rsid w:val="00676AB4"/>
    <w:rsid w:val="00676B48"/>
    <w:rsid w:val="00676C0D"/>
    <w:rsid w:val="00676D0E"/>
    <w:rsid w:val="00676E78"/>
    <w:rsid w:val="00676F08"/>
    <w:rsid w:val="00676F1C"/>
    <w:rsid w:val="00676F64"/>
    <w:rsid w:val="00676F70"/>
    <w:rsid w:val="00677036"/>
    <w:rsid w:val="006771DA"/>
    <w:rsid w:val="006772B4"/>
    <w:rsid w:val="006772E2"/>
    <w:rsid w:val="0067735F"/>
    <w:rsid w:val="006773B8"/>
    <w:rsid w:val="00677417"/>
    <w:rsid w:val="006775BA"/>
    <w:rsid w:val="00677682"/>
    <w:rsid w:val="006776AD"/>
    <w:rsid w:val="006776F6"/>
    <w:rsid w:val="00677731"/>
    <w:rsid w:val="006777E8"/>
    <w:rsid w:val="00677841"/>
    <w:rsid w:val="0067787F"/>
    <w:rsid w:val="0067793C"/>
    <w:rsid w:val="0067794B"/>
    <w:rsid w:val="006779EC"/>
    <w:rsid w:val="00677A16"/>
    <w:rsid w:val="00677A26"/>
    <w:rsid w:val="00677B48"/>
    <w:rsid w:val="00677B85"/>
    <w:rsid w:val="00677BC6"/>
    <w:rsid w:val="00677BDC"/>
    <w:rsid w:val="00677BE1"/>
    <w:rsid w:val="00677CDD"/>
    <w:rsid w:val="00677D35"/>
    <w:rsid w:val="00677D5A"/>
    <w:rsid w:val="00677EB8"/>
    <w:rsid w:val="00677EBB"/>
    <w:rsid w:val="00677FB3"/>
    <w:rsid w:val="00680188"/>
    <w:rsid w:val="00680210"/>
    <w:rsid w:val="006803F3"/>
    <w:rsid w:val="00680411"/>
    <w:rsid w:val="00680490"/>
    <w:rsid w:val="00680528"/>
    <w:rsid w:val="00680535"/>
    <w:rsid w:val="0068057F"/>
    <w:rsid w:val="0068073E"/>
    <w:rsid w:val="00680768"/>
    <w:rsid w:val="006807B3"/>
    <w:rsid w:val="0068080F"/>
    <w:rsid w:val="006809EA"/>
    <w:rsid w:val="006809F9"/>
    <w:rsid w:val="00680A15"/>
    <w:rsid w:val="00680A63"/>
    <w:rsid w:val="00680AE9"/>
    <w:rsid w:val="00680B4E"/>
    <w:rsid w:val="00680C07"/>
    <w:rsid w:val="00680C77"/>
    <w:rsid w:val="00680CE6"/>
    <w:rsid w:val="00680E92"/>
    <w:rsid w:val="00680EBE"/>
    <w:rsid w:val="00680EEA"/>
    <w:rsid w:val="00680EEC"/>
    <w:rsid w:val="00680EF6"/>
    <w:rsid w:val="00680F45"/>
    <w:rsid w:val="00681048"/>
    <w:rsid w:val="00681067"/>
    <w:rsid w:val="00681079"/>
    <w:rsid w:val="006811D6"/>
    <w:rsid w:val="006811EC"/>
    <w:rsid w:val="0068122B"/>
    <w:rsid w:val="006812D5"/>
    <w:rsid w:val="00681378"/>
    <w:rsid w:val="006813DC"/>
    <w:rsid w:val="00681457"/>
    <w:rsid w:val="006815D9"/>
    <w:rsid w:val="006815F7"/>
    <w:rsid w:val="0068160C"/>
    <w:rsid w:val="006816A7"/>
    <w:rsid w:val="006816CA"/>
    <w:rsid w:val="006817F7"/>
    <w:rsid w:val="00681821"/>
    <w:rsid w:val="00681872"/>
    <w:rsid w:val="00681897"/>
    <w:rsid w:val="006818C0"/>
    <w:rsid w:val="0068192B"/>
    <w:rsid w:val="00681A1B"/>
    <w:rsid w:val="00681CFF"/>
    <w:rsid w:val="00681D88"/>
    <w:rsid w:val="00681E65"/>
    <w:rsid w:val="00681E66"/>
    <w:rsid w:val="00681EB2"/>
    <w:rsid w:val="00681FC8"/>
    <w:rsid w:val="00682039"/>
    <w:rsid w:val="00682075"/>
    <w:rsid w:val="006820E5"/>
    <w:rsid w:val="00682197"/>
    <w:rsid w:val="00682255"/>
    <w:rsid w:val="00682293"/>
    <w:rsid w:val="006823DA"/>
    <w:rsid w:val="006823E4"/>
    <w:rsid w:val="00682442"/>
    <w:rsid w:val="00682481"/>
    <w:rsid w:val="006824D4"/>
    <w:rsid w:val="0068250F"/>
    <w:rsid w:val="0068257C"/>
    <w:rsid w:val="006825B2"/>
    <w:rsid w:val="006826B4"/>
    <w:rsid w:val="006826D5"/>
    <w:rsid w:val="006827D4"/>
    <w:rsid w:val="006828AF"/>
    <w:rsid w:val="00682A20"/>
    <w:rsid w:val="00682ACE"/>
    <w:rsid w:val="00682B1B"/>
    <w:rsid w:val="00682B26"/>
    <w:rsid w:val="00682B4B"/>
    <w:rsid w:val="00682CFC"/>
    <w:rsid w:val="00682D05"/>
    <w:rsid w:val="00682D0C"/>
    <w:rsid w:val="00682DD3"/>
    <w:rsid w:val="00682F86"/>
    <w:rsid w:val="00682FBB"/>
    <w:rsid w:val="0068304F"/>
    <w:rsid w:val="00683061"/>
    <w:rsid w:val="00683249"/>
    <w:rsid w:val="00683257"/>
    <w:rsid w:val="0068327C"/>
    <w:rsid w:val="00683293"/>
    <w:rsid w:val="00683419"/>
    <w:rsid w:val="00683435"/>
    <w:rsid w:val="006834A8"/>
    <w:rsid w:val="006834AC"/>
    <w:rsid w:val="006834F6"/>
    <w:rsid w:val="00683538"/>
    <w:rsid w:val="00683578"/>
    <w:rsid w:val="00683581"/>
    <w:rsid w:val="006835CF"/>
    <w:rsid w:val="006835F2"/>
    <w:rsid w:val="0068378E"/>
    <w:rsid w:val="00683805"/>
    <w:rsid w:val="00683812"/>
    <w:rsid w:val="0068385C"/>
    <w:rsid w:val="00683AC7"/>
    <w:rsid w:val="00683AD4"/>
    <w:rsid w:val="00683B36"/>
    <w:rsid w:val="00683B48"/>
    <w:rsid w:val="00683DF1"/>
    <w:rsid w:val="00683E20"/>
    <w:rsid w:val="00683ED4"/>
    <w:rsid w:val="00683EDB"/>
    <w:rsid w:val="00683F1E"/>
    <w:rsid w:val="00683F25"/>
    <w:rsid w:val="00684005"/>
    <w:rsid w:val="00684015"/>
    <w:rsid w:val="00684156"/>
    <w:rsid w:val="0068425D"/>
    <w:rsid w:val="006843BC"/>
    <w:rsid w:val="006843DD"/>
    <w:rsid w:val="0068441B"/>
    <w:rsid w:val="00684435"/>
    <w:rsid w:val="0068444F"/>
    <w:rsid w:val="00684492"/>
    <w:rsid w:val="006844BA"/>
    <w:rsid w:val="0068452B"/>
    <w:rsid w:val="00684583"/>
    <w:rsid w:val="00684765"/>
    <w:rsid w:val="0068476A"/>
    <w:rsid w:val="006847C7"/>
    <w:rsid w:val="0068483B"/>
    <w:rsid w:val="006848A5"/>
    <w:rsid w:val="006848E9"/>
    <w:rsid w:val="0068497E"/>
    <w:rsid w:val="00684A27"/>
    <w:rsid w:val="00684C4E"/>
    <w:rsid w:val="00684C76"/>
    <w:rsid w:val="00684CCB"/>
    <w:rsid w:val="00684CE6"/>
    <w:rsid w:val="00684D56"/>
    <w:rsid w:val="00684D70"/>
    <w:rsid w:val="00684D96"/>
    <w:rsid w:val="00684E66"/>
    <w:rsid w:val="00684EDC"/>
    <w:rsid w:val="00684F0D"/>
    <w:rsid w:val="00684FED"/>
    <w:rsid w:val="0068505D"/>
    <w:rsid w:val="00685084"/>
    <w:rsid w:val="0068509E"/>
    <w:rsid w:val="006850BC"/>
    <w:rsid w:val="00685182"/>
    <w:rsid w:val="00685276"/>
    <w:rsid w:val="00685386"/>
    <w:rsid w:val="006854FF"/>
    <w:rsid w:val="00685606"/>
    <w:rsid w:val="00685659"/>
    <w:rsid w:val="0068567F"/>
    <w:rsid w:val="00685701"/>
    <w:rsid w:val="0068573E"/>
    <w:rsid w:val="006857E9"/>
    <w:rsid w:val="0068584B"/>
    <w:rsid w:val="0068584F"/>
    <w:rsid w:val="00685869"/>
    <w:rsid w:val="0068596F"/>
    <w:rsid w:val="00685A5F"/>
    <w:rsid w:val="00685B4D"/>
    <w:rsid w:val="00685CDE"/>
    <w:rsid w:val="00685D4A"/>
    <w:rsid w:val="00685DBC"/>
    <w:rsid w:val="00685DF8"/>
    <w:rsid w:val="00685E0A"/>
    <w:rsid w:val="00685E10"/>
    <w:rsid w:val="00685E55"/>
    <w:rsid w:val="00685EE6"/>
    <w:rsid w:val="00685F4F"/>
    <w:rsid w:val="00686033"/>
    <w:rsid w:val="00686065"/>
    <w:rsid w:val="00686230"/>
    <w:rsid w:val="00686249"/>
    <w:rsid w:val="00686271"/>
    <w:rsid w:val="006862E6"/>
    <w:rsid w:val="0068648F"/>
    <w:rsid w:val="00686495"/>
    <w:rsid w:val="006864D8"/>
    <w:rsid w:val="00686535"/>
    <w:rsid w:val="006865EC"/>
    <w:rsid w:val="0068665C"/>
    <w:rsid w:val="006867DC"/>
    <w:rsid w:val="00686865"/>
    <w:rsid w:val="006868C2"/>
    <w:rsid w:val="00686A08"/>
    <w:rsid w:val="00686A57"/>
    <w:rsid w:val="00686A7F"/>
    <w:rsid w:val="00686AE1"/>
    <w:rsid w:val="00686B12"/>
    <w:rsid w:val="00686CA0"/>
    <w:rsid w:val="00686CA5"/>
    <w:rsid w:val="00686D6B"/>
    <w:rsid w:val="00686E15"/>
    <w:rsid w:val="00686EA9"/>
    <w:rsid w:val="00686ED9"/>
    <w:rsid w:val="00686F49"/>
    <w:rsid w:val="0068705E"/>
    <w:rsid w:val="006870D4"/>
    <w:rsid w:val="00687198"/>
    <w:rsid w:val="006871C6"/>
    <w:rsid w:val="006871ED"/>
    <w:rsid w:val="00687245"/>
    <w:rsid w:val="006872BD"/>
    <w:rsid w:val="00687370"/>
    <w:rsid w:val="0068738A"/>
    <w:rsid w:val="006873A1"/>
    <w:rsid w:val="006873B8"/>
    <w:rsid w:val="0068748E"/>
    <w:rsid w:val="00687615"/>
    <w:rsid w:val="00687660"/>
    <w:rsid w:val="006877AA"/>
    <w:rsid w:val="00687833"/>
    <w:rsid w:val="0068783C"/>
    <w:rsid w:val="006878AE"/>
    <w:rsid w:val="0068792F"/>
    <w:rsid w:val="0068796D"/>
    <w:rsid w:val="00687981"/>
    <w:rsid w:val="006879B9"/>
    <w:rsid w:val="00687A05"/>
    <w:rsid w:val="00687AD7"/>
    <w:rsid w:val="00687B46"/>
    <w:rsid w:val="00687B82"/>
    <w:rsid w:val="00687BD2"/>
    <w:rsid w:val="00687BE5"/>
    <w:rsid w:val="00687BFA"/>
    <w:rsid w:val="00687C68"/>
    <w:rsid w:val="00687C6C"/>
    <w:rsid w:val="00687C7C"/>
    <w:rsid w:val="00687CC3"/>
    <w:rsid w:val="00687D62"/>
    <w:rsid w:val="00687D97"/>
    <w:rsid w:val="00687DCB"/>
    <w:rsid w:val="00690007"/>
    <w:rsid w:val="006900A8"/>
    <w:rsid w:val="006900FE"/>
    <w:rsid w:val="00690118"/>
    <w:rsid w:val="0069024C"/>
    <w:rsid w:val="006902DE"/>
    <w:rsid w:val="0069040E"/>
    <w:rsid w:val="00690439"/>
    <w:rsid w:val="00690498"/>
    <w:rsid w:val="006904C8"/>
    <w:rsid w:val="0069055F"/>
    <w:rsid w:val="006906CB"/>
    <w:rsid w:val="006906F3"/>
    <w:rsid w:val="00690744"/>
    <w:rsid w:val="00690936"/>
    <w:rsid w:val="00690988"/>
    <w:rsid w:val="00690A0D"/>
    <w:rsid w:val="00690AD8"/>
    <w:rsid w:val="00690D37"/>
    <w:rsid w:val="00690D70"/>
    <w:rsid w:val="00690D90"/>
    <w:rsid w:val="00690DAB"/>
    <w:rsid w:val="00690DC2"/>
    <w:rsid w:val="00690DE8"/>
    <w:rsid w:val="00690E6F"/>
    <w:rsid w:val="00690EE6"/>
    <w:rsid w:val="00690EF7"/>
    <w:rsid w:val="00690EFE"/>
    <w:rsid w:val="00690FBB"/>
    <w:rsid w:val="00691254"/>
    <w:rsid w:val="006912C9"/>
    <w:rsid w:val="006912CC"/>
    <w:rsid w:val="006912EA"/>
    <w:rsid w:val="0069137E"/>
    <w:rsid w:val="0069138A"/>
    <w:rsid w:val="0069139A"/>
    <w:rsid w:val="006913F1"/>
    <w:rsid w:val="00691422"/>
    <w:rsid w:val="0069147C"/>
    <w:rsid w:val="006914AF"/>
    <w:rsid w:val="006914E8"/>
    <w:rsid w:val="00691529"/>
    <w:rsid w:val="00691575"/>
    <w:rsid w:val="006915A1"/>
    <w:rsid w:val="006915EE"/>
    <w:rsid w:val="006915F4"/>
    <w:rsid w:val="00691658"/>
    <w:rsid w:val="0069175B"/>
    <w:rsid w:val="00691785"/>
    <w:rsid w:val="006917AE"/>
    <w:rsid w:val="006917EF"/>
    <w:rsid w:val="006917F1"/>
    <w:rsid w:val="006918DA"/>
    <w:rsid w:val="0069191B"/>
    <w:rsid w:val="00691934"/>
    <w:rsid w:val="006919BC"/>
    <w:rsid w:val="00691A8C"/>
    <w:rsid w:val="00691CF3"/>
    <w:rsid w:val="00691DB9"/>
    <w:rsid w:val="00691DD2"/>
    <w:rsid w:val="00691DD7"/>
    <w:rsid w:val="00691E10"/>
    <w:rsid w:val="00691E7D"/>
    <w:rsid w:val="00691F4E"/>
    <w:rsid w:val="00692054"/>
    <w:rsid w:val="00692068"/>
    <w:rsid w:val="00692105"/>
    <w:rsid w:val="006921A8"/>
    <w:rsid w:val="006921EB"/>
    <w:rsid w:val="00692216"/>
    <w:rsid w:val="0069222D"/>
    <w:rsid w:val="00692287"/>
    <w:rsid w:val="006922F0"/>
    <w:rsid w:val="00692420"/>
    <w:rsid w:val="00692619"/>
    <w:rsid w:val="006926D8"/>
    <w:rsid w:val="00692706"/>
    <w:rsid w:val="006928A4"/>
    <w:rsid w:val="006928D3"/>
    <w:rsid w:val="00692912"/>
    <w:rsid w:val="00692A0C"/>
    <w:rsid w:val="00692AA2"/>
    <w:rsid w:val="00692AAA"/>
    <w:rsid w:val="00692BC2"/>
    <w:rsid w:val="00692BDD"/>
    <w:rsid w:val="00692BE1"/>
    <w:rsid w:val="00692CAF"/>
    <w:rsid w:val="00692CB4"/>
    <w:rsid w:val="00692CE2"/>
    <w:rsid w:val="00692D37"/>
    <w:rsid w:val="00692D44"/>
    <w:rsid w:val="00692D91"/>
    <w:rsid w:val="00692E24"/>
    <w:rsid w:val="0069305C"/>
    <w:rsid w:val="00693094"/>
    <w:rsid w:val="006930A3"/>
    <w:rsid w:val="006930AE"/>
    <w:rsid w:val="00693146"/>
    <w:rsid w:val="00693148"/>
    <w:rsid w:val="006931CD"/>
    <w:rsid w:val="006933DF"/>
    <w:rsid w:val="00693494"/>
    <w:rsid w:val="006934D6"/>
    <w:rsid w:val="00693713"/>
    <w:rsid w:val="00693725"/>
    <w:rsid w:val="0069377B"/>
    <w:rsid w:val="0069378F"/>
    <w:rsid w:val="006938AF"/>
    <w:rsid w:val="006938F5"/>
    <w:rsid w:val="00693AC9"/>
    <w:rsid w:val="00693B1D"/>
    <w:rsid w:val="00693B95"/>
    <w:rsid w:val="00693BCC"/>
    <w:rsid w:val="00693C0A"/>
    <w:rsid w:val="00693C22"/>
    <w:rsid w:val="00693C26"/>
    <w:rsid w:val="00693C44"/>
    <w:rsid w:val="00693C90"/>
    <w:rsid w:val="00693C9C"/>
    <w:rsid w:val="00693CC7"/>
    <w:rsid w:val="00693D3F"/>
    <w:rsid w:val="00693D41"/>
    <w:rsid w:val="00693D95"/>
    <w:rsid w:val="00693DA9"/>
    <w:rsid w:val="00693DEB"/>
    <w:rsid w:val="00693E43"/>
    <w:rsid w:val="00693E48"/>
    <w:rsid w:val="00693EAF"/>
    <w:rsid w:val="00693EB2"/>
    <w:rsid w:val="00693F8B"/>
    <w:rsid w:val="0069404C"/>
    <w:rsid w:val="006940EB"/>
    <w:rsid w:val="00694126"/>
    <w:rsid w:val="00694146"/>
    <w:rsid w:val="0069427B"/>
    <w:rsid w:val="006942CA"/>
    <w:rsid w:val="006942F2"/>
    <w:rsid w:val="00694329"/>
    <w:rsid w:val="0069436A"/>
    <w:rsid w:val="00694428"/>
    <w:rsid w:val="00694487"/>
    <w:rsid w:val="0069455F"/>
    <w:rsid w:val="006945C5"/>
    <w:rsid w:val="00694605"/>
    <w:rsid w:val="00694614"/>
    <w:rsid w:val="00694626"/>
    <w:rsid w:val="00694664"/>
    <w:rsid w:val="00694766"/>
    <w:rsid w:val="006947B8"/>
    <w:rsid w:val="006947C7"/>
    <w:rsid w:val="006948A4"/>
    <w:rsid w:val="0069492B"/>
    <w:rsid w:val="006949C4"/>
    <w:rsid w:val="00694B27"/>
    <w:rsid w:val="00694B2F"/>
    <w:rsid w:val="00694BC7"/>
    <w:rsid w:val="00694C52"/>
    <w:rsid w:val="00694CB1"/>
    <w:rsid w:val="00694CC2"/>
    <w:rsid w:val="00694D12"/>
    <w:rsid w:val="00694D69"/>
    <w:rsid w:val="00694DF0"/>
    <w:rsid w:val="00694E08"/>
    <w:rsid w:val="00694E74"/>
    <w:rsid w:val="00694EC0"/>
    <w:rsid w:val="00695008"/>
    <w:rsid w:val="006950A4"/>
    <w:rsid w:val="0069512A"/>
    <w:rsid w:val="0069512B"/>
    <w:rsid w:val="00695212"/>
    <w:rsid w:val="0069521C"/>
    <w:rsid w:val="0069527B"/>
    <w:rsid w:val="006952AB"/>
    <w:rsid w:val="00695350"/>
    <w:rsid w:val="006953B8"/>
    <w:rsid w:val="00695430"/>
    <w:rsid w:val="0069547A"/>
    <w:rsid w:val="006954DA"/>
    <w:rsid w:val="006954EC"/>
    <w:rsid w:val="00695587"/>
    <w:rsid w:val="0069562A"/>
    <w:rsid w:val="0069564A"/>
    <w:rsid w:val="0069565A"/>
    <w:rsid w:val="0069578B"/>
    <w:rsid w:val="006958ED"/>
    <w:rsid w:val="0069590D"/>
    <w:rsid w:val="006959B8"/>
    <w:rsid w:val="00695A51"/>
    <w:rsid w:val="00695A54"/>
    <w:rsid w:val="00695A72"/>
    <w:rsid w:val="00695ADF"/>
    <w:rsid w:val="00695B09"/>
    <w:rsid w:val="00695B27"/>
    <w:rsid w:val="00695B28"/>
    <w:rsid w:val="00695B92"/>
    <w:rsid w:val="00695D28"/>
    <w:rsid w:val="00695D46"/>
    <w:rsid w:val="00695D81"/>
    <w:rsid w:val="00695DA3"/>
    <w:rsid w:val="00695DBF"/>
    <w:rsid w:val="00695E31"/>
    <w:rsid w:val="00695F14"/>
    <w:rsid w:val="00695F27"/>
    <w:rsid w:val="00695F2C"/>
    <w:rsid w:val="00695F9B"/>
    <w:rsid w:val="0069600C"/>
    <w:rsid w:val="006960EF"/>
    <w:rsid w:val="006961DF"/>
    <w:rsid w:val="00696246"/>
    <w:rsid w:val="00696335"/>
    <w:rsid w:val="00696466"/>
    <w:rsid w:val="006964EB"/>
    <w:rsid w:val="00696555"/>
    <w:rsid w:val="006965E2"/>
    <w:rsid w:val="006965FC"/>
    <w:rsid w:val="00696600"/>
    <w:rsid w:val="00696638"/>
    <w:rsid w:val="0069663E"/>
    <w:rsid w:val="0069668C"/>
    <w:rsid w:val="006966BB"/>
    <w:rsid w:val="0069672B"/>
    <w:rsid w:val="00696799"/>
    <w:rsid w:val="00696803"/>
    <w:rsid w:val="00696820"/>
    <w:rsid w:val="00696862"/>
    <w:rsid w:val="00696877"/>
    <w:rsid w:val="006969BA"/>
    <w:rsid w:val="00696A89"/>
    <w:rsid w:val="00696DBC"/>
    <w:rsid w:val="00696DF7"/>
    <w:rsid w:val="00696E44"/>
    <w:rsid w:val="00696F9D"/>
    <w:rsid w:val="00697018"/>
    <w:rsid w:val="00697070"/>
    <w:rsid w:val="00697278"/>
    <w:rsid w:val="006973B2"/>
    <w:rsid w:val="006973BD"/>
    <w:rsid w:val="00697463"/>
    <w:rsid w:val="00697474"/>
    <w:rsid w:val="00697491"/>
    <w:rsid w:val="006974CB"/>
    <w:rsid w:val="00697505"/>
    <w:rsid w:val="00697541"/>
    <w:rsid w:val="00697560"/>
    <w:rsid w:val="0069767F"/>
    <w:rsid w:val="00697705"/>
    <w:rsid w:val="00697719"/>
    <w:rsid w:val="006977CA"/>
    <w:rsid w:val="006977E9"/>
    <w:rsid w:val="00697810"/>
    <w:rsid w:val="006978A1"/>
    <w:rsid w:val="00697971"/>
    <w:rsid w:val="006979FD"/>
    <w:rsid w:val="006979FF"/>
    <w:rsid w:val="00697A6B"/>
    <w:rsid w:val="00697B0E"/>
    <w:rsid w:val="00697B10"/>
    <w:rsid w:val="00697BC1"/>
    <w:rsid w:val="00697C27"/>
    <w:rsid w:val="00697C9B"/>
    <w:rsid w:val="00697CC3"/>
    <w:rsid w:val="00697D90"/>
    <w:rsid w:val="00697DB0"/>
    <w:rsid w:val="00697E30"/>
    <w:rsid w:val="00697E42"/>
    <w:rsid w:val="00697E9D"/>
    <w:rsid w:val="00697F45"/>
    <w:rsid w:val="006A0016"/>
    <w:rsid w:val="006A003B"/>
    <w:rsid w:val="006A0058"/>
    <w:rsid w:val="006A00D4"/>
    <w:rsid w:val="006A01A3"/>
    <w:rsid w:val="006A01D7"/>
    <w:rsid w:val="006A0209"/>
    <w:rsid w:val="006A0213"/>
    <w:rsid w:val="006A032B"/>
    <w:rsid w:val="006A0369"/>
    <w:rsid w:val="006A03CD"/>
    <w:rsid w:val="006A0700"/>
    <w:rsid w:val="006A073E"/>
    <w:rsid w:val="006A077E"/>
    <w:rsid w:val="006A07D2"/>
    <w:rsid w:val="006A08E5"/>
    <w:rsid w:val="006A0B05"/>
    <w:rsid w:val="006A0B6A"/>
    <w:rsid w:val="006A0B70"/>
    <w:rsid w:val="006A0B7A"/>
    <w:rsid w:val="006A0C89"/>
    <w:rsid w:val="006A0DDD"/>
    <w:rsid w:val="006A0E17"/>
    <w:rsid w:val="006A0E1F"/>
    <w:rsid w:val="006A0E6D"/>
    <w:rsid w:val="006A0EEF"/>
    <w:rsid w:val="006A0FD1"/>
    <w:rsid w:val="006A0FD8"/>
    <w:rsid w:val="006A1061"/>
    <w:rsid w:val="006A1096"/>
    <w:rsid w:val="006A11C6"/>
    <w:rsid w:val="006A1232"/>
    <w:rsid w:val="006A12F4"/>
    <w:rsid w:val="006A1318"/>
    <w:rsid w:val="006A13B7"/>
    <w:rsid w:val="006A148F"/>
    <w:rsid w:val="006A1510"/>
    <w:rsid w:val="006A1519"/>
    <w:rsid w:val="006A1565"/>
    <w:rsid w:val="006A1577"/>
    <w:rsid w:val="006A1609"/>
    <w:rsid w:val="006A17A4"/>
    <w:rsid w:val="006A1828"/>
    <w:rsid w:val="006A1883"/>
    <w:rsid w:val="006A18C8"/>
    <w:rsid w:val="006A1989"/>
    <w:rsid w:val="006A19B4"/>
    <w:rsid w:val="006A1A25"/>
    <w:rsid w:val="006A1C0A"/>
    <w:rsid w:val="006A1C83"/>
    <w:rsid w:val="006A1CCD"/>
    <w:rsid w:val="006A1DA4"/>
    <w:rsid w:val="006A1E64"/>
    <w:rsid w:val="006A1E87"/>
    <w:rsid w:val="006A1F0E"/>
    <w:rsid w:val="006A1FF0"/>
    <w:rsid w:val="006A2098"/>
    <w:rsid w:val="006A20C3"/>
    <w:rsid w:val="006A20C9"/>
    <w:rsid w:val="006A2109"/>
    <w:rsid w:val="006A224F"/>
    <w:rsid w:val="006A231B"/>
    <w:rsid w:val="006A231D"/>
    <w:rsid w:val="006A233A"/>
    <w:rsid w:val="006A240A"/>
    <w:rsid w:val="006A2454"/>
    <w:rsid w:val="006A249F"/>
    <w:rsid w:val="006A2573"/>
    <w:rsid w:val="006A2575"/>
    <w:rsid w:val="006A266B"/>
    <w:rsid w:val="006A2675"/>
    <w:rsid w:val="006A2678"/>
    <w:rsid w:val="006A26BF"/>
    <w:rsid w:val="006A270B"/>
    <w:rsid w:val="006A27BA"/>
    <w:rsid w:val="006A285B"/>
    <w:rsid w:val="006A2898"/>
    <w:rsid w:val="006A28E4"/>
    <w:rsid w:val="006A2927"/>
    <w:rsid w:val="006A2A14"/>
    <w:rsid w:val="006A2A62"/>
    <w:rsid w:val="006A2A8D"/>
    <w:rsid w:val="006A2AD9"/>
    <w:rsid w:val="006A2AF2"/>
    <w:rsid w:val="006A2B3D"/>
    <w:rsid w:val="006A2C94"/>
    <w:rsid w:val="006A2CAA"/>
    <w:rsid w:val="006A2CCD"/>
    <w:rsid w:val="006A2CE3"/>
    <w:rsid w:val="006A2DDD"/>
    <w:rsid w:val="006A2F7D"/>
    <w:rsid w:val="006A2F82"/>
    <w:rsid w:val="006A2F83"/>
    <w:rsid w:val="006A3026"/>
    <w:rsid w:val="006A302F"/>
    <w:rsid w:val="006A309D"/>
    <w:rsid w:val="006A30A5"/>
    <w:rsid w:val="006A30AF"/>
    <w:rsid w:val="006A3101"/>
    <w:rsid w:val="006A316E"/>
    <w:rsid w:val="006A31D6"/>
    <w:rsid w:val="006A31E0"/>
    <w:rsid w:val="006A330C"/>
    <w:rsid w:val="006A33D5"/>
    <w:rsid w:val="006A34CB"/>
    <w:rsid w:val="006A354D"/>
    <w:rsid w:val="006A3591"/>
    <w:rsid w:val="006A3683"/>
    <w:rsid w:val="006A36D7"/>
    <w:rsid w:val="006A3747"/>
    <w:rsid w:val="006A374A"/>
    <w:rsid w:val="006A37CC"/>
    <w:rsid w:val="006A3838"/>
    <w:rsid w:val="006A388C"/>
    <w:rsid w:val="006A3A1D"/>
    <w:rsid w:val="006A3AB0"/>
    <w:rsid w:val="006A3BB5"/>
    <w:rsid w:val="006A3C37"/>
    <w:rsid w:val="006A3C3B"/>
    <w:rsid w:val="006A3CA1"/>
    <w:rsid w:val="006A3CDA"/>
    <w:rsid w:val="006A3CEC"/>
    <w:rsid w:val="006A3D20"/>
    <w:rsid w:val="006A3D23"/>
    <w:rsid w:val="006A3D6D"/>
    <w:rsid w:val="006A3D93"/>
    <w:rsid w:val="006A3DCD"/>
    <w:rsid w:val="006A3E15"/>
    <w:rsid w:val="006A3E81"/>
    <w:rsid w:val="006A3E85"/>
    <w:rsid w:val="006A3EAC"/>
    <w:rsid w:val="006A3F83"/>
    <w:rsid w:val="006A3FE1"/>
    <w:rsid w:val="006A3FE9"/>
    <w:rsid w:val="006A3FEF"/>
    <w:rsid w:val="006A413D"/>
    <w:rsid w:val="006A416D"/>
    <w:rsid w:val="006A41A9"/>
    <w:rsid w:val="006A423D"/>
    <w:rsid w:val="006A4270"/>
    <w:rsid w:val="006A445A"/>
    <w:rsid w:val="006A4467"/>
    <w:rsid w:val="006A44BC"/>
    <w:rsid w:val="006A4554"/>
    <w:rsid w:val="006A455A"/>
    <w:rsid w:val="006A45AF"/>
    <w:rsid w:val="006A45F2"/>
    <w:rsid w:val="006A4644"/>
    <w:rsid w:val="006A4661"/>
    <w:rsid w:val="006A466B"/>
    <w:rsid w:val="006A46F7"/>
    <w:rsid w:val="006A47AE"/>
    <w:rsid w:val="006A47CA"/>
    <w:rsid w:val="006A4803"/>
    <w:rsid w:val="006A481E"/>
    <w:rsid w:val="006A48BC"/>
    <w:rsid w:val="006A4901"/>
    <w:rsid w:val="006A4967"/>
    <w:rsid w:val="006A4A2E"/>
    <w:rsid w:val="006A4AB7"/>
    <w:rsid w:val="006A4B35"/>
    <w:rsid w:val="006A4B7A"/>
    <w:rsid w:val="006A4BC2"/>
    <w:rsid w:val="006A4CB0"/>
    <w:rsid w:val="006A4DFE"/>
    <w:rsid w:val="006A4E21"/>
    <w:rsid w:val="006A4EBB"/>
    <w:rsid w:val="006A4EE5"/>
    <w:rsid w:val="006A4F5B"/>
    <w:rsid w:val="006A4F99"/>
    <w:rsid w:val="006A4FA8"/>
    <w:rsid w:val="006A4FA9"/>
    <w:rsid w:val="006A4FC2"/>
    <w:rsid w:val="006A5051"/>
    <w:rsid w:val="006A5077"/>
    <w:rsid w:val="006A5147"/>
    <w:rsid w:val="006A5198"/>
    <w:rsid w:val="006A525A"/>
    <w:rsid w:val="006A532E"/>
    <w:rsid w:val="006A535B"/>
    <w:rsid w:val="006A5445"/>
    <w:rsid w:val="006A5476"/>
    <w:rsid w:val="006A5488"/>
    <w:rsid w:val="006A549C"/>
    <w:rsid w:val="006A5517"/>
    <w:rsid w:val="006A558A"/>
    <w:rsid w:val="006A56F8"/>
    <w:rsid w:val="006A5746"/>
    <w:rsid w:val="006A5766"/>
    <w:rsid w:val="006A577F"/>
    <w:rsid w:val="006A5783"/>
    <w:rsid w:val="006A5785"/>
    <w:rsid w:val="006A57D8"/>
    <w:rsid w:val="006A586A"/>
    <w:rsid w:val="006A5911"/>
    <w:rsid w:val="006A5B15"/>
    <w:rsid w:val="006A5B1E"/>
    <w:rsid w:val="006A5B98"/>
    <w:rsid w:val="006A5CCD"/>
    <w:rsid w:val="006A5E2F"/>
    <w:rsid w:val="006A5EDF"/>
    <w:rsid w:val="006A5EEB"/>
    <w:rsid w:val="006A6135"/>
    <w:rsid w:val="006A615E"/>
    <w:rsid w:val="006A61BF"/>
    <w:rsid w:val="006A6204"/>
    <w:rsid w:val="006A62B8"/>
    <w:rsid w:val="006A6318"/>
    <w:rsid w:val="006A64B2"/>
    <w:rsid w:val="006A6541"/>
    <w:rsid w:val="006A66C5"/>
    <w:rsid w:val="006A66E4"/>
    <w:rsid w:val="006A6744"/>
    <w:rsid w:val="006A674A"/>
    <w:rsid w:val="006A6781"/>
    <w:rsid w:val="006A6879"/>
    <w:rsid w:val="006A689F"/>
    <w:rsid w:val="006A68D2"/>
    <w:rsid w:val="006A68D6"/>
    <w:rsid w:val="006A69D0"/>
    <w:rsid w:val="006A6A5B"/>
    <w:rsid w:val="006A6A9E"/>
    <w:rsid w:val="006A6B17"/>
    <w:rsid w:val="006A6BC7"/>
    <w:rsid w:val="006A6DB7"/>
    <w:rsid w:val="006A6DDB"/>
    <w:rsid w:val="006A7078"/>
    <w:rsid w:val="006A70BC"/>
    <w:rsid w:val="006A7122"/>
    <w:rsid w:val="006A7142"/>
    <w:rsid w:val="006A714C"/>
    <w:rsid w:val="006A7239"/>
    <w:rsid w:val="006A7251"/>
    <w:rsid w:val="006A72F1"/>
    <w:rsid w:val="006A7336"/>
    <w:rsid w:val="006A736C"/>
    <w:rsid w:val="006A73A9"/>
    <w:rsid w:val="006A73BA"/>
    <w:rsid w:val="006A7430"/>
    <w:rsid w:val="006A74B9"/>
    <w:rsid w:val="006A74EC"/>
    <w:rsid w:val="006A74F1"/>
    <w:rsid w:val="006A756B"/>
    <w:rsid w:val="006A7583"/>
    <w:rsid w:val="006A7601"/>
    <w:rsid w:val="006A7603"/>
    <w:rsid w:val="006A773A"/>
    <w:rsid w:val="006A7756"/>
    <w:rsid w:val="006A775D"/>
    <w:rsid w:val="006A7886"/>
    <w:rsid w:val="006A7888"/>
    <w:rsid w:val="006A79F6"/>
    <w:rsid w:val="006A7C19"/>
    <w:rsid w:val="006A7C93"/>
    <w:rsid w:val="006A7E32"/>
    <w:rsid w:val="006A7E7E"/>
    <w:rsid w:val="006A7F22"/>
    <w:rsid w:val="006B0037"/>
    <w:rsid w:val="006B0042"/>
    <w:rsid w:val="006B0068"/>
    <w:rsid w:val="006B009C"/>
    <w:rsid w:val="006B00BB"/>
    <w:rsid w:val="006B020D"/>
    <w:rsid w:val="006B0219"/>
    <w:rsid w:val="006B038F"/>
    <w:rsid w:val="006B0390"/>
    <w:rsid w:val="006B03B9"/>
    <w:rsid w:val="006B0450"/>
    <w:rsid w:val="006B04A5"/>
    <w:rsid w:val="006B05F2"/>
    <w:rsid w:val="006B065B"/>
    <w:rsid w:val="006B0676"/>
    <w:rsid w:val="006B0712"/>
    <w:rsid w:val="006B0775"/>
    <w:rsid w:val="006B07AC"/>
    <w:rsid w:val="006B07DD"/>
    <w:rsid w:val="006B0803"/>
    <w:rsid w:val="006B081E"/>
    <w:rsid w:val="006B090D"/>
    <w:rsid w:val="006B093F"/>
    <w:rsid w:val="006B0A94"/>
    <w:rsid w:val="006B0A99"/>
    <w:rsid w:val="006B0ABD"/>
    <w:rsid w:val="006B0AC2"/>
    <w:rsid w:val="006B0B2E"/>
    <w:rsid w:val="006B0C09"/>
    <w:rsid w:val="006B0C96"/>
    <w:rsid w:val="006B0DA7"/>
    <w:rsid w:val="006B0DE2"/>
    <w:rsid w:val="006B0DE3"/>
    <w:rsid w:val="006B0DF4"/>
    <w:rsid w:val="006B0E72"/>
    <w:rsid w:val="006B0EAB"/>
    <w:rsid w:val="006B0EB3"/>
    <w:rsid w:val="006B0ECE"/>
    <w:rsid w:val="006B0EE1"/>
    <w:rsid w:val="006B1023"/>
    <w:rsid w:val="006B1114"/>
    <w:rsid w:val="006B112E"/>
    <w:rsid w:val="006B11CC"/>
    <w:rsid w:val="006B1259"/>
    <w:rsid w:val="006B1269"/>
    <w:rsid w:val="006B12CF"/>
    <w:rsid w:val="006B1338"/>
    <w:rsid w:val="006B1374"/>
    <w:rsid w:val="006B139A"/>
    <w:rsid w:val="006B140F"/>
    <w:rsid w:val="006B148F"/>
    <w:rsid w:val="006B14FE"/>
    <w:rsid w:val="006B169D"/>
    <w:rsid w:val="006B16CE"/>
    <w:rsid w:val="006B1711"/>
    <w:rsid w:val="006B18FF"/>
    <w:rsid w:val="006B1963"/>
    <w:rsid w:val="006B1A00"/>
    <w:rsid w:val="006B1B50"/>
    <w:rsid w:val="006B1BB2"/>
    <w:rsid w:val="006B1C5D"/>
    <w:rsid w:val="006B1CCA"/>
    <w:rsid w:val="006B1E59"/>
    <w:rsid w:val="006B1F6D"/>
    <w:rsid w:val="006B2059"/>
    <w:rsid w:val="006B20E9"/>
    <w:rsid w:val="006B21A0"/>
    <w:rsid w:val="006B23D5"/>
    <w:rsid w:val="006B245C"/>
    <w:rsid w:val="006B2509"/>
    <w:rsid w:val="006B2564"/>
    <w:rsid w:val="006B25A2"/>
    <w:rsid w:val="006B2687"/>
    <w:rsid w:val="006B26E3"/>
    <w:rsid w:val="006B27BB"/>
    <w:rsid w:val="006B285E"/>
    <w:rsid w:val="006B2895"/>
    <w:rsid w:val="006B28DE"/>
    <w:rsid w:val="006B2A23"/>
    <w:rsid w:val="006B2A87"/>
    <w:rsid w:val="006B2AF0"/>
    <w:rsid w:val="006B2B13"/>
    <w:rsid w:val="006B2B6B"/>
    <w:rsid w:val="006B2C2B"/>
    <w:rsid w:val="006B2C8F"/>
    <w:rsid w:val="006B2CDA"/>
    <w:rsid w:val="006B2D34"/>
    <w:rsid w:val="006B2E14"/>
    <w:rsid w:val="006B2E82"/>
    <w:rsid w:val="006B2FE7"/>
    <w:rsid w:val="006B3013"/>
    <w:rsid w:val="006B3060"/>
    <w:rsid w:val="006B3063"/>
    <w:rsid w:val="006B3088"/>
    <w:rsid w:val="006B30A0"/>
    <w:rsid w:val="006B30DD"/>
    <w:rsid w:val="006B30FA"/>
    <w:rsid w:val="006B31BB"/>
    <w:rsid w:val="006B31D2"/>
    <w:rsid w:val="006B3204"/>
    <w:rsid w:val="006B322F"/>
    <w:rsid w:val="006B3337"/>
    <w:rsid w:val="006B340E"/>
    <w:rsid w:val="006B3503"/>
    <w:rsid w:val="006B359B"/>
    <w:rsid w:val="006B36D1"/>
    <w:rsid w:val="006B3722"/>
    <w:rsid w:val="006B3798"/>
    <w:rsid w:val="006B379B"/>
    <w:rsid w:val="006B37AF"/>
    <w:rsid w:val="006B3805"/>
    <w:rsid w:val="006B381B"/>
    <w:rsid w:val="006B384E"/>
    <w:rsid w:val="006B38B1"/>
    <w:rsid w:val="006B38F0"/>
    <w:rsid w:val="006B394A"/>
    <w:rsid w:val="006B3970"/>
    <w:rsid w:val="006B399D"/>
    <w:rsid w:val="006B3A4C"/>
    <w:rsid w:val="006B3A8A"/>
    <w:rsid w:val="006B3A97"/>
    <w:rsid w:val="006B3ACA"/>
    <w:rsid w:val="006B3ADF"/>
    <w:rsid w:val="006B3B2C"/>
    <w:rsid w:val="006B3BB5"/>
    <w:rsid w:val="006B3BF5"/>
    <w:rsid w:val="006B3E81"/>
    <w:rsid w:val="006B3EB0"/>
    <w:rsid w:val="006B3F1D"/>
    <w:rsid w:val="006B3FCD"/>
    <w:rsid w:val="006B4081"/>
    <w:rsid w:val="006B4114"/>
    <w:rsid w:val="006B41CF"/>
    <w:rsid w:val="006B4231"/>
    <w:rsid w:val="006B424E"/>
    <w:rsid w:val="006B42B7"/>
    <w:rsid w:val="006B42C1"/>
    <w:rsid w:val="006B42E7"/>
    <w:rsid w:val="006B430B"/>
    <w:rsid w:val="006B43BF"/>
    <w:rsid w:val="006B43F4"/>
    <w:rsid w:val="006B440F"/>
    <w:rsid w:val="006B4444"/>
    <w:rsid w:val="006B4474"/>
    <w:rsid w:val="006B4475"/>
    <w:rsid w:val="006B4544"/>
    <w:rsid w:val="006B4602"/>
    <w:rsid w:val="006B4629"/>
    <w:rsid w:val="006B4661"/>
    <w:rsid w:val="006B47AC"/>
    <w:rsid w:val="006B4871"/>
    <w:rsid w:val="006B487B"/>
    <w:rsid w:val="006B4908"/>
    <w:rsid w:val="006B4AE1"/>
    <w:rsid w:val="006B4CE6"/>
    <w:rsid w:val="006B4D5F"/>
    <w:rsid w:val="006B4E47"/>
    <w:rsid w:val="006B4FA3"/>
    <w:rsid w:val="006B5089"/>
    <w:rsid w:val="006B50AC"/>
    <w:rsid w:val="006B5129"/>
    <w:rsid w:val="006B51D9"/>
    <w:rsid w:val="006B5253"/>
    <w:rsid w:val="006B5286"/>
    <w:rsid w:val="006B52D5"/>
    <w:rsid w:val="006B5331"/>
    <w:rsid w:val="006B54A0"/>
    <w:rsid w:val="006B54DE"/>
    <w:rsid w:val="006B54E8"/>
    <w:rsid w:val="006B5511"/>
    <w:rsid w:val="006B564F"/>
    <w:rsid w:val="006B5673"/>
    <w:rsid w:val="006B571D"/>
    <w:rsid w:val="006B5720"/>
    <w:rsid w:val="006B5897"/>
    <w:rsid w:val="006B5918"/>
    <w:rsid w:val="006B59C6"/>
    <w:rsid w:val="006B5A43"/>
    <w:rsid w:val="006B5AC0"/>
    <w:rsid w:val="006B5BB5"/>
    <w:rsid w:val="006B5BF9"/>
    <w:rsid w:val="006B5C37"/>
    <w:rsid w:val="006B5C3B"/>
    <w:rsid w:val="006B5DC7"/>
    <w:rsid w:val="006B5F65"/>
    <w:rsid w:val="006B5FA9"/>
    <w:rsid w:val="006B6018"/>
    <w:rsid w:val="006B6051"/>
    <w:rsid w:val="006B60D9"/>
    <w:rsid w:val="006B60E5"/>
    <w:rsid w:val="006B60FB"/>
    <w:rsid w:val="006B6174"/>
    <w:rsid w:val="006B62B7"/>
    <w:rsid w:val="006B635C"/>
    <w:rsid w:val="006B6382"/>
    <w:rsid w:val="006B6468"/>
    <w:rsid w:val="006B652D"/>
    <w:rsid w:val="006B658A"/>
    <w:rsid w:val="006B6666"/>
    <w:rsid w:val="006B6746"/>
    <w:rsid w:val="006B68E2"/>
    <w:rsid w:val="006B6912"/>
    <w:rsid w:val="006B6955"/>
    <w:rsid w:val="006B6B87"/>
    <w:rsid w:val="006B6C45"/>
    <w:rsid w:val="006B6C4E"/>
    <w:rsid w:val="006B6D3D"/>
    <w:rsid w:val="006B6D59"/>
    <w:rsid w:val="006B6E2B"/>
    <w:rsid w:val="006B6E72"/>
    <w:rsid w:val="006B6E80"/>
    <w:rsid w:val="006B6EF9"/>
    <w:rsid w:val="006B7226"/>
    <w:rsid w:val="006B7390"/>
    <w:rsid w:val="006B73C8"/>
    <w:rsid w:val="006B7490"/>
    <w:rsid w:val="006B7558"/>
    <w:rsid w:val="006B75C7"/>
    <w:rsid w:val="006B76A1"/>
    <w:rsid w:val="006B7936"/>
    <w:rsid w:val="006B7A5C"/>
    <w:rsid w:val="006B7AD2"/>
    <w:rsid w:val="006B7ADC"/>
    <w:rsid w:val="006B7B06"/>
    <w:rsid w:val="006B7BF8"/>
    <w:rsid w:val="006B7C3E"/>
    <w:rsid w:val="006B7C88"/>
    <w:rsid w:val="006B7CCB"/>
    <w:rsid w:val="006B7CFC"/>
    <w:rsid w:val="006B7D0A"/>
    <w:rsid w:val="006B7D65"/>
    <w:rsid w:val="006C00B8"/>
    <w:rsid w:val="006C00DF"/>
    <w:rsid w:val="006C00E0"/>
    <w:rsid w:val="006C02B5"/>
    <w:rsid w:val="006C02FB"/>
    <w:rsid w:val="006C0323"/>
    <w:rsid w:val="006C046E"/>
    <w:rsid w:val="006C04EF"/>
    <w:rsid w:val="006C0521"/>
    <w:rsid w:val="006C05C7"/>
    <w:rsid w:val="006C05E9"/>
    <w:rsid w:val="006C070E"/>
    <w:rsid w:val="006C07D9"/>
    <w:rsid w:val="006C0854"/>
    <w:rsid w:val="006C0AAC"/>
    <w:rsid w:val="006C0B03"/>
    <w:rsid w:val="006C0B28"/>
    <w:rsid w:val="006C0B64"/>
    <w:rsid w:val="006C0B8D"/>
    <w:rsid w:val="006C0C00"/>
    <w:rsid w:val="006C0C87"/>
    <w:rsid w:val="006C0D28"/>
    <w:rsid w:val="006C0D71"/>
    <w:rsid w:val="006C0D7D"/>
    <w:rsid w:val="006C0DC2"/>
    <w:rsid w:val="006C0DCA"/>
    <w:rsid w:val="006C0DE5"/>
    <w:rsid w:val="006C0E0B"/>
    <w:rsid w:val="006C0F6D"/>
    <w:rsid w:val="006C10B7"/>
    <w:rsid w:val="006C10DC"/>
    <w:rsid w:val="006C119D"/>
    <w:rsid w:val="006C11F0"/>
    <w:rsid w:val="006C1266"/>
    <w:rsid w:val="006C1321"/>
    <w:rsid w:val="006C13DE"/>
    <w:rsid w:val="006C13FE"/>
    <w:rsid w:val="006C1494"/>
    <w:rsid w:val="006C15CB"/>
    <w:rsid w:val="006C162E"/>
    <w:rsid w:val="006C1636"/>
    <w:rsid w:val="006C16C2"/>
    <w:rsid w:val="006C176F"/>
    <w:rsid w:val="006C17BE"/>
    <w:rsid w:val="006C1853"/>
    <w:rsid w:val="006C1A41"/>
    <w:rsid w:val="006C1B0D"/>
    <w:rsid w:val="006C1B7D"/>
    <w:rsid w:val="006C1B90"/>
    <w:rsid w:val="006C1BDB"/>
    <w:rsid w:val="006C1C10"/>
    <w:rsid w:val="006C1C56"/>
    <w:rsid w:val="006C1C6A"/>
    <w:rsid w:val="006C1C86"/>
    <w:rsid w:val="006C1CE4"/>
    <w:rsid w:val="006C1D2A"/>
    <w:rsid w:val="006C1E23"/>
    <w:rsid w:val="006C1E2C"/>
    <w:rsid w:val="006C1E4B"/>
    <w:rsid w:val="006C1E63"/>
    <w:rsid w:val="006C1ED1"/>
    <w:rsid w:val="006C1ED7"/>
    <w:rsid w:val="006C1F84"/>
    <w:rsid w:val="006C1FA2"/>
    <w:rsid w:val="006C1FEA"/>
    <w:rsid w:val="006C20F8"/>
    <w:rsid w:val="006C214C"/>
    <w:rsid w:val="006C21BB"/>
    <w:rsid w:val="006C21C7"/>
    <w:rsid w:val="006C222B"/>
    <w:rsid w:val="006C238E"/>
    <w:rsid w:val="006C239C"/>
    <w:rsid w:val="006C2408"/>
    <w:rsid w:val="006C248C"/>
    <w:rsid w:val="006C24F8"/>
    <w:rsid w:val="006C251C"/>
    <w:rsid w:val="006C26EF"/>
    <w:rsid w:val="006C274C"/>
    <w:rsid w:val="006C27C5"/>
    <w:rsid w:val="006C27F0"/>
    <w:rsid w:val="006C2890"/>
    <w:rsid w:val="006C28FB"/>
    <w:rsid w:val="006C291B"/>
    <w:rsid w:val="006C2952"/>
    <w:rsid w:val="006C29D8"/>
    <w:rsid w:val="006C2A33"/>
    <w:rsid w:val="006C2A9D"/>
    <w:rsid w:val="006C2B59"/>
    <w:rsid w:val="006C2C71"/>
    <w:rsid w:val="006C2CA5"/>
    <w:rsid w:val="006C2D51"/>
    <w:rsid w:val="006C2D6F"/>
    <w:rsid w:val="006C2D80"/>
    <w:rsid w:val="006C2D8E"/>
    <w:rsid w:val="006C2D99"/>
    <w:rsid w:val="006C2DB8"/>
    <w:rsid w:val="006C2DC2"/>
    <w:rsid w:val="006C2E7C"/>
    <w:rsid w:val="006C2F40"/>
    <w:rsid w:val="006C2FC2"/>
    <w:rsid w:val="006C2FEC"/>
    <w:rsid w:val="006C304C"/>
    <w:rsid w:val="006C30D2"/>
    <w:rsid w:val="006C317F"/>
    <w:rsid w:val="006C3205"/>
    <w:rsid w:val="006C3298"/>
    <w:rsid w:val="006C32C2"/>
    <w:rsid w:val="006C3312"/>
    <w:rsid w:val="006C34C4"/>
    <w:rsid w:val="006C34E3"/>
    <w:rsid w:val="006C357B"/>
    <w:rsid w:val="006C35DF"/>
    <w:rsid w:val="006C3621"/>
    <w:rsid w:val="006C3665"/>
    <w:rsid w:val="006C36EE"/>
    <w:rsid w:val="006C3735"/>
    <w:rsid w:val="006C3758"/>
    <w:rsid w:val="006C37D3"/>
    <w:rsid w:val="006C3840"/>
    <w:rsid w:val="006C39BB"/>
    <w:rsid w:val="006C39D8"/>
    <w:rsid w:val="006C3A57"/>
    <w:rsid w:val="006C3A93"/>
    <w:rsid w:val="006C3B08"/>
    <w:rsid w:val="006C3B62"/>
    <w:rsid w:val="006C3C1B"/>
    <w:rsid w:val="006C3C53"/>
    <w:rsid w:val="006C3C7F"/>
    <w:rsid w:val="006C3CE3"/>
    <w:rsid w:val="006C3D1C"/>
    <w:rsid w:val="006C3D3D"/>
    <w:rsid w:val="006C3DD6"/>
    <w:rsid w:val="006C3E12"/>
    <w:rsid w:val="006C3E1F"/>
    <w:rsid w:val="006C3EF6"/>
    <w:rsid w:val="006C3FA4"/>
    <w:rsid w:val="006C3FB4"/>
    <w:rsid w:val="006C3FBF"/>
    <w:rsid w:val="006C405D"/>
    <w:rsid w:val="006C40F7"/>
    <w:rsid w:val="006C40FA"/>
    <w:rsid w:val="006C411B"/>
    <w:rsid w:val="006C4153"/>
    <w:rsid w:val="006C41C4"/>
    <w:rsid w:val="006C41DB"/>
    <w:rsid w:val="006C41DE"/>
    <w:rsid w:val="006C421B"/>
    <w:rsid w:val="006C4227"/>
    <w:rsid w:val="006C42C0"/>
    <w:rsid w:val="006C42C1"/>
    <w:rsid w:val="006C42D7"/>
    <w:rsid w:val="006C4397"/>
    <w:rsid w:val="006C43E5"/>
    <w:rsid w:val="006C43FE"/>
    <w:rsid w:val="006C4407"/>
    <w:rsid w:val="006C452E"/>
    <w:rsid w:val="006C4540"/>
    <w:rsid w:val="006C4549"/>
    <w:rsid w:val="006C4680"/>
    <w:rsid w:val="006C46BA"/>
    <w:rsid w:val="006C4706"/>
    <w:rsid w:val="006C4713"/>
    <w:rsid w:val="006C4809"/>
    <w:rsid w:val="006C4861"/>
    <w:rsid w:val="006C4933"/>
    <w:rsid w:val="006C495F"/>
    <w:rsid w:val="006C49CE"/>
    <w:rsid w:val="006C4A6E"/>
    <w:rsid w:val="006C4A90"/>
    <w:rsid w:val="006C4B95"/>
    <w:rsid w:val="006C4BBB"/>
    <w:rsid w:val="006C4C33"/>
    <w:rsid w:val="006C4CA9"/>
    <w:rsid w:val="006C4CDB"/>
    <w:rsid w:val="006C4DC3"/>
    <w:rsid w:val="006C4E35"/>
    <w:rsid w:val="006C4F76"/>
    <w:rsid w:val="006C4F7D"/>
    <w:rsid w:val="006C51A4"/>
    <w:rsid w:val="006C51A5"/>
    <w:rsid w:val="006C51ED"/>
    <w:rsid w:val="006C51EF"/>
    <w:rsid w:val="006C52FD"/>
    <w:rsid w:val="006C5336"/>
    <w:rsid w:val="006C5367"/>
    <w:rsid w:val="006C551F"/>
    <w:rsid w:val="006C555F"/>
    <w:rsid w:val="006C567B"/>
    <w:rsid w:val="006C5698"/>
    <w:rsid w:val="006C56CE"/>
    <w:rsid w:val="006C56D1"/>
    <w:rsid w:val="006C5797"/>
    <w:rsid w:val="006C58C5"/>
    <w:rsid w:val="006C59B0"/>
    <w:rsid w:val="006C59CF"/>
    <w:rsid w:val="006C5A3B"/>
    <w:rsid w:val="006C5B84"/>
    <w:rsid w:val="006C5BC4"/>
    <w:rsid w:val="006C5BD1"/>
    <w:rsid w:val="006C5C02"/>
    <w:rsid w:val="006C5C38"/>
    <w:rsid w:val="006C5C4C"/>
    <w:rsid w:val="006C5CF4"/>
    <w:rsid w:val="006C5D12"/>
    <w:rsid w:val="006C5D43"/>
    <w:rsid w:val="006C5D4A"/>
    <w:rsid w:val="006C5D72"/>
    <w:rsid w:val="006C5DB2"/>
    <w:rsid w:val="006C5DE1"/>
    <w:rsid w:val="006C5DF7"/>
    <w:rsid w:val="006C5E1C"/>
    <w:rsid w:val="006C5E42"/>
    <w:rsid w:val="006C5ECD"/>
    <w:rsid w:val="006C5F2E"/>
    <w:rsid w:val="006C5FB5"/>
    <w:rsid w:val="006C601D"/>
    <w:rsid w:val="006C6051"/>
    <w:rsid w:val="006C6064"/>
    <w:rsid w:val="006C613A"/>
    <w:rsid w:val="006C614E"/>
    <w:rsid w:val="006C61CD"/>
    <w:rsid w:val="006C62A3"/>
    <w:rsid w:val="006C6357"/>
    <w:rsid w:val="006C6450"/>
    <w:rsid w:val="006C646F"/>
    <w:rsid w:val="006C652D"/>
    <w:rsid w:val="006C65EA"/>
    <w:rsid w:val="006C67B8"/>
    <w:rsid w:val="006C67BE"/>
    <w:rsid w:val="006C6934"/>
    <w:rsid w:val="006C6952"/>
    <w:rsid w:val="006C69CD"/>
    <w:rsid w:val="006C6ADA"/>
    <w:rsid w:val="006C6B62"/>
    <w:rsid w:val="006C6B7C"/>
    <w:rsid w:val="006C6C96"/>
    <w:rsid w:val="006C6D32"/>
    <w:rsid w:val="006C6D95"/>
    <w:rsid w:val="006C6D9A"/>
    <w:rsid w:val="006C6DA6"/>
    <w:rsid w:val="006C6DC2"/>
    <w:rsid w:val="006C6EFE"/>
    <w:rsid w:val="006C6F1C"/>
    <w:rsid w:val="006C6FBB"/>
    <w:rsid w:val="006C711C"/>
    <w:rsid w:val="006C71A1"/>
    <w:rsid w:val="006C7227"/>
    <w:rsid w:val="006C72F6"/>
    <w:rsid w:val="006C7311"/>
    <w:rsid w:val="006C7373"/>
    <w:rsid w:val="006C738E"/>
    <w:rsid w:val="006C73C9"/>
    <w:rsid w:val="006C73F3"/>
    <w:rsid w:val="006C7444"/>
    <w:rsid w:val="006C7497"/>
    <w:rsid w:val="006C7504"/>
    <w:rsid w:val="006C75C9"/>
    <w:rsid w:val="006C7621"/>
    <w:rsid w:val="006C7703"/>
    <w:rsid w:val="006C778E"/>
    <w:rsid w:val="006C7806"/>
    <w:rsid w:val="006C7811"/>
    <w:rsid w:val="006C7855"/>
    <w:rsid w:val="006C7863"/>
    <w:rsid w:val="006C78FB"/>
    <w:rsid w:val="006C7935"/>
    <w:rsid w:val="006C7958"/>
    <w:rsid w:val="006C7987"/>
    <w:rsid w:val="006C799C"/>
    <w:rsid w:val="006C7A68"/>
    <w:rsid w:val="006C7ABD"/>
    <w:rsid w:val="006C7B88"/>
    <w:rsid w:val="006C7B8B"/>
    <w:rsid w:val="006C7BAC"/>
    <w:rsid w:val="006C7BC5"/>
    <w:rsid w:val="006C7CC8"/>
    <w:rsid w:val="006C7D3B"/>
    <w:rsid w:val="006C7DBE"/>
    <w:rsid w:val="006C7E90"/>
    <w:rsid w:val="006C7EF4"/>
    <w:rsid w:val="006C7F2F"/>
    <w:rsid w:val="006C7F9C"/>
    <w:rsid w:val="006C7F9D"/>
    <w:rsid w:val="006D006A"/>
    <w:rsid w:val="006D0089"/>
    <w:rsid w:val="006D009D"/>
    <w:rsid w:val="006D00D7"/>
    <w:rsid w:val="006D0158"/>
    <w:rsid w:val="006D0226"/>
    <w:rsid w:val="006D0354"/>
    <w:rsid w:val="006D0465"/>
    <w:rsid w:val="006D0468"/>
    <w:rsid w:val="006D0505"/>
    <w:rsid w:val="006D0536"/>
    <w:rsid w:val="006D05CB"/>
    <w:rsid w:val="006D0623"/>
    <w:rsid w:val="006D0753"/>
    <w:rsid w:val="006D07EB"/>
    <w:rsid w:val="006D086E"/>
    <w:rsid w:val="006D08B1"/>
    <w:rsid w:val="006D0906"/>
    <w:rsid w:val="006D09E6"/>
    <w:rsid w:val="006D0A50"/>
    <w:rsid w:val="006D0A5E"/>
    <w:rsid w:val="006D0BD6"/>
    <w:rsid w:val="006D0C75"/>
    <w:rsid w:val="006D0D79"/>
    <w:rsid w:val="006D0D7C"/>
    <w:rsid w:val="006D0E89"/>
    <w:rsid w:val="006D0F9A"/>
    <w:rsid w:val="006D1006"/>
    <w:rsid w:val="006D101D"/>
    <w:rsid w:val="006D1066"/>
    <w:rsid w:val="006D1135"/>
    <w:rsid w:val="006D1184"/>
    <w:rsid w:val="006D1215"/>
    <w:rsid w:val="006D1254"/>
    <w:rsid w:val="006D1374"/>
    <w:rsid w:val="006D13C9"/>
    <w:rsid w:val="006D140F"/>
    <w:rsid w:val="006D1501"/>
    <w:rsid w:val="006D150B"/>
    <w:rsid w:val="006D1634"/>
    <w:rsid w:val="006D1669"/>
    <w:rsid w:val="006D16F5"/>
    <w:rsid w:val="006D1784"/>
    <w:rsid w:val="006D17D4"/>
    <w:rsid w:val="006D1852"/>
    <w:rsid w:val="006D1942"/>
    <w:rsid w:val="006D19C4"/>
    <w:rsid w:val="006D1AD0"/>
    <w:rsid w:val="006D1AD3"/>
    <w:rsid w:val="006D1B57"/>
    <w:rsid w:val="006D1CFE"/>
    <w:rsid w:val="006D1D83"/>
    <w:rsid w:val="006D1E20"/>
    <w:rsid w:val="006D1F7F"/>
    <w:rsid w:val="006D21B1"/>
    <w:rsid w:val="006D231F"/>
    <w:rsid w:val="006D23C7"/>
    <w:rsid w:val="006D23ED"/>
    <w:rsid w:val="006D247D"/>
    <w:rsid w:val="006D26D6"/>
    <w:rsid w:val="006D27AC"/>
    <w:rsid w:val="006D27B3"/>
    <w:rsid w:val="006D27C1"/>
    <w:rsid w:val="006D28C5"/>
    <w:rsid w:val="006D28DF"/>
    <w:rsid w:val="006D2A27"/>
    <w:rsid w:val="006D2B21"/>
    <w:rsid w:val="006D2B38"/>
    <w:rsid w:val="006D2B50"/>
    <w:rsid w:val="006D2B96"/>
    <w:rsid w:val="006D2B99"/>
    <w:rsid w:val="006D2BD3"/>
    <w:rsid w:val="006D2C03"/>
    <w:rsid w:val="006D2C9E"/>
    <w:rsid w:val="006D2CEA"/>
    <w:rsid w:val="006D2D66"/>
    <w:rsid w:val="006D2D67"/>
    <w:rsid w:val="006D2D93"/>
    <w:rsid w:val="006D2E45"/>
    <w:rsid w:val="006D2E68"/>
    <w:rsid w:val="006D2E7D"/>
    <w:rsid w:val="006D2E93"/>
    <w:rsid w:val="006D2E9C"/>
    <w:rsid w:val="006D2F82"/>
    <w:rsid w:val="006D3037"/>
    <w:rsid w:val="006D30D4"/>
    <w:rsid w:val="006D30F5"/>
    <w:rsid w:val="006D3128"/>
    <w:rsid w:val="006D3367"/>
    <w:rsid w:val="006D33E6"/>
    <w:rsid w:val="006D33F3"/>
    <w:rsid w:val="006D35B2"/>
    <w:rsid w:val="006D3600"/>
    <w:rsid w:val="006D36C0"/>
    <w:rsid w:val="006D3809"/>
    <w:rsid w:val="006D38D7"/>
    <w:rsid w:val="006D390A"/>
    <w:rsid w:val="006D3985"/>
    <w:rsid w:val="006D3A19"/>
    <w:rsid w:val="006D3A5F"/>
    <w:rsid w:val="006D3A70"/>
    <w:rsid w:val="006D3B3C"/>
    <w:rsid w:val="006D3C6C"/>
    <w:rsid w:val="006D3CA9"/>
    <w:rsid w:val="006D3D55"/>
    <w:rsid w:val="006D3D84"/>
    <w:rsid w:val="006D3DD7"/>
    <w:rsid w:val="006D3E55"/>
    <w:rsid w:val="006D3E76"/>
    <w:rsid w:val="006D3F49"/>
    <w:rsid w:val="006D41F9"/>
    <w:rsid w:val="006D431E"/>
    <w:rsid w:val="006D432B"/>
    <w:rsid w:val="006D433C"/>
    <w:rsid w:val="006D4370"/>
    <w:rsid w:val="006D43D6"/>
    <w:rsid w:val="006D4491"/>
    <w:rsid w:val="006D44BD"/>
    <w:rsid w:val="006D44D9"/>
    <w:rsid w:val="006D4512"/>
    <w:rsid w:val="006D45B0"/>
    <w:rsid w:val="006D45FB"/>
    <w:rsid w:val="006D4647"/>
    <w:rsid w:val="006D46C5"/>
    <w:rsid w:val="006D4734"/>
    <w:rsid w:val="006D4799"/>
    <w:rsid w:val="006D479E"/>
    <w:rsid w:val="006D4963"/>
    <w:rsid w:val="006D4979"/>
    <w:rsid w:val="006D49D0"/>
    <w:rsid w:val="006D49F9"/>
    <w:rsid w:val="006D4A46"/>
    <w:rsid w:val="006D4A4D"/>
    <w:rsid w:val="006D4A4E"/>
    <w:rsid w:val="006D4B38"/>
    <w:rsid w:val="006D4B91"/>
    <w:rsid w:val="006D4B95"/>
    <w:rsid w:val="006D4BC2"/>
    <w:rsid w:val="006D4C15"/>
    <w:rsid w:val="006D4CCE"/>
    <w:rsid w:val="006D4D29"/>
    <w:rsid w:val="006D4D41"/>
    <w:rsid w:val="006D4D86"/>
    <w:rsid w:val="006D4E3E"/>
    <w:rsid w:val="006D4EC5"/>
    <w:rsid w:val="006D4ED9"/>
    <w:rsid w:val="006D4F26"/>
    <w:rsid w:val="006D5055"/>
    <w:rsid w:val="006D5156"/>
    <w:rsid w:val="006D538B"/>
    <w:rsid w:val="006D54ED"/>
    <w:rsid w:val="006D5516"/>
    <w:rsid w:val="006D558E"/>
    <w:rsid w:val="006D55F6"/>
    <w:rsid w:val="006D563C"/>
    <w:rsid w:val="006D5805"/>
    <w:rsid w:val="006D582E"/>
    <w:rsid w:val="006D599D"/>
    <w:rsid w:val="006D59BD"/>
    <w:rsid w:val="006D59EB"/>
    <w:rsid w:val="006D5A8B"/>
    <w:rsid w:val="006D5B13"/>
    <w:rsid w:val="006D5B55"/>
    <w:rsid w:val="006D5C3D"/>
    <w:rsid w:val="006D5CC4"/>
    <w:rsid w:val="006D5D05"/>
    <w:rsid w:val="006D5D79"/>
    <w:rsid w:val="006D5E26"/>
    <w:rsid w:val="006D5F62"/>
    <w:rsid w:val="006D5F84"/>
    <w:rsid w:val="006D5FD0"/>
    <w:rsid w:val="006D6042"/>
    <w:rsid w:val="006D60B5"/>
    <w:rsid w:val="006D6181"/>
    <w:rsid w:val="006D6198"/>
    <w:rsid w:val="006D61C7"/>
    <w:rsid w:val="006D624B"/>
    <w:rsid w:val="006D6250"/>
    <w:rsid w:val="006D628F"/>
    <w:rsid w:val="006D62A8"/>
    <w:rsid w:val="006D6415"/>
    <w:rsid w:val="006D64C1"/>
    <w:rsid w:val="006D6577"/>
    <w:rsid w:val="006D65FD"/>
    <w:rsid w:val="006D6705"/>
    <w:rsid w:val="006D6733"/>
    <w:rsid w:val="006D680B"/>
    <w:rsid w:val="006D6903"/>
    <w:rsid w:val="006D6A19"/>
    <w:rsid w:val="006D6B38"/>
    <w:rsid w:val="006D6B42"/>
    <w:rsid w:val="006D6CF4"/>
    <w:rsid w:val="006D6CFA"/>
    <w:rsid w:val="006D6DC7"/>
    <w:rsid w:val="006D6DDA"/>
    <w:rsid w:val="006D6E29"/>
    <w:rsid w:val="006D6E66"/>
    <w:rsid w:val="006D6E9C"/>
    <w:rsid w:val="006D6F3B"/>
    <w:rsid w:val="006D6F77"/>
    <w:rsid w:val="006D6FD4"/>
    <w:rsid w:val="006D6FEA"/>
    <w:rsid w:val="006D70CA"/>
    <w:rsid w:val="006D715E"/>
    <w:rsid w:val="006D7170"/>
    <w:rsid w:val="006D71A2"/>
    <w:rsid w:val="006D71D7"/>
    <w:rsid w:val="006D722C"/>
    <w:rsid w:val="006D7325"/>
    <w:rsid w:val="006D73D3"/>
    <w:rsid w:val="006D73EC"/>
    <w:rsid w:val="006D7459"/>
    <w:rsid w:val="006D74AA"/>
    <w:rsid w:val="006D753E"/>
    <w:rsid w:val="006D7551"/>
    <w:rsid w:val="006D7562"/>
    <w:rsid w:val="006D75D6"/>
    <w:rsid w:val="006D75E1"/>
    <w:rsid w:val="006D76A6"/>
    <w:rsid w:val="006D776D"/>
    <w:rsid w:val="006D7789"/>
    <w:rsid w:val="006D7868"/>
    <w:rsid w:val="006D789C"/>
    <w:rsid w:val="006D78C6"/>
    <w:rsid w:val="006D7926"/>
    <w:rsid w:val="006D795A"/>
    <w:rsid w:val="006D7A08"/>
    <w:rsid w:val="006D7A60"/>
    <w:rsid w:val="006D7BBC"/>
    <w:rsid w:val="006D7C03"/>
    <w:rsid w:val="006D7C87"/>
    <w:rsid w:val="006D7C8A"/>
    <w:rsid w:val="006D7CEC"/>
    <w:rsid w:val="006D7D6E"/>
    <w:rsid w:val="006D7EE3"/>
    <w:rsid w:val="006D7EEC"/>
    <w:rsid w:val="006D7F16"/>
    <w:rsid w:val="006D7F3B"/>
    <w:rsid w:val="006D7F6B"/>
    <w:rsid w:val="006E007E"/>
    <w:rsid w:val="006E0082"/>
    <w:rsid w:val="006E008D"/>
    <w:rsid w:val="006E00D4"/>
    <w:rsid w:val="006E0154"/>
    <w:rsid w:val="006E017E"/>
    <w:rsid w:val="006E0313"/>
    <w:rsid w:val="006E039E"/>
    <w:rsid w:val="006E03C0"/>
    <w:rsid w:val="006E03F3"/>
    <w:rsid w:val="006E0590"/>
    <w:rsid w:val="006E0594"/>
    <w:rsid w:val="006E05B6"/>
    <w:rsid w:val="006E06AC"/>
    <w:rsid w:val="006E06AE"/>
    <w:rsid w:val="006E0764"/>
    <w:rsid w:val="006E0765"/>
    <w:rsid w:val="006E0798"/>
    <w:rsid w:val="006E083D"/>
    <w:rsid w:val="006E0884"/>
    <w:rsid w:val="006E08C5"/>
    <w:rsid w:val="006E0908"/>
    <w:rsid w:val="006E0983"/>
    <w:rsid w:val="006E0AA1"/>
    <w:rsid w:val="006E0B20"/>
    <w:rsid w:val="006E0D1E"/>
    <w:rsid w:val="006E0D72"/>
    <w:rsid w:val="006E0DDD"/>
    <w:rsid w:val="006E0E12"/>
    <w:rsid w:val="006E0E1B"/>
    <w:rsid w:val="006E0E26"/>
    <w:rsid w:val="006E0E43"/>
    <w:rsid w:val="006E0E4F"/>
    <w:rsid w:val="006E0E85"/>
    <w:rsid w:val="006E0EDB"/>
    <w:rsid w:val="006E0F1E"/>
    <w:rsid w:val="006E0F23"/>
    <w:rsid w:val="006E0F64"/>
    <w:rsid w:val="006E0FAB"/>
    <w:rsid w:val="006E0FFF"/>
    <w:rsid w:val="006E1164"/>
    <w:rsid w:val="006E117D"/>
    <w:rsid w:val="006E122A"/>
    <w:rsid w:val="006E1284"/>
    <w:rsid w:val="006E1375"/>
    <w:rsid w:val="006E13AA"/>
    <w:rsid w:val="006E140B"/>
    <w:rsid w:val="006E14A9"/>
    <w:rsid w:val="006E14DF"/>
    <w:rsid w:val="006E14E1"/>
    <w:rsid w:val="006E1527"/>
    <w:rsid w:val="006E1549"/>
    <w:rsid w:val="006E157A"/>
    <w:rsid w:val="006E1600"/>
    <w:rsid w:val="006E1620"/>
    <w:rsid w:val="006E1658"/>
    <w:rsid w:val="006E1717"/>
    <w:rsid w:val="006E17B6"/>
    <w:rsid w:val="006E180E"/>
    <w:rsid w:val="006E1830"/>
    <w:rsid w:val="006E1938"/>
    <w:rsid w:val="006E193C"/>
    <w:rsid w:val="006E19B1"/>
    <w:rsid w:val="006E19BC"/>
    <w:rsid w:val="006E1AA5"/>
    <w:rsid w:val="006E1B52"/>
    <w:rsid w:val="006E1CBC"/>
    <w:rsid w:val="006E1CD9"/>
    <w:rsid w:val="006E1CF9"/>
    <w:rsid w:val="006E1D27"/>
    <w:rsid w:val="006E1D50"/>
    <w:rsid w:val="006E1DCB"/>
    <w:rsid w:val="006E1E50"/>
    <w:rsid w:val="006E1F70"/>
    <w:rsid w:val="006E2116"/>
    <w:rsid w:val="006E2158"/>
    <w:rsid w:val="006E2207"/>
    <w:rsid w:val="006E2212"/>
    <w:rsid w:val="006E2213"/>
    <w:rsid w:val="006E2256"/>
    <w:rsid w:val="006E227D"/>
    <w:rsid w:val="006E22BF"/>
    <w:rsid w:val="006E2343"/>
    <w:rsid w:val="006E2448"/>
    <w:rsid w:val="006E2493"/>
    <w:rsid w:val="006E24EA"/>
    <w:rsid w:val="006E268C"/>
    <w:rsid w:val="006E269E"/>
    <w:rsid w:val="006E26F2"/>
    <w:rsid w:val="006E270D"/>
    <w:rsid w:val="006E27BD"/>
    <w:rsid w:val="006E27D7"/>
    <w:rsid w:val="006E2826"/>
    <w:rsid w:val="006E2838"/>
    <w:rsid w:val="006E293A"/>
    <w:rsid w:val="006E299D"/>
    <w:rsid w:val="006E2A3C"/>
    <w:rsid w:val="006E2B58"/>
    <w:rsid w:val="006E2BD7"/>
    <w:rsid w:val="006E2BD9"/>
    <w:rsid w:val="006E2C2C"/>
    <w:rsid w:val="006E2E40"/>
    <w:rsid w:val="006E2EF4"/>
    <w:rsid w:val="006E2F42"/>
    <w:rsid w:val="006E2FD2"/>
    <w:rsid w:val="006E3058"/>
    <w:rsid w:val="006E30A1"/>
    <w:rsid w:val="006E30E7"/>
    <w:rsid w:val="006E30E9"/>
    <w:rsid w:val="006E3223"/>
    <w:rsid w:val="006E3362"/>
    <w:rsid w:val="006E3366"/>
    <w:rsid w:val="006E33E0"/>
    <w:rsid w:val="006E340B"/>
    <w:rsid w:val="006E3501"/>
    <w:rsid w:val="006E3548"/>
    <w:rsid w:val="006E355C"/>
    <w:rsid w:val="006E35D2"/>
    <w:rsid w:val="006E3663"/>
    <w:rsid w:val="006E36EE"/>
    <w:rsid w:val="006E3723"/>
    <w:rsid w:val="006E3751"/>
    <w:rsid w:val="006E380F"/>
    <w:rsid w:val="006E3863"/>
    <w:rsid w:val="006E3879"/>
    <w:rsid w:val="006E3930"/>
    <w:rsid w:val="006E394E"/>
    <w:rsid w:val="006E3A2D"/>
    <w:rsid w:val="006E3AF3"/>
    <w:rsid w:val="006E3B79"/>
    <w:rsid w:val="006E3CF5"/>
    <w:rsid w:val="006E3E80"/>
    <w:rsid w:val="006E3EB6"/>
    <w:rsid w:val="006E3F7E"/>
    <w:rsid w:val="006E3FB7"/>
    <w:rsid w:val="006E405C"/>
    <w:rsid w:val="006E4062"/>
    <w:rsid w:val="006E40C9"/>
    <w:rsid w:val="006E419E"/>
    <w:rsid w:val="006E426C"/>
    <w:rsid w:val="006E42F4"/>
    <w:rsid w:val="006E43E5"/>
    <w:rsid w:val="006E4456"/>
    <w:rsid w:val="006E4477"/>
    <w:rsid w:val="006E458B"/>
    <w:rsid w:val="006E4603"/>
    <w:rsid w:val="006E475B"/>
    <w:rsid w:val="006E4863"/>
    <w:rsid w:val="006E4864"/>
    <w:rsid w:val="006E4885"/>
    <w:rsid w:val="006E48BD"/>
    <w:rsid w:val="006E48FA"/>
    <w:rsid w:val="006E4968"/>
    <w:rsid w:val="006E49CB"/>
    <w:rsid w:val="006E4AB5"/>
    <w:rsid w:val="006E4ABB"/>
    <w:rsid w:val="006E4B55"/>
    <w:rsid w:val="006E4B89"/>
    <w:rsid w:val="006E4D7B"/>
    <w:rsid w:val="006E4DA4"/>
    <w:rsid w:val="006E4E37"/>
    <w:rsid w:val="006E4F6D"/>
    <w:rsid w:val="006E500A"/>
    <w:rsid w:val="006E5013"/>
    <w:rsid w:val="006E50A7"/>
    <w:rsid w:val="006E518F"/>
    <w:rsid w:val="006E51BB"/>
    <w:rsid w:val="006E529E"/>
    <w:rsid w:val="006E532B"/>
    <w:rsid w:val="006E535E"/>
    <w:rsid w:val="006E5400"/>
    <w:rsid w:val="006E54E3"/>
    <w:rsid w:val="006E55A1"/>
    <w:rsid w:val="006E55DB"/>
    <w:rsid w:val="006E5666"/>
    <w:rsid w:val="006E573C"/>
    <w:rsid w:val="006E57BD"/>
    <w:rsid w:val="006E57C6"/>
    <w:rsid w:val="006E57CD"/>
    <w:rsid w:val="006E5806"/>
    <w:rsid w:val="006E582A"/>
    <w:rsid w:val="006E5877"/>
    <w:rsid w:val="006E58A2"/>
    <w:rsid w:val="006E59D7"/>
    <w:rsid w:val="006E5A20"/>
    <w:rsid w:val="006E5A4C"/>
    <w:rsid w:val="006E5B9C"/>
    <w:rsid w:val="006E5BA2"/>
    <w:rsid w:val="006E5C7A"/>
    <w:rsid w:val="006E5E66"/>
    <w:rsid w:val="006E5F0A"/>
    <w:rsid w:val="006E6083"/>
    <w:rsid w:val="006E6197"/>
    <w:rsid w:val="006E61BA"/>
    <w:rsid w:val="006E6297"/>
    <w:rsid w:val="006E635B"/>
    <w:rsid w:val="006E656D"/>
    <w:rsid w:val="006E6632"/>
    <w:rsid w:val="006E66E4"/>
    <w:rsid w:val="006E68C8"/>
    <w:rsid w:val="006E68CC"/>
    <w:rsid w:val="006E68E3"/>
    <w:rsid w:val="006E68E7"/>
    <w:rsid w:val="006E6938"/>
    <w:rsid w:val="006E697E"/>
    <w:rsid w:val="006E6A03"/>
    <w:rsid w:val="006E6AC8"/>
    <w:rsid w:val="006E6B3E"/>
    <w:rsid w:val="006E6C03"/>
    <w:rsid w:val="006E6C8F"/>
    <w:rsid w:val="006E6C9E"/>
    <w:rsid w:val="006E6CB0"/>
    <w:rsid w:val="006E6CC7"/>
    <w:rsid w:val="006E6CF1"/>
    <w:rsid w:val="006E6D10"/>
    <w:rsid w:val="006E6D58"/>
    <w:rsid w:val="006E6EBB"/>
    <w:rsid w:val="006E6F32"/>
    <w:rsid w:val="006E6F8F"/>
    <w:rsid w:val="006E70A3"/>
    <w:rsid w:val="006E70C4"/>
    <w:rsid w:val="006E714B"/>
    <w:rsid w:val="006E71BF"/>
    <w:rsid w:val="006E72A9"/>
    <w:rsid w:val="006E7330"/>
    <w:rsid w:val="006E73CD"/>
    <w:rsid w:val="006E742F"/>
    <w:rsid w:val="006E7435"/>
    <w:rsid w:val="006E74C1"/>
    <w:rsid w:val="006E74C2"/>
    <w:rsid w:val="006E7520"/>
    <w:rsid w:val="006E7573"/>
    <w:rsid w:val="006E7582"/>
    <w:rsid w:val="006E7615"/>
    <w:rsid w:val="006E7628"/>
    <w:rsid w:val="006E76A0"/>
    <w:rsid w:val="006E76BE"/>
    <w:rsid w:val="006E7738"/>
    <w:rsid w:val="006E77D4"/>
    <w:rsid w:val="006E7922"/>
    <w:rsid w:val="006E7941"/>
    <w:rsid w:val="006E796B"/>
    <w:rsid w:val="006E7A16"/>
    <w:rsid w:val="006E7B77"/>
    <w:rsid w:val="006E7B99"/>
    <w:rsid w:val="006E7C19"/>
    <w:rsid w:val="006E7CA1"/>
    <w:rsid w:val="006E7CD9"/>
    <w:rsid w:val="006E7D09"/>
    <w:rsid w:val="006E7E0C"/>
    <w:rsid w:val="006E7E49"/>
    <w:rsid w:val="006E7EB4"/>
    <w:rsid w:val="006E7ECD"/>
    <w:rsid w:val="006E7F46"/>
    <w:rsid w:val="006E7FC7"/>
    <w:rsid w:val="006F0033"/>
    <w:rsid w:val="006F0056"/>
    <w:rsid w:val="006F005D"/>
    <w:rsid w:val="006F00CD"/>
    <w:rsid w:val="006F0125"/>
    <w:rsid w:val="006F0195"/>
    <w:rsid w:val="006F03C4"/>
    <w:rsid w:val="006F0533"/>
    <w:rsid w:val="006F0539"/>
    <w:rsid w:val="006F0574"/>
    <w:rsid w:val="006F0586"/>
    <w:rsid w:val="006F0602"/>
    <w:rsid w:val="006F0678"/>
    <w:rsid w:val="006F06B4"/>
    <w:rsid w:val="006F06C1"/>
    <w:rsid w:val="006F086D"/>
    <w:rsid w:val="006F08EA"/>
    <w:rsid w:val="006F08FC"/>
    <w:rsid w:val="006F09AE"/>
    <w:rsid w:val="006F09E5"/>
    <w:rsid w:val="006F0AA5"/>
    <w:rsid w:val="006F0B63"/>
    <w:rsid w:val="006F0B7F"/>
    <w:rsid w:val="006F0C86"/>
    <w:rsid w:val="006F0D56"/>
    <w:rsid w:val="006F0DBD"/>
    <w:rsid w:val="006F0E6E"/>
    <w:rsid w:val="006F0F32"/>
    <w:rsid w:val="006F0F71"/>
    <w:rsid w:val="006F1024"/>
    <w:rsid w:val="006F1096"/>
    <w:rsid w:val="006F1278"/>
    <w:rsid w:val="006F134C"/>
    <w:rsid w:val="006F1378"/>
    <w:rsid w:val="006F1393"/>
    <w:rsid w:val="006F13C2"/>
    <w:rsid w:val="006F1497"/>
    <w:rsid w:val="006F1543"/>
    <w:rsid w:val="006F15A2"/>
    <w:rsid w:val="006F15C4"/>
    <w:rsid w:val="006F15D8"/>
    <w:rsid w:val="006F15F2"/>
    <w:rsid w:val="006F1687"/>
    <w:rsid w:val="006F16F1"/>
    <w:rsid w:val="006F171C"/>
    <w:rsid w:val="006F174F"/>
    <w:rsid w:val="006F1943"/>
    <w:rsid w:val="006F1A82"/>
    <w:rsid w:val="006F1A88"/>
    <w:rsid w:val="006F1B09"/>
    <w:rsid w:val="006F1B31"/>
    <w:rsid w:val="006F1B47"/>
    <w:rsid w:val="006F1B4F"/>
    <w:rsid w:val="006F1B7F"/>
    <w:rsid w:val="006F1BBD"/>
    <w:rsid w:val="006F1C18"/>
    <w:rsid w:val="006F1E34"/>
    <w:rsid w:val="006F1EA7"/>
    <w:rsid w:val="006F1EC8"/>
    <w:rsid w:val="006F1ECE"/>
    <w:rsid w:val="006F1F42"/>
    <w:rsid w:val="006F1F79"/>
    <w:rsid w:val="006F1FD2"/>
    <w:rsid w:val="006F20BA"/>
    <w:rsid w:val="006F20F3"/>
    <w:rsid w:val="006F213B"/>
    <w:rsid w:val="006F2185"/>
    <w:rsid w:val="006F21E6"/>
    <w:rsid w:val="006F21F7"/>
    <w:rsid w:val="006F222E"/>
    <w:rsid w:val="006F2255"/>
    <w:rsid w:val="006F225C"/>
    <w:rsid w:val="006F2347"/>
    <w:rsid w:val="006F2348"/>
    <w:rsid w:val="006F23C9"/>
    <w:rsid w:val="006F245A"/>
    <w:rsid w:val="006F249B"/>
    <w:rsid w:val="006F24CA"/>
    <w:rsid w:val="006F254E"/>
    <w:rsid w:val="006F265F"/>
    <w:rsid w:val="006F268F"/>
    <w:rsid w:val="006F26A3"/>
    <w:rsid w:val="006F26EF"/>
    <w:rsid w:val="006F26F5"/>
    <w:rsid w:val="006F2721"/>
    <w:rsid w:val="006F2779"/>
    <w:rsid w:val="006F279F"/>
    <w:rsid w:val="006F27CB"/>
    <w:rsid w:val="006F285D"/>
    <w:rsid w:val="006F286F"/>
    <w:rsid w:val="006F2894"/>
    <w:rsid w:val="006F289D"/>
    <w:rsid w:val="006F28F6"/>
    <w:rsid w:val="006F2935"/>
    <w:rsid w:val="006F2B0E"/>
    <w:rsid w:val="006F2B20"/>
    <w:rsid w:val="006F2B71"/>
    <w:rsid w:val="006F2BE7"/>
    <w:rsid w:val="006F2C31"/>
    <w:rsid w:val="006F2C76"/>
    <w:rsid w:val="006F2D70"/>
    <w:rsid w:val="006F2E19"/>
    <w:rsid w:val="006F2E58"/>
    <w:rsid w:val="006F2F16"/>
    <w:rsid w:val="006F2FF4"/>
    <w:rsid w:val="006F3058"/>
    <w:rsid w:val="006F336F"/>
    <w:rsid w:val="006F33A2"/>
    <w:rsid w:val="006F33CD"/>
    <w:rsid w:val="006F34A1"/>
    <w:rsid w:val="006F34C5"/>
    <w:rsid w:val="006F3594"/>
    <w:rsid w:val="006F3694"/>
    <w:rsid w:val="006F385A"/>
    <w:rsid w:val="006F388D"/>
    <w:rsid w:val="006F38B7"/>
    <w:rsid w:val="006F3947"/>
    <w:rsid w:val="006F39B1"/>
    <w:rsid w:val="006F39F5"/>
    <w:rsid w:val="006F3AFE"/>
    <w:rsid w:val="006F3B4D"/>
    <w:rsid w:val="006F3D5C"/>
    <w:rsid w:val="006F3E2B"/>
    <w:rsid w:val="006F4133"/>
    <w:rsid w:val="006F4186"/>
    <w:rsid w:val="006F419C"/>
    <w:rsid w:val="006F41B9"/>
    <w:rsid w:val="006F41CE"/>
    <w:rsid w:val="006F4221"/>
    <w:rsid w:val="006F432B"/>
    <w:rsid w:val="006F43BB"/>
    <w:rsid w:val="006F4438"/>
    <w:rsid w:val="006F446F"/>
    <w:rsid w:val="006F452A"/>
    <w:rsid w:val="006F46D3"/>
    <w:rsid w:val="006F493B"/>
    <w:rsid w:val="006F496A"/>
    <w:rsid w:val="006F49AE"/>
    <w:rsid w:val="006F49B9"/>
    <w:rsid w:val="006F4A26"/>
    <w:rsid w:val="006F4A44"/>
    <w:rsid w:val="006F4A48"/>
    <w:rsid w:val="006F4ACF"/>
    <w:rsid w:val="006F4B17"/>
    <w:rsid w:val="006F4C13"/>
    <w:rsid w:val="006F4C3D"/>
    <w:rsid w:val="006F4CC2"/>
    <w:rsid w:val="006F4D5F"/>
    <w:rsid w:val="006F4E09"/>
    <w:rsid w:val="006F4F5E"/>
    <w:rsid w:val="006F500C"/>
    <w:rsid w:val="006F5145"/>
    <w:rsid w:val="006F518E"/>
    <w:rsid w:val="006F5198"/>
    <w:rsid w:val="006F521D"/>
    <w:rsid w:val="006F522C"/>
    <w:rsid w:val="006F52AD"/>
    <w:rsid w:val="006F5447"/>
    <w:rsid w:val="006F5448"/>
    <w:rsid w:val="006F547B"/>
    <w:rsid w:val="006F550B"/>
    <w:rsid w:val="006F5593"/>
    <w:rsid w:val="006F5716"/>
    <w:rsid w:val="006F57A8"/>
    <w:rsid w:val="006F5859"/>
    <w:rsid w:val="006F586C"/>
    <w:rsid w:val="006F587B"/>
    <w:rsid w:val="006F5960"/>
    <w:rsid w:val="006F5B4C"/>
    <w:rsid w:val="006F5BA1"/>
    <w:rsid w:val="006F5C9D"/>
    <w:rsid w:val="006F5CC5"/>
    <w:rsid w:val="006F5DDC"/>
    <w:rsid w:val="006F5DE0"/>
    <w:rsid w:val="006F5E37"/>
    <w:rsid w:val="006F5E6D"/>
    <w:rsid w:val="006F5EC2"/>
    <w:rsid w:val="006F5EC6"/>
    <w:rsid w:val="006F5ECF"/>
    <w:rsid w:val="006F5F01"/>
    <w:rsid w:val="006F6016"/>
    <w:rsid w:val="006F605C"/>
    <w:rsid w:val="006F609D"/>
    <w:rsid w:val="006F60C0"/>
    <w:rsid w:val="006F61DD"/>
    <w:rsid w:val="006F6287"/>
    <w:rsid w:val="006F62DA"/>
    <w:rsid w:val="006F634D"/>
    <w:rsid w:val="006F63F6"/>
    <w:rsid w:val="006F646A"/>
    <w:rsid w:val="006F6476"/>
    <w:rsid w:val="006F6485"/>
    <w:rsid w:val="006F65B8"/>
    <w:rsid w:val="006F65BC"/>
    <w:rsid w:val="006F6624"/>
    <w:rsid w:val="006F6640"/>
    <w:rsid w:val="006F674A"/>
    <w:rsid w:val="006F677B"/>
    <w:rsid w:val="006F67CD"/>
    <w:rsid w:val="006F68BC"/>
    <w:rsid w:val="006F68FD"/>
    <w:rsid w:val="006F6908"/>
    <w:rsid w:val="006F6966"/>
    <w:rsid w:val="006F6A5E"/>
    <w:rsid w:val="006F6BC7"/>
    <w:rsid w:val="006F6BEE"/>
    <w:rsid w:val="006F6DB7"/>
    <w:rsid w:val="006F6E1F"/>
    <w:rsid w:val="006F6F83"/>
    <w:rsid w:val="006F6F8D"/>
    <w:rsid w:val="006F6FD2"/>
    <w:rsid w:val="006F7015"/>
    <w:rsid w:val="006F70EC"/>
    <w:rsid w:val="006F722A"/>
    <w:rsid w:val="006F72BC"/>
    <w:rsid w:val="006F72D0"/>
    <w:rsid w:val="006F7321"/>
    <w:rsid w:val="006F7358"/>
    <w:rsid w:val="006F735A"/>
    <w:rsid w:val="006F7396"/>
    <w:rsid w:val="006F73F0"/>
    <w:rsid w:val="006F74B8"/>
    <w:rsid w:val="006F74C0"/>
    <w:rsid w:val="006F74D8"/>
    <w:rsid w:val="006F7524"/>
    <w:rsid w:val="006F757A"/>
    <w:rsid w:val="006F75E9"/>
    <w:rsid w:val="006F7615"/>
    <w:rsid w:val="006F76DB"/>
    <w:rsid w:val="006F78A2"/>
    <w:rsid w:val="006F79B7"/>
    <w:rsid w:val="006F79E0"/>
    <w:rsid w:val="006F7A4A"/>
    <w:rsid w:val="006F7AE7"/>
    <w:rsid w:val="006F7B49"/>
    <w:rsid w:val="006F7BA7"/>
    <w:rsid w:val="006F7BE7"/>
    <w:rsid w:val="006F7C18"/>
    <w:rsid w:val="006F7C9A"/>
    <w:rsid w:val="006F7CBC"/>
    <w:rsid w:val="006F7D4C"/>
    <w:rsid w:val="006F7EA6"/>
    <w:rsid w:val="006F7EE2"/>
    <w:rsid w:val="006F7FEB"/>
    <w:rsid w:val="006F7FF1"/>
    <w:rsid w:val="006F7FFA"/>
    <w:rsid w:val="0070004E"/>
    <w:rsid w:val="00700075"/>
    <w:rsid w:val="0070007F"/>
    <w:rsid w:val="007001FA"/>
    <w:rsid w:val="0070021E"/>
    <w:rsid w:val="00700263"/>
    <w:rsid w:val="0070027C"/>
    <w:rsid w:val="00700282"/>
    <w:rsid w:val="007002B0"/>
    <w:rsid w:val="007002B7"/>
    <w:rsid w:val="0070032D"/>
    <w:rsid w:val="007003B6"/>
    <w:rsid w:val="007003CA"/>
    <w:rsid w:val="00700404"/>
    <w:rsid w:val="00700457"/>
    <w:rsid w:val="00700523"/>
    <w:rsid w:val="007006E3"/>
    <w:rsid w:val="00700758"/>
    <w:rsid w:val="0070082D"/>
    <w:rsid w:val="00700899"/>
    <w:rsid w:val="007008A6"/>
    <w:rsid w:val="0070090D"/>
    <w:rsid w:val="0070091D"/>
    <w:rsid w:val="0070099C"/>
    <w:rsid w:val="00700A09"/>
    <w:rsid w:val="00700A5A"/>
    <w:rsid w:val="00700B4A"/>
    <w:rsid w:val="00700B83"/>
    <w:rsid w:val="00700C02"/>
    <w:rsid w:val="00700C19"/>
    <w:rsid w:val="00700C25"/>
    <w:rsid w:val="00700C59"/>
    <w:rsid w:val="00700D2A"/>
    <w:rsid w:val="00700D67"/>
    <w:rsid w:val="00700D90"/>
    <w:rsid w:val="00700DB8"/>
    <w:rsid w:val="00700EA5"/>
    <w:rsid w:val="00700EB6"/>
    <w:rsid w:val="00700ECA"/>
    <w:rsid w:val="00700FF9"/>
    <w:rsid w:val="00701018"/>
    <w:rsid w:val="00701176"/>
    <w:rsid w:val="007012BF"/>
    <w:rsid w:val="007013BC"/>
    <w:rsid w:val="007013BD"/>
    <w:rsid w:val="00701415"/>
    <w:rsid w:val="00701455"/>
    <w:rsid w:val="007015BF"/>
    <w:rsid w:val="0070160C"/>
    <w:rsid w:val="007016A9"/>
    <w:rsid w:val="007016EF"/>
    <w:rsid w:val="007016FC"/>
    <w:rsid w:val="0070178B"/>
    <w:rsid w:val="007017F0"/>
    <w:rsid w:val="007018B2"/>
    <w:rsid w:val="007018BA"/>
    <w:rsid w:val="007018D7"/>
    <w:rsid w:val="00701905"/>
    <w:rsid w:val="00701A2B"/>
    <w:rsid w:val="00701A4B"/>
    <w:rsid w:val="00701A4C"/>
    <w:rsid w:val="00701A65"/>
    <w:rsid w:val="00701B00"/>
    <w:rsid w:val="00701B22"/>
    <w:rsid w:val="00701B8C"/>
    <w:rsid w:val="00701BE9"/>
    <w:rsid w:val="00701D0E"/>
    <w:rsid w:val="00701DCD"/>
    <w:rsid w:val="00701E15"/>
    <w:rsid w:val="00701E34"/>
    <w:rsid w:val="00701EED"/>
    <w:rsid w:val="00701F5F"/>
    <w:rsid w:val="00701FBF"/>
    <w:rsid w:val="00701FEB"/>
    <w:rsid w:val="00702034"/>
    <w:rsid w:val="007020DE"/>
    <w:rsid w:val="007021BC"/>
    <w:rsid w:val="007021BE"/>
    <w:rsid w:val="007022CF"/>
    <w:rsid w:val="00702304"/>
    <w:rsid w:val="0070234A"/>
    <w:rsid w:val="0070238B"/>
    <w:rsid w:val="0070239F"/>
    <w:rsid w:val="007023D3"/>
    <w:rsid w:val="0070240D"/>
    <w:rsid w:val="00702466"/>
    <w:rsid w:val="00702490"/>
    <w:rsid w:val="007024CA"/>
    <w:rsid w:val="00702507"/>
    <w:rsid w:val="007025C5"/>
    <w:rsid w:val="007025D4"/>
    <w:rsid w:val="007026CC"/>
    <w:rsid w:val="007026EA"/>
    <w:rsid w:val="0070270D"/>
    <w:rsid w:val="0070272B"/>
    <w:rsid w:val="007027FF"/>
    <w:rsid w:val="00702959"/>
    <w:rsid w:val="007029B2"/>
    <w:rsid w:val="00702B92"/>
    <w:rsid w:val="00702BB7"/>
    <w:rsid w:val="00702BC3"/>
    <w:rsid w:val="00702C2F"/>
    <w:rsid w:val="00702C73"/>
    <w:rsid w:val="00702D5A"/>
    <w:rsid w:val="00702DB4"/>
    <w:rsid w:val="00702F64"/>
    <w:rsid w:val="00703023"/>
    <w:rsid w:val="007030F5"/>
    <w:rsid w:val="00703258"/>
    <w:rsid w:val="007033BF"/>
    <w:rsid w:val="00703437"/>
    <w:rsid w:val="0070348B"/>
    <w:rsid w:val="007034A6"/>
    <w:rsid w:val="00703544"/>
    <w:rsid w:val="0070377E"/>
    <w:rsid w:val="0070378A"/>
    <w:rsid w:val="007037C0"/>
    <w:rsid w:val="007038CD"/>
    <w:rsid w:val="00703977"/>
    <w:rsid w:val="007039A9"/>
    <w:rsid w:val="007039B8"/>
    <w:rsid w:val="00703A14"/>
    <w:rsid w:val="00703B8F"/>
    <w:rsid w:val="00703C0C"/>
    <w:rsid w:val="00703C7F"/>
    <w:rsid w:val="00703D47"/>
    <w:rsid w:val="00703DA7"/>
    <w:rsid w:val="00703DAC"/>
    <w:rsid w:val="00703E1D"/>
    <w:rsid w:val="00703E2F"/>
    <w:rsid w:val="00703E7A"/>
    <w:rsid w:val="0070403C"/>
    <w:rsid w:val="00704070"/>
    <w:rsid w:val="007040D3"/>
    <w:rsid w:val="007040DC"/>
    <w:rsid w:val="0070436A"/>
    <w:rsid w:val="00704376"/>
    <w:rsid w:val="00704428"/>
    <w:rsid w:val="0070447C"/>
    <w:rsid w:val="007044EC"/>
    <w:rsid w:val="007045BE"/>
    <w:rsid w:val="00704650"/>
    <w:rsid w:val="007046E8"/>
    <w:rsid w:val="0070473D"/>
    <w:rsid w:val="007047F9"/>
    <w:rsid w:val="00704872"/>
    <w:rsid w:val="00704944"/>
    <w:rsid w:val="007049BF"/>
    <w:rsid w:val="00704A9D"/>
    <w:rsid w:val="00704B78"/>
    <w:rsid w:val="00704D6C"/>
    <w:rsid w:val="00704EB5"/>
    <w:rsid w:val="00704EE8"/>
    <w:rsid w:val="00704EEE"/>
    <w:rsid w:val="00704F83"/>
    <w:rsid w:val="00704FBB"/>
    <w:rsid w:val="00704FC6"/>
    <w:rsid w:val="00705068"/>
    <w:rsid w:val="007050CC"/>
    <w:rsid w:val="007050EF"/>
    <w:rsid w:val="00705145"/>
    <w:rsid w:val="007051CE"/>
    <w:rsid w:val="00705264"/>
    <w:rsid w:val="00705286"/>
    <w:rsid w:val="00705313"/>
    <w:rsid w:val="00705393"/>
    <w:rsid w:val="007054AF"/>
    <w:rsid w:val="00705555"/>
    <w:rsid w:val="00705563"/>
    <w:rsid w:val="00705583"/>
    <w:rsid w:val="007055A3"/>
    <w:rsid w:val="007055CF"/>
    <w:rsid w:val="00705652"/>
    <w:rsid w:val="0070568F"/>
    <w:rsid w:val="007056F1"/>
    <w:rsid w:val="00705706"/>
    <w:rsid w:val="0070577E"/>
    <w:rsid w:val="007057AE"/>
    <w:rsid w:val="00705873"/>
    <w:rsid w:val="007058B3"/>
    <w:rsid w:val="0070598D"/>
    <w:rsid w:val="00705AC9"/>
    <w:rsid w:val="00705B05"/>
    <w:rsid w:val="00705BDD"/>
    <w:rsid w:val="00705C13"/>
    <w:rsid w:val="00705C1A"/>
    <w:rsid w:val="00705C44"/>
    <w:rsid w:val="00705C81"/>
    <w:rsid w:val="00705CAB"/>
    <w:rsid w:val="00705DC9"/>
    <w:rsid w:val="00705EB3"/>
    <w:rsid w:val="00705FE4"/>
    <w:rsid w:val="00705FEB"/>
    <w:rsid w:val="0070604D"/>
    <w:rsid w:val="0070606B"/>
    <w:rsid w:val="007060A1"/>
    <w:rsid w:val="00706228"/>
    <w:rsid w:val="0070623F"/>
    <w:rsid w:val="007062F1"/>
    <w:rsid w:val="0070633B"/>
    <w:rsid w:val="0070638E"/>
    <w:rsid w:val="0070638F"/>
    <w:rsid w:val="007063C1"/>
    <w:rsid w:val="0070641C"/>
    <w:rsid w:val="0070656C"/>
    <w:rsid w:val="00706748"/>
    <w:rsid w:val="00706766"/>
    <w:rsid w:val="007067BE"/>
    <w:rsid w:val="007068AB"/>
    <w:rsid w:val="007068C0"/>
    <w:rsid w:val="007068D3"/>
    <w:rsid w:val="0070699C"/>
    <w:rsid w:val="00706A5E"/>
    <w:rsid w:val="00706A7A"/>
    <w:rsid w:val="00706AFC"/>
    <w:rsid w:val="00706B5B"/>
    <w:rsid w:val="00706BEC"/>
    <w:rsid w:val="00706C60"/>
    <w:rsid w:val="00706C73"/>
    <w:rsid w:val="00706D0E"/>
    <w:rsid w:val="00706D67"/>
    <w:rsid w:val="00706D8D"/>
    <w:rsid w:val="00706DDB"/>
    <w:rsid w:val="00706E22"/>
    <w:rsid w:val="00706E73"/>
    <w:rsid w:val="007070EA"/>
    <w:rsid w:val="007070FC"/>
    <w:rsid w:val="0070713C"/>
    <w:rsid w:val="00707146"/>
    <w:rsid w:val="00707268"/>
    <w:rsid w:val="0070731F"/>
    <w:rsid w:val="0070734E"/>
    <w:rsid w:val="0070738A"/>
    <w:rsid w:val="0070740E"/>
    <w:rsid w:val="007074B3"/>
    <w:rsid w:val="007074C1"/>
    <w:rsid w:val="00707538"/>
    <w:rsid w:val="00707546"/>
    <w:rsid w:val="007075B0"/>
    <w:rsid w:val="007075D3"/>
    <w:rsid w:val="007075FF"/>
    <w:rsid w:val="00707623"/>
    <w:rsid w:val="007077D2"/>
    <w:rsid w:val="007078BF"/>
    <w:rsid w:val="0070790A"/>
    <w:rsid w:val="00707A74"/>
    <w:rsid w:val="00707AD4"/>
    <w:rsid w:val="00707BC8"/>
    <w:rsid w:val="00707C18"/>
    <w:rsid w:val="00707C98"/>
    <w:rsid w:val="00707CA1"/>
    <w:rsid w:val="00707D7C"/>
    <w:rsid w:val="00707DAD"/>
    <w:rsid w:val="00707F53"/>
    <w:rsid w:val="00710061"/>
    <w:rsid w:val="00710084"/>
    <w:rsid w:val="0071011C"/>
    <w:rsid w:val="00710151"/>
    <w:rsid w:val="00710172"/>
    <w:rsid w:val="0071021F"/>
    <w:rsid w:val="007102F0"/>
    <w:rsid w:val="0071031A"/>
    <w:rsid w:val="0071033B"/>
    <w:rsid w:val="007103DF"/>
    <w:rsid w:val="0071045F"/>
    <w:rsid w:val="0071051A"/>
    <w:rsid w:val="00710525"/>
    <w:rsid w:val="0071056F"/>
    <w:rsid w:val="007105A5"/>
    <w:rsid w:val="00710711"/>
    <w:rsid w:val="0071078C"/>
    <w:rsid w:val="007107AD"/>
    <w:rsid w:val="007107E6"/>
    <w:rsid w:val="00710855"/>
    <w:rsid w:val="00710866"/>
    <w:rsid w:val="00710897"/>
    <w:rsid w:val="0071099D"/>
    <w:rsid w:val="00710A55"/>
    <w:rsid w:val="00710AE2"/>
    <w:rsid w:val="00710AF5"/>
    <w:rsid w:val="00710BAE"/>
    <w:rsid w:val="00710BBF"/>
    <w:rsid w:val="00710C12"/>
    <w:rsid w:val="00710C26"/>
    <w:rsid w:val="00710C2D"/>
    <w:rsid w:val="00710C69"/>
    <w:rsid w:val="00710CBA"/>
    <w:rsid w:val="00710DF3"/>
    <w:rsid w:val="00710E89"/>
    <w:rsid w:val="00710F26"/>
    <w:rsid w:val="00710FE9"/>
    <w:rsid w:val="00711005"/>
    <w:rsid w:val="00711051"/>
    <w:rsid w:val="0071107C"/>
    <w:rsid w:val="00711112"/>
    <w:rsid w:val="007111C7"/>
    <w:rsid w:val="007111D3"/>
    <w:rsid w:val="00711241"/>
    <w:rsid w:val="00711528"/>
    <w:rsid w:val="0071155F"/>
    <w:rsid w:val="00711619"/>
    <w:rsid w:val="0071162E"/>
    <w:rsid w:val="0071167B"/>
    <w:rsid w:val="007116D6"/>
    <w:rsid w:val="00711739"/>
    <w:rsid w:val="00711776"/>
    <w:rsid w:val="007117D8"/>
    <w:rsid w:val="00711844"/>
    <w:rsid w:val="0071191B"/>
    <w:rsid w:val="00711934"/>
    <w:rsid w:val="0071195C"/>
    <w:rsid w:val="00711A12"/>
    <w:rsid w:val="00711A2A"/>
    <w:rsid w:val="00711A87"/>
    <w:rsid w:val="00711AFB"/>
    <w:rsid w:val="00711CA0"/>
    <w:rsid w:val="00711CD7"/>
    <w:rsid w:val="00711DE1"/>
    <w:rsid w:val="00711EB4"/>
    <w:rsid w:val="00711F87"/>
    <w:rsid w:val="00712009"/>
    <w:rsid w:val="00712077"/>
    <w:rsid w:val="0071207D"/>
    <w:rsid w:val="007120D9"/>
    <w:rsid w:val="00712238"/>
    <w:rsid w:val="00712280"/>
    <w:rsid w:val="007122E7"/>
    <w:rsid w:val="00712563"/>
    <w:rsid w:val="007126FC"/>
    <w:rsid w:val="00712701"/>
    <w:rsid w:val="007127AA"/>
    <w:rsid w:val="007127C9"/>
    <w:rsid w:val="00712845"/>
    <w:rsid w:val="0071285B"/>
    <w:rsid w:val="007128B0"/>
    <w:rsid w:val="007128F0"/>
    <w:rsid w:val="007129A1"/>
    <w:rsid w:val="00712AA8"/>
    <w:rsid w:val="00712ADA"/>
    <w:rsid w:val="00712AE5"/>
    <w:rsid w:val="00712B2A"/>
    <w:rsid w:val="00712B86"/>
    <w:rsid w:val="00712BFE"/>
    <w:rsid w:val="00712C3A"/>
    <w:rsid w:val="00712CE9"/>
    <w:rsid w:val="00712E34"/>
    <w:rsid w:val="00712EEA"/>
    <w:rsid w:val="00712EFA"/>
    <w:rsid w:val="00712F3E"/>
    <w:rsid w:val="00712FFA"/>
    <w:rsid w:val="0071306B"/>
    <w:rsid w:val="007130ED"/>
    <w:rsid w:val="00713142"/>
    <w:rsid w:val="00713169"/>
    <w:rsid w:val="0071324F"/>
    <w:rsid w:val="007133D5"/>
    <w:rsid w:val="00713524"/>
    <w:rsid w:val="00713532"/>
    <w:rsid w:val="00713589"/>
    <w:rsid w:val="0071358D"/>
    <w:rsid w:val="00713593"/>
    <w:rsid w:val="007135C0"/>
    <w:rsid w:val="00713700"/>
    <w:rsid w:val="0071370F"/>
    <w:rsid w:val="0071371D"/>
    <w:rsid w:val="0071390A"/>
    <w:rsid w:val="0071390F"/>
    <w:rsid w:val="00713984"/>
    <w:rsid w:val="00713AA1"/>
    <w:rsid w:val="00713ABE"/>
    <w:rsid w:val="00713B1C"/>
    <w:rsid w:val="00713D01"/>
    <w:rsid w:val="00713DBD"/>
    <w:rsid w:val="00713E32"/>
    <w:rsid w:val="00713E99"/>
    <w:rsid w:val="00713F85"/>
    <w:rsid w:val="0071401E"/>
    <w:rsid w:val="00714044"/>
    <w:rsid w:val="0071409A"/>
    <w:rsid w:val="00714139"/>
    <w:rsid w:val="00714148"/>
    <w:rsid w:val="007141F4"/>
    <w:rsid w:val="00714214"/>
    <w:rsid w:val="0071435F"/>
    <w:rsid w:val="0071439A"/>
    <w:rsid w:val="007143B2"/>
    <w:rsid w:val="00714431"/>
    <w:rsid w:val="007144A2"/>
    <w:rsid w:val="007144DE"/>
    <w:rsid w:val="00714739"/>
    <w:rsid w:val="00714776"/>
    <w:rsid w:val="007147BD"/>
    <w:rsid w:val="00714898"/>
    <w:rsid w:val="00714A4E"/>
    <w:rsid w:val="00714AAE"/>
    <w:rsid w:val="00714B8B"/>
    <w:rsid w:val="00714D48"/>
    <w:rsid w:val="00714E29"/>
    <w:rsid w:val="00714EDE"/>
    <w:rsid w:val="00714F49"/>
    <w:rsid w:val="00714FE0"/>
    <w:rsid w:val="0071507F"/>
    <w:rsid w:val="007150AA"/>
    <w:rsid w:val="0071510A"/>
    <w:rsid w:val="00715228"/>
    <w:rsid w:val="00715236"/>
    <w:rsid w:val="00715299"/>
    <w:rsid w:val="007152A9"/>
    <w:rsid w:val="007152AD"/>
    <w:rsid w:val="0071536F"/>
    <w:rsid w:val="007153AF"/>
    <w:rsid w:val="00715435"/>
    <w:rsid w:val="0071546A"/>
    <w:rsid w:val="0071556E"/>
    <w:rsid w:val="00715594"/>
    <w:rsid w:val="0071563D"/>
    <w:rsid w:val="007156FB"/>
    <w:rsid w:val="00715720"/>
    <w:rsid w:val="00715798"/>
    <w:rsid w:val="00715800"/>
    <w:rsid w:val="0071584F"/>
    <w:rsid w:val="00715867"/>
    <w:rsid w:val="00715899"/>
    <w:rsid w:val="00715932"/>
    <w:rsid w:val="00715A62"/>
    <w:rsid w:val="00715A6E"/>
    <w:rsid w:val="00715B9E"/>
    <w:rsid w:val="00715E96"/>
    <w:rsid w:val="00715EB4"/>
    <w:rsid w:val="00715EBE"/>
    <w:rsid w:val="00715ED4"/>
    <w:rsid w:val="00715F2F"/>
    <w:rsid w:val="00715F37"/>
    <w:rsid w:val="007160A4"/>
    <w:rsid w:val="0071610C"/>
    <w:rsid w:val="00716369"/>
    <w:rsid w:val="0071638B"/>
    <w:rsid w:val="007163B5"/>
    <w:rsid w:val="0071661E"/>
    <w:rsid w:val="007166B1"/>
    <w:rsid w:val="007166CB"/>
    <w:rsid w:val="007167BE"/>
    <w:rsid w:val="007167E0"/>
    <w:rsid w:val="0071698E"/>
    <w:rsid w:val="00716A86"/>
    <w:rsid w:val="00716B5C"/>
    <w:rsid w:val="00716B72"/>
    <w:rsid w:val="00716BAB"/>
    <w:rsid w:val="00716BED"/>
    <w:rsid w:val="00716C95"/>
    <w:rsid w:val="00716CA8"/>
    <w:rsid w:val="00716CBE"/>
    <w:rsid w:val="00716DC3"/>
    <w:rsid w:val="00716EB2"/>
    <w:rsid w:val="00716F0B"/>
    <w:rsid w:val="00716F6F"/>
    <w:rsid w:val="00716FF2"/>
    <w:rsid w:val="0071724C"/>
    <w:rsid w:val="00717268"/>
    <w:rsid w:val="00717293"/>
    <w:rsid w:val="007172B8"/>
    <w:rsid w:val="0071744A"/>
    <w:rsid w:val="0071748E"/>
    <w:rsid w:val="007174C0"/>
    <w:rsid w:val="007174DA"/>
    <w:rsid w:val="00717530"/>
    <w:rsid w:val="00717552"/>
    <w:rsid w:val="0071758F"/>
    <w:rsid w:val="007175C2"/>
    <w:rsid w:val="0071762D"/>
    <w:rsid w:val="0071763B"/>
    <w:rsid w:val="0071763C"/>
    <w:rsid w:val="00717732"/>
    <w:rsid w:val="007177B9"/>
    <w:rsid w:val="00717840"/>
    <w:rsid w:val="007178B9"/>
    <w:rsid w:val="00717963"/>
    <w:rsid w:val="00717997"/>
    <w:rsid w:val="007179A9"/>
    <w:rsid w:val="00717A69"/>
    <w:rsid w:val="00717A7E"/>
    <w:rsid w:val="00717A7F"/>
    <w:rsid w:val="00717B92"/>
    <w:rsid w:val="00717BBA"/>
    <w:rsid w:val="00717BED"/>
    <w:rsid w:val="00717BF3"/>
    <w:rsid w:val="00717D4D"/>
    <w:rsid w:val="00717DB6"/>
    <w:rsid w:val="00717DCC"/>
    <w:rsid w:val="00717F97"/>
    <w:rsid w:val="0072004B"/>
    <w:rsid w:val="007200AB"/>
    <w:rsid w:val="0072013E"/>
    <w:rsid w:val="007202A8"/>
    <w:rsid w:val="00720383"/>
    <w:rsid w:val="007204DC"/>
    <w:rsid w:val="00720514"/>
    <w:rsid w:val="007205B6"/>
    <w:rsid w:val="0072060D"/>
    <w:rsid w:val="0072065E"/>
    <w:rsid w:val="0072069A"/>
    <w:rsid w:val="007206AB"/>
    <w:rsid w:val="00720709"/>
    <w:rsid w:val="00720761"/>
    <w:rsid w:val="00720934"/>
    <w:rsid w:val="0072093C"/>
    <w:rsid w:val="00720970"/>
    <w:rsid w:val="00720A30"/>
    <w:rsid w:val="00720AF5"/>
    <w:rsid w:val="00720B54"/>
    <w:rsid w:val="00720B63"/>
    <w:rsid w:val="00720BE0"/>
    <w:rsid w:val="00720BE1"/>
    <w:rsid w:val="00720C1F"/>
    <w:rsid w:val="00720C2A"/>
    <w:rsid w:val="00720DDE"/>
    <w:rsid w:val="00720E63"/>
    <w:rsid w:val="00720E77"/>
    <w:rsid w:val="00720E7D"/>
    <w:rsid w:val="00720F14"/>
    <w:rsid w:val="00720FA1"/>
    <w:rsid w:val="00720FA8"/>
    <w:rsid w:val="00720FB2"/>
    <w:rsid w:val="00721090"/>
    <w:rsid w:val="007210CE"/>
    <w:rsid w:val="00721126"/>
    <w:rsid w:val="00721145"/>
    <w:rsid w:val="0072115A"/>
    <w:rsid w:val="007211E4"/>
    <w:rsid w:val="0072129C"/>
    <w:rsid w:val="0072129E"/>
    <w:rsid w:val="00721404"/>
    <w:rsid w:val="007214C6"/>
    <w:rsid w:val="0072153F"/>
    <w:rsid w:val="007215CF"/>
    <w:rsid w:val="00721768"/>
    <w:rsid w:val="007217AA"/>
    <w:rsid w:val="00721819"/>
    <w:rsid w:val="00721854"/>
    <w:rsid w:val="0072185B"/>
    <w:rsid w:val="0072190C"/>
    <w:rsid w:val="00721916"/>
    <w:rsid w:val="0072193E"/>
    <w:rsid w:val="00721970"/>
    <w:rsid w:val="007219D2"/>
    <w:rsid w:val="00721A60"/>
    <w:rsid w:val="00721B40"/>
    <w:rsid w:val="00721DDC"/>
    <w:rsid w:val="00721F1E"/>
    <w:rsid w:val="00721F7E"/>
    <w:rsid w:val="00721FE6"/>
    <w:rsid w:val="0072202B"/>
    <w:rsid w:val="00722035"/>
    <w:rsid w:val="007220C4"/>
    <w:rsid w:val="007221CD"/>
    <w:rsid w:val="0072220C"/>
    <w:rsid w:val="00722225"/>
    <w:rsid w:val="0072223C"/>
    <w:rsid w:val="007222C2"/>
    <w:rsid w:val="00722421"/>
    <w:rsid w:val="007225CF"/>
    <w:rsid w:val="007225FB"/>
    <w:rsid w:val="00722609"/>
    <w:rsid w:val="0072262E"/>
    <w:rsid w:val="00722640"/>
    <w:rsid w:val="007226F6"/>
    <w:rsid w:val="007226FB"/>
    <w:rsid w:val="0072274B"/>
    <w:rsid w:val="007227B6"/>
    <w:rsid w:val="00722815"/>
    <w:rsid w:val="00722817"/>
    <w:rsid w:val="0072283A"/>
    <w:rsid w:val="00722894"/>
    <w:rsid w:val="00722909"/>
    <w:rsid w:val="007229EA"/>
    <w:rsid w:val="00722A3A"/>
    <w:rsid w:val="00722AFB"/>
    <w:rsid w:val="00722B84"/>
    <w:rsid w:val="00722BC6"/>
    <w:rsid w:val="00722BFE"/>
    <w:rsid w:val="00722CEA"/>
    <w:rsid w:val="00722E17"/>
    <w:rsid w:val="00722E6B"/>
    <w:rsid w:val="00722F09"/>
    <w:rsid w:val="00722F24"/>
    <w:rsid w:val="00722F75"/>
    <w:rsid w:val="00722FFB"/>
    <w:rsid w:val="0072308C"/>
    <w:rsid w:val="00723144"/>
    <w:rsid w:val="00723156"/>
    <w:rsid w:val="00723170"/>
    <w:rsid w:val="0072317C"/>
    <w:rsid w:val="007231B4"/>
    <w:rsid w:val="007231D8"/>
    <w:rsid w:val="00723238"/>
    <w:rsid w:val="00723343"/>
    <w:rsid w:val="007233AC"/>
    <w:rsid w:val="007233CD"/>
    <w:rsid w:val="007234C8"/>
    <w:rsid w:val="00723503"/>
    <w:rsid w:val="00723549"/>
    <w:rsid w:val="0072355B"/>
    <w:rsid w:val="007237FC"/>
    <w:rsid w:val="00723820"/>
    <w:rsid w:val="00723905"/>
    <w:rsid w:val="00723906"/>
    <w:rsid w:val="0072394D"/>
    <w:rsid w:val="007239A1"/>
    <w:rsid w:val="007239BD"/>
    <w:rsid w:val="00723BBE"/>
    <w:rsid w:val="00723BDA"/>
    <w:rsid w:val="00723E4F"/>
    <w:rsid w:val="00723EF5"/>
    <w:rsid w:val="00723F11"/>
    <w:rsid w:val="00723F2D"/>
    <w:rsid w:val="00723F9E"/>
    <w:rsid w:val="00723FDF"/>
    <w:rsid w:val="00723FEB"/>
    <w:rsid w:val="00723FF5"/>
    <w:rsid w:val="00724056"/>
    <w:rsid w:val="007240A6"/>
    <w:rsid w:val="007240E6"/>
    <w:rsid w:val="007240FA"/>
    <w:rsid w:val="00724126"/>
    <w:rsid w:val="0072413D"/>
    <w:rsid w:val="00724159"/>
    <w:rsid w:val="00724186"/>
    <w:rsid w:val="007241ED"/>
    <w:rsid w:val="007242E0"/>
    <w:rsid w:val="00724404"/>
    <w:rsid w:val="00724459"/>
    <w:rsid w:val="0072449F"/>
    <w:rsid w:val="007244DD"/>
    <w:rsid w:val="0072464F"/>
    <w:rsid w:val="007246C6"/>
    <w:rsid w:val="0072476B"/>
    <w:rsid w:val="0072476D"/>
    <w:rsid w:val="00724813"/>
    <w:rsid w:val="00724852"/>
    <w:rsid w:val="00724920"/>
    <w:rsid w:val="00724943"/>
    <w:rsid w:val="00724966"/>
    <w:rsid w:val="00724A64"/>
    <w:rsid w:val="00724B23"/>
    <w:rsid w:val="00724B94"/>
    <w:rsid w:val="00724BAF"/>
    <w:rsid w:val="00724BB4"/>
    <w:rsid w:val="00724BB8"/>
    <w:rsid w:val="00724BF4"/>
    <w:rsid w:val="00724CE4"/>
    <w:rsid w:val="00724DB2"/>
    <w:rsid w:val="00724E0E"/>
    <w:rsid w:val="00724EA0"/>
    <w:rsid w:val="00724ECA"/>
    <w:rsid w:val="00724EF7"/>
    <w:rsid w:val="00724F4A"/>
    <w:rsid w:val="00724FF9"/>
    <w:rsid w:val="00725051"/>
    <w:rsid w:val="00725132"/>
    <w:rsid w:val="00725170"/>
    <w:rsid w:val="007251A0"/>
    <w:rsid w:val="007251DA"/>
    <w:rsid w:val="007251F3"/>
    <w:rsid w:val="0072525E"/>
    <w:rsid w:val="007252DD"/>
    <w:rsid w:val="007253AB"/>
    <w:rsid w:val="00725417"/>
    <w:rsid w:val="00725499"/>
    <w:rsid w:val="007254C8"/>
    <w:rsid w:val="007254E4"/>
    <w:rsid w:val="0072557D"/>
    <w:rsid w:val="0072559A"/>
    <w:rsid w:val="00725750"/>
    <w:rsid w:val="00725824"/>
    <w:rsid w:val="00725A13"/>
    <w:rsid w:val="00725A27"/>
    <w:rsid w:val="00725A8B"/>
    <w:rsid w:val="00725B6C"/>
    <w:rsid w:val="00725BFB"/>
    <w:rsid w:val="00725C0B"/>
    <w:rsid w:val="00725D35"/>
    <w:rsid w:val="00725D4D"/>
    <w:rsid w:val="00725D81"/>
    <w:rsid w:val="00725F04"/>
    <w:rsid w:val="007260F1"/>
    <w:rsid w:val="00726160"/>
    <w:rsid w:val="0072618B"/>
    <w:rsid w:val="0072620E"/>
    <w:rsid w:val="0072635B"/>
    <w:rsid w:val="0072636D"/>
    <w:rsid w:val="007263C1"/>
    <w:rsid w:val="00726429"/>
    <w:rsid w:val="00726434"/>
    <w:rsid w:val="007264FF"/>
    <w:rsid w:val="00726558"/>
    <w:rsid w:val="00726578"/>
    <w:rsid w:val="007265A1"/>
    <w:rsid w:val="007265CF"/>
    <w:rsid w:val="00726655"/>
    <w:rsid w:val="00726672"/>
    <w:rsid w:val="0072676F"/>
    <w:rsid w:val="007267B4"/>
    <w:rsid w:val="0072688D"/>
    <w:rsid w:val="0072691B"/>
    <w:rsid w:val="007269FB"/>
    <w:rsid w:val="00726A9B"/>
    <w:rsid w:val="00726B9C"/>
    <w:rsid w:val="00726D24"/>
    <w:rsid w:val="00726D3D"/>
    <w:rsid w:val="00726D8E"/>
    <w:rsid w:val="00726DD2"/>
    <w:rsid w:val="00726DF4"/>
    <w:rsid w:val="00726E2D"/>
    <w:rsid w:val="00726E7B"/>
    <w:rsid w:val="00726F08"/>
    <w:rsid w:val="00726F49"/>
    <w:rsid w:val="00726FE6"/>
    <w:rsid w:val="00726FF5"/>
    <w:rsid w:val="00726FF7"/>
    <w:rsid w:val="00727038"/>
    <w:rsid w:val="00727136"/>
    <w:rsid w:val="007271C9"/>
    <w:rsid w:val="00727246"/>
    <w:rsid w:val="0072724E"/>
    <w:rsid w:val="0072739B"/>
    <w:rsid w:val="007273D4"/>
    <w:rsid w:val="0072746D"/>
    <w:rsid w:val="00727489"/>
    <w:rsid w:val="0072749E"/>
    <w:rsid w:val="007274B4"/>
    <w:rsid w:val="00727550"/>
    <w:rsid w:val="007275C4"/>
    <w:rsid w:val="00727652"/>
    <w:rsid w:val="007276A7"/>
    <w:rsid w:val="0072775A"/>
    <w:rsid w:val="0072791D"/>
    <w:rsid w:val="00727948"/>
    <w:rsid w:val="00727BDF"/>
    <w:rsid w:val="00727C34"/>
    <w:rsid w:val="00727C5E"/>
    <w:rsid w:val="00727D61"/>
    <w:rsid w:val="00727DB3"/>
    <w:rsid w:val="00727E0D"/>
    <w:rsid w:val="00727E6D"/>
    <w:rsid w:val="00727FC1"/>
    <w:rsid w:val="00727FC9"/>
    <w:rsid w:val="00727FF8"/>
    <w:rsid w:val="00730094"/>
    <w:rsid w:val="007300B7"/>
    <w:rsid w:val="007300DB"/>
    <w:rsid w:val="00730161"/>
    <w:rsid w:val="00730192"/>
    <w:rsid w:val="007301A3"/>
    <w:rsid w:val="0073044B"/>
    <w:rsid w:val="0073045F"/>
    <w:rsid w:val="00730526"/>
    <w:rsid w:val="00730583"/>
    <w:rsid w:val="007306F3"/>
    <w:rsid w:val="00730737"/>
    <w:rsid w:val="007307AE"/>
    <w:rsid w:val="007307F6"/>
    <w:rsid w:val="00730829"/>
    <w:rsid w:val="00730858"/>
    <w:rsid w:val="007308EF"/>
    <w:rsid w:val="00730934"/>
    <w:rsid w:val="007309A1"/>
    <w:rsid w:val="00730A50"/>
    <w:rsid w:val="00730A6B"/>
    <w:rsid w:val="00730A74"/>
    <w:rsid w:val="00730ACE"/>
    <w:rsid w:val="00730ACF"/>
    <w:rsid w:val="00730B3F"/>
    <w:rsid w:val="00730B7C"/>
    <w:rsid w:val="00730B9A"/>
    <w:rsid w:val="00730BA1"/>
    <w:rsid w:val="00730CA6"/>
    <w:rsid w:val="00730CA9"/>
    <w:rsid w:val="00730CF1"/>
    <w:rsid w:val="00730D4E"/>
    <w:rsid w:val="00730E5C"/>
    <w:rsid w:val="00730E84"/>
    <w:rsid w:val="00730ECB"/>
    <w:rsid w:val="007310E4"/>
    <w:rsid w:val="007310F9"/>
    <w:rsid w:val="00731158"/>
    <w:rsid w:val="007311AB"/>
    <w:rsid w:val="007311C3"/>
    <w:rsid w:val="007311CC"/>
    <w:rsid w:val="00731218"/>
    <w:rsid w:val="00731233"/>
    <w:rsid w:val="00731275"/>
    <w:rsid w:val="00731284"/>
    <w:rsid w:val="00731297"/>
    <w:rsid w:val="00731322"/>
    <w:rsid w:val="00731382"/>
    <w:rsid w:val="0073146E"/>
    <w:rsid w:val="007314F1"/>
    <w:rsid w:val="007315A5"/>
    <w:rsid w:val="007315C5"/>
    <w:rsid w:val="00731622"/>
    <w:rsid w:val="0073165D"/>
    <w:rsid w:val="00731796"/>
    <w:rsid w:val="007319B5"/>
    <w:rsid w:val="007319CA"/>
    <w:rsid w:val="00731ACE"/>
    <w:rsid w:val="00731AE1"/>
    <w:rsid w:val="00731B36"/>
    <w:rsid w:val="00731B94"/>
    <w:rsid w:val="00731BB6"/>
    <w:rsid w:val="00731BC9"/>
    <w:rsid w:val="00731CB4"/>
    <w:rsid w:val="00731CD0"/>
    <w:rsid w:val="00731D65"/>
    <w:rsid w:val="00731DC5"/>
    <w:rsid w:val="00731E58"/>
    <w:rsid w:val="00731E8F"/>
    <w:rsid w:val="00731EEB"/>
    <w:rsid w:val="00731F4C"/>
    <w:rsid w:val="00731FBF"/>
    <w:rsid w:val="0073201B"/>
    <w:rsid w:val="0073212C"/>
    <w:rsid w:val="00732183"/>
    <w:rsid w:val="0073235D"/>
    <w:rsid w:val="007323A8"/>
    <w:rsid w:val="007323F3"/>
    <w:rsid w:val="007324B7"/>
    <w:rsid w:val="00732517"/>
    <w:rsid w:val="00732616"/>
    <w:rsid w:val="007326C3"/>
    <w:rsid w:val="007326EB"/>
    <w:rsid w:val="007328F0"/>
    <w:rsid w:val="0073291C"/>
    <w:rsid w:val="00732980"/>
    <w:rsid w:val="00732984"/>
    <w:rsid w:val="007329A2"/>
    <w:rsid w:val="007329F1"/>
    <w:rsid w:val="00732BF1"/>
    <w:rsid w:val="00732C69"/>
    <w:rsid w:val="00732CB7"/>
    <w:rsid w:val="00732CD6"/>
    <w:rsid w:val="00732CE7"/>
    <w:rsid w:val="00732D3A"/>
    <w:rsid w:val="00732ED2"/>
    <w:rsid w:val="00732F5C"/>
    <w:rsid w:val="00732F63"/>
    <w:rsid w:val="00732FD9"/>
    <w:rsid w:val="00732FDA"/>
    <w:rsid w:val="00733088"/>
    <w:rsid w:val="007330E4"/>
    <w:rsid w:val="00733186"/>
    <w:rsid w:val="007331EB"/>
    <w:rsid w:val="0073326A"/>
    <w:rsid w:val="007332AE"/>
    <w:rsid w:val="007332B5"/>
    <w:rsid w:val="007332C4"/>
    <w:rsid w:val="007332D4"/>
    <w:rsid w:val="007332F2"/>
    <w:rsid w:val="0073346D"/>
    <w:rsid w:val="00733472"/>
    <w:rsid w:val="007334E7"/>
    <w:rsid w:val="00733583"/>
    <w:rsid w:val="00733633"/>
    <w:rsid w:val="0073379B"/>
    <w:rsid w:val="00733852"/>
    <w:rsid w:val="00733874"/>
    <w:rsid w:val="00733ACF"/>
    <w:rsid w:val="00733B6A"/>
    <w:rsid w:val="00733BFE"/>
    <w:rsid w:val="00733C05"/>
    <w:rsid w:val="00733C27"/>
    <w:rsid w:val="00733C53"/>
    <w:rsid w:val="00733CDD"/>
    <w:rsid w:val="00733CE7"/>
    <w:rsid w:val="00733D1E"/>
    <w:rsid w:val="00733D28"/>
    <w:rsid w:val="00733D36"/>
    <w:rsid w:val="00733D73"/>
    <w:rsid w:val="00733D9C"/>
    <w:rsid w:val="00733DFA"/>
    <w:rsid w:val="00733ED5"/>
    <w:rsid w:val="0073403D"/>
    <w:rsid w:val="007340DA"/>
    <w:rsid w:val="00734110"/>
    <w:rsid w:val="00734133"/>
    <w:rsid w:val="0073415C"/>
    <w:rsid w:val="007341D5"/>
    <w:rsid w:val="00734212"/>
    <w:rsid w:val="00734229"/>
    <w:rsid w:val="0073426E"/>
    <w:rsid w:val="007342C1"/>
    <w:rsid w:val="007342D9"/>
    <w:rsid w:val="00734484"/>
    <w:rsid w:val="00734680"/>
    <w:rsid w:val="00734694"/>
    <w:rsid w:val="00734786"/>
    <w:rsid w:val="007347C2"/>
    <w:rsid w:val="00734867"/>
    <w:rsid w:val="00734901"/>
    <w:rsid w:val="0073497C"/>
    <w:rsid w:val="007349DE"/>
    <w:rsid w:val="00734BCC"/>
    <w:rsid w:val="00734BD1"/>
    <w:rsid w:val="00734BD6"/>
    <w:rsid w:val="00734C05"/>
    <w:rsid w:val="00734CD9"/>
    <w:rsid w:val="00734CDF"/>
    <w:rsid w:val="00734D6B"/>
    <w:rsid w:val="00734F61"/>
    <w:rsid w:val="00734FD9"/>
    <w:rsid w:val="00734FE5"/>
    <w:rsid w:val="00734FE8"/>
    <w:rsid w:val="00735057"/>
    <w:rsid w:val="007350BB"/>
    <w:rsid w:val="00735131"/>
    <w:rsid w:val="00735209"/>
    <w:rsid w:val="0073526E"/>
    <w:rsid w:val="007352E3"/>
    <w:rsid w:val="0073535B"/>
    <w:rsid w:val="00735383"/>
    <w:rsid w:val="007353CC"/>
    <w:rsid w:val="00735425"/>
    <w:rsid w:val="00735465"/>
    <w:rsid w:val="00735630"/>
    <w:rsid w:val="00735666"/>
    <w:rsid w:val="007356C4"/>
    <w:rsid w:val="0073578D"/>
    <w:rsid w:val="007357B6"/>
    <w:rsid w:val="00735884"/>
    <w:rsid w:val="007358FB"/>
    <w:rsid w:val="007359B8"/>
    <w:rsid w:val="00735A02"/>
    <w:rsid w:val="00735B98"/>
    <w:rsid w:val="00735C4A"/>
    <w:rsid w:val="00735CC5"/>
    <w:rsid w:val="00735CC7"/>
    <w:rsid w:val="00735DB3"/>
    <w:rsid w:val="00735DF1"/>
    <w:rsid w:val="00735DFA"/>
    <w:rsid w:val="00735FFE"/>
    <w:rsid w:val="00736036"/>
    <w:rsid w:val="0073612D"/>
    <w:rsid w:val="00736181"/>
    <w:rsid w:val="00736232"/>
    <w:rsid w:val="00736268"/>
    <w:rsid w:val="00736350"/>
    <w:rsid w:val="00736383"/>
    <w:rsid w:val="007363C9"/>
    <w:rsid w:val="0073661F"/>
    <w:rsid w:val="00736657"/>
    <w:rsid w:val="0073666A"/>
    <w:rsid w:val="0073686B"/>
    <w:rsid w:val="007368E1"/>
    <w:rsid w:val="007369A7"/>
    <w:rsid w:val="00736A4D"/>
    <w:rsid w:val="00736B1B"/>
    <w:rsid w:val="00736C81"/>
    <w:rsid w:val="00736E03"/>
    <w:rsid w:val="00736EF9"/>
    <w:rsid w:val="00736F20"/>
    <w:rsid w:val="00737019"/>
    <w:rsid w:val="007370C3"/>
    <w:rsid w:val="00737119"/>
    <w:rsid w:val="0073713D"/>
    <w:rsid w:val="00737150"/>
    <w:rsid w:val="007371A3"/>
    <w:rsid w:val="007371D3"/>
    <w:rsid w:val="00737282"/>
    <w:rsid w:val="0073736D"/>
    <w:rsid w:val="007373E2"/>
    <w:rsid w:val="0073743A"/>
    <w:rsid w:val="007374E6"/>
    <w:rsid w:val="00737508"/>
    <w:rsid w:val="007375A9"/>
    <w:rsid w:val="0073761E"/>
    <w:rsid w:val="00737781"/>
    <w:rsid w:val="007377EB"/>
    <w:rsid w:val="007378B0"/>
    <w:rsid w:val="00737932"/>
    <w:rsid w:val="00737A15"/>
    <w:rsid w:val="00737AE6"/>
    <w:rsid w:val="00737B08"/>
    <w:rsid w:val="00737B16"/>
    <w:rsid w:val="00737B22"/>
    <w:rsid w:val="00737B59"/>
    <w:rsid w:val="00737BDC"/>
    <w:rsid w:val="00737C4A"/>
    <w:rsid w:val="00737C91"/>
    <w:rsid w:val="00737CEC"/>
    <w:rsid w:val="00737CF6"/>
    <w:rsid w:val="00737D08"/>
    <w:rsid w:val="00737DC5"/>
    <w:rsid w:val="00737DCE"/>
    <w:rsid w:val="00737E47"/>
    <w:rsid w:val="0074001E"/>
    <w:rsid w:val="007400B9"/>
    <w:rsid w:val="0074017D"/>
    <w:rsid w:val="007401F0"/>
    <w:rsid w:val="00740228"/>
    <w:rsid w:val="00740261"/>
    <w:rsid w:val="007402CC"/>
    <w:rsid w:val="007402E9"/>
    <w:rsid w:val="007402F9"/>
    <w:rsid w:val="0074048F"/>
    <w:rsid w:val="0074051D"/>
    <w:rsid w:val="007405B0"/>
    <w:rsid w:val="007405BD"/>
    <w:rsid w:val="007405CA"/>
    <w:rsid w:val="0074060E"/>
    <w:rsid w:val="00740613"/>
    <w:rsid w:val="00740653"/>
    <w:rsid w:val="007406C3"/>
    <w:rsid w:val="0074070A"/>
    <w:rsid w:val="0074072D"/>
    <w:rsid w:val="00740928"/>
    <w:rsid w:val="00740949"/>
    <w:rsid w:val="007409D5"/>
    <w:rsid w:val="00740AC2"/>
    <w:rsid w:val="00740ADE"/>
    <w:rsid w:val="00740BEC"/>
    <w:rsid w:val="00740C77"/>
    <w:rsid w:val="00740C9C"/>
    <w:rsid w:val="00740D57"/>
    <w:rsid w:val="00740D86"/>
    <w:rsid w:val="00740DC5"/>
    <w:rsid w:val="00740DF9"/>
    <w:rsid w:val="00740F06"/>
    <w:rsid w:val="00740FBA"/>
    <w:rsid w:val="0074105E"/>
    <w:rsid w:val="0074105F"/>
    <w:rsid w:val="00741080"/>
    <w:rsid w:val="007410A9"/>
    <w:rsid w:val="007410E4"/>
    <w:rsid w:val="0074121F"/>
    <w:rsid w:val="00741235"/>
    <w:rsid w:val="00741242"/>
    <w:rsid w:val="007412BA"/>
    <w:rsid w:val="007412D0"/>
    <w:rsid w:val="007412E7"/>
    <w:rsid w:val="007413F9"/>
    <w:rsid w:val="00741420"/>
    <w:rsid w:val="007415F2"/>
    <w:rsid w:val="0074163E"/>
    <w:rsid w:val="0074165A"/>
    <w:rsid w:val="007416A9"/>
    <w:rsid w:val="007416AF"/>
    <w:rsid w:val="007416E9"/>
    <w:rsid w:val="0074178F"/>
    <w:rsid w:val="00741834"/>
    <w:rsid w:val="007418B4"/>
    <w:rsid w:val="007418E3"/>
    <w:rsid w:val="007418FF"/>
    <w:rsid w:val="00741942"/>
    <w:rsid w:val="00741971"/>
    <w:rsid w:val="00741AB3"/>
    <w:rsid w:val="00741B3F"/>
    <w:rsid w:val="00741B94"/>
    <w:rsid w:val="00741C0A"/>
    <w:rsid w:val="00741C54"/>
    <w:rsid w:val="00741C93"/>
    <w:rsid w:val="00741CF8"/>
    <w:rsid w:val="00741CFD"/>
    <w:rsid w:val="00741D4A"/>
    <w:rsid w:val="00741DB4"/>
    <w:rsid w:val="00741E31"/>
    <w:rsid w:val="00741EFB"/>
    <w:rsid w:val="00741F96"/>
    <w:rsid w:val="00741FD0"/>
    <w:rsid w:val="00742028"/>
    <w:rsid w:val="0074203F"/>
    <w:rsid w:val="007420A4"/>
    <w:rsid w:val="007420F7"/>
    <w:rsid w:val="00742147"/>
    <w:rsid w:val="007422D5"/>
    <w:rsid w:val="00742359"/>
    <w:rsid w:val="00742383"/>
    <w:rsid w:val="00742387"/>
    <w:rsid w:val="007423B8"/>
    <w:rsid w:val="0074243E"/>
    <w:rsid w:val="007425BA"/>
    <w:rsid w:val="00742681"/>
    <w:rsid w:val="007429FB"/>
    <w:rsid w:val="00742A03"/>
    <w:rsid w:val="00742B53"/>
    <w:rsid w:val="00742BC4"/>
    <w:rsid w:val="00742BF0"/>
    <w:rsid w:val="00742CBC"/>
    <w:rsid w:val="00742CC7"/>
    <w:rsid w:val="00742D41"/>
    <w:rsid w:val="00742D4A"/>
    <w:rsid w:val="00742D9C"/>
    <w:rsid w:val="00742DA4"/>
    <w:rsid w:val="00742DD7"/>
    <w:rsid w:val="00742E69"/>
    <w:rsid w:val="00742FA4"/>
    <w:rsid w:val="00743035"/>
    <w:rsid w:val="00743201"/>
    <w:rsid w:val="0074339F"/>
    <w:rsid w:val="007433C0"/>
    <w:rsid w:val="0074342F"/>
    <w:rsid w:val="00743531"/>
    <w:rsid w:val="0074365A"/>
    <w:rsid w:val="007437CA"/>
    <w:rsid w:val="007437CD"/>
    <w:rsid w:val="00743825"/>
    <w:rsid w:val="0074383A"/>
    <w:rsid w:val="0074389F"/>
    <w:rsid w:val="007438D0"/>
    <w:rsid w:val="007438DC"/>
    <w:rsid w:val="0074392D"/>
    <w:rsid w:val="00743951"/>
    <w:rsid w:val="00743961"/>
    <w:rsid w:val="007439B0"/>
    <w:rsid w:val="00743A1B"/>
    <w:rsid w:val="00743A30"/>
    <w:rsid w:val="00743ACC"/>
    <w:rsid w:val="00743B6E"/>
    <w:rsid w:val="00743DE5"/>
    <w:rsid w:val="00743E0A"/>
    <w:rsid w:val="00743E58"/>
    <w:rsid w:val="00743EB2"/>
    <w:rsid w:val="00743F05"/>
    <w:rsid w:val="00743F16"/>
    <w:rsid w:val="00743F24"/>
    <w:rsid w:val="00743F4B"/>
    <w:rsid w:val="0074404B"/>
    <w:rsid w:val="007440FF"/>
    <w:rsid w:val="00744111"/>
    <w:rsid w:val="00744115"/>
    <w:rsid w:val="00744136"/>
    <w:rsid w:val="00744178"/>
    <w:rsid w:val="007441AF"/>
    <w:rsid w:val="00744209"/>
    <w:rsid w:val="0074422D"/>
    <w:rsid w:val="0074428D"/>
    <w:rsid w:val="00744290"/>
    <w:rsid w:val="007442B1"/>
    <w:rsid w:val="007442BE"/>
    <w:rsid w:val="0074432E"/>
    <w:rsid w:val="0074433B"/>
    <w:rsid w:val="0074442E"/>
    <w:rsid w:val="00744479"/>
    <w:rsid w:val="00744494"/>
    <w:rsid w:val="007444AF"/>
    <w:rsid w:val="007444E7"/>
    <w:rsid w:val="007444F1"/>
    <w:rsid w:val="0074450A"/>
    <w:rsid w:val="0074470D"/>
    <w:rsid w:val="0074472F"/>
    <w:rsid w:val="007447D9"/>
    <w:rsid w:val="007448B7"/>
    <w:rsid w:val="007449E3"/>
    <w:rsid w:val="00744A0D"/>
    <w:rsid w:val="00744B94"/>
    <w:rsid w:val="00744C18"/>
    <w:rsid w:val="00744D13"/>
    <w:rsid w:val="00744D25"/>
    <w:rsid w:val="00744E07"/>
    <w:rsid w:val="00744EF4"/>
    <w:rsid w:val="00744F41"/>
    <w:rsid w:val="00744F46"/>
    <w:rsid w:val="00744F4E"/>
    <w:rsid w:val="00744F8D"/>
    <w:rsid w:val="00744FDF"/>
    <w:rsid w:val="0074504C"/>
    <w:rsid w:val="007450EF"/>
    <w:rsid w:val="0074527A"/>
    <w:rsid w:val="0074527D"/>
    <w:rsid w:val="00745317"/>
    <w:rsid w:val="00745492"/>
    <w:rsid w:val="00745713"/>
    <w:rsid w:val="0074577A"/>
    <w:rsid w:val="0074583E"/>
    <w:rsid w:val="0074584A"/>
    <w:rsid w:val="007459B2"/>
    <w:rsid w:val="00745A14"/>
    <w:rsid w:val="00745AC5"/>
    <w:rsid w:val="00745B33"/>
    <w:rsid w:val="00745BE3"/>
    <w:rsid w:val="00745C13"/>
    <w:rsid w:val="00745E00"/>
    <w:rsid w:val="00745E68"/>
    <w:rsid w:val="00745EC8"/>
    <w:rsid w:val="00745EE8"/>
    <w:rsid w:val="00746010"/>
    <w:rsid w:val="0074612F"/>
    <w:rsid w:val="00746158"/>
    <w:rsid w:val="00746173"/>
    <w:rsid w:val="007461A5"/>
    <w:rsid w:val="007461C2"/>
    <w:rsid w:val="007461D8"/>
    <w:rsid w:val="00746306"/>
    <w:rsid w:val="0074648D"/>
    <w:rsid w:val="007465E9"/>
    <w:rsid w:val="00746742"/>
    <w:rsid w:val="0074674B"/>
    <w:rsid w:val="0074679C"/>
    <w:rsid w:val="007467D4"/>
    <w:rsid w:val="007467F0"/>
    <w:rsid w:val="00746833"/>
    <w:rsid w:val="007468F0"/>
    <w:rsid w:val="00746932"/>
    <w:rsid w:val="0074696A"/>
    <w:rsid w:val="00746998"/>
    <w:rsid w:val="007469A3"/>
    <w:rsid w:val="00746A4B"/>
    <w:rsid w:val="00746AD6"/>
    <w:rsid w:val="00746B9B"/>
    <w:rsid w:val="00746C0E"/>
    <w:rsid w:val="00746C5D"/>
    <w:rsid w:val="00746CAC"/>
    <w:rsid w:val="00746CAF"/>
    <w:rsid w:val="00746D21"/>
    <w:rsid w:val="00746D58"/>
    <w:rsid w:val="00746E0F"/>
    <w:rsid w:val="00746E3A"/>
    <w:rsid w:val="00746E51"/>
    <w:rsid w:val="00747007"/>
    <w:rsid w:val="0074703B"/>
    <w:rsid w:val="00747049"/>
    <w:rsid w:val="0074706E"/>
    <w:rsid w:val="00747115"/>
    <w:rsid w:val="0074717F"/>
    <w:rsid w:val="007471CC"/>
    <w:rsid w:val="007473C6"/>
    <w:rsid w:val="007473D0"/>
    <w:rsid w:val="007473F9"/>
    <w:rsid w:val="00747474"/>
    <w:rsid w:val="007474FF"/>
    <w:rsid w:val="0074754B"/>
    <w:rsid w:val="007475A4"/>
    <w:rsid w:val="007475D3"/>
    <w:rsid w:val="0074762F"/>
    <w:rsid w:val="0074770D"/>
    <w:rsid w:val="00747775"/>
    <w:rsid w:val="00747810"/>
    <w:rsid w:val="007478E0"/>
    <w:rsid w:val="007478EA"/>
    <w:rsid w:val="0074793B"/>
    <w:rsid w:val="00747943"/>
    <w:rsid w:val="007479B4"/>
    <w:rsid w:val="00747A12"/>
    <w:rsid w:val="00747A6A"/>
    <w:rsid w:val="00747B1D"/>
    <w:rsid w:val="00747BBB"/>
    <w:rsid w:val="00747BF7"/>
    <w:rsid w:val="00747C8F"/>
    <w:rsid w:val="00747D38"/>
    <w:rsid w:val="00747D4D"/>
    <w:rsid w:val="00747D64"/>
    <w:rsid w:val="00747DB5"/>
    <w:rsid w:val="00747E9B"/>
    <w:rsid w:val="00747ECB"/>
    <w:rsid w:val="00747EF0"/>
    <w:rsid w:val="00747EF5"/>
    <w:rsid w:val="00747FB5"/>
    <w:rsid w:val="0075004C"/>
    <w:rsid w:val="007500C4"/>
    <w:rsid w:val="00750140"/>
    <w:rsid w:val="007501E9"/>
    <w:rsid w:val="0075021E"/>
    <w:rsid w:val="0075022A"/>
    <w:rsid w:val="007502B6"/>
    <w:rsid w:val="00750333"/>
    <w:rsid w:val="007504FD"/>
    <w:rsid w:val="00750507"/>
    <w:rsid w:val="00750572"/>
    <w:rsid w:val="00750598"/>
    <w:rsid w:val="0075072A"/>
    <w:rsid w:val="007509CB"/>
    <w:rsid w:val="007509DA"/>
    <w:rsid w:val="007509E1"/>
    <w:rsid w:val="007509F2"/>
    <w:rsid w:val="00750A2F"/>
    <w:rsid w:val="00750A41"/>
    <w:rsid w:val="00750A5B"/>
    <w:rsid w:val="00750AE5"/>
    <w:rsid w:val="00750B59"/>
    <w:rsid w:val="00750B62"/>
    <w:rsid w:val="00750C50"/>
    <w:rsid w:val="00750D33"/>
    <w:rsid w:val="00750D6E"/>
    <w:rsid w:val="00750DA9"/>
    <w:rsid w:val="00750E66"/>
    <w:rsid w:val="00750E91"/>
    <w:rsid w:val="00750EE3"/>
    <w:rsid w:val="00750FBA"/>
    <w:rsid w:val="00751050"/>
    <w:rsid w:val="00751063"/>
    <w:rsid w:val="0075106B"/>
    <w:rsid w:val="0075111E"/>
    <w:rsid w:val="00751136"/>
    <w:rsid w:val="00751191"/>
    <w:rsid w:val="007512EB"/>
    <w:rsid w:val="007512F0"/>
    <w:rsid w:val="00751314"/>
    <w:rsid w:val="007513F8"/>
    <w:rsid w:val="00751414"/>
    <w:rsid w:val="007514A5"/>
    <w:rsid w:val="00751503"/>
    <w:rsid w:val="0075155E"/>
    <w:rsid w:val="00751566"/>
    <w:rsid w:val="0075162B"/>
    <w:rsid w:val="00751686"/>
    <w:rsid w:val="007517A5"/>
    <w:rsid w:val="007518A3"/>
    <w:rsid w:val="007518A7"/>
    <w:rsid w:val="007518AE"/>
    <w:rsid w:val="0075192F"/>
    <w:rsid w:val="0075194A"/>
    <w:rsid w:val="0075199E"/>
    <w:rsid w:val="00751A66"/>
    <w:rsid w:val="00751AD6"/>
    <w:rsid w:val="00751B84"/>
    <w:rsid w:val="00751B93"/>
    <w:rsid w:val="00751C7E"/>
    <w:rsid w:val="00751C96"/>
    <w:rsid w:val="00751D21"/>
    <w:rsid w:val="00751E49"/>
    <w:rsid w:val="00751E8E"/>
    <w:rsid w:val="00751E96"/>
    <w:rsid w:val="00751F32"/>
    <w:rsid w:val="00751F8B"/>
    <w:rsid w:val="00752006"/>
    <w:rsid w:val="007520F1"/>
    <w:rsid w:val="007521AC"/>
    <w:rsid w:val="007521B4"/>
    <w:rsid w:val="00752257"/>
    <w:rsid w:val="00752267"/>
    <w:rsid w:val="0075235F"/>
    <w:rsid w:val="007523DE"/>
    <w:rsid w:val="00752463"/>
    <w:rsid w:val="00752584"/>
    <w:rsid w:val="007526B2"/>
    <w:rsid w:val="007526EF"/>
    <w:rsid w:val="00752701"/>
    <w:rsid w:val="00752719"/>
    <w:rsid w:val="00752736"/>
    <w:rsid w:val="00752742"/>
    <w:rsid w:val="00752798"/>
    <w:rsid w:val="007527B5"/>
    <w:rsid w:val="007527DE"/>
    <w:rsid w:val="0075283E"/>
    <w:rsid w:val="007528E4"/>
    <w:rsid w:val="0075293A"/>
    <w:rsid w:val="00752B18"/>
    <w:rsid w:val="00752B35"/>
    <w:rsid w:val="00752BD0"/>
    <w:rsid w:val="00752C3D"/>
    <w:rsid w:val="00752D75"/>
    <w:rsid w:val="00752D77"/>
    <w:rsid w:val="00752DE9"/>
    <w:rsid w:val="00752DEA"/>
    <w:rsid w:val="00752E18"/>
    <w:rsid w:val="00752E69"/>
    <w:rsid w:val="00752F65"/>
    <w:rsid w:val="00753072"/>
    <w:rsid w:val="0075307E"/>
    <w:rsid w:val="007530D8"/>
    <w:rsid w:val="007531C9"/>
    <w:rsid w:val="007531D7"/>
    <w:rsid w:val="00753246"/>
    <w:rsid w:val="007532D5"/>
    <w:rsid w:val="0075334E"/>
    <w:rsid w:val="00753379"/>
    <w:rsid w:val="00753561"/>
    <w:rsid w:val="00753592"/>
    <w:rsid w:val="007535BA"/>
    <w:rsid w:val="00753636"/>
    <w:rsid w:val="0075366A"/>
    <w:rsid w:val="007536AB"/>
    <w:rsid w:val="00753737"/>
    <w:rsid w:val="007537AE"/>
    <w:rsid w:val="007537E6"/>
    <w:rsid w:val="0075390F"/>
    <w:rsid w:val="00753931"/>
    <w:rsid w:val="00753976"/>
    <w:rsid w:val="00753A50"/>
    <w:rsid w:val="00753A7B"/>
    <w:rsid w:val="00753CB3"/>
    <w:rsid w:val="00753D62"/>
    <w:rsid w:val="00753DFA"/>
    <w:rsid w:val="00753E1D"/>
    <w:rsid w:val="00753E43"/>
    <w:rsid w:val="00753EC7"/>
    <w:rsid w:val="00753F58"/>
    <w:rsid w:val="00753F7F"/>
    <w:rsid w:val="00753FE4"/>
    <w:rsid w:val="007540EF"/>
    <w:rsid w:val="007542F4"/>
    <w:rsid w:val="00754315"/>
    <w:rsid w:val="00754316"/>
    <w:rsid w:val="007543C4"/>
    <w:rsid w:val="00754418"/>
    <w:rsid w:val="0075441D"/>
    <w:rsid w:val="00754438"/>
    <w:rsid w:val="0075444B"/>
    <w:rsid w:val="00754465"/>
    <w:rsid w:val="007544CC"/>
    <w:rsid w:val="007544E4"/>
    <w:rsid w:val="00754525"/>
    <w:rsid w:val="0075452D"/>
    <w:rsid w:val="00754562"/>
    <w:rsid w:val="00754659"/>
    <w:rsid w:val="00754723"/>
    <w:rsid w:val="007547AC"/>
    <w:rsid w:val="00754858"/>
    <w:rsid w:val="00754982"/>
    <w:rsid w:val="00754A2C"/>
    <w:rsid w:val="00754B04"/>
    <w:rsid w:val="00754CF2"/>
    <w:rsid w:val="00754D5C"/>
    <w:rsid w:val="00754DF9"/>
    <w:rsid w:val="00754E5E"/>
    <w:rsid w:val="00754E68"/>
    <w:rsid w:val="00754E8E"/>
    <w:rsid w:val="00754F85"/>
    <w:rsid w:val="00754FC8"/>
    <w:rsid w:val="0075507F"/>
    <w:rsid w:val="007550AB"/>
    <w:rsid w:val="007550DD"/>
    <w:rsid w:val="007551B6"/>
    <w:rsid w:val="00755362"/>
    <w:rsid w:val="00755366"/>
    <w:rsid w:val="007553C8"/>
    <w:rsid w:val="00755400"/>
    <w:rsid w:val="00755440"/>
    <w:rsid w:val="00755465"/>
    <w:rsid w:val="007554BF"/>
    <w:rsid w:val="007555BA"/>
    <w:rsid w:val="007555CC"/>
    <w:rsid w:val="007555DD"/>
    <w:rsid w:val="007555F7"/>
    <w:rsid w:val="007556A3"/>
    <w:rsid w:val="00755763"/>
    <w:rsid w:val="00755764"/>
    <w:rsid w:val="0075583C"/>
    <w:rsid w:val="007558D8"/>
    <w:rsid w:val="0075596C"/>
    <w:rsid w:val="00755989"/>
    <w:rsid w:val="00755AEB"/>
    <w:rsid w:val="00755AEE"/>
    <w:rsid w:val="00755AF5"/>
    <w:rsid w:val="00755B1E"/>
    <w:rsid w:val="00755B7F"/>
    <w:rsid w:val="00755BA1"/>
    <w:rsid w:val="00755BBD"/>
    <w:rsid w:val="00755C33"/>
    <w:rsid w:val="00755C3C"/>
    <w:rsid w:val="00755CB3"/>
    <w:rsid w:val="00755D8A"/>
    <w:rsid w:val="00755DA8"/>
    <w:rsid w:val="00755F34"/>
    <w:rsid w:val="00755FAA"/>
    <w:rsid w:val="00756134"/>
    <w:rsid w:val="0075617C"/>
    <w:rsid w:val="00756246"/>
    <w:rsid w:val="007562C5"/>
    <w:rsid w:val="007562E6"/>
    <w:rsid w:val="0075634D"/>
    <w:rsid w:val="0075645C"/>
    <w:rsid w:val="0075648E"/>
    <w:rsid w:val="00756567"/>
    <w:rsid w:val="00756592"/>
    <w:rsid w:val="007565CA"/>
    <w:rsid w:val="007565FF"/>
    <w:rsid w:val="0075661A"/>
    <w:rsid w:val="007566C8"/>
    <w:rsid w:val="007567F3"/>
    <w:rsid w:val="00756869"/>
    <w:rsid w:val="0075686F"/>
    <w:rsid w:val="007568D7"/>
    <w:rsid w:val="0075696F"/>
    <w:rsid w:val="00756A26"/>
    <w:rsid w:val="00756A71"/>
    <w:rsid w:val="00756AEF"/>
    <w:rsid w:val="00756B34"/>
    <w:rsid w:val="00756B7D"/>
    <w:rsid w:val="00756BD5"/>
    <w:rsid w:val="00756C7E"/>
    <w:rsid w:val="00756C96"/>
    <w:rsid w:val="00756CF4"/>
    <w:rsid w:val="00756D71"/>
    <w:rsid w:val="00756E01"/>
    <w:rsid w:val="00756E47"/>
    <w:rsid w:val="00756E51"/>
    <w:rsid w:val="00756E6E"/>
    <w:rsid w:val="00756F00"/>
    <w:rsid w:val="00756F0E"/>
    <w:rsid w:val="00756F41"/>
    <w:rsid w:val="00756FB1"/>
    <w:rsid w:val="00756FD3"/>
    <w:rsid w:val="00757032"/>
    <w:rsid w:val="0075705A"/>
    <w:rsid w:val="0075707A"/>
    <w:rsid w:val="007570BB"/>
    <w:rsid w:val="007570CD"/>
    <w:rsid w:val="007570D4"/>
    <w:rsid w:val="00757111"/>
    <w:rsid w:val="00757148"/>
    <w:rsid w:val="00757165"/>
    <w:rsid w:val="0075719A"/>
    <w:rsid w:val="00757210"/>
    <w:rsid w:val="00757363"/>
    <w:rsid w:val="007573D3"/>
    <w:rsid w:val="00757405"/>
    <w:rsid w:val="007575C3"/>
    <w:rsid w:val="007575F2"/>
    <w:rsid w:val="00757705"/>
    <w:rsid w:val="0075772A"/>
    <w:rsid w:val="00757733"/>
    <w:rsid w:val="007577EC"/>
    <w:rsid w:val="00757866"/>
    <w:rsid w:val="00757893"/>
    <w:rsid w:val="007578B8"/>
    <w:rsid w:val="00757918"/>
    <w:rsid w:val="00757A31"/>
    <w:rsid w:val="00757A40"/>
    <w:rsid w:val="00757AAA"/>
    <w:rsid w:val="00757AD4"/>
    <w:rsid w:val="00757AEE"/>
    <w:rsid w:val="00757B45"/>
    <w:rsid w:val="00757B91"/>
    <w:rsid w:val="00757BAB"/>
    <w:rsid w:val="00757C91"/>
    <w:rsid w:val="00757CB7"/>
    <w:rsid w:val="00757CCC"/>
    <w:rsid w:val="00757DB3"/>
    <w:rsid w:val="00757DC2"/>
    <w:rsid w:val="00757DCE"/>
    <w:rsid w:val="00757F0D"/>
    <w:rsid w:val="00757F1E"/>
    <w:rsid w:val="00757F47"/>
    <w:rsid w:val="00757F63"/>
    <w:rsid w:val="00757F69"/>
    <w:rsid w:val="00757FC0"/>
    <w:rsid w:val="00757FD9"/>
    <w:rsid w:val="00760071"/>
    <w:rsid w:val="007600AC"/>
    <w:rsid w:val="007600BF"/>
    <w:rsid w:val="007600C6"/>
    <w:rsid w:val="00760144"/>
    <w:rsid w:val="00760159"/>
    <w:rsid w:val="007601EA"/>
    <w:rsid w:val="0076035B"/>
    <w:rsid w:val="00760364"/>
    <w:rsid w:val="007604F8"/>
    <w:rsid w:val="0076050B"/>
    <w:rsid w:val="0076050C"/>
    <w:rsid w:val="00760537"/>
    <w:rsid w:val="007605DB"/>
    <w:rsid w:val="007605EE"/>
    <w:rsid w:val="00760606"/>
    <w:rsid w:val="00760610"/>
    <w:rsid w:val="0076063D"/>
    <w:rsid w:val="007607AF"/>
    <w:rsid w:val="007608C4"/>
    <w:rsid w:val="00760952"/>
    <w:rsid w:val="007609DD"/>
    <w:rsid w:val="00760A17"/>
    <w:rsid w:val="00760B9A"/>
    <w:rsid w:val="00760BBF"/>
    <w:rsid w:val="00760C7F"/>
    <w:rsid w:val="00760CC6"/>
    <w:rsid w:val="00760CCE"/>
    <w:rsid w:val="00760D5C"/>
    <w:rsid w:val="00760E6C"/>
    <w:rsid w:val="00760EA7"/>
    <w:rsid w:val="00760EAB"/>
    <w:rsid w:val="00760ECE"/>
    <w:rsid w:val="00760F62"/>
    <w:rsid w:val="00760F94"/>
    <w:rsid w:val="00760FAD"/>
    <w:rsid w:val="00760FED"/>
    <w:rsid w:val="0076101D"/>
    <w:rsid w:val="00761097"/>
    <w:rsid w:val="007611EA"/>
    <w:rsid w:val="007611FE"/>
    <w:rsid w:val="0076144F"/>
    <w:rsid w:val="0076158F"/>
    <w:rsid w:val="0076161B"/>
    <w:rsid w:val="007616D8"/>
    <w:rsid w:val="0076180A"/>
    <w:rsid w:val="00761820"/>
    <w:rsid w:val="00761943"/>
    <w:rsid w:val="00761999"/>
    <w:rsid w:val="007619AA"/>
    <w:rsid w:val="007619E3"/>
    <w:rsid w:val="00761A8A"/>
    <w:rsid w:val="00761AA2"/>
    <w:rsid w:val="00761C24"/>
    <w:rsid w:val="00761D77"/>
    <w:rsid w:val="00761E40"/>
    <w:rsid w:val="00761E71"/>
    <w:rsid w:val="00761E9C"/>
    <w:rsid w:val="00761EB5"/>
    <w:rsid w:val="00761F63"/>
    <w:rsid w:val="00762032"/>
    <w:rsid w:val="0076203C"/>
    <w:rsid w:val="00762163"/>
    <w:rsid w:val="00762195"/>
    <w:rsid w:val="00762208"/>
    <w:rsid w:val="0076223E"/>
    <w:rsid w:val="0076225B"/>
    <w:rsid w:val="00762298"/>
    <w:rsid w:val="00762441"/>
    <w:rsid w:val="00762454"/>
    <w:rsid w:val="0076246A"/>
    <w:rsid w:val="0076253D"/>
    <w:rsid w:val="00762558"/>
    <w:rsid w:val="0076255B"/>
    <w:rsid w:val="007626DD"/>
    <w:rsid w:val="007626F5"/>
    <w:rsid w:val="00762752"/>
    <w:rsid w:val="0076276F"/>
    <w:rsid w:val="00762789"/>
    <w:rsid w:val="00762791"/>
    <w:rsid w:val="00762861"/>
    <w:rsid w:val="00762885"/>
    <w:rsid w:val="00762888"/>
    <w:rsid w:val="007628A7"/>
    <w:rsid w:val="00762A40"/>
    <w:rsid w:val="00762A42"/>
    <w:rsid w:val="00762A4E"/>
    <w:rsid w:val="00762A6B"/>
    <w:rsid w:val="00762AB4"/>
    <w:rsid w:val="00762BBA"/>
    <w:rsid w:val="00762C11"/>
    <w:rsid w:val="00762C58"/>
    <w:rsid w:val="00762CCB"/>
    <w:rsid w:val="00762CCD"/>
    <w:rsid w:val="00762D64"/>
    <w:rsid w:val="00762D79"/>
    <w:rsid w:val="00762E0C"/>
    <w:rsid w:val="00762EF9"/>
    <w:rsid w:val="00763067"/>
    <w:rsid w:val="007630AA"/>
    <w:rsid w:val="007631BC"/>
    <w:rsid w:val="007631FB"/>
    <w:rsid w:val="00763217"/>
    <w:rsid w:val="00763230"/>
    <w:rsid w:val="0076328E"/>
    <w:rsid w:val="007632C0"/>
    <w:rsid w:val="007632C7"/>
    <w:rsid w:val="00763335"/>
    <w:rsid w:val="00763342"/>
    <w:rsid w:val="0076336A"/>
    <w:rsid w:val="007633AE"/>
    <w:rsid w:val="00763484"/>
    <w:rsid w:val="00763506"/>
    <w:rsid w:val="00763512"/>
    <w:rsid w:val="00763613"/>
    <w:rsid w:val="00763639"/>
    <w:rsid w:val="0076378E"/>
    <w:rsid w:val="00763795"/>
    <w:rsid w:val="007637DA"/>
    <w:rsid w:val="007637FD"/>
    <w:rsid w:val="00763840"/>
    <w:rsid w:val="007638AB"/>
    <w:rsid w:val="00763A1F"/>
    <w:rsid w:val="00763A45"/>
    <w:rsid w:val="00763AF3"/>
    <w:rsid w:val="00763B92"/>
    <w:rsid w:val="00763C0A"/>
    <w:rsid w:val="00763C60"/>
    <w:rsid w:val="00763CFF"/>
    <w:rsid w:val="00763E1C"/>
    <w:rsid w:val="00763E52"/>
    <w:rsid w:val="00763E6B"/>
    <w:rsid w:val="00763EE6"/>
    <w:rsid w:val="00763F2E"/>
    <w:rsid w:val="007640B8"/>
    <w:rsid w:val="00764127"/>
    <w:rsid w:val="007642A4"/>
    <w:rsid w:val="007642C3"/>
    <w:rsid w:val="007642FB"/>
    <w:rsid w:val="00764334"/>
    <w:rsid w:val="00764532"/>
    <w:rsid w:val="007645F0"/>
    <w:rsid w:val="007647A0"/>
    <w:rsid w:val="007647C0"/>
    <w:rsid w:val="00764835"/>
    <w:rsid w:val="00764848"/>
    <w:rsid w:val="007648D8"/>
    <w:rsid w:val="007648D9"/>
    <w:rsid w:val="007648FB"/>
    <w:rsid w:val="0076498C"/>
    <w:rsid w:val="007649EC"/>
    <w:rsid w:val="00764A80"/>
    <w:rsid w:val="00764AEE"/>
    <w:rsid w:val="00764B6E"/>
    <w:rsid w:val="00764BDE"/>
    <w:rsid w:val="00764BE0"/>
    <w:rsid w:val="00764C2C"/>
    <w:rsid w:val="00764D0C"/>
    <w:rsid w:val="00764DB2"/>
    <w:rsid w:val="00764DD7"/>
    <w:rsid w:val="00764DD9"/>
    <w:rsid w:val="00764DF9"/>
    <w:rsid w:val="00764E46"/>
    <w:rsid w:val="00764F5F"/>
    <w:rsid w:val="00765011"/>
    <w:rsid w:val="00765072"/>
    <w:rsid w:val="007650BC"/>
    <w:rsid w:val="007650BE"/>
    <w:rsid w:val="0076511D"/>
    <w:rsid w:val="00765205"/>
    <w:rsid w:val="0076524B"/>
    <w:rsid w:val="007652B2"/>
    <w:rsid w:val="00765317"/>
    <w:rsid w:val="0076532A"/>
    <w:rsid w:val="007654F1"/>
    <w:rsid w:val="007655AF"/>
    <w:rsid w:val="007655B9"/>
    <w:rsid w:val="00765665"/>
    <w:rsid w:val="00765682"/>
    <w:rsid w:val="00765683"/>
    <w:rsid w:val="0076576F"/>
    <w:rsid w:val="0076577D"/>
    <w:rsid w:val="00765790"/>
    <w:rsid w:val="007657F9"/>
    <w:rsid w:val="00765806"/>
    <w:rsid w:val="0076581F"/>
    <w:rsid w:val="00765891"/>
    <w:rsid w:val="007658DB"/>
    <w:rsid w:val="00765AFC"/>
    <w:rsid w:val="00765AFE"/>
    <w:rsid w:val="00765BFB"/>
    <w:rsid w:val="00765D18"/>
    <w:rsid w:val="00765E1C"/>
    <w:rsid w:val="00765E6A"/>
    <w:rsid w:val="00765E80"/>
    <w:rsid w:val="00765FAE"/>
    <w:rsid w:val="007660C8"/>
    <w:rsid w:val="00766180"/>
    <w:rsid w:val="007661C3"/>
    <w:rsid w:val="00766242"/>
    <w:rsid w:val="007662DC"/>
    <w:rsid w:val="007663C3"/>
    <w:rsid w:val="007663C6"/>
    <w:rsid w:val="00766414"/>
    <w:rsid w:val="007664B9"/>
    <w:rsid w:val="007664D1"/>
    <w:rsid w:val="0076655C"/>
    <w:rsid w:val="0076659D"/>
    <w:rsid w:val="007665ED"/>
    <w:rsid w:val="0076664B"/>
    <w:rsid w:val="0076664C"/>
    <w:rsid w:val="00766678"/>
    <w:rsid w:val="007667F7"/>
    <w:rsid w:val="00766902"/>
    <w:rsid w:val="00766993"/>
    <w:rsid w:val="00766A20"/>
    <w:rsid w:val="00766AB9"/>
    <w:rsid w:val="00766AD3"/>
    <w:rsid w:val="00766B82"/>
    <w:rsid w:val="00766C3E"/>
    <w:rsid w:val="00766C69"/>
    <w:rsid w:val="00766D0A"/>
    <w:rsid w:val="00766DBA"/>
    <w:rsid w:val="00766E2E"/>
    <w:rsid w:val="00766FE2"/>
    <w:rsid w:val="00767122"/>
    <w:rsid w:val="007671B8"/>
    <w:rsid w:val="007671C9"/>
    <w:rsid w:val="00767253"/>
    <w:rsid w:val="007672D1"/>
    <w:rsid w:val="00767403"/>
    <w:rsid w:val="0076762D"/>
    <w:rsid w:val="0076767F"/>
    <w:rsid w:val="007676B5"/>
    <w:rsid w:val="00767766"/>
    <w:rsid w:val="007678A2"/>
    <w:rsid w:val="00767978"/>
    <w:rsid w:val="00767A2B"/>
    <w:rsid w:val="00767A95"/>
    <w:rsid w:val="00767B3F"/>
    <w:rsid w:val="00767BA2"/>
    <w:rsid w:val="00767C9E"/>
    <w:rsid w:val="00767CE8"/>
    <w:rsid w:val="00767D1F"/>
    <w:rsid w:val="00767D22"/>
    <w:rsid w:val="00767D25"/>
    <w:rsid w:val="00767EAB"/>
    <w:rsid w:val="00767EDB"/>
    <w:rsid w:val="00767F1A"/>
    <w:rsid w:val="00767F6D"/>
    <w:rsid w:val="00767F7E"/>
    <w:rsid w:val="00767FB1"/>
    <w:rsid w:val="00770008"/>
    <w:rsid w:val="0077003A"/>
    <w:rsid w:val="007700C8"/>
    <w:rsid w:val="0077028C"/>
    <w:rsid w:val="007702AF"/>
    <w:rsid w:val="007702F7"/>
    <w:rsid w:val="007703C7"/>
    <w:rsid w:val="0077041B"/>
    <w:rsid w:val="00770477"/>
    <w:rsid w:val="00770489"/>
    <w:rsid w:val="007704BB"/>
    <w:rsid w:val="007704F9"/>
    <w:rsid w:val="00770519"/>
    <w:rsid w:val="00770535"/>
    <w:rsid w:val="0077055A"/>
    <w:rsid w:val="0077055B"/>
    <w:rsid w:val="0077061C"/>
    <w:rsid w:val="00770634"/>
    <w:rsid w:val="0077081C"/>
    <w:rsid w:val="0077081E"/>
    <w:rsid w:val="00770895"/>
    <w:rsid w:val="0077095B"/>
    <w:rsid w:val="00770A8D"/>
    <w:rsid w:val="00770AF9"/>
    <w:rsid w:val="00770B93"/>
    <w:rsid w:val="00770BB4"/>
    <w:rsid w:val="00770C00"/>
    <w:rsid w:val="00770C2F"/>
    <w:rsid w:val="00770C33"/>
    <w:rsid w:val="00770C74"/>
    <w:rsid w:val="00770CAD"/>
    <w:rsid w:val="00770D00"/>
    <w:rsid w:val="00770D72"/>
    <w:rsid w:val="00770E73"/>
    <w:rsid w:val="00770F46"/>
    <w:rsid w:val="00770FA8"/>
    <w:rsid w:val="0077107A"/>
    <w:rsid w:val="007710CB"/>
    <w:rsid w:val="007710D1"/>
    <w:rsid w:val="007711D4"/>
    <w:rsid w:val="0077128D"/>
    <w:rsid w:val="0077139A"/>
    <w:rsid w:val="0077139F"/>
    <w:rsid w:val="007713ED"/>
    <w:rsid w:val="0077143B"/>
    <w:rsid w:val="00771501"/>
    <w:rsid w:val="0077151B"/>
    <w:rsid w:val="00771586"/>
    <w:rsid w:val="0077163E"/>
    <w:rsid w:val="007716C6"/>
    <w:rsid w:val="00771727"/>
    <w:rsid w:val="00771814"/>
    <w:rsid w:val="0077188A"/>
    <w:rsid w:val="007718C6"/>
    <w:rsid w:val="0077190F"/>
    <w:rsid w:val="007719E1"/>
    <w:rsid w:val="00771A45"/>
    <w:rsid w:val="00771B2B"/>
    <w:rsid w:val="00771B6E"/>
    <w:rsid w:val="00771BB6"/>
    <w:rsid w:val="00771BE2"/>
    <w:rsid w:val="00771C09"/>
    <w:rsid w:val="00771D06"/>
    <w:rsid w:val="00771D2C"/>
    <w:rsid w:val="00771DB2"/>
    <w:rsid w:val="00771DC8"/>
    <w:rsid w:val="00771DCF"/>
    <w:rsid w:val="00771E15"/>
    <w:rsid w:val="00771EF2"/>
    <w:rsid w:val="00771F15"/>
    <w:rsid w:val="00771F38"/>
    <w:rsid w:val="00772016"/>
    <w:rsid w:val="00772026"/>
    <w:rsid w:val="00772048"/>
    <w:rsid w:val="0077206F"/>
    <w:rsid w:val="007720C0"/>
    <w:rsid w:val="00772122"/>
    <w:rsid w:val="007721AC"/>
    <w:rsid w:val="007721B2"/>
    <w:rsid w:val="00772220"/>
    <w:rsid w:val="0077229A"/>
    <w:rsid w:val="007722C8"/>
    <w:rsid w:val="00772366"/>
    <w:rsid w:val="0077239A"/>
    <w:rsid w:val="007723D0"/>
    <w:rsid w:val="007723E2"/>
    <w:rsid w:val="007723E8"/>
    <w:rsid w:val="0077247B"/>
    <w:rsid w:val="007724DE"/>
    <w:rsid w:val="007724E5"/>
    <w:rsid w:val="0077252B"/>
    <w:rsid w:val="007725D0"/>
    <w:rsid w:val="00772661"/>
    <w:rsid w:val="007727AD"/>
    <w:rsid w:val="0077280B"/>
    <w:rsid w:val="00772818"/>
    <w:rsid w:val="00772A7D"/>
    <w:rsid w:val="00772A96"/>
    <w:rsid w:val="00772AC1"/>
    <w:rsid w:val="00772B51"/>
    <w:rsid w:val="00772B54"/>
    <w:rsid w:val="00772BA3"/>
    <w:rsid w:val="00772CA8"/>
    <w:rsid w:val="00772D91"/>
    <w:rsid w:val="00772DC0"/>
    <w:rsid w:val="00772DF6"/>
    <w:rsid w:val="00772EE4"/>
    <w:rsid w:val="00772F74"/>
    <w:rsid w:val="00772FB5"/>
    <w:rsid w:val="007731EA"/>
    <w:rsid w:val="0077324C"/>
    <w:rsid w:val="007732A6"/>
    <w:rsid w:val="00773311"/>
    <w:rsid w:val="007733BC"/>
    <w:rsid w:val="0077343F"/>
    <w:rsid w:val="00773473"/>
    <w:rsid w:val="0077348A"/>
    <w:rsid w:val="007734C3"/>
    <w:rsid w:val="00773533"/>
    <w:rsid w:val="007735E8"/>
    <w:rsid w:val="00773672"/>
    <w:rsid w:val="007736CB"/>
    <w:rsid w:val="00773727"/>
    <w:rsid w:val="00773824"/>
    <w:rsid w:val="0077389E"/>
    <w:rsid w:val="007738B7"/>
    <w:rsid w:val="007739A3"/>
    <w:rsid w:val="00773A00"/>
    <w:rsid w:val="00773A44"/>
    <w:rsid w:val="00773ACA"/>
    <w:rsid w:val="00773B14"/>
    <w:rsid w:val="00773BAB"/>
    <w:rsid w:val="00773CCD"/>
    <w:rsid w:val="00773CF6"/>
    <w:rsid w:val="00773E82"/>
    <w:rsid w:val="00773F27"/>
    <w:rsid w:val="00773F54"/>
    <w:rsid w:val="00773F93"/>
    <w:rsid w:val="00773FB6"/>
    <w:rsid w:val="00774116"/>
    <w:rsid w:val="00774167"/>
    <w:rsid w:val="007742DE"/>
    <w:rsid w:val="007743F3"/>
    <w:rsid w:val="00774486"/>
    <w:rsid w:val="00774575"/>
    <w:rsid w:val="007745BC"/>
    <w:rsid w:val="007745D8"/>
    <w:rsid w:val="00774638"/>
    <w:rsid w:val="00774681"/>
    <w:rsid w:val="00774709"/>
    <w:rsid w:val="00774715"/>
    <w:rsid w:val="00774819"/>
    <w:rsid w:val="00774857"/>
    <w:rsid w:val="007748B2"/>
    <w:rsid w:val="00774940"/>
    <w:rsid w:val="007749E8"/>
    <w:rsid w:val="007749F8"/>
    <w:rsid w:val="00774A81"/>
    <w:rsid w:val="00774AED"/>
    <w:rsid w:val="00774B00"/>
    <w:rsid w:val="00774B1C"/>
    <w:rsid w:val="00774B9D"/>
    <w:rsid w:val="00774C2D"/>
    <w:rsid w:val="00774C6A"/>
    <w:rsid w:val="00774CB0"/>
    <w:rsid w:val="00774D2B"/>
    <w:rsid w:val="00774D37"/>
    <w:rsid w:val="00774D6D"/>
    <w:rsid w:val="00774E0A"/>
    <w:rsid w:val="00774E44"/>
    <w:rsid w:val="00774EE7"/>
    <w:rsid w:val="00774F4E"/>
    <w:rsid w:val="00774F5C"/>
    <w:rsid w:val="007750F8"/>
    <w:rsid w:val="0077510F"/>
    <w:rsid w:val="007751EE"/>
    <w:rsid w:val="0077524B"/>
    <w:rsid w:val="00775273"/>
    <w:rsid w:val="007752CD"/>
    <w:rsid w:val="007752D3"/>
    <w:rsid w:val="00775365"/>
    <w:rsid w:val="0077537A"/>
    <w:rsid w:val="00775389"/>
    <w:rsid w:val="00775391"/>
    <w:rsid w:val="0077556F"/>
    <w:rsid w:val="00775586"/>
    <w:rsid w:val="007755AF"/>
    <w:rsid w:val="00775601"/>
    <w:rsid w:val="00775609"/>
    <w:rsid w:val="00775713"/>
    <w:rsid w:val="0077574D"/>
    <w:rsid w:val="00775780"/>
    <w:rsid w:val="007757A2"/>
    <w:rsid w:val="00775804"/>
    <w:rsid w:val="00775816"/>
    <w:rsid w:val="0077583A"/>
    <w:rsid w:val="00775999"/>
    <w:rsid w:val="007759AE"/>
    <w:rsid w:val="00775AFB"/>
    <w:rsid w:val="00775B0F"/>
    <w:rsid w:val="00775BBF"/>
    <w:rsid w:val="00775BF5"/>
    <w:rsid w:val="00775C12"/>
    <w:rsid w:val="00775CDD"/>
    <w:rsid w:val="00775CE2"/>
    <w:rsid w:val="00775D35"/>
    <w:rsid w:val="00775D3C"/>
    <w:rsid w:val="00775D6D"/>
    <w:rsid w:val="00775DCA"/>
    <w:rsid w:val="00775E9D"/>
    <w:rsid w:val="00775E9E"/>
    <w:rsid w:val="00775F47"/>
    <w:rsid w:val="00775F9D"/>
    <w:rsid w:val="00775FE8"/>
    <w:rsid w:val="00776014"/>
    <w:rsid w:val="00776040"/>
    <w:rsid w:val="0077615E"/>
    <w:rsid w:val="00776246"/>
    <w:rsid w:val="00776248"/>
    <w:rsid w:val="0077624A"/>
    <w:rsid w:val="00776256"/>
    <w:rsid w:val="00776297"/>
    <w:rsid w:val="00776303"/>
    <w:rsid w:val="0077645B"/>
    <w:rsid w:val="007764C6"/>
    <w:rsid w:val="007765B7"/>
    <w:rsid w:val="007765D8"/>
    <w:rsid w:val="00776696"/>
    <w:rsid w:val="007767A4"/>
    <w:rsid w:val="007767A5"/>
    <w:rsid w:val="007767AF"/>
    <w:rsid w:val="0077698E"/>
    <w:rsid w:val="00776CB2"/>
    <w:rsid w:val="00776CE3"/>
    <w:rsid w:val="00776CE8"/>
    <w:rsid w:val="00776D02"/>
    <w:rsid w:val="00776D51"/>
    <w:rsid w:val="00776DBF"/>
    <w:rsid w:val="00776DCE"/>
    <w:rsid w:val="00776E3B"/>
    <w:rsid w:val="00776EA8"/>
    <w:rsid w:val="00776FF9"/>
    <w:rsid w:val="007770BE"/>
    <w:rsid w:val="00777108"/>
    <w:rsid w:val="007773B5"/>
    <w:rsid w:val="007774A2"/>
    <w:rsid w:val="007774F2"/>
    <w:rsid w:val="0077758E"/>
    <w:rsid w:val="00777599"/>
    <w:rsid w:val="0077769A"/>
    <w:rsid w:val="0077773D"/>
    <w:rsid w:val="0077783A"/>
    <w:rsid w:val="007778C8"/>
    <w:rsid w:val="00777900"/>
    <w:rsid w:val="0077790D"/>
    <w:rsid w:val="00777963"/>
    <w:rsid w:val="007779DB"/>
    <w:rsid w:val="007779F3"/>
    <w:rsid w:val="00777A3A"/>
    <w:rsid w:val="00777C67"/>
    <w:rsid w:val="00777C7E"/>
    <w:rsid w:val="00777E58"/>
    <w:rsid w:val="00777EBD"/>
    <w:rsid w:val="00777EE7"/>
    <w:rsid w:val="00777FC4"/>
    <w:rsid w:val="0078004F"/>
    <w:rsid w:val="00780099"/>
    <w:rsid w:val="00780188"/>
    <w:rsid w:val="00780284"/>
    <w:rsid w:val="00780291"/>
    <w:rsid w:val="00780358"/>
    <w:rsid w:val="007803F4"/>
    <w:rsid w:val="00780419"/>
    <w:rsid w:val="007804D3"/>
    <w:rsid w:val="007804E0"/>
    <w:rsid w:val="00780512"/>
    <w:rsid w:val="00780548"/>
    <w:rsid w:val="00780563"/>
    <w:rsid w:val="0078065D"/>
    <w:rsid w:val="007807C3"/>
    <w:rsid w:val="007808EA"/>
    <w:rsid w:val="00780930"/>
    <w:rsid w:val="00780989"/>
    <w:rsid w:val="00780A0D"/>
    <w:rsid w:val="00780AA7"/>
    <w:rsid w:val="00780AD5"/>
    <w:rsid w:val="00780C75"/>
    <w:rsid w:val="00780CEC"/>
    <w:rsid w:val="00780DBD"/>
    <w:rsid w:val="00780E6F"/>
    <w:rsid w:val="00780EB4"/>
    <w:rsid w:val="00780F7D"/>
    <w:rsid w:val="00780FC3"/>
    <w:rsid w:val="00781018"/>
    <w:rsid w:val="007810B8"/>
    <w:rsid w:val="007810C6"/>
    <w:rsid w:val="007810D6"/>
    <w:rsid w:val="0078111D"/>
    <w:rsid w:val="007811F6"/>
    <w:rsid w:val="00781248"/>
    <w:rsid w:val="007812FA"/>
    <w:rsid w:val="00781332"/>
    <w:rsid w:val="0078136E"/>
    <w:rsid w:val="007813D4"/>
    <w:rsid w:val="007813EF"/>
    <w:rsid w:val="0078148D"/>
    <w:rsid w:val="007814E5"/>
    <w:rsid w:val="0078153B"/>
    <w:rsid w:val="0078173F"/>
    <w:rsid w:val="007817CD"/>
    <w:rsid w:val="0078181F"/>
    <w:rsid w:val="00781915"/>
    <w:rsid w:val="00781A96"/>
    <w:rsid w:val="00781B04"/>
    <w:rsid w:val="00781B93"/>
    <w:rsid w:val="00781C05"/>
    <w:rsid w:val="00781C8E"/>
    <w:rsid w:val="00781CB8"/>
    <w:rsid w:val="00781CD4"/>
    <w:rsid w:val="00781D7E"/>
    <w:rsid w:val="00781D80"/>
    <w:rsid w:val="00781DFA"/>
    <w:rsid w:val="00781ED0"/>
    <w:rsid w:val="00781F06"/>
    <w:rsid w:val="00781F27"/>
    <w:rsid w:val="00782067"/>
    <w:rsid w:val="00782097"/>
    <w:rsid w:val="007821A9"/>
    <w:rsid w:val="007821AE"/>
    <w:rsid w:val="0078236E"/>
    <w:rsid w:val="007823DD"/>
    <w:rsid w:val="007823FC"/>
    <w:rsid w:val="00782451"/>
    <w:rsid w:val="00782543"/>
    <w:rsid w:val="00782563"/>
    <w:rsid w:val="00782567"/>
    <w:rsid w:val="007825F6"/>
    <w:rsid w:val="007825FB"/>
    <w:rsid w:val="00782662"/>
    <w:rsid w:val="007826AD"/>
    <w:rsid w:val="007826CA"/>
    <w:rsid w:val="00782702"/>
    <w:rsid w:val="00782817"/>
    <w:rsid w:val="0078288F"/>
    <w:rsid w:val="007828ED"/>
    <w:rsid w:val="0078293A"/>
    <w:rsid w:val="00782946"/>
    <w:rsid w:val="0078297A"/>
    <w:rsid w:val="007829DF"/>
    <w:rsid w:val="00782A05"/>
    <w:rsid w:val="00782A25"/>
    <w:rsid w:val="00782A98"/>
    <w:rsid w:val="00782AE6"/>
    <w:rsid w:val="00782B08"/>
    <w:rsid w:val="00782B8C"/>
    <w:rsid w:val="00782CB4"/>
    <w:rsid w:val="00782CBE"/>
    <w:rsid w:val="00782D50"/>
    <w:rsid w:val="00782E59"/>
    <w:rsid w:val="00782E60"/>
    <w:rsid w:val="00782E65"/>
    <w:rsid w:val="00782EB5"/>
    <w:rsid w:val="007830E1"/>
    <w:rsid w:val="0078312E"/>
    <w:rsid w:val="007832DB"/>
    <w:rsid w:val="0078333C"/>
    <w:rsid w:val="0078334B"/>
    <w:rsid w:val="00783387"/>
    <w:rsid w:val="0078353F"/>
    <w:rsid w:val="007835F8"/>
    <w:rsid w:val="007836FB"/>
    <w:rsid w:val="0078377D"/>
    <w:rsid w:val="00783795"/>
    <w:rsid w:val="007838CA"/>
    <w:rsid w:val="00783A0C"/>
    <w:rsid w:val="00783A3F"/>
    <w:rsid w:val="00783A5D"/>
    <w:rsid w:val="00783B12"/>
    <w:rsid w:val="00783B75"/>
    <w:rsid w:val="00783B9D"/>
    <w:rsid w:val="00783BB1"/>
    <w:rsid w:val="00783C46"/>
    <w:rsid w:val="00783D05"/>
    <w:rsid w:val="00783D1F"/>
    <w:rsid w:val="00783DF5"/>
    <w:rsid w:val="0078400D"/>
    <w:rsid w:val="00784024"/>
    <w:rsid w:val="007840EB"/>
    <w:rsid w:val="00784200"/>
    <w:rsid w:val="00784208"/>
    <w:rsid w:val="00784216"/>
    <w:rsid w:val="0078422B"/>
    <w:rsid w:val="00784425"/>
    <w:rsid w:val="00784445"/>
    <w:rsid w:val="0078444D"/>
    <w:rsid w:val="0078447C"/>
    <w:rsid w:val="0078448A"/>
    <w:rsid w:val="00784568"/>
    <w:rsid w:val="0078457D"/>
    <w:rsid w:val="00784625"/>
    <w:rsid w:val="007846FB"/>
    <w:rsid w:val="0078477A"/>
    <w:rsid w:val="007847FB"/>
    <w:rsid w:val="00784915"/>
    <w:rsid w:val="0078491B"/>
    <w:rsid w:val="00784922"/>
    <w:rsid w:val="0078496A"/>
    <w:rsid w:val="00784A18"/>
    <w:rsid w:val="00784B8F"/>
    <w:rsid w:val="00784C6B"/>
    <w:rsid w:val="00784C94"/>
    <w:rsid w:val="00784D19"/>
    <w:rsid w:val="00784D87"/>
    <w:rsid w:val="00784E5A"/>
    <w:rsid w:val="00784F6C"/>
    <w:rsid w:val="0078506C"/>
    <w:rsid w:val="0078523E"/>
    <w:rsid w:val="00785369"/>
    <w:rsid w:val="00785384"/>
    <w:rsid w:val="00785392"/>
    <w:rsid w:val="007854FF"/>
    <w:rsid w:val="0078556D"/>
    <w:rsid w:val="00785574"/>
    <w:rsid w:val="00785626"/>
    <w:rsid w:val="00785737"/>
    <w:rsid w:val="007857C6"/>
    <w:rsid w:val="007857DE"/>
    <w:rsid w:val="00785826"/>
    <w:rsid w:val="0078583E"/>
    <w:rsid w:val="00785909"/>
    <w:rsid w:val="00785983"/>
    <w:rsid w:val="0078598D"/>
    <w:rsid w:val="00785A7E"/>
    <w:rsid w:val="00785AA0"/>
    <w:rsid w:val="00785C79"/>
    <w:rsid w:val="00785D79"/>
    <w:rsid w:val="00785DF3"/>
    <w:rsid w:val="00785DF5"/>
    <w:rsid w:val="00785E0D"/>
    <w:rsid w:val="00785E65"/>
    <w:rsid w:val="00785E7B"/>
    <w:rsid w:val="00785EBE"/>
    <w:rsid w:val="00785EF7"/>
    <w:rsid w:val="00785F1E"/>
    <w:rsid w:val="00786084"/>
    <w:rsid w:val="0078615C"/>
    <w:rsid w:val="00786193"/>
    <w:rsid w:val="007861C3"/>
    <w:rsid w:val="007861F9"/>
    <w:rsid w:val="007861FD"/>
    <w:rsid w:val="00786291"/>
    <w:rsid w:val="007862BE"/>
    <w:rsid w:val="007862C6"/>
    <w:rsid w:val="00786312"/>
    <w:rsid w:val="007863C2"/>
    <w:rsid w:val="007864B6"/>
    <w:rsid w:val="00786526"/>
    <w:rsid w:val="0078652C"/>
    <w:rsid w:val="00786577"/>
    <w:rsid w:val="00786595"/>
    <w:rsid w:val="007865E0"/>
    <w:rsid w:val="00786604"/>
    <w:rsid w:val="0078661A"/>
    <w:rsid w:val="00786666"/>
    <w:rsid w:val="0078667C"/>
    <w:rsid w:val="007866D6"/>
    <w:rsid w:val="007866E7"/>
    <w:rsid w:val="007866EF"/>
    <w:rsid w:val="00786814"/>
    <w:rsid w:val="007868DE"/>
    <w:rsid w:val="00786976"/>
    <w:rsid w:val="007869B5"/>
    <w:rsid w:val="00786B5B"/>
    <w:rsid w:val="00786B77"/>
    <w:rsid w:val="00786B8A"/>
    <w:rsid w:val="00786BB0"/>
    <w:rsid w:val="00786C57"/>
    <w:rsid w:val="00786CFB"/>
    <w:rsid w:val="00786D20"/>
    <w:rsid w:val="00786D2A"/>
    <w:rsid w:val="00786D49"/>
    <w:rsid w:val="00786D87"/>
    <w:rsid w:val="00786DA0"/>
    <w:rsid w:val="00786F50"/>
    <w:rsid w:val="00787038"/>
    <w:rsid w:val="007870F3"/>
    <w:rsid w:val="0078715A"/>
    <w:rsid w:val="007872ED"/>
    <w:rsid w:val="007873A2"/>
    <w:rsid w:val="00787417"/>
    <w:rsid w:val="0078744A"/>
    <w:rsid w:val="00787476"/>
    <w:rsid w:val="007874DF"/>
    <w:rsid w:val="00787525"/>
    <w:rsid w:val="007875C3"/>
    <w:rsid w:val="00787657"/>
    <w:rsid w:val="0078769C"/>
    <w:rsid w:val="007876B4"/>
    <w:rsid w:val="007876C4"/>
    <w:rsid w:val="00787720"/>
    <w:rsid w:val="007877A3"/>
    <w:rsid w:val="007877D8"/>
    <w:rsid w:val="007877FA"/>
    <w:rsid w:val="007877FD"/>
    <w:rsid w:val="00787845"/>
    <w:rsid w:val="0078786F"/>
    <w:rsid w:val="007878ED"/>
    <w:rsid w:val="00787989"/>
    <w:rsid w:val="007879A7"/>
    <w:rsid w:val="007879D7"/>
    <w:rsid w:val="00787A1D"/>
    <w:rsid w:val="00787AE5"/>
    <w:rsid w:val="00787B37"/>
    <w:rsid w:val="00787BB7"/>
    <w:rsid w:val="00787C3F"/>
    <w:rsid w:val="00787CF7"/>
    <w:rsid w:val="00787DEE"/>
    <w:rsid w:val="00787DF5"/>
    <w:rsid w:val="00787ECA"/>
    <w:rsid w:val="00787EF1"/>
    <w:rsid w:val="00787EF7"/>
    <w:rsid w:val="00787F17"/>
    <w:rsid w:val="00787FBB"/>
    <w:rsid w:val="00790010"/>
    <w:rsid w:val="0079009C"/>
    <w:rsid w:val="0079010C"/>
    <w:rsid w:val="00790211"/>
    <w:rsid w:val="00790232"/>
    <w:rsid w:val="00790359"/>
    <w:rsid w:val="00790452"/>
    <w:rsid w:val="0079050A"/>
    <w:rsid w:val="00790555"/>
    <w:rsid w:val="007905B6"/>
    <w:rsid w:val="007905EF"/>
    <w:rsid w:val="0079072F"/>
    <w:rsid w:val="0079074A"/>
    <w:rsid w:val="00790786"/>
    <w:rsid w:val="0079078A"/>
    <w:rsid w:val="007907AA"/>
    <w:rsid w:val="007907C0"/>
    <w:rsid w:val="007907D5"/>
    <w:rsid w:val="00790815"/>
    <w:rsid w:val="00790852"/>
    <w:rsid w:val="0079086B"/>
    <w:rsid w:val="0079095F"/>
    <w:rsid w:val="00790A4F"/>
    <w:rsid w:val="00790A50"/>
    <w:rsid w:val="00790B28"/>
    <w:rsid w:val="00790B6D"/>
    <w:rsid w:val="00790CCC"/>
    <w:rsid w:val="00790DEB"/>
    <w:rsid w:val="00790E39"/>
    <w:rsid w:val="00791035"/>
    <w:rsid w:val="00791105"/>
    <w:rsid w:val="0079112B"/>
    <w:rsid w:val="00791163"/>
    <w:rsid w:val="00791190"/>
    <w:rsid w:val="00791250"/>
    <w:rsid w:val="0079125E"/>
    <w:rsid w:val="00791275"/>
    <w:rsid w:val="007912B2"/>
    <w:rsid w:val="007912C0"/>
    <w:rsid w:val="007912C8"/>
    <w:rsid w:val="007913DD"/>
    <w:rsid w:val="0079149C"/>
    <w:rsid w:val="007914BF"/>
    <w:rsid w:val="007914E0"/>
    <w:rsid w:val="00791582"/>
    <w:rsid w:val="007915B7"/>
    <w:rsid w:val="00791647"/>
    <w:rsid w:val="007917FA"/>
    <w:rsid w:val="0079189C"/>
    <w:rsid w:val="007919E4"/>
    <w:rsid w:val="00791A45"/>
    <w:rsid w:val="00791AAD"/>
    <w:rsid w:val="00791B7D"/>
    <w:rsid w:val="00791C18"/>
    <w:rsid w:val="00791C54"/>
    <w:rsid w:val="00791C55"/>
    <w:rsid w:val="00791CC6"/>
    <w:rsid w:val="00791D80"/>
    <w:rsid w:val="00791DB2"/>
    <w:rsid w:val="00791DF9"/>
    <w:rsid w:val="00791E89"/>
    <w:rsid w:val="007920F0"/>
    <w:rsid w:val="00792109"/>
    <w:rsid w:val="0079213E"/>
    <w:rsid w:val="0079215E"/>
    <w:rsid w:val="0079216E"/>
    <w:rsid w:val="007921D9"/>
    <w:rsid w:val="0079221B"/>
    <w:rsid w:val="00792220"/>
    <w:rsid w:val="0079227A"/>
    <w:rsid w:val="0079229C"/>
    <w:rsid w:val="007922E3"/>
    <w:rsid w:val="0079231F"/>
    <w:rsid w:val="00792384"/>
    <w:rsid w:val="007925F8"/>
    <w:rsid w:val="00792682"/>
    <w:rsid w:val="0079268F"/>
    <w:rsid w:val="0079281F"/>
    <w:rsid w:val="007928BC"/>
    <w:rsid w:val="007928DB"/>
    <w:rsid w:val="00792908"/>
    <w:rsid w:val="00792917"/>
    <w:rsid w:val="0079293E"/>
    <w:rsid w:val="007929AF"/>
    <w:rsid w:val="00792A13"/>
    <w:rsid w:val="00792A3A"/>
    <w:rsid w:val="00792ADB"/>
    <w:rsid w:val="00792BCC"/>
    <w:rsid w:val="00792BDE"/>
    <w:rsid w:val="00792C79"/>
    <w:rsid w:val="00792C9A"/>
    <w:rsid w:val="00792D2B"/>
    <w:rsid w:val="00792D3E"/>
    <w:rsid w:val="00792D69"/>
    <w:rsid w:val="00792DA2"/>
    <w:rsid w:val="00792DB0"/>
    <w:rsid w:val="00792E60"/>
    <w:rsid w:val="00792F0C"/>
    <w:rsid w:val="00792F3F"/>
    <w:rsid w:val="00792F42"/>
    <w:rsid w:val="00792F5B"/>
    <w:rsid w:val="00792FC4"/>
    <w:rsid w:val="00792FFC"/>
    <w:rsid w:val="00793061"/>
    <w:rsid w:val="007930A4"/>
    <w:rsid w:val="00793162"/>
    <w:rsid w:val="0079319A"/>
    <w:rsid w:val="007931CB"/>
    <w:rsid w:val="00793234"/>
    <w:rsid w:val="00793258"/>
    <w:rsid w:val="007932E9"/>
    <w:rsid w:val="00793327"/>
    <w:rsid w:val="00793341"/>
    <w:rsid w:val="00793388"/>
    <w:rsid w:val="00793391"/>
    <w:rsid w:val="007933B8"/>
    <w:rsid w:val="00793694"/>
    <w:rsid w:val="00793747"/>
    <w:rsid w:val="0079383F"/>
    <w:rsid w:val="00793894"/>
    <w:rsid w:val="00793897"/>
    <w:rsid w:val="007938FC"/>
    <w:rsid w:val="00793A16"/>
    <w:rsid w:val="00793A9F"/>
    <w:rsid w:val="00793B49"/>
    <w:rsid w:val="00793B93"/>
    <w:rsid w:val="00793BA9"/>
    <w:rsid w:val="00793BD9"/>
    <w:rsid w:val="00793CE5"/>
    <w:rsid w:val="00793CFF"/>
    <w:rsid w:val="00793D98"/>
    <w:rsid w:val="00793D99"/>
    <w:rsid w:val="00793DBA"/>
    <w:rsid w:val="00793F7B"/>
    <w:rsid w:val="00793F8D"/>
    <w:rsid w:val="00794057"/>
    <w:rsid w:val="007940C4"/>
    <w:rsid w:val="007940E7"/>
    <w:rsid w:val="007941AB"/>
    <w:rsid w:val="00794374"/>
    <w:rsid w:val="00794378"/>
    <w:rsid w:val="00794403"/>
    <w:rsid w:val="007945CB"/>
    <w:rsid w:val="007945CC"/>
    <w:rsid w:val="007945F4"/>
    <w:rsid w:val="00794635"/>
    <w:rsid w:val="007946AF"/>
    <w:rsid w:val="007946FE"/>
    <w:rsid w:val="00794701"/>
    <w:rsid w:val="0079474A"/>
    <w:rsid w:val="0079477E"/>
    <w:rsid w:val="007947A1"/>
    <w:rsid w:val="00794892"/>
    <w:rsid w:val="007948BC"/>
    <w:rsid w:val="00794919"/>
    <w:rsid w:val="007949E6"/>
    <w:rsid w:val="00794B7F"/>
    <w:rsid w:val="00794B93"/>
    <w:rsid w:val="00794BB2"/>
    <w:rsid w:val="00794BFB"/>
    <w:rsid w:val="00794C95"/>
    <w:rsid w:val="00794CC1"/>
    <w:rsid w:val="00794CDB"/>
    <w:rsid w:val="00794EE0"/>
    <w:rsid w:val="00794FA8"/>
    <w:rsid w:val="00794FF9"/>
    <w:rsid w:val="00795058"/>
    <w:rsid w:val="00795060"/>
    <w:rsid w:val="007951CF"/>
    <w:rsid w:val="007951E1"/>
    <w:rsid w:val="007951EB"/>
    <w:rsid w:val="00795211"/>
    <w:rsid w:val="00795219"/>
    <w:rsid w:val="00795246"/>
    <w:rsid w:val="0079527F"/>
    <w:rsid w:val="007952F6"/>
    <w:rsid w:val="007953A2"/>
    <w:rsid w:val="007954B6"/>
    <w:rsid w:val="007955D9"/>
    <w:rsid w:val="00795618"/>
    <w:rsid w:val="00795779"/>
    <w:rsid w:val="007957AB"/>
    <w:rsid w:val="007957AE"/>
    <w:rsid w:val="0079582C"/>
    <w:rsid w:val="007958D9"/>
    <w:rsid w:val="00795A4A"/>
    <w:rsid w:val="00795AB1"/>
    <w:rsid w:val="00795AE2"/>
    <w:rsid w:val="00795B29"/>
    <w:rsid w:val="00795BC5"/>
    <w:rsid w:val="00795C33"/>
    <w:rsid w:val="00795C5B"/>
    <w:rsid w:val="00795C9B"/>
    <w:rsid w:val="00795EAE"/>
    <w:rsid w:val="00795EBA"/>
    <w:rsid w:val="00795F82"/>
    <w:rsid w:val="0079601F"/>
    <w:rsid w:val="007960F4"/>
    <w:rsid w:val="0079610D"/>
    <w:rsid w:val="00796249"/>
    <w:rsid w:val="00796387"/>
    <w:rsid w:val="00796390"/>
    <w:rsid w:val="00796455"/>
    <w:rsid w:val="007964CB"/>
    <w:rsid w:val="0079664C"/>
    <w:rsid w:val="007966F4"/>
    <w:rsid w:val="0079674F"/>
    <w:rsid w:val="00796765"/>
    <w:rsid w:val="00796818"/>
    <w:rsid w:val="0079689D"/>
    <w:rsid w:val="00796928"/>
    <w:rsid w:val="00796ABC"/>
    <w:rsid w:val="00796AF4"/>
    <w:rsid w:val="00796B39"/>
    <w:rsid w:val="00796B3A"/>
    <w:rsid w:val="00796BBF"/>
    <w:rsid w:val="00796CCD"/>
    <w:rsid w:val="00796CFF"/>
    <w:rsid w:val="00796D45"/>
    <w:rsid w:val="00796D63"/>
    <w:rsid w:val="00796E8F"/>
    <w:rsid w:val="00797009"/>
    <w:rsid w:val="00797011"/>
    <w:rsid w:val="00797028"/>
    <w:rsid w:val="007970F1"/>
    <w:rsid w:val="007970FE"/>
    <w:rsid w:val="00797171"/>
    <w:rsid w:val="007971D5"/>
    <w:rsid w:val="007971D9"/>
    <w:rsid w:val="0079721A"/>
    <w:rsid w:val="00797239"/>
    <w:rsid w:val="0079728A"/>
    <w:rsid w:val="007972ED"/>
    <w:rsid w:val="007973C9"/>
    <w:rsid w:val="00797425"/>
    <w:rsid w:val="007974D5"/>
    <w:rsid w:val="007975E6"/>
    <w:rsid w:val="00797695"/>
    <w:rsid w:val="007977B6"/>
    <w:rsid w:val="007977E3"/>
    <w:rsid w:val="00797888"/>
    <w:rsid w:val="0079793E"/>
    <w:rsid w:val="007979E1"/>
    <w:rsid w:val="00797A34"/>
    <w:rsid w:val="00797A63"/>
    <w:rsid w:val="00797A6A"/>
    <w:rsid w:val="00797AA1"/>
    <w:rsid w:val="00797AB2"/>
    <w:rsid w:val="00797AB3"/>
    <w:rsid w:val="00797AB8"/>
    <w:rsid w:val="00797ABF"/>
    <w:rsid w:val="00797AE7"/>
    <w:rsid w:val="00797B2B"/>
    <w:rsid w:val="00797B38"/>
    <w:rsid w:val="00797BB8"/>
    <w:rsid w:val="00797BF3"/>
    <w:rsid w:val="00797C66"/>
    <w:rsid w:val="00797CD9"/>
    <w:rsid w:val="00797CEE"/>
    <w:rsid w:val="00797D5A"/>
    <w:rsid w:val="00797D8B"/>
    <w:rsid w:val="00797F19"/>
    <w:rsid w:val="00797FB8"/>
    <w:rsid w:val="00797FD3"/>
    <w:rsid w:val="00797FE3"/>
    <w:rsid w:val="007A00D2"/>
    <w:rsid w:val="007A0102"/>
    <w:rsid w:val="007A0124"/>
    <w:rsid w:val="007A0226"/>
    <w:rsid w:val="007A0258"/>
    <w:rsid w:val="007A0264"/>
    <w:rsid w:val="007A02A2"/>
    <w:rsid w:val="007A02E3"/>
    <w:rsid w:val="007A033C"/>
    <w:rsid w:val="007A03B0"/>
    <w:rsid w:val="007A0413"/>
    <w:rsid w:val="007A04B3"/>
    <w:rsid w:val="007A052A"/>
    <w:rsid w:val="007A0594"/>
    <w:rsid w:val="007A066C"/>
    <w:rsid w:val="007A068A"/>
    <w:rsid w:val="007A06FB"/>
    <w:rsid w:val="007A080E"/>
    <w:rsid w:val="007A090E"/>
    <w:rsid w:val="007A0B28"/>
    <w:rsid w:val="007A0B67"/>
    <w:rsid w:val="007A0BA0"/>
    <w:rsid w:val="007A0C97"/>
    <w:rsid w:val="007A0CAB"/>
    <w:rsid w:val="007A0CE9"/>
    <w:rsid w:val="007A0D01"/>
    <w:rsid w:val="007A0D2F"/>
    <w:rsid w:val="007A0DA4"/>
    <w:rsid w:val="007A0E31"/>
    <w:rsid w:val="007A1000"/>
    <w:rsid w:val="007A1042"/>
    <w:rsid w:val="007A1064"/>
    <w:rsid w:val="007A1146"/>
    <w:rsid w:val="007A1189"/>
    <w:rsid w:val="007A1335"/>
    <w:rsid w:val="007A13D1"/>
    <w:rsid w:val="007A14AE"/>
    <w:rsid w:val="007A1500"/>
    <w:rsid w:val="007A1546"/>
    <w:rsid w:val="007A1651"/>
    <w:rsid w:val="007A1661"/>
    <w:rsid w:val="007A16BD"/>
    <w:rsid w:val="007A1768"/>
    <w:rsid w:val="007A17B4"/>
    <w:rsid w:val="007A1834"/>
    <w:rsid w:val="007A18D8"/>
    <w:rsid w:val="007A193E"/>
    <w:rsid w:val="007A197D"/>
    <w:rsid w:val="007A1AA0"/>
    <w:rsid w:val="007A1BEF"/>
    <w:rsid w:val="007A1F79"/>
    <w:rsid w:val="007A1FBA"/>
    <w:rsid w:val="007A1FC4"/>
    <w:rsid w:val="007A207D"/>
    <w:rsid w:val="007A2141"/>
    <w:rsid w:val="007A216F"/>
    <w:rsid w:val="007A21AC"/>
    <w:rsid w:val="007A21CA"/>
    <w:rsid w:val="007A2223"/>
    <w:rsid w:val="007A2241"/>
    <w:rsid w:val="007A22FA"/>
    <w:rsid w:val="007A2335"/>
    <w:rsid w:val="007A2347"/>
    <w:rsid w:val="007A23CF"/>
    <w:rsid w:val="007A2409"/>
    <w:rsid w:val="007A2421"/>
    <w:rsid w:val="007A24D1"/>
    <w:rsid w:val="007A250A"/>
    <w:rsid w:val="007A2563"/>
    <w:rsid w:val="007A25B3"/>
    <w:rsid w:val="007A25F7"/>
    <w:rsid w:val="007A26CD"/>
    <w:rsid w:val="007A270F"/>
    <w:rsid w:val="007A2730"/>
    <w:rsid w:val="007A279D"/>
    <w:rsid w:val="007A27F7"/>
    <w:rsid w:val="007A2848"/>
    <w:rsid w:val="007A288B"/>
    <w:rsid w:val="007A2A68"/>
    <w:rsid w:val="007A2BFA"/>
    <w:rsid w:val="007A2C20"/>
    <w:rsid w:val="007A2D08"/>
    <w:rsid w:val="007A2D5F"/>
    <w:rsid w:val="007A2D7A"/>
    <w:rsid w:val="007A2DA0"/>
    <w:rsid w:val="007A2DC9"/>
    <w:rsid w:val="007A2E30"/>
    <w:rsid w:val="007A2EC9"/>
    <w:rsid w:val="007A2ED0"/>
    <w:rsid w:val="007A2EF6"/>
    <w:rsid w:val="007A2F71"/>
    <w:rsid w:val="007A3015"/>
    <w:rsid w:val="007A3041"/>
    <w:rsid w:val="007A30BB"/>
    <w:rsid w:val="007A30E9"/>
    <w:rsid w:val="007A317C"/>
    <w:rsid w:val="007A3194"/>
    <w:rsid w:val="007A32E1"/>
    <w:rsid w:val="007A3366"/>
    <w:rsid w:val="007A33E4"/>
    <w:rsid w:val="007A33FE"/>
    <w:rsid w:val="007A35A3"/>
    <w:rsid w:val="007A362F"/>
    <w:rsid w:val="007A364B"/>
    <w:rsid w:val="007A36FF"/>
    <w:rsid w:val="007A3763"/>
    <w:rsid w:val="007A377E"/>
    <w:rsid w:val="007A3812"/>
    <w:rsid w:val="007A383A"/>
    <w:rsid w:val="007A3888"/>
    <w:rsid w:val="007A38C2"/>
    <w:rsid w:val="007A38D4"/>
    <w:rsid w:val="007A38F3"/>
    <w:rsid w:val="007A3980"/>
    <w:rsid w:val="007A39ED"/>
    <w:rsid w:val="007A3A06"/>
    <w:rsid w:val="007A3A12"/>
    <w:rsid w:val="007A3C50"/>
    <w:rsid w:val="007A3CAC"/>
    <w:rsid w:val="007A3CC3"/>
    <w:rsid w:val="007A3CD2"/>
    <w:rsid w:val="007A3D3B"/>
    <w:rsid w:val="007A3E6C"/>
    <w:rsid w:val="007A3E9F"/>
    <w:rsid w:val="007A3F3A"/>
    <w:rsid w:val="007A3F84"/>
    <w:rsid w:val="007A4013"/>
    <w:rsid w:val="007A40A2"/>
    <w:rsid w:val="007A40F3"/>
    <w:rsid w:val="007A411B"/>
    <w:rsid w:val="007A4149"/>
    <w:rsid w:val="007A418F"/>
    <w:rsid w:val="007A42B8"/>
    <w:rsid w:val="007A43AD"/>
    <w:rsid w:val="007A4416"/>
    <w:rsid w:val="007A442E"/>
    <w:rsid w:val="007A45C9"/>
    <w:rsid w:val="007A45CC"/>
    <w:rsid w:val="007A4691"/>
    <w:rsid w:val="007A47DD"/>
    <w:rsid w:val="007A495D"/>
    <w:rsid w:val="007A49D1"/>
    <w:rsid w:val="007A49EF"/>
    <w:rsid w:val="007A4B67"/>
    <w:rsid w:val="007A4BBF"/>
    <w:rsid w:val="007A4BD7"/>
    <w:rsid w:val="007A4BF5"/>
    <w:rsid w:val="007A4C28"/>
    <w:rsid w:val="007A4D40"/>
    <w:rsid w:val="007A4D75"/>
    <w:rsid w:val="007A4DF4"/>
    <w:rsid w:val="007A4F16"/>
    <w:rsid w:val="007A4F33"/>
    <w:rsid w:val="007A4FA8"/>
    <w:rsid w:val="007A507E"/>
    <w:rsid w:val="007A50EC"/>
    <w:rsid w:val="007A515A"/>
    <w:rsid w:val="007A51FB"/>
    <w:rsid w:val="007A522B"/>
    <w:rsid w:val="007A522F"/>
    <w:rsid w:val="007A5259"/>
    <w:rsid w:val="007A5384"/>
    <w:rsid w:val="007A54BB"/>
    <w:rsid w:val="007A5537"/>
    <w:rsid w:val="007A557A"/>
    <w:rsid w:val="007A5861"/>
    <w:rsid w:val="007A5875"/>
    <w:rsid w:val="007A589D"/>
    <w:rsid w:val="007A5A7B"/>
    <w:rsid w:val="007A5A87"/>
    <w:rsid w:val="007A5B02"/>
    <w:rsid w:val="007A5B35"/>
    <w:rsid w:val="007A5B58"/>
    <w:rsid w:val="007A5B8B"/>
    <w:rsid w:val="007A5B9A"/>
    <w:rsid w:val="007A5BFD"/>
    <w:rsid w:val="007A5C16"/>
    <w:rsid w:val="007A5C71"/>
    <w:rsid w:val="007A5CC1"/>
    <w:rsid w:val="007A5CDD"/>
    <w:rsid w:val="007A5D02"/>
    <w:rsid w:val="007A5E7F"/>
    <w:rsid w:val="007A5EAA"/>
    <w:rsid w:val="007A5ECB"/>
    <w:rsid w:val="007A5F2E"/>
    <w:rsid w:val="007A6061"/>
    <w:rsid w:val="007A60CC"/>
    <w:rsid w:val="007A61EC"/>
    <w:rsid w:val="007A62FB"/>
    <w:rsid w:val="007A6427"/>
    <w:rsid w:val="007A64A1"/>
    <w:rsid w:val="007A64AD"/>
    <w:rsid w:val="007A6554"/>
    <w:rsid w:val="007A6597"/>
    <w:rsid w:val="007A65FE"/>
    <w:rsid w:val="007A6686"/>
    <w:rsid w:val="007A6796"/>
    <w:rsid w:val="007A67EE"/>
    <w:rsid w:val="007A6847"/>
    <w:rsid w:val="007A68B7"/>
    <w:rsid w:val="007A68C6"/>
    <w:rsid w:val="007A691B"/>
    <w:rsid w:val="007A6A47"/>
    <w:rsid w:val="007A6A4F"/>
    <w:rsid w:val="007A6A8F"/>
    <w:rsid w:val="007A6BD5"/>
    <w:rsid w:val="007A6CAD"/>
    <w:rsid w:val="007A6CCF"/>
    <w:rsid w:val="007A6CDA"/>
    <w:rsid w:val="007A6D9F"/>
    <w:rsid w:val="007A6E40"/>
    <w:rsid w:val="007A6F8F"/>
    <w:rsid w:val="007A6FA3"/>
    <w:rsid w:val="007A7075"/>
    <w:rsid w:val="007A70C5"/>
    <w:rsid w:val="007A7178"/>
    <w:rsid w:val="007A722F"/>
    <w:rsid w:val="007A7282"/>
    <w:rsid w:val="007A7329"/>
    <w:rsid w:val="007A739D"/>
    <w:rsid w:val="007A73BB"/>
    <w:rsid w:val="007A73D7"/>
    <w:rsid w:val="007A73F8"/>
    <w:rsid w:val="007A746A"/>
    <w:rsid w:val="007A7502"/>
    <w:rsid w:val="007A7624"/>
    <w:rsid w:val="007A766B"/>
    <w:rsid w:val="007A7781"/>
    <w:rsid w:val="007A78CA"/>
    <w:rsid w:val="007A791B"/>
    <w:rsid w:val="007A796E"/>
    <w:rsid w:val="007A79BD"/>
    <w:rsid w:val="007A79EC"/>
    <w:rsid w:val="007A79F2"/>
    <w:rsid w:val="007A7A3D"/>
    <w:rsid w:val="007A7C15"/>
    <w:rsid w:val="007A7D6C"/>
    <w:rsid w:val="007A7E16"/>
    <w:rsid w:val="007A7E45"/>
    <w:rsid w:val="007A7EC6"/>
    <w:rsid w:val="007B0059"/>
    <w:rsid w:val="007B0062"/>
    <w:rsid w:val="007B0108"/>
    <w:rsid w:val="007B0175"/>
    <w:rsid w:val="007B01F8"/>
    <w:rsid w:val="007B03BE"/>
    <w:rsid w:val="007B03E0"/>
    <w:rsid w:val="007B044D"/>
    <w:rsid w:val="007B0557"/>
    <w:rsid w:val="007B0559"/>
    <w:rsid w:val="007B073A"/>
    <w:rsid w:val="007B07FC"/>
    <w:rsid w:val="007B091C"/>
    <w:rsid w:val="007B093F"/>
    <w:rsid w:val="007B0953"/>
    <w:rsid w:val="007B0A3F"/>
    <w:rsid w:val="007B0B12"/>
    <w:rsid w:val="007B0B4B"/>
    <w:rsid w:val="007B0C58"/>
    <w:rsid w:val="007B0F07"/>
    <w:rsid w:val="007B0F2D"/>
    <w:rsid w:val="007B0F3B"/>
    <w:rsid w:val="007B0F6D"/>
    <w:rsid w:val="007B0FA0"/>
    <w:rsid w:val="007B10FA"/>
    <w:rsid w:val="007B110A"/>
    <w:rsid w:val="007B113C"/>
    <w:rsid w:val="007B113E"/>
    <w:rsid w:val="007B116E"/>
    <w:rsid w:val="007B1253"/>
    <w:rsid w:val="007B139F"/>
    <w:rsid w:val="007B13B0"/>
    <w:rsid w:val="007B14AA"/>
    <w:rsid w:val="007B1514"/>
    <w:rsid w:val="007B15DF"/>
    <w:rsid w:val="007B1656"/>
    <w:rsid w:val="007B1794"/>
    <w:rsid w:val="007B17A4"/>
    <w:rsid w:val="007B17A5"/>
    <w:rsid w:val="007B17EA"/>
    <w:rsid w:val="007B17ED"/>
    <w:rsid w:val="007B19B5"/>
    <w:rsid w:val="007B19EE"/>
    <w:rsid w:val="007B1AA7"/>
    <w:rsid w:val="007B1AD8"/>
    <w:rsid w:val="007B1B3D"/>
    <w:rsid w:val="007B1BA5"/>
    <w:rsid w:val="007B1BC8"/>
    <w:rsid w:val="007B1BED"/>
    <w:rsid w:val="007B1C0A"/>
    <w:rsid w:val="007B1CA4"/>
    <w:rsid w:val="007B1CD8"/>
    <w:rsid w:val="007B1CE0"/>
    <w:rsid w:val="007B1D14"/>
    <w:rsid w:val="007B1DA5"/>
    <w:rsid w:val="007B1DC4"/>
    <w:rsid w:val="007B1E38"/>
    <w:rsid w:val="007B1E42"/>
    <w:rsid w:val="007B1EB1"/>
    <w:rsid w:val="007B1F72"/>
    <w:rsid w:val="007B1FB5"/>
    <w:rsid w:val="007B203F"/>
    <w:rsid w:val="007B2088"/>
    <w:rsid w:val="007B2106"/>
    <w:rsid w:val="007B2189"/>
    <w:rsid w:val="007B2211"/>
    <w:rsid w:val="007B22A0"/>
    <w:rsid w:val="007B22B0"/>
    <w:rsid w:val="007B2330"/>
    <w:rsid w:val="007B234F"/>
    <w:rsid w:val="007B2372"/>
    <w:rsid w:val="007B23B1"/>
    <w:rsid w:val="007B23B4"/>
    <w:rsid w:val="007B23CD"/>
    <w:rsid w:val="007B248C"/>
    <w:rsid w:val="007B273A"/>
    <w:rsid w:val="007B2960"/>
    <w:rsid w:val="007B29BA"/>
    <w:rsid w:val="007B2A6F"/>
    <w:rsid w:val="007B2A9A"/>
    <w:rsid w:val="007B2AE6"/>
    <w:rsid w:val="007B2BFB"/>
    <w:rsid w:val="007B2CE8"/>
    <w:rsid w:val="007B2CF7"/>
    <w:rsid w:val="007B2D4F"/>
    <w:rsid w:val="007B2E5A"/>
    <w:rsid w:val="007B2FC4"/>
    <w:rsid w:val="007B3014"/>
    <w:rsid w:val="007B3083"/>
    <w:rsid w:val="007B3100"/>
    <w:rsid w:val="007B31F7"/>
    <w:rsid w:val="007B32D8"/>
    <w:rsid w:val="007B32DC"/>
    <w:rsid w:val="007B333D"/>
    <w:rsid w:val="007B33F3"/>
    <w:rsid w:val="007B3402"/>
    <w:rsid w:val="007B341C"/>
    <w:rsid w:val="007B3433"/>
    <w:rsid w:val="007B347F"/>
    <w:rsid w:val="007B3505"/>
    <w:rsid w:val="007B35BA"/>
    <w:rsid w:val="007B35D2"/>
    <w:rsid w:val="007B36B8"/>
    <w:rsid w:val="007B370A"/>
    <w:rsid w:val="007B3717"/>
    <w:rsid w:val="007B37CA"/>
    <w:rsid w:val="007B38D3"/>
    <w:rsid w:val="007B3997"/>
    <w:rsid w:val="007B3AE0"/>
    <w:rsid w:val="007B3BD8"/>
    <w:rsid w:val="007B3CB8"/>
    <w:rsid w:val="007B3D43"/>
    <w:rsid w:val="007B3E24"/>
    <w:rsid w:val="007B3E97"/>
    <w:rsid w:val="007B3F6E"/>
    <w:rsid w:val="007B3F78"/>
    <w:rsid w:val="007B3FB0"/>
    <w:rsid w:val="007B3FE1"/>
    <w:rsid w:val="007B4074"/>
    <w:rsid w:val="007B4122"/>
    <w:rsid w:val="007B41A3"/>
    <w:rsid w:val="007B42A7"/>
    <w:rsid w:val="007B42AB"/>
    <w:rsid w:val="007B42B8"/>
    <w:rsid w:val="007B4387"/>
    <w:rsid w:val="007B439A"/>
    <w:rsid w:val="007B43AF"/>
    <w:rsid w:val="007B441E"/>
    <w:rsid w:val="007B44C0"/>
    <w:rsid w:val="007B44C1"/>
    <w:rsid w:val="007B4525"/>
    <w:rsid w:val="007B463A"/>
    <w:rsid w:val="007B4666"/>
    <w:rsid w:val="007B4667"/>
    <w:rsid w:val="007B46EE"/>
    <w:rsid w:val="007B472C"/>
    <w:rsid w:val="007B4889"/>
    <w:rsid w:val="007B49C0"/>
    <w:rsid w:val="007B4A0B"/>
    <w:rsid w:val="007B4A20"/>
    <w:rsid w:val="007B4A5C"/>
    <w:rsid w:val="007B4AF4"/>
    <w:rsid w:val="007B4B8A"/>
    <w:rsid w:val="007B4C12"/>
    <w:rsid w:val="007B4DB5"/>
    <w:rsid w:val="007B4E4E"/>
    <w:rsid w:val="007B4E9C"/>
    <w:rsid w:val="007B4ED2"/>
    <w:rsid w:val="007B4FBD"/>
    <w:rsid w:val="007B4FEA"/>
    <w:rsid w:val="007B5023"/>
    <w:rsid w:val="007B5030"/>
    <w:rsid w:val="007B5193"/>
    <w:rsid w:val="007B51E2"/>
    <w:rsid w:val="007B5230"/>
    <w:rsid w:val="007B5559"/>
    <w:rsid w:val="007B55AC"/>
    <w:rsid w:val="007B55C0"/>
    <w:rsid w:val="007B56BF"/>
    <w:rsid w:val="007B570E"/>
    <w:rsid w:val="007B579D"/>
    <w:rsid w:val="007B57C3"/>
    <w:rsid w:val="007B58DC"/>
    <w:rsid w:val="007B5A70"/>
    <w:rsid w:val="007B5AEC"/>
    <w:rsid w:val="007B5B8E"/>
    <w:rsid w:val="007B5BFF"/>
    <w:rsid w:val="007B5C75"/>
    <w:rsid w:val="007B5C78"/>
    <w:rsid w:val="007B5CC4"/>
    <w:rsid w:val="007B5D00"/>
    <w:rsid w:val="007B5DDA"/>
    <w:rsid w:val="007B5DFD"/>
    <w:rsid w:val="007B5E76"/>
    <w:rsid w:val="007B5ED5"/>
    <w:rsid w:val="007B5F28"/>
    <w:rsid w:val="007B5F64"/>
    <w:rsid w:val="007B5FB8"/>
    <w:rsid w:val="007B5FD1"/>
    <w:rsid w:val="007B6011"/>
    <w:rsid w:val="007B607E"/>
    <w:rsid w:val="007B60D3"/>
    <w:rsid w:val="007B615E"/>
    <w:rsid w:val="007B62E9"/>
    <w:rsid w:val="007B6328"/>
    <w:rsid w:val="007B634B"/>
    <w:rsid w:val="007B634D"/>
    <w:rsid w:val="007B6364"/>
    <w:rsid w:val="007B644F"/>
    <w:rsid w:val="007B64A1"/>
    <w:rsid w:val="007B6526"/>
    <w:rsid w:val="007B6658"/>
    <w:rsid w:val="007B66CE"/>
    <w:rsid w:val="007B66DC"/>
    <w:rsid w:val="007B671C"/>
    <w:rsid w:val="007B68FE"/>
    <w:rsid w:val="007B690A"/>
    <w:rsid w:val="007B692A"/>
    <w:rsid w:val="007B6C05"/>
    <w:rsid w:val="007B6CEB"/>
    <w:rsid w:val="007B6DC8"/>
    <w:rsid w:val="007B7008"/>
    <w:rsid w:val="007B7071"/>
    <w:rsid w:val="007B7141"/>
    <w:rsid w:val="007B7145"/>
    <w:rsid w:val="007B72F0"/>
    <w:rsid w:val="007B72FD"/>
    <w:rsid w:val="007B7398"/>
    <w:rsid w:val="007B73A7"/>
    <w:rsid w:val="007B73DC"/>
    <w:rsid w:val="007B73F6"/>
    <w:rsid w:val="007B74FC"/>
    <w:rsid w:val="007B7626"/>
    <w:rsid w:val="007B76A5"/>
    <w:rsid w:val="007B76AC"/>
    <w:rsid w:val="007B77E1"/>
    <w:rsid w:val="007B786E"/>
    <w:rsid w:val="007B789F"/>
    <w:rsid w:val="007B78DE"/>
    <w:rsid w:val="007B796B"/>
    <w:rsid w:val="007B7A55"/>
    <w:rsid w:val="007B7A7D"/>
    <w:rsid w:val="007B7B77"/>
    <w:rsid w:val="007B7B7A"/>
    <w:rsid w:val="007B7B8A"/>
    <w:rsid w:val="007B7DB1"/>
    <w:rsid w:val="007B7F0B"/>
    <w:rsid w:val="007B7F11"/>
    <w:rsid w:val="007B7F96"/>
    <w:rsid w:val="007B7FBA"/>
    <w:rsid w:val="007B7FF5"/>
    <w:rsid w:val="007C01F1"/>
    <w:rsid w:val="007C0279"/>
    <w:rsid w:val="007C047C"/>
    <w:rsid w:val="007C04F0"/>
    <w:rsid w:val="007C05A1"/>
    <w:rsid w:val="007C05A4"/>
    <w:rsid w:val="007C0634"/>
    <w:rsid w:val="007C06FF"/>
    <w:rsid w:val="007C0793"/>
    <w:rsid w:val="007C0A20"/>
    <w:rsid w:val="007C0A78"/>
    <w:rsid w:val="007C0A83"/>
    <w:rsid w:val="007C0B46"/>
    <w:rsid w:val="007C0CB3"/>
    <w:rsid w:val="007C0D59"/>
    <w:rsid w:val="007C0E6A"/>
    <w:rsid w:val="007C0ED9"/>
    <w:rsid w:val="007C0EEF"/>
    <w:rsid w:val="007C0F9B"/>
    <w:rsid w:val="007C101B"/>
    <w:rsid w:val="007C1041"/>
    <w:rsid w:val="007C104A"/>
    <w:rsid w:val="007C1098"/>
    <w:rsid w:val="007C10A1"/>
    <w:rsid w:val="007C11D0"/>
    <w:rsid w:val="007C11FD"/>
    <w:rsid w:val="007C11FF"/>
    <w:rsid w:val="007C121D"/>
    <w:rsid w:val="007C127E"/>
    <w:rsid w:val="007C1309"/>
    <w:rsid w:val="007C1349"/>
    <w:rsid w:val="007C13D5"/>
    <w:rsid w:val="007C14CF"/>
    <w:rsid w:val="007C14D1"/>
    <w:rsid w:val="007C154B"/>
    <w:rsid w:val="007C1686"/>
    <w:rsid w:val="007C171B"/>
    <w:rsid w:val="007C177F"/>
    <w:rsid w:val="007C181F"/>
    <w:rsid w:val="007C189E"/>
    <w:rsid w:val="007C18CA"/>
    <w:rsid w:val="007C1914"/>
    <w:rsid w:val="007C192A"/>
    <w:rsid w:val="007C1945"/>
    <w:rsid w:val="007C197E"/>
    <w:rsid w:val="007C1981"/>
    <w:rsid w:val="007C1A3D"/>
    <w:rsid w:val="007C1A4E"/>
    <w:rsid w:val="007C1AFF"/>
    <w:rsid w:val="007C1B36"/>
    <w:rsid w:val="007C1B89"/>
    <w:rsid w:val="007C1B97"/>
    <w:rsid w:val="007C1B9C"/>
    <w:rsid w:val="007C1D3A"/>
    <w:rsid w:val="007C1D64"/>
    <w:rsid w:val="007C1D8C"/>
    <w:rsid w:val="007C1E5C"/>
    <w:rsid w:val="007C1EE8"/>
    <w:rsid w:val="007C1F98"/>
    <w:rsid w:val="007C2086"/>
    <w:rsid w:val="007C210B"/>
    <w:rsid w:val="007C218D"/>
    <w:rsid w:val="007C219E"/>
    <w:rsid w:val="007C21B0"/>
    <w:rsid w:val="007C224B"/>
    <w:rsid w:val="007C22CB"/>
    <w:rsid w:val="007C22EB"/>
    <w:rsid w:val="007C22F8"/>
    <w:rsid w:val="007C2310"/>
    <w:rsid w:val="007C23F2"/>
    <w:rsid w:val="007C246F"/>
    <w:rsid w:val="007C2496"/>
    <w:rsid w:val="007C24F2"/>
    <w:rsid w:val="007C25CA"/>
    <w:rsid w:val="007C25EE"/>
    <w:rsid w:val="007C2614"/>
    <w:rsid w:val="007C2669"/>
    <w:rsid w:val="007C268C"/>
    <w:rsid w:val="007C26AC"/>
    <w:rsid w:val="007C27FE"/>
    <w:rsid w:val="007C2891"/>
    <w:rsid w:val="007C2933"/>
    <w:rsid w:val="007C2B09"/>
    <w:rsid w:val="007C2C09"/>
    <w:rsid w:val="007C2DEA"/>
    <w:rsid w:val="007C2E02"/>
    <w:rsid w:val="007C2E38"/>
    <w:rsid w:val="007C2E9F"/>
    <w:rsid w:val="007C3054"/>
    <w:rsid w:val="007C3062"/>
    <w:rsid w:val="007C30E6"/>
    <w:rsid w:val="007C31FC"/>
    <w:rsid w:val="007C3217"/>
    <w:rsid w:val="007C3346"/>
    <w:rsid w:val="007C336E"/>
    <w:rsid w:val="007C3387"/>
    <w:rsid w:val="007C3407"/>
    <w:rsid w:val="007C349C"/>
    <w:rsid w:val="007C34D6"/>
    <w:rsid w:val="007C3507"/>
    <w:rsid w:val="007C3519"/>
    <w:rsid w:val="007C3529"/>
    <w:rsid w:val="007C372A"/>
    <w:rsid w:val="007C37BD"/>
    <w:rsid w:val="007C37D7"/>
    <w:rsid w:val="007C3886"/>
    <w:rsid w:val="007C38A4"/>
    <w:rsid w:val="007C390D"/>
    <w:rsid w:val="007C39AB"/>
    <w:rsid w:val="007C39E7"/>
    <w:rsid w:val="007C3B06"/>
    <w:rsid w:val="007C3B8B"/>
    <w:rsid w:val="007C3C89"/>
    <w:rsid w:val="007C3CD5"/>
    <w:rsid w:val="007C3DB8"/>
    <w:rsid w:val="007C4151"/>
    <w:rsid w:val="007C4184"/>
    <w:rsid w:val="007C418D"/>
    <w:rsid w:val="007C4192"/>
    <w:rsid w:val="007C4238"/>
    <w:rsid w:val="007C42DA"/>
    <w:rsid w:val="007C4407"/>
    <w:rsid w:val="007C445E"/>
    <w:rsid w:val="007C44A1"/>
    <w:rsid w:val="007C44C3"/>
    <w:rsid w:val="007C44E5"/>
    <w:rsid w:val="007C45A3"/>
    <w:rsid w:val="007C4760"/>
    <w:rsid w:val="007C47A4"/>
    <w:rsid w:val="007C4A43"/>
    <w:rsid w:val="007C4ABE"/>
    <w:rsid w:val="007C4B3E"/>
    <w:rsid w:val="007C4C75"/>
    <w:rsid w:val="007C4C78"/>
    <w:rsid w:val="007C4CC2"/>
    <w:rsid w:val="007C4D0F"/>
    <w:rsid w:val="007C4DAF"/>
    <w:rsid w:val="007C4E8E"/>
    <w:rsid w:val="007C502D"/>
    <w:rsid w:val="007C51A1"/>
    <w:rsid w:val="007C5228"/>
    <w:rsid w:val="007C5259"/>
    <w:rsid w:val="007C527A"/>
    <w:rsid w:val="007C52F2"/>
    <w:rsid w:val="007C531A"/>
    <w:rsid w:val="007C537C"/>
    <w:rsid w:val="007C5384"/>
    <w:rsid w:val="007C5431"/>
    <w:rsid w:val="007C548F"/>
    <w:rsid w:val="007C54BE"/>
    <w:rsid w:val="007C562D"/>
    <w:rsid w:val="007C5701"/>
    <w:rsid w:val="007C571D"/>
    <w:rsid w:val="007C5754"/>
    <w:rsid w:val="007C57EB"/>
    <w:rsid w:val="007C5836"/>
    <w:rsid w:val="007C5916"/>
    <w:rsid w:val="007C5957"/>
    <w:rsid w:val="007C595B"/>
    <w:rsid w:val="007C5970"/>
    <w:rsid w:val="007C5A42"/>
    <w:rsid w:val="007C5B7A"/>
    <w:rsid w:val="007C5BEF"/>
    <w:rsid w:val="007C5CD1"/>
    <w:rsid w:val="007C5CEF"/>
    <w:rsid w:val="007C5D04"/>
    <w:rsid w:val="007C5D13"/>
    <w:rsid w:val="007C5D5C"/>
    <w:rsid w:val="007C5D5D"/>
    <w:rsid w:val="007C5E00"/>
    <w:rsid w:val="007C5EE9"/>
    <w:rsid w:val="007C5EEF"/>
    <w:rsid w:val="007C5FCE"/>
    <w:rsid w:val="007C60B5"/>
    <w:rsid w:val="007C615E"/>
    <w:rsid w:val="007C628F"/>
    <w:rsid w:val="007C62F9"/>
    <w:rsid w:val="007C63EF"/>
    <w:rsid w:val="007C6419"/>
    <w:rsid w:val="007C65A8"/>
    <w:rsid w:val="007C65B8"/>
    <w:rsid w:val="007C6614"/>
    <w:rsid w:val="007C6660"/>
    <w:rsid w:val="007C6691"/>
    <w:rsid w:val="007C6707"/>
    <w:rsid w:val="007C677C"/>
    <w:rsid w:val="007C67F1"/>
    <w:rsid w:val="007C67FF"/>
    <w:rsid w:val="007C682C"/>
    <w:rsid w:val="007C6952"/>
    <w:rsid w:val="007C6963"/>
    <w:rsid w:val="007C6973"/>
    <w:rsid w:val="007C69B4"/>
    <w:rsid w:val="007C6A58"/>
    <w:rsid w:val="007C6A6E"/>
    <w:rsid w:val="007C6B24"/>
    <w:rsid w:val="007C6B29"/>
    <w:rsid w:val="007C6BBB"/>
    <w:rsid w:val="007C6C0C"/>
    <w:rsid w:val="007C6DBC"/>
    <w:rsid w:val="007C6DE2"/>
    <w:rsid w:val="007C6DE9"/>
    <w:rsid w:val="007C6E97"/>
    <w:rsid w:val="007C6EA2"/>
    <w:rsid w:val="007C6EC7"/>
    <w:rsid w:val="007C6F26"/>
    <w:rsid w:val="007C6F4F"/>
    <w:rsid w:val="007C6FAA"/>
    <w:rsid w:val="007C709C"/>
    <w:rsid w:val="007C70BD"/>
    <w:rsid w:val="007C70F9"/>
    <w:rsid w:val="007C7106"/>
    <w:rsid w:val="007C712F"/>
    <w:rsid w:val="007C713B"/>
    <w:rsid w:val="007C7258"/>
    <w:rsid w:val="007C736A"/>
    <w:rsid w:val="007C73C5"/>
    <w:rsid w:val="007C74CC"/>
    <w:rsid w:val="007C7567"/>
    <w:rsid w:val="007C756C"/>
    <w:rsid w:val="007C75D9"/>
    <w:rsid w:val="007C762F"/>
    <w:rsid w:val="007C76FE"/>
    <w:rsid w:val="007C7720"/>
    <w:rsid w:val="007C77C6"/>
    <w:rsid w:val="007C786E"/>
    <w:rsid w:val="007C79DA"/>
    <w:rsid w:val="007C79DE"/>
    <w:rsid w:val="007C7A3D"/>
    <w:rsid w:val="007C7A3F"/>
    <w:rsid w:val="007C7A59"/>
    <w:rsid w:val="007C7B7C"/>
    <w:rsid w:val="007C7BE3"/>
    <w:rsid w:val="007C7BFB"/>
    <w:rsid w:val="007C7C28"/>
    <w:rsid w:val="007C7D7E"/>
    <w:rsid w:val="007C7E8A"/>
    <w:rsid w:val="007C7F1C"/>
    <w:rsid w:val="007C7FD2"/>
    <w:rsid w:val="007C7FF4"/>
    <w:rsid w:val="007D0124"/>
    <w:rsid w:val="007D0135"/>
    <w:rsid w:val="007D013D"/>
    <w:rsid w:val="007D0188"/>
    <w:rsid w:val="007D01A9"/>
    <w:rsid w:val="007D01CD"/>
    <w:rsid w:val="007D0249"/>
    <w:rsid w:val="007D0312"/>
    <w:rsid w:val="007D0322"/>
    <w:rsid w:val="007D0374"/>
    <w:rsid w:val="007D0406"/>
    <w:rsid w:val="007D042C"/>
    <w:rsid w:val="007D0570"/>
    <w:rsid w:val="007D05D1"/>
    <w:rsid w:val="007D05E1"/>
    <w:rsid w:val="007D065F"/>
    <w:rsid w:val="007D06B3"/>
    <w:rsid w:val="007D0831"/>
    <w:rsid w:val="007D0AB4"/>
    <w:rsid w:val="007D0ABB"/>
    <w:rsid w:val="007D0B0A"/>
    <w:rsid w:val="007D0C32"/>
    <w:rsid w:val="007D0C9F"/>
    <w:rsid w:val="007D0E1B"/>
    <w:rsid w:val="007D0E30"/>
    <w:rsid w:val="007D0E3C"/>
    <w:rsid w:val="007D0E7E"/>
    <w:rsid w:val="007D0ED4"/>
    <w:rsid w:val="007D0F3F"/>
    <w:rsid w:val="007D0F80"/>
    <w:rsid w:val="007D107F"/>
    <w:rsid w:val="007D115D"/>
    <w:rsid w:val="007D122C"/>
    <w:rsid w:val="007D12CD"/>
    <w:rsid w:val="007D12E1"/>
    <w:rsid w:val="007D12E6"/>
    <w:rsid w:val="007D1341"/>
    <w:rsid w:val="007D1380"/>
    <w:rsid w:val="007D1437"/>
    <w:rsid w:val="007D1488"/>
    <w:rsid w:val="007D1543"/>
    <w:rsid w:val="007D157B"/>
    <w:rsid w:val="007D159A"/>
    <w:rsid w:val="007D15A1"/>
    <w:rsid w:val="007D1609"/>
    <w:rsid w:val="007D16AB"/>
    <w:rsid w:val="007D1714"/>
    <w:rsid w:val="007D17E0"/>
    <w:rsid w:val="007D1841"/>
    <w:rsid w:val="007D1888"/>
    <w:rsid w:val="007D1911"/>
    <w:rsid w:val="007D194D"/>
    <w:rsid w:val="007D1958"/>
    <w:rsid w:val="007D195B"/>
    <w:rsid w:val="007D19A0"/>
    <w:rsid w:val="007D19DA"/>
    <w:rsid w:val="007D1A70"/>
    <w:rsid w:val="007D1AD8"/>
    <w:rsid w:val="007D1BCE"/>
    <w:rsid w:val="007D1C55"/>
    <w:rsid w:val="007D1CCE"/>
    <w:rsid w:val="007D1DE4"/>
    <w:rsid w:val="007D1DFE"/>
    <w:rsid w:val="007D1E3F"/>
    <w:rsid w:val="007D1E4E"/>
    <w:rsid w:val="007D1E69"/>
    <w:rsid w:val="007D1E82"/>
    <w:rsid w:val="007D1F9E"/>
    <w:rsid w:val="007D1FB4"/>
    <w:rsid w:val="007D20B8"/>
    <w:rsid w:val="007D2119"/>
    <w:rsid w:val="007D2168"/>
    <w:rsid w:val="007D222A"/>
    <w:rsid w:val="007D225B"/>
    <w:rsid w:val="007D22B1"/>
    <w:rsid w:val="007D22B2"/>
    <w:rsid w:val="007D22F4"/>
    <w:rsid w:val="007D2548"/>
    <w:rsid w:val="007D25BC"/>
    <w:rsid w:val="007D25C9"/>
    <w:rsid w:val="007D25F8"/>
    <w:rsid w:val="007D2698"/>
    <w:rsid w:val="007D26AC"/>
    <w:rsid w:val="007D2714"/>
    <w:rsid w:val="007D276A"/>
    <w:rsid w:val="007D2965"/>
    <w:rsid w:val="007D29E5"/>
    <w:rsid w:val="007D2A3F"/>
    <w:rsid w:val="007D2A8E"/>
    <w:rsid w:val="007D2AD5"/>
    <w:rsid w:val="007D2B18"/>
    <w:rsid w:val="007D2B8E"/>
    <w:rsid w:val="007D2C02"/>
    <w:rsid w:val="007D2C55"/>
    <w:rsid w:val="007D2CC3"/>
    <w:rsid w:val="007D2CF4"/>
    <w:rsid w:val="007D2D6E"/>
    <w:rsid w:val="007D2D72"/>
    <w:rsid w:val="007D2E5B"/>
    <w:rsid w:val="007D2E77"/>
    <w:rsid w:val="007D2E7B"/>
    <w:rsid w:val="007D2EC7"/>
    <w:rsid w:val="007D2ECB"/>
    <w:rsid w:val="007D2F72"/>
    <w:rsid w:val="007D3002"/>
    <w:rsid w:val="007D3043"/>
    <w:rsid w:val="007D3057"/>
    <w:rsid w:val="007D305F"/>
    <w:rsid w:val="007D30C2"/>
    <w:rsid w:val="007D317A"/>
    <w:rsid w:val="007D3245"/>
    <w:rsid w:val="007D3484"/>
    <w:rsid w:val="007D351A"/>
    <w:rsid w:val="007D3670"/>
    <w:rsid w:val="007D36AC"/>
    <w:rsid w:val="007D36B2"/>
    <w:rsid w:val="007D36BF"/>
    <w:rsid w:val="007D36F7"/>
    <w:rsid w:val="007D37B7"/>
    <w:rsid w:val="007D3891"/>
    <w:rsid w:val="007D38B7"/>
    <w:rsid w:val="007D390C"/>
    <w:rsid w:val="007D39C8"/>
    <w:rsid w:val="007D3C59"/>
    <w:rsid w:val="007D3C5A"/>
    <w:rsid w:val="007D3C61"/>
    <w:rsid w:val="007D3CC7"/>
    <w:rsid w:val="007D3DD5"/>
    <w:rsid w:val="007D3DFE"/>
    <w:rsid w:val="007D3E18"/>
    <w:rsid w:val="007D3EFD"/>
    <w:rsid w:val="007D3F58"/>
    <w:rsid w:val="007D3F60"/>
    <w:rsid w:val="007D400F"/>
    <w:rsid w:val="007D4050"/>
    <w:rsid w:val="007D41DB"/>
    <w:rsid w:val="007D41E4"/>
    <w:rsid w:val="007D4257"/>
    <w:rsid w:val="007D426B"/>
    <w:rsid w:val="007D431F"/>
    <w:rsid w:val="007D4439"/>
    <w:rsid w:val="007D44D5"/>
    <w:rsid w:val="007D4508"/>
    <w:rsid w:val="007D4542"/>
    <w:rsid w:val="007D454C"/>
    <w:rsid w:val="007D4626"/>
    <w:rsid w:val="007D464D"/>
    <w:rsid w:val="007D4692"/>
    <w:rsid w:val="007D4699"/>
    <w:rsid w:val="007D46B8"/>
    <w:rsid w:val="007D4790"/>
    <w:rsid w:val="007D481D"/>
    <w:rsid w:val="007D489E"/>
    <w:rsid w:val="007D48B8"/>
    <w:rsid w:val="007D4919"/>
    <w:rsid w:val="007D49CB"/>
    <w:rsid w:val="007D4AAC"/>
    <w:rsid w:val="007D4C3B"/>
    <w:rsid w:val="007D4C53"/>
    <w:rsid w:val="007D4D72"/>
    <w:rsid w:val="007D4DDD"/>
    <w:rsid w:val="007D4DED"/>
    <w:rsid w:val="007D4E85"/>
    <w:rsid w:val="007D4E89"/>
    <w:rsid w:val="007D4EEB"/>
    <w:rsid w:val="007D4F07"/>
    <w:rsid w:val="007D4F6F"/>
    <w:rsid w:val="007D4F9C"/>
    <w:rsid w:val="007D5088"/>
    <w:rsid w:val="007D50DD"/>
    <w:rsid w:val="007D52ED"/>
    <w:rsid w:val="007D546E"/>
    <w:rsid w:val="007D54E2"/>
    <w:rsid w:val="007D568F"/>
    <w:rsid w:val="007D56D5"/>
    <w:rsid w:val="007D57A3"/>
    <w:rsid w:val="007D57F1"/>
    <w:rsid w:val="007D585C"/>
    <w:rsid w:val="007D5909"/>
    <w:rsid w:val="007D5930"/>
    <w:rsid w:val="007D5951"/>
    <w:rsid w:val="007D598D"/>
    <w:rsid w:val="007D59BE"/>
    <w:rsid w:val="007D59C4"/>
    <w:rsid w:val="007D59FC"/>
    <w:rsid w:val="007D5AAA"/>
    <w:rsid w:val="007D5AB2"/>
    <w:rsid w:val="007D5AEF"/>
    <w:rsid w:val="007D5B78"/>
    <w:rsid w:val="007D5C3E"/>
    <w:rsid w:val="007D5C5E"/>
    <w:rsid w:val="007D5CF7"/>
    <w:rsid w:val="007D5D5D"/>
    <w:rsid w:val="007D5DBB"/>
    <w:rsid w:val="007D5F44"/>
    <w:rsid w:val="007D6011"/>
    <w:rsid w:val="007D60D6"/>
    <w:rsid w:val="007D612E"/>
    <w:rsid w:val="007D620C"/>
    <w:rsid w:val="007D6304"/>
    <w:rsid w:val="007D6443"/>
    <w:rsid w:val="007D6500"/>
    <w:rsid w:val="007D6525"/>
    <w:rsid w:val="007D6589"/>
    <w:rsid w:val="007D659A"/>
    <w:rsid w:val="007D65A0"/>
    <w:rsid w:val="007D65E7"/>
    <w:rsid w:val="007D6746"/>
    <w:rsid w:val="007D6762"/>
    <w:rsid w:val="007D68C0"/>
    <w:rsid w:val="007D68E4"/>
    <w:rsid w:val="007D6946"/>
    <w:rsid w:val="007D69E7"/>
    <w:rsid w:val="007D6A08"/>
    <w:rsid w:val="007D6AC0"/>
    <w:rsid w:val="007D6AC4"/>
    <w:rsid w:val="007D6ACD"/>
    <w:rsid w:val="007D6AEE"/>
    <w:rsid w:val="007D6B5C"/>
    <w:rsid w:val="007D6B5D"/>
    <w:rsid w:val="007D6C5F"/>
    <w:rsid w:val="007D6D63"/>
    <w:rsid w:val="007D6D73"/>
    <w:rsid w:val="007D6E1E"/>
    <w:rsid w:val="007D6E3A"/>
    <w:rsid w:val="007D6EF2"/>
    <w:rsid w:val="007D6F00"/>
    <w:rsid w:val="007D6F35"/>
    <w:rsid w:val="007D6FE0"/>
    <w:rsid w:val="007D7002"/>
    <w:rsid w:val="007D7026"/>
    <w:rsid w:val="007D707B"/>
    <w:rsid w:val="007D7180"/>
    <w:rsid w:val="007D71D7"/>
    <w:rsid w:val="007D7217"/>
    <w:rsid w:val="007D73BC"/>
    <w:rsid w:val="007D7436"/>
    <w:rsid w:val="007D7458"/>
    <w:rsid w:val="007D74A8"/>
    <w:rsid w:val="007D755C"/>
    <w:rsid w:val="007D7586"/>
    <w:rsid w:val="007D75F8"/>
    <w:rsid w:val="007D7676"/>
    <w:rsid w:val="007D77A5"/>
    <w:rsid w:val="007D7814"/>
    <w:rsid w:val="007D78B8"/>
    <w:rsid w:val="007D79A3"/>
    <w:rsid w:val="007D7B4C"/>
    <w:rsid w:val="007D7BAB"/>
    <w:rsid w:val="007D7BC2"/>
    <w:rsid w:val="007D7C7F"/>
    <w:rsid w:val="007D7CF1"/>
    <w:rsid w:val="007D7EA3"/>
    <w:rsid w:val="007D7FF3"/>
    <w:rsid w:val="007E0007"/>
    <w:rsid w:val="007E009E"/>
    <w:rsid w:val="007E00AC"/>
    <w:rsid w:val="007E00E1"/>
    <w:rsid w:val="007E0118"/>
    <w:rsid w:val="007E01C3"/>
    <w:rsid w:val="007E029D"/>
    <w:rsid w:val="007E030A"/>
    <w:rsid w:val="007E0321"/>
    <w:rsid w:val="007E03C0"/>
    <w:rsid w:val="007E0490"/>
    <w:rsid w:val="007E0532"/>
    <w:rsid w:val="007E0584"/>
    <w:rsid w:val="007E05A1"/>
    <w:rsid w:val="007E05AB"/>
    <w:rsid w:val="007E05B1"/>
    <w:rsid w:val="007E05E8"/>
    <w:rsid w:val="007E0642"/>
    <w:rsid w:val="007E06CE"/>
    <w:rsid w:val="007E06E3"/>
    <w:rsid w:val="007E06E6"/>
    <w:rsid w:val="007E0703"/>
    <w:rsid w:val="007E0722"/>
    <w:rsid w:val="007E0833"/>
    <w:rsid w:val="007E08AB"/>
    <w:rsid w:val="007E08D8"/>
    <w:rsid w:val="007E09A7"/>
    <w:rsid w:val="007E0A8D"/>
    <w:rsid w:val="007E0AD5"/>
    <w:rsid w:val="007E0AE1"/>
    <w:rsid w:val="007E0AEE"/>
    <w:rsid w:val="007E0AF1"/>
    <w:rsid w:val="007E0B14"/>
    <w:rsid w:val="007E0B9F"/>
    <w:rsid w:val="007E0C1A"/>
    <w:rsid w:val="007E0CD6"/>
    <w:rsid w:val="007E0D59"/>
    <w:rsid w:val="007E0D6B"/>
    <w:rsid w:val="007E0D6F"/>
    <w:rsid w:val="007E0DA8"/>
    <w:rsid w:val="007E0E4E"/>
    <w:rsid w:val="007E0E54"/>
    <w:rsid w:val="007E0E83"/>
    <w:rsid w:val="007E0EB4"/>
    <w:rsid w:val="007E0EDB"/>
    <w:rsid w:val="007E10C9"/>
    <w:rsid w:val="007E10D4"/>
    <w:rsid w:val="007E10E3"/>
    <w:rsid w:val="007E10F4"/>
    <w:rsid w:val="007E1109"/>
    <w:rsid w:val="007E1200"/>
    <w:rsid w:val="007E12BD"/>
    <w:rsid w:val="007E130C"/>
    <w:rsid w:val="007E1353"/>
    <w:rsid w:val="007E1377"/>
    <w:rsid w:val="007E143B"/>
    <w:rsid w:val="007E14FA"/>
    <w:rsid w:val="007E1559"/>
    <w:rsid w:val="007E159F"/>
    <w:rsid w:val="007E15BF"/>
    <w:rsid w:val="007E16D8"/>
    <w:rsid w:val="007E183C"/>
    <w:rsid w:val="007E184B"/>
    <w:rsid w:val="007E18F0"/>
    <w:rsid w:val="007E18FE"/>
    <w:rsid w:val="007E1916"/>
    <w:rsid w:val="007E1935"/>
    <w:rsid w:val="007E1984"/>
    <w:rsid w:val="007E19CA"/>
    <w:rsid w:val="007E19DB"/>
    <w:rsid w:val="007E19E0"/>
    <w:rsid w:val="007E1AB7"/>
    <w:rsid w:val="007E1AF2"/>
    <w:rsid w:val="007E1BB6"/>
    <w:rsid w:val="007E1DB2"/>
    <w:rsid w:val="007E1DD6"/>
    <w:rsid w:val="007E1DE4"/>
    <w:rsid w:val="007E1EE9"/>
    <w:rsid w:val="007E1F89"/>
    <w:rsid w:val="007E1FF7"/>
    <w:rsid w:val="007E202A"/>
    <w:rsid w:val="007E20BE"/>
    <w:rsid w:val="007E20E0"/>
    <w:rsid w:val="007E2203"/>
    <w:rsid w:val="007E23A2"/>
    <w:rsid w:val="007E24E9"/>
    <w:rsid w:val="007E24EF"/>
    <w:rsid w:val="007E2556"/>
    <w:rsid w:val="007E25FE"/>
    <w:rsid w:val="007E2625"/>
    <w:rsid w:val="007E2647"/>
    <w:rsid w:val="007E2653"/>
    <w:rsid w:val="007E2660"/>
    <w:rsid w:val="007E26A7"/>
    <w:rsid w:val="007E297B"/>
    <w:rsid w:val="007E29B8"/>
    <w:rsid w:val="007E2A5D"/>
    <w:rsid w:val="007E2BBF"/>
    <w:rsid w:val="007E2BD1"/>
    <w:rsid w:val="007E2C19"/>
    <w:rsid w:val="007E2CEC"/>
    <w:rsid w:val="007E2D1C"/>
    <w:rsid w:val="007E2E13"/>
    <w:rsid w:val="007E2E3A"/>
    <w:rsid w:val="007E2EDB"/>
    <w:rsid w:val="007E2F25"/>
    <w:rsid w:val="007E2F52"/>
    <w:rsid w:val="007E303B"/>
    <w:rsid w:val="007E30D6"/>
    <w:rsid w:val="007E31CF"/>
    <w:rsid w:val="007E3334"/>
    <w:rsid w:val="007E339B"/>
    <w:rsid w:val="007E34DD"/>
    <w:rsid w:val="007E355B"/>
    <w:rsid w:val="007E37AD"/>
    <w:rsid w:val="007E37F8"/>
    <w:rsid w:val="007E3887"/>
    <w:rsid w:val="007E38B9"/>
    <w:rsid w:val="007E38F7"/>
    <w:rsid w:val="007E3927"/>
    <w:rsid w:val="007E3966"/>
    <w:rsid w:val="007E39D1"/>
    <w:rsid w:val="007E3A14"/>
    <w:rsid w:val="007E3A4D"/>
    <w:rsid w:val="007E3B59"/>
    <w:rsid w:val="007E3B7B"/>
    <w:rsid w:val="007E3B9F"/>
    <w:rsid w:val="007E3BA5"/>
    <w:rsid w:val="007E3D12"/>
    <w:rsid w:val="007E3D9A"/>
    <w:rsid w:val="007E3E58"/>
    <w:rsid w:val="007E3EA9"/>
    <w:rsid w:val="007E3EC2"/>
    <w:rsid w:val="007E3EC3"/>
    <w:rsid w:val="007E3F48"/>
    <w:rsid w:val="007E3F49"/>
    <w:rsid w:val="007E4017"/>
    <w:rsid w:val="007E40B0"/>
    <w:rsid w:val="007E40B7"/>
    <w:rsid w:val="007E4276"/>
    <w:rsid w:val="007E42FC"/>
    <w:rsid w:val="007E4393"/>
    <w:rsid w:val="007E43D1"/>
    <w:rsid w:val="007E43D6"/>
    <w:rsid w:val="007E441D"/>
    <w:rsid w:val="007E4479"/>
    <w:rsid w:val="007E4484"/>
    <w:rsid w:val="007E44D3"/>
    <w:rsid w:val="007E4511"/>
    <w:rsid w:val="007E451C"/>
    <w:rsid w:val="007E451E"/>
    <w:rsid w:val="007E4528"/>
    <w:rsid w:val="007E4583"/>
    <w:rsid w:val="007E4594"/>
    <w:rsid w:val="007E45C4"/>
    <w:rsid w:val="007E45E8"/>
    <w:rsid w:val="007E45EB"/>
    <w:rsid w:val="007E46B3"/>
    <w:rsid w:val="007E4750"/>
    <w:rsid w:val="007E4926"/>
    <w:rsid w:val="007E4967"/>
    <w:rsid w:val="007E499B"/>
    <w:rsid w:val="007E4ACB"/>
    <w:rsid w:val="007E4B3B"/>
    <w:rsid w:val="007E4C21"/>
    <w:rsid w:val="007E4C30"/>
    <w:rsid w:val="007E4C45"/>
    <w:rsid w:val="007E4D69"/>
    <w:rsid w:val="007E4DB0"/>
    <w:rsid w:val="007E4DED"/>
    <w:rsid w:val="007E4E8C"/>
    <w:rsid w:val="007E4ECC"/>
    <w:rsid w:val="007E4F32"/>
    <w:rsid w:val="007E4F5B"/>
    <w:rsid w:val="007E4F96"/>
    <w:rsid w:val="007E5000"/>
    <w:rsid w:val="007E5019"/>
    <w:rsid w:val="007E5031"/>
    <w:rsid w:val="007E506D"/>
    <w:rsid w:val="007E50B1"/>
    <w:rsid w:val="007E513B"/>
    <w:rsid w:val="007E5261"/>
    <w:rsid w:val="007E5349"/>
    <w:rsid w:val="007E5382"/>
    <w:rsid w:val="007E5481"/>
    <w:rsid w:val="007E54B2"/>
    <w:rsid w:val="007E5503"/>
    <w:rsid w:val="007E555C"/>
    <w:rsid w:val="007E5597"/>
    <w:rsid w:val="007E55E2"/>
    <w:rsid w:val="007E55E7"/>
    <w:rsid w:val="007E56CB"/>
    <w:rsid w:val="007E581A"/>
    <w:rsid w:val="007E58A6"/>
    <w:rsid w:val="007E59F8"/>
    <w:rsid w:val="007E5ACA"/>
    <w:rsid w:val="007E5B25"/>
    <w:rsid w:val="007E5B27"/>
    <w:rsid w:val="007E5B34"/>
    <w:rsid w:val="007E5B6D"/>
    <w:rsid w:val="007E5C04"/>
    <w:rsid w:val="007E5C23"/>
    <w:rsid w:val="007E5C52"/>
    <w:rsid w:val="007E5CC2"/>
    <w:rsid w:val="007E5D98"/>
    <w:rsid w:val="007E5EC9"/>
    <w:rsid w:val="007E5EE4"/>
    <w:rsid w:val="007E605E"/>
    <w:rsid w:val="007E6151"/>
    <w:rsid w:val="007E6156"/>
    <w:rsid w:val="007E6212"/>
    <w:rsid w:val="007E632F"/>
    <w:rsid w:val="007E63C2"/>
    <w:rsid w:val="007E65FE"/>
    <w:rsid w:val="007E66B5"/>
    <w:rsid w:val="007E6808"/>
    <w:rsid w:val="007E6881"/>
    <w:rsid w:val="007E688C"/>
    <w:rsid w:val="007E68AC"/>
    <w:rsid w:val="007E68DB"/>
    <w:rsid w:val="007E68E4"/>
    <w:rsid w:val="007E68F2"/>
    <w:rsid w:val="007E690E"/>
    <w:rsid w:val="007E6A43"/>
    <w:rsid w:val="007E6A78"/>
    <w:rsid w:val="007E6B73"/>
    <w:rsid w:val="007E6BB0"/>
    <w:rsid w:val="007E6BBB"/>
    <w:rsid w:val="007E6DE8"/>
    <w:rsid w:val="007E6E3D"/>
    <w:rsid w:val="007E6EE7"/>
    <w:rsid w:val="007E6F01"/>
    <w:rsid w:val="007E6F12"/>
    <w:rsid w:val="007E6F9C"/>
    <w:rsid w:val="007E7066"/>
    <w:rsid w:val="007E7169"/>
    <w:rsid w:val="007E7224"/>
    <w:rsid w:val="007E7241"/>
    <w:rsid w:val="007E72F2"/>
    <w:rsid w:val="007E731E"/>
    <w:rsid w:val="007E734C"/>
    <w:rsid w:val="007E7546"/>
    <w:rsid w:val="007E7665"/>
    <w:rsid w:val="007E7678"/>
    <w:rsid w:val="007E7699"/>
    <w:rsid w:val="007E7721"/>
    <w:rsid w:val="007E77C0"/>
    <w:rsid w:val="007E77F7"/>
    <w:rsid w:val="007E7808"/>
    <w:rsid w:val="007E7A55"/>
    <w:rsid w:val="007E7AEC"/>
    <w:rsid w:val="007E7AFC"/>
    <w:rsid w:val="007E7B6E"/>
    <w:rsid w:val="007E7BC1"/>
    <w:rsid w:val="007E7C66"/>
    <w:rsid w:val="007E7CFC"/>
    <w:rsid w:val="007E7D1C"/>
    <w:rsid w:val="007E7D36"/>
    <w:rsid w:val="007E7DC9"/>
    <w:rsid w:val="007E7E35"/>
    <w:rsid w:val="007E7EAE"/>
    <w:rsid w:val="007E7EB0"/>
    <w:rsid w:val="007E7EF8"/>
    <w:rsid w:val="007E7F12"/>
    <w:rsid w:val="007E7FCF"/>
    <w:rsid w:val="007E7FD8"/>
    <w:rsid w:val="007F0037"/>
    <w:rsid w:val="007F0066"/>
    <w:rsid w:val="007F00AA"/>
    <w:rsid w:val="007F00CE"/>
    <w:rsid w:val="007F01D5"/>
    <w:rsid w:val="007F01FC"/>
    <w:rsid w:val="007F0225"/>
    <w:rsid w:val="007F0231"/>
    <w:rsid w:val="007F0261"/>
    <w:rsid w:val="007F03C4"/>
    <w:rsid w:val="007F04A7"/>
    <w:rsid w:val="007F053D"/>
    <w:rsid w:val="007F056C"/>
    <w:rsid w:val="007F0574"/>
    <w:rsid w:val="007F05E3"/>
    <w:rsid w:val="007F0655"/>
    <w:rsid w:val="007F0671"/>
    <w:rsid w:val="007F073C"/>
    <w:rsid w:val="007F0777"/>
    <w:rsid w:val="007F077E"/>
    <w:rsid w:val="007F082F"/>
    <w:rsid w:val="007F08A3"/>
    <w:rsid w:val="007F0956"/>
    <w:rsid w:val="007F0974"/>
    <w:rsid w:val="007F0985"/>
    <w:rsid w:val="007F09B6"/>
    <w:rsid w:val="007F0A89"/>
    <w:rsid w:val="007F0ABC"/>
    <w:rsid w:val="007F0BCB"/>
    <w:rsid w:val="007F0C49"/>
    <w:rsid w:val="007F0C76"/>
    <w:rsid w:val="007F0CDF"/>
    <w:rsid w:val="007F0DCF"/>
    <w:rsid w:val="007F0E9C"/>
    <w:rsid w:val="007F0EC3"/>
    <w:rsid w:val="007F0EF5"/>
    <w:rsid w:val="007F0F2E"/>
    <w:rsid w:val="007F101C"/>
    <w:rsid w:val="007F1081"/>
    <w:rsid w:val="007F10AC"/>
    <w:rsid w:val="007F10F2"/>
    <w:rsid w:val="007F1168"/>
    <w:rsid w:val="007F11A9"/>
    <w:rsid w:val="007F1258"/>
    <w:rsid w:val="007F12A7"/>
    <w:rsid w:val="007F1305"/>
    <w:rsid w:val="007F1389"/>
    <w:rsid w:val="007F1490"/>
    <w:rsid w:val="007F14A1"/>
    <w:rsid w:val="007F14D7"/>
    <w:rsid w:val="007F14E1"/>
    <w:rsid w:val="007F15B5"/>
    <w:rsid w:val="007F162F"/>
    <w:rsid w:val="007F1635"/>
    <w:rsid w:val="007F1723"/>
    <w:rsid w:val="007F17C2"/>
    <w:rsid w:val="007F17D0"/>
    <w:rsid w:val="007F180A"/>
    <w:rsid w:val="007F185C"/>
    <w:rsid w:val="007F18A2"/>
    <w:rsid w:val="007F18C6"/>
    <w:rsid w:val="007F194B"/>
    <w:rsid w:val="007F1A7D"/>
    <w:rsid w:val="007F1BEA"/>
    <w:rsid w:val="007F1C01"/>
    <w:rsid w:val="007F1D05"/>
    <w:rsid w:val="007F1D2A"/>
    <w:rsid w:val="007F1D9B"/>
    <w:rsid w:val="007F1E1C"/>
    <w:rsid w:val="007F1E97"/>
    <w:rsid w:val="007F1F9F"/>
    <w:rsid w:val="007F1FF3"/>
    <w:rsid w:val="007F20B0"/>
    <w:rsid w:val="007F20E5"/>
    <w:rsid w:val="007F21F4"/>
    <w:rsid w:val="007F2224"/>
    <w:rsid w:val="007F224B"/>
    <w:rsid w:val="007F22B4"/>
    <w:rsid w:val="007F232F"/>
    <w:rsid w:val="007F2333"/>
    <w:rsid w:val="007F2367"/>
    <w:rsid w:val="007F242B"/>
    <w:rsid w:val="007F243E"/>
    <w:rsid w:val="007F24F9"/>
    <w:rsid w:val="007F2632"/>
    <w:rsid w:val="007F268A"/>
    <w:rsid w:val="007F2789"/>
    <w:rsid w:val="007F27BF"/>
    <w:rsid w:val="007F27E1"/>
    <w:rsid w:val="007F284E"/>
    <w:rsid w:val="007F28AB"/>
    <w:rsid w:val="007F291D"/>
    <w:rsid w:val="007F293E"/>
    <w:rsid w:val="007F2963"/>
    <w:rsid w:val="007F29C4"/>
    <w:rsid w:val="007F2B05"/>
    <w:rsid w:val="007F2B1C"/>
    <w:rsid w:val="007F2B38"/>
    <w:rsid w:val="007F2B51"/>
    <w:rsid w:val="007F2C53"/>
    <w:rsid w:val="007F2C82"/>
    <w:rsid w:val="007F2DDF"/>
    <w:rsid w:val="007F2EBB"/>
    <w:rsid w:val="007F2EF5"/>
    <w:rsid w:val="007F2F61"/>
    <w:rsid w:val="007F30AB"/>
    <w:rsid w:val="007F30AC"/>
    <w:rsid w:val="007F3177"/>
    <w:rsid w:val="007F3295"/>
    <w:rsid w:val="007F329F"/>
    <w:rsid w:val="007F32F5"/>
    <w:rsid w:val="007F331B"/>
    <w:rsid w:val="007F336A"/>
    <w:rsid w:val="007F339A"/>
    <w:rsid w:val="007F33E0"/>
    <w:rsid w:val="007F34BB"/>
    <w:rsid w:val="007F350D"/>
    <w:rsid w:val="007F3578"/>
    <w:rsid w:val="007F3596"/>
    <w:rsid w:val="007F35D6"/>
    <w:rsid w:val="007F360A"/>
    <w:rsid w:val="007F364C"/>
    <w:rsid w:val="007F3670"/>
    <w:rsid w:val="007F3681"/>
    <w:rsid w:val="007F3687"/>
    <w:rsid w:val="007F36D4"/>
    <w:rsid w:val="007F3771"/>
    <w:rsid w:val="007F3840"/>
    <w:rsid w:val="007F39A2"/>
    <w:rsid w:val="007F3AA0"/>
    <w:rsid w:val="007F3AC1"/>
    <w:rsid w:val="007F3B45"/>
    <w:rsid w:val="007F3BA3"/>
    <w:rsid w:val="007F3BC2"/>
    <w:rsid w:val="007F3BEA"/>
    <w:rsid w:val="007F3BF0"/>
    <w:rsid w:val="007F3C92"/>
    <w:rsid w:val="007F3CF0"/>
    <w:rsid w:val="007F3DC4"/>
    <w:rsid w:val="007F3DD1"/>
    <w:rsid w:val="007F3DDF"/>
    <w:rsid w:val="007F3E84"/>
    <w:rsid w:val="007F3FBA"/>
    <w:rsid w:val="007F40D4"/>
    <w:rsid w:val="007F4127"/>
    <w:rsid w:val="007F415E"/>
    <w:rsid w:val="007F4175"/>
    <w:rsid w:val="007F4182"/>
    <w:rsid w:val="007F41D5"/>
    <w:rsid w:val="007F4248"/>
    <w:rsid w:val="007F4249"/>
    <w:rsid w:val="007F435F"/>
    <w:rsid w:val="007F436E"/>
    <w:rsid w:val="007F439C"/>
    <w:rsid w:val="007F43D0"/>
    <w:rsid w:val="007F4461"/>
    <w:rsid w:val="007F4565"/>
    <w:rsid w:val="007F46D1"/>
    <w:rsid w:val="007F4751"/>
    <w:rsid w:val="007F4803"/>
    <w:rsid w:val="007F4867"/>
    <w:rsid w:val="007F48AA"/>
    <w:rsid w:val="007F49D6"/>
    <w:rsid w:val="007F4A8B"/>
    <w:rsid w:val="007F4ADA"/>
    <w:rsid w:val="007F4AE9"/>
    <w:rsid w:val="007F4AF9"/>
    <w:rsid w:val="007F4AFA"/>
    <w:rsid w:val="007F4B3D"/>
    <w:rsid w:val="007F4B95"/>
    <w:rsid w:val="007F4B9A"/>
    <w:rsid w:val="007F4BA0"/>
    <w:rsid w:val="007F4BC7"/>
    <w:rsid w:val="007F4BDA"/>
    <w:rsid w:val="007F4D7D"/>
    <w:rsid w:val="007F4D9A"/>
    <w:rsid w:val="007F4E44"/>
    <w:rsid w:val="007F4E61"/>
    <w:rsid w:val="007F4EF6"/>
    <w:rsid w:val="007F4FC5"/>
    <w:rsid w:val="007F4FEB"/>
    <w:rsid w:val="007F50B5"/>
    <w:rsid w:val="007F5110"/>
    <w:rsid w:val="007F515A"/>
    <w:rsid w:val="007F51F3"/>
    <w:rsid w:val="007F527D"/>
    <w:rsid w:val="007F52AE"/>
    <w:rsid w:val="007F52F4"/>
    <w:rsid w:val="007F5331"/>
    <w:rsid w:val="007F5350"/>
    <w:rsid w:val="007F536C"/>
    <w:rsid w:val="007F5380"/>
    <w:rsid w:val="007F5432"/>
    <w:rsid w:val="007F5436"/>
    <w:rsid w:val="007F5452"/>
    <w:rsid w:val="007F5510"/>
    <w:rsid w:val="007F552B"/>
    <w:rsid w:val="007F558A"/>
    <w:rsid w:val="007F5593"/>
    <w:rsid w:val="007F55B2"/>
    <w:rsid w:val="007F561D"/>
    <w:rsid w:val="007F577D"/>
    <w:rsid w:val="007F58C9"/>
    <w:rsid w:val="007F5938"/>
    <w:rsid w:val="007F5A12"/>
    <w:rsid w:val="007F5A54"/>
    <w:rsid w:val="007F5BF1"/>
    <w:rsid w:val="007F5E0D"/>
    <w:rsid w:val="007F5F37"/>
    <w:rsid w:val="007F5F64"/>
    <w:rsid w:val="007F6108"/>
    <w:rsid w:val="007F612B"/>
    <w:rsid w:val="007F616E"/>
    <w:rsid w:val="007F61EF"/>
    <w:rsid w:val="007F62A4"/>
    <w:rsid w:val="007F6369"/>
    <w:rsid w:val="007F6458"/>
    <w:rsid w:val="007F656B"/>
    <w:rsid w:val="007F6685"/>
    <w:rsid w:val="007F66DA"/>
    <w:rsid w:val="007F66FE"/>
    <w:rsid w:val="007F6707"/>
    <w:rsid w:val="007F6734"/>
    <w:rsid w:val="007F677A"/>
    <w:rsid w:val="007F67AE"/>
    <w:rsid w:val="007F6873"/>
    <w:rsid w:val="007F69B4"/>
    <w:rsid w:val="007F6AD7"/>
    <w:rsid w:val="007F6B75"/>
    <w:rsid w:val="007F6C20"/>
    <w:rsid w:val="007F6C88"/>
    <w:rsid w:val="007F6CF0"/>
    <w:rsid w:val="007F6E16"/>
    <w:rsid w:val="007F6E2D"/>
    <w:rsid w:val="007F6E54"/>
    <w:rsid w:val="007F6F04"/>
    <w:rsid w:val="007F6F76"/>
    <w:rsid w:val="007F6F90"/>
    <w:rsid w:val="007F6FAF"/>
    <w:rsid w:val="007F710D"/>
    <w:rsid w:val="007F7194"/>
    <w:rsid w:val="007F71AE"/>
    <w:rsid w:val="007F71CA"/>
    <w:rsid w:val="007F73B8"/>
    <w:rsid w:val="007F73E4"/>
    <w:rsid w:val="007F741B"/>
    <w:rsid w:val="007F7441"/>
    <w:rsid w:val="007F748B"/>
    <w:rsid w:val="007F74ED"/>
    <w:rsid w:val="007F755E"/>
    <w:rsid w:val="007F75AC"/>
    <w:rsid w:val="007F7640"/>
    <w:rsid w:val="007F76EA"/>
    <w:rsid w:val="007F7766"/>
    <w:rsid w:val="007F77C2"/>
    <w:rsid w:val="007F77C7"/>
    <w:rsid w:val="007F78DF"/>
    <w:rsid w:val="007F79B6"/>
    <w:rsid w:val="007F7B16"/>
    <w:rsid w:val="007F7BA1"/>
    <w:rsid w:val="007F7BD4"/>
    <w:rsid w:val="007F7C09"/>
    <w:rsid w:val="007F7C58"/>
    <w:rsid w:val="007F7CC4"/>
    <w:rsid w:val="007F7D22"/>
    <w:rsid w:val="007F7DA3"/>
    <w:rsid w:val="007F7DC0"/>
    <w:rsid w:val="007F7DEE"/>
    <w:rsid w:val="007F7EC7"/>
    <w:rsid w:val="007F7ED1"/>
    <w:rsid w:val="007F7F37"/>
    <w:rsid w:val="007F7F46"/>
    <w:rsid w:val="00800047"/>
    <w:rsid w:val="008000AE"/>
    <w:rsid w:val="00800132"/>
    <w:rsid w:val="00800142"/>
    <w:rsid w:val="00800195"/>
    <w:rsid w:val="008001F1"/>
    <w:rsid w:val="0080030D"/>
    <w:rsid w:val="00800331"/>
    <w:rsid w:val="0080039B"/>
    <w:rsid w:val="008003A1"/>
    <w:rsid w:val="008003FF"/>
    <w:rsid w:val="0080049C"/>
    <w:rsid w:val="00800506"/>
    <w:rsid w:val="008005FB"/>
    <w:rsid w:val="00800642"/>
    <w:rsid w:val="00800705"/>
    <w:rsid w:val="0080071B"/>
    <w:rsid w:val="008007D6"/>
    <w:rsid w:val="00800846"/>
    <w:rsid w:val="00800884"/>
    <w:rsid w:val="008008A2"/>
    <w:rsid w:val="008008FE"/>
    <w:rsid w:val="00800952"/>
    <w:rsid w:val="008009E6"/>
    <w:rsid w:val="00800A20"/>
    <w:rsid w:val="00800A4C"/>
    <w:rsid w:val="00800B17"/>
    <w:rsid w:val="00800BED"/>
    <w:rsid w:val="00800C5A"/>
    <w:rsid w:val="00800D0B"/>
    <w:rsid w:val="00800F32"/>
    <w:rsid w:val="00800F40"/>
    <w:rsid w:val="008010A7"/>
    <w:rsid w:val="008010BA"/>
    <w:rsid w:val="008010D7"/>
    <w:rsid w:val="00801119"/>
    <w:rsid w:val="00801202"/>
    <w:rsid w:val="00801241"/>
    <w:rsid w:val="00801251"/>
    <w:rsid w:val="008012C2"/>
    <w:rsid w:val="008012E0"/>
    <w:rsid w:val="008012FC"/>
    <w:rsid w:val="00801317"/>
    <w:rsid w:val="00801329"/>
    <w:rsid w:val="00801372"/>
    <w:rsid w:val="00801391"/>
    <w:rsid w:val="00801500"/>
    <w:rsid w:val="0080157B"/>
    <w:rsid w:val="008017A6"/>
    <w:rsid w:val="008017B1"/>
    <w:rsid w:val="008017C5"/>
    <w:rsid w:val="0080182D"/>
    <w:rsid w:val="008018EF"/>
    <w:rsid w:val="008019D9"/>
    <w:rsid w:val="00801AEE"/>
    <w:rsid w:val="00801AF3"/>
    <w:rsid w:val="00801B77"/>
    <w:rsid w:val="00801C10"/>
    <w:rsid w:val="00801C50"/>
    <w:rsid w:val="00801C89"/>
    <w:rsid w:val="00801CC4"/>
    <w:rsid w:val="00801DC8"/>
    <w:rsid w:val="00801EA0"/>
    <w:rsid w:val="00801EB3"/>
    <w:rsid w:val="00801ECA"/>
    <w:rsid w:val="00801ED2"/>
    <w:rsid w:val="00801F03"/>
    <w:rsid w:val="00801F29"/>
    <w:rsid w:val="00801F72"/>
    <w:rsid w:val="008020EA"/>
    <w:rsid w:val="00802179"/>
    <w:rsid w:val="00802237"/>
    <w:rsid w:val="00802249"/>
    <w:rsid w:val="0080224D"/>
    <w:rsid w:val="0080226F"/>
    <w:rsid w:val="00802346"/>
    <w:rsid w:val="00802651"/>
    <w:rsid w:val="008026B3"/>
    <w:rsid w:val="00802705"/>
    <w:rsid w:val="00802707"/>
    <w:rsid w:val="0080275F"/>
    <w:rsid w:val="00802768"/>
    <w:rsid w:val="008027BE"/>
    <w:rsid w:val="008027DF"/>
    <w:rsid w:val="0080280E"/>
    <w:rsid w:val="0080293E"/>
    <w:rsid w:val="008029B4"/>
    <w:rsid w:val="008029C4"/>
    <w:rsid w:val="008029CC"/>
    <w:rsid w:val="00802A32"/>
    <w:rsid w:val="00802A97"/>
    <w:rsid w:val="00802DCB"/>
    <w:rsid w:val="00802DE2"/>
    <w:rsid w:val="00802E8E"/>
    <w:rsid w:val="00802F62"/>
    <w:rsid w:val="00803070"/>
    <w:rsid w:val="00803140"/>
    <w:rsid w:val="00803185"/>
    <w:rsid w:val="008031AA"/>
    <w:rsid w:val="00803288"/>
    <w:rsid w:val="00803296"/>
    <w:rsid w:val="0080338C"/>
    <w:rsid w:val="00803467"/>
    <w:rsid w:val="008034EE"/>
    <w:rsid w:val="00803556"/>
    <w:rsid w:val="00803699"/>
    <w:rsid w:val="008036E4"/>
    <w:rsid w:val="00803741"/>
    <w:rsid w:val="0080376F"/>
    <w:rsid w:val="0080395D"/>
    <w:rsid w:val="008039E1"/>
    <w:rsid w:val="00803A3E"/>
    <w:rsid w:val="00803A7C"/>
    <w:rsid w:val="00803B23"/>
    <w:rsid w:val="00803B75"/>
    <w:rsid w:val="00803BB9"/>
    <w:rsid w:val="00803C56"/>
    <w:rsid w:val="00803C5A"/>
    <w:rsid w:val="00803D04"/>
    <w:rsid w:val="00803DEB"/>
    <w:rsid w:val="00803F29"/>
    <w:rsid w:val="00803F31"/>
    <w:rsid w:val="00803FC8"/>
    <w:rsid w:val="00804083"/>
    <w:rsid w:val="00804126"/>
    <w:rsid w:val="008041C9"/>
    <w:rsid w:val="008041D5"/>
    <w:rsid w:val="00804247"/>
    <w:rsid w:val="00804252"/>
    <w:rsid w:val="00804310"/>
    <w:rsid w:val="00804355"/>
    <w:rsid w:val="00804381"/>
    <w:rsid w:val="0080441A"/>
    <w:rsid w:val="008044EF"/>
    <w:rsid w:val="0080473E"/>
    <w:rsid w:val="0080474C"/>
    <w:rsid w:val="0080475B"/>
    <w:rsid w:val="008047D1"/>
    <w:rsid w:val="008047D4"/>
    <w:rsid w:val="008047FA"/>
    <w:rsid w:val="00804803"/>
    <w:rsid w:val="0080480F"/>
    <w:rsid w:val="00804854"/>
    <w:rsid w:val="008048DC"/>
    <w:rsid w:val="008048E2"/>
    <w:rsid w:val="00804971"/>
    <w:rsid w:val="008049BD"/>
    <w:rsid w:val="00804A1A"/>
    <w:rsid w:val="00804A45"/>
    <w:rsid w:val="00804A74"/>
    <w:rsid w:val="00804B44"/>
    <w:rsid w:val="00804BEF"/>
    <w:rsid w:val="00804E2C"/>
    <w:rsid w:val="00804E4F"/>
    <w:rsid w:val="00804F17"/>
    <w:rsid w:val="00805056"/>
    <w:rsid w:val="0080509C"/>
    <w:rsid w:val="0080512C"/>
    <w:rsid w:val="00805151"/>
    <w:rsid w:val="00805152"/>
    <w:rsid w:val="0080517A"/>
    <w:rsid w:val="00805194"/>
    <w:rsid w:val="00805198"/>
    <w:rsid w:val="0080527B"/>
    <w:rsid w:val="008052A1"/>
    <w:rsid w:val="008053D0"/>
    <w:rsid w:val="00805475"/>
    <w:rsid w:val="008054F3"/>
    <w:rsid w:val="00805569"/>
    <w:rsid w:val="0080566C"/>
    <w:rsid w:val="00805692"/>
    <w:rsid w:val="008056B6"/>
    <w:rsid w:val="00805830"/>
    <w:rsid w:val="00805834"/>
    <w:rsid w:val="0080584A"/>
    <w:rsid w:val="008059EC"/>
    <w:rsid w:val="00805A62"/>
    <w:rsid w:val="00805B1F"/>
    <w:rsid w:val="00805B38"/>
    <w:rsid w:val="00805B5E"/>
    <w:rsid w:val="00805B6F"/>
    <w:rsid w:val="00805BAB"/>
    <w:rsid w:val="00805D07"/>
    <w:rsid w:val="00805DE3"/>
    <w:rsid w:val="00805E60"/>
    <w:rsid w:val="00805F23"/>
    <w:rsid w:val="00805F40"/>
    <w:rsid w:val="008060CF"/>
    <w:rsid w:val="008060E2"/>
    <w:rsid w:val="00806111"/>
    <w:rsid w:val="008062B6"/>
    <w:rsid w:val="008062F7"/>
    <w:rsid w:val="008063D9"/>
    <w:rsid w:val="0080643F"/>
    <w:rsid w:val="008065B6"/>
    <w:rsid w:val="008066A4"/>
    <w:rsid w:val="00806744"/>
    <w:rsid w:val="008067B0"/>
    <w:rsid w:val="008067FD"/>
    <w:rsid w:val="0080680D"/>
    <w:rsid w:val="0080682A"/>
    <w:rsid w:val="00806977"/>
    <w:rsid w:val="00806A02"/>
    <w:rsid w:val="00806B25"/>
    <w:rsid w:val="00806BC5"/>
    <w:rsid w:val="00806C61"/>
    <w:rsid w:val="00806CAC"/>
    <w:rsid w:val="00806D9C"/>
    <w:rsid w:val="00806ED4"/>
    <w:rsid w:val="008070A5"/>
    <w:rsid w:val="008071EE"/>
    <w:rsid w:val="00807232"/>
    <w:rsid w:val="0080725A"/>
    <w:rsid w:val="0080728C"/>
    <w:rsid w:val="008073A2"/>
    <w:rsid w:val="008073DA"/>
    <w:rsid w:val="008073EB"/>
    <w:rsid w:val="008073FE"/>
    <w:rsid w:val="00807436"/>
    <w:rsid w:val="008074C8"/>
    <w:rsid w:val="008075B1"/>
    <w:rsid w:val="008076F6"/>
    <w:rsid w:val="008077BF"/>
    <w:rsid w:val="008077CA"/>
    <w:rsid w:val="0080782A"/>
    <w:rsid w:val="0080782E"/>
    <w:rsid w:val="00807834"/>
    <w:rsid w:val="0080788E"/>
    <w:rsid w:val="008078AA"/>
    <w:rsid w:val="008078AE"/>
    <w:rsid w:val="0080792F"/>
    <w:rsid w:val="00807932"/>
    <w:rsid w:val="008079BB"/>
    <w:rsid w:val="00807B85"/>
    <w:rsid w:val="00807C6E"/>
    <w:rsid w:val="00807C7A"/>
    <w:rsid w:val="00807C9A"/>
    <w:rsid w:val="00807CDC"/>
    <w:rsid w:val="00807D9E"/>
    <w:rsid w:val="00807DA2"/>
    <w:rsid w:val="00807DBB"/>
    <w:rsid w:val="00807E3F"/>
    <w:rsid w:val="00807E6C"/>
    <w:rsid w:val="00807E91"/>
    <w:rsid w:val="00807EEF"/>
    <w:rsid w:val="0081003F"/>
    <w:rsid w:val="00810048"/>
    <w:rsid w:val="0081007C"/>
    <w:rsid w:val="0081009B"/>
    <w:rsid w:val="00810124"/>
    <w:rsid w:val="0081015A"/>
    <w:rsid w:val="00810168"/>
    <w:rsid w:val="008101C5"/>
    <w:rsid w:val="008101EC"/>
    <w:rsid w:val="0081027A"/>
    <w:rsid w:val="00810287"/>
    <w:rsid w:val="00810302"/>
    <w:rsid w:val="0081031F"/>
    <w:rsid w:val="0081033A"/>
    <w:rsid w:val="00810415"/>
    <w:rsid w:val="008104E6"/>
    <w:rsid w:val="00810523"/>
    <w:rsid w:val="0081057D"/>
    <w:rsid w:val="008105DF"/>
    <w:rsid w:val="0081060E"/>
    <w:rsid w:val="0081062A"/>
    <w:rsid w:val="0081065B"/>
    <w:rsid w:val="00810719"/>
    <w:rsid w:val="008107F8"/>
    <w:rsid w:val="008108FF"/>
    <w:rsid w:val="00810A10"/>
    <w:rsid w:val="00810A6C"/>
    <w:rsid w:val="00810B2A"/>
    <w:rsid w:val="00810BF1"/>
    <w:rsid w:val="00810BFC"/>
    <w:rsid w:val="00810C0A"/>
    <w:rsid w:val="00810CC4"/>
    <w:rsid w:val="00810D0D"/>
    <w:rsid w:val="00810D40"/>
    <w:rsid w:val="00810D41"/>
    <w:rsid w:val="00810D7B"/>
    <w:rsid w:val="00810DA2"/>
    <w:rsid w:val="00810DEC"/>
    <w:rsid w:val="00810F7A"/>
    <w:rsid w:val="00810FA6"/>
    <w:rsid w:val="00811337"/>
    <w:rsid w:val="00811354"/>
    <w:rsid w:val="0081145E"/>
    <w:rsid w:val="00811538"/>
    <w:rsid w:val="00811569"/>
    <w:rsid w:val="0081169E"/>
    <w:rsid w:val="008116D5"/>
    <w:rsid w:val="008116FA"/>
    <w:rsid w:val="0081170A"/>
    <w:rsid w:val="0081180E"/>
    <w:rsid w:val="008118E7"/>
    <w:rsid w:val="008118EF"/>
    <w:rsid w:val="008119AF"/>
    <w:rsid w:val="008119C5"/>
    <w:rsid w:val="00811B51"/>
    <w:rsid w:val="00811D81"/>
    <w:rsid w:val="00811D99"/>
    <w:rsid w:val="00811DC2"/>
    <w:rsid w:val="00811E53"/>
    <w:rsid w:val="00811EE6"/>
    <w:rsid w:val="00811F41"/>
    <w:rsid w:val="008120F1"/>
    <w:rsid w:val="008121A8"/>
    <w:rsid w:val="008121B3"/>
    <w:rsid w:val="008121D6"/>
    <w:rsid w:val="00812301"/>
    <w:rsid w:val="0081235E"/>
    <w:rsid w:val="00812374"/>
    <w:rsid w:val="008123A0"/>
    <w:rsid w:val="00812411"/>
    <w:rsid w:val="008124A1"/>
    <w:rsid w:val="00812514"/>
    <w:rsid w:val="00812527"/>
    <w:rsid w:val="0081254D"/>
    <w:rsid w:val="00812581"/>
    <w:rsid w:val="0081263E"/>
    <w:rsid w:val="00812648"/>
    <w:rsid w:val="00812654"/>
    <w:rsid w:val="008126BB"/>
    <w:rsid w:val="008126CB"/>
    <w:rsid w:val="008127BA"/>
    <w:rsid w:val="008128A2"/>
    <w:rsid w:val="00812A39"/>
    <w:rsid w:val="00812A50"/>
    <w:rsid w:val="00812B0C"/>
    <w:rsid w:val="00812B4A"/>
    <w:rsid w:val="00812B58"/>
    <w:rsid w:val="00812C8B"/>
    <w:rsid w:val="00812D19"/>
    <w:rsid w:val="00812D46"/>
    <w:rsid w:val="00812E63"/>
    <w:rsid w:val="00812E6D"/>
    <w:rsid w:val="00812E94"/>
    <w:rsid w:val="00812EE0"/>
    <w:rsid w:val="00812F1B"/>
    <w:rsid w:val="00812F8E"/>
    <w:rsid w:val="00812F99"/>
    <w:rsid w:val="008130CB"/>
    <w:rsid w:val="0081316B"/>
    <w:rsid w:val="0081319D"/>
    <w:rsid w:val="008131BE"/>
    <w:rsid w:val="00813200"/>
    <w:rsid w:val="0081321B"/>
    <w:rsid w:val="00813284"/>
    <w:rsid w:val="00813341"/>
    <w:rsid w:val="00813351"/>
    <w:rsid w:val="008133EB"/>
    <w:rsid w:val="00813421"/>
    <w:rsid w:val="00813424"/>
    <w:rsid w:val="0081369A"/>
    <w:rsid w:val="008136AB"/>
    <w:rsid w:val="008136B5"/>
    <w:rsid w:val="00813709"/>
    <w:rsid w:val="00813792"/>
    <w:rsid w:val="0081383A"/>
    <w:rsid w:val="00813908"/>
    <w:rsid w:val="00813A17"/>
    <w:rsid w:val="00813AC7"/>
    <w:rsid w:val="00813D2A"/>
    <w:rsid w:val="00813D58"/>
    <w:rsid w:val="00813D80"/>
    <w:rsid w:val="00813E39"/>
    <w:rsid w:val="00813EA9"/>
    <w:rsid w:val="00813F6A"/>
    <w:rsid w:val="00813F99"/>
    <w:rsid w:val="00813FCB"/>
    <w:rsid w:val="00813FF7"/>
    <w:rsid w:val="0081409D"/>
    <w:rsid w:val="00814149"/>
    <w:rsid w:val="0081416B"/>
    <w:rsid w:val="0081417B"/>
    <w:rsid w:val="00814214"/>
    <w:rsid w:val="008142EB"/>
    <w:rsid w:val="0081433E"/>
    <w:rsid w:val="0081454C"/>
    <w:rsid w:val="00814626"/>
    <w:rsid w:val="00814646"/>
    <w:rsid w:val="00814690"/>
    <w:rsid w:val="0081487F"/>
    <w:rsid w:val="008148AF"/>
    <w:rsid w:val="00814975"/>
    <w:rsid w:val="00814976"/>
    <w:rsid w:val="00814A11"/>
    <w:rsid w:val="00814A9F"/>
    <w:rsid w:val="00814AE3"/>
    <w:rsid w:val="00814AEB"/>
    <w:rsid w:val="00814C0C"/>
    <w:rsid w:val="00814C94"/>
    <w:rsid w:val="00814DF0"/>
    <w:rsid w:val="00814E7D"/>
    <w:rsid w:val="00814E91"/>
    <w:rsid w:val="00814F1D"/>
    <w:rsid w:val="00814FA6"/>
    <w:rsid w:val="00814FB1"/>
    <w:rsid w:val="00814FB8"/>
    <w:rsid w:val="008150BF"/>
    <w:rsid w:val="008150C6"/>
    <w:rsid w:val="008150C9"/>
    <w:rsid w:val="0081518C"/>
    <w:rsid w:val="008151B1"/>
    <w:rsid w:val="008152AA"/>
    <w:rsid w:val="008153AF"/>
    <w:rsid w:val="0081548B"/>
    <w:rsid w:val="00815588"/>
    <w:rsid w:val="0081561E"/>
    <w:rsid w:val="0081573D"/>
    <w:rsid w:val="0081573E"/>
    <w:rsid w:val="008157C1"/>
    <w:rsid w:val="0081594D"/>
    <w:rsid w:val="008159AF"/>
    <w:rsid w:val="008159DC"/>
    <w:rsid w:val="008159F5"/>
    <w:rsid w:val="00815A30"/>
    <w:rsid w:val="00815B0F"/>
    <w:rsid w:val="00815B18"/>
    <w:rsid w:val="00815B4E"/>
    <w:rsid w:val="00815BFA"/>
    <w:rsid w:val="00815C9C"/>
    <w:rsid w:val="00815CA8"/>
    <w:rsid w:val="00815CDB"/>
    <w:rsid w:val="00815E34"/>
    <w:rsid w:val="00815F80"/>
    <w:rsid w:val="00815FC1"/>
    <w:rsid w:val="0081608F"/>
    <w:rsid w:val="008160EA"/>
    <w:rsid w:val="0081611E"/>
    <w:rsid w:val="008161B5"/>
    <w:rsid w:val="00816283"/>
    <w:rsid w:val="00816486"/>
    <w:rsid w:val="008164B2"/>
    <w:rsid w:val="0081658E"/>
    <w:rsid w:val="00816617"/>
    <w:rsid w:val="00816632"/>
    <w:rsid w:val="008166A8"/>
    <w:rsid w:val="00816722"/>
    <w:rsid w:val="0081676A"/>
    <w:rsid w:val="008167A3"/>
    <w:rsid w:val="008167CE"/>
    <w:rsid w:val="008167FA"/>
    <w:rsid w:val="00816826"/>
    <w:rsid w:val="008168D8"/>
    <w:rsid w:val="00816901"/>
    <w:rsid w:val="0081696D"/>
    <w:rsid w:val="0081699B"/>
    <w:rsid w:val="008169A1"/>
    <w:rsid w:val="00816AE6"/>
    <w:rsid w:val="00816B2B"/>
    <w:rsid w:val="00816B92"/>
    <w:rsid w:val="00816BF6"/>
    <w:rsid w:val="00816C57"/>
    <w:rsid w:val="00816CB5"/>
    <w:rsid w:val="00816CEA"/>
    <w:rsid w:val="00816D28"/>
    <w:rsid w:val="00816DEF"/>
    <w:rsid w:val="00816ED7"/>
    <w:rsid w:val="00816EEB"/>
    <w:rsid w:val="0081705F"/>
    <w:rsid w:val="0081717F"/>
    <w:rsid w:val="008171E1"/>
    <w:rsid w:val="008171E2"/>
    <w:rsid w:val="00817283"/>
    <w:rsid w:val="008172AF"/>
    <w:rsid w:val="008172CC"/>
    <w:rsid w:val="00817300"/>
    <w:rsid w:val="00817349"/>
    <w:rsid w:val="0081737F"/>
    <w:rsid w:val="00817474"/>
    <w:rsid w:val="008175A4"/>
    <w:rsid w:val="00817612"/>
    <w:rsid w:val="008176A4"/>
    <w:rsid w:val="008176FB"/>
    <w:rsid w:val="00817732"/>
    <w:rsid w:val="00817774"/>
    <w:rsid w:val="008177E0"/>
    <w:rsid w:val="008177FB"/>
    <w:rsid w:val="0081780B"/>
    <w:rsid w:val="008178C8"/>
    <w:rsid w:val="0081794E"/>
    <w:rsid w:val="008179BE"/>
    <w:rsid w:val="00817B39"/>
    <w:rsid w:val="00817B44"/>
    <w:rsid w:val="00817C06"/>
    <w:rsid w:val="00817C65"/>
    <w:rsid w:val="00817C71"/>
    <w:rsid w:val="00817C98"/>
    <w:rsid w:val="00817CDE"/>
    <w:rsid w:val="00817CF3"/>
    <w:rsid w:val="00817DB4"/>
    <w:rsid w:val="00817F80"/>
    <w:rsid w:val="00817FDD"/>
    <w:rsid w:val="0082005F"/>
    <w:rsid w:val="00820078"/>
    <w:rsid w:val="00820117"/>
    <w:rsid w:val="0082013C"/>
    <w:rsid w:val="00820197"/>
    <w:rsid w:val="0082023F"/>
    <w:rsid w:val="0082026D"/>
    <w:rsid w:val="008202CF"/>
    <w:rsid w:val="00820314"/>
    <w:rsid w:val="00820324"/>
    <w:rsid w:val="008203F5"/>
    <w:rsid w:val="0082040B"/>
    <w:rsid w:val="00820521"/>
    <w:rsid w:val="00820522"/>
    <w:rsid w:val="008205B9"/>
    <w:rsid w:val="00820635"/>
    <w:rsid w:val="00820645"/>
    <w:rsid w:val="00820799"/>
    <w:rsid w:val="00820852"/>
    <w:rsid w:val="00820898"/>
    <w:rsid w:val="008208BE"/>
    <w:rsid w:val="008208C6"/>
    <w:rsid w:val="008208DA"/>
    <w:rsid w:val="0082096A"/>
    <w:rsid w:val="0082096C"/>
    <w:rsid w:val="00820992"/>
    <w:rsid w:val="00820C3B"/>
    <w:rsid w:val="00820C80"/>
    <w:rsid w:val="00820C99"/>
    <w:rsid w:val="00820D13"/>
    <w:rsid w:val="00820D82"/>
    <w:rsid w:val="00820DF4"/>
    <w:rsid w:val="00820E55"/>
    <w:rsid w:val="00820EAC"/>
    <w:rsid w:val="00820EB2"/>
    <w:rsid w:val="00820ECB"/>
    <w:rsid w:val="00821040"/>
    <w:rsid w:val="00821056"/>
    <w:rsid w:val="0082108C"/>
    <w:rsid w:val="00821116"/>
    <w:rsid w:val="0082114F"/>
    <w:rsid w:val="0082116C"/>
    <w:rsid w:val="00821236"/>
    <w:rsid w:val="00821245"/>
    <w:rsid w:val="0082131F"/>
    <w:rsid w:val="00821588"/>
    <w:rsid w:val="00821589"/>
    <w:rsid w:val="008215C3"/>
    <w:rsid w:val="00821628"/>
    <w:rsid w:val="0082163A"/>
    <w:rsid w:val="0082167F"/>
    <w:rsid w:val="0082183C"/>
    <w:rsid w:val="008219B5"/>
    <w:rsid w:val="00821B72"/>
    <w:rsid w:val="00821BC7"/>
    <w:rsid w:val="00821BF9"/>
    <w:rsid w:val="00821C20"/>
    <w:rsid w:val="00821C88"/>
    <w:rsid w:val="00821CB9"/>
    <w:rsid w:val="00821CC7"/>
    <w:rsid w:val="00821DA7"/>
    <w:rsid w:val="00821DCE"/>
    <w:rsid w:val="00821E93"/>
    <w:rsid w:val="00821EB9"/>
    <w:rsid w:val="00821F2E"/>
    <w:rsid w:val="00822058"/>
    <w:rsid w:val="00822078"/>
    <w:rsid w:val="00822181"/>
    <w:rsid w:val="008221A8"/>
    <w:rsid w:val="00822246"/>
    <w:rsid w:val="00822249"/>
    <w:rsid w:val="008224A1"/>
    <w:rsid w:val="008224B0"/>
    <w:rsid w:val="00822516"/>
    <w:rsid w:val="00822630"/>
    <w:rsid w:val="008226C1"/>
    <w:rsid w:val="00822760"/>
    <w:rsid w:val="008227EF"/>
    <w:rsid w:val="00822880"/>
    <w:rsid w:val="008228E7"/>
    <w:rsid w:val="008228FB"/>
    <w:rsid w:val="00822963"/>
    <w:rsid w:val="008229AA"/>
    <w:rsid w:val="008229DC"/>
    <w:rsid w:val="008229FA"/>
    <w:rsid w:val="00822A4D"/>
    <w:rsid w:val="00822B56"/>
    <w:rsid w:val="00822B8B"/>
    <w:rsid w:val="00822BC6"/>
    <w:rsid w:val="00822BD6"/>
    <w:rsid w:val="00822CE7"/>
    <w:rsid w:val="00822D04"/>
    <w:rsid w:val="00822D08"/>
    <w:rsid w:val="00822D72"/>
    <w:rsid w:val="00822E51"/>
    <w:rsid w:val="00822E54"/>
    <w:rsid w:val="00822E9B"/>
    <w:rsid w:val="00822EAF"/>
    <w:rsid w:val="00822ED1"/>
    <w:rsid w:val="00822FF6"/>
    <w:rsid w:val="00823065"/>
    <w:rsid w:val="00823175"/>
    <w:rsid w:val="00823195"/>
    <w:rsid w:val="00823242"/>
    <w:rsid w:val="008232BA"/>
    <w:rsid w:val="008232C1"/>
    <w:rsid w:val="0082330D"/>
    <w:rsid w:val="00823375"/>
    <w:rsid w:val="00823484"/>
    <w:rsid w:val="008234AE"/>
    <w:rsid w:val="00823554"/>
    <w:rsid w:val="0082355F"/>
    <w:rsid w:val="00823573"/>
    <w:rsid w:val="0082359D"/>
    <w:rsid w:val="00823794"/>
    <w:rsid w:val="008237A5"/>
    <w:rsid w:val="00823887"/>
    <w:rsid w:val="008238F2"/>
    <w:rsid w:val="00823907"/>
    <w:rsid w:val="0082392F"/>
    <w:rsid w:val="00823949"/>
    <w:rsid w:val="00823AB1"/>
    <w:rsid w:val="00823D2F"/>
    <w:rsid w:val="00823F4D"/>
    <w:rsid w:val="00824001"/>
    <w:rsid w:val="00824054"/>
    <w:rsid w:val="0082408F"/>
    <w:rsid w:val="00824125"/>
    <w:rsid w:val="00824161"/>
    <w:rsid w:val="00824175"/>
    <w:rsid w:val="008241CB"/>
    <w:rsid w:val="00824440"/>
    <w:rsid w:val="008244F9"/>
    <w:rsid w:val="008245DE"/>
    <w:rsid w:val="00824658"/>
    <w:rsid w:val="0082465C"/>
    <w:rsid w:val="008246B1"/>
    <w:rsid w:val="00824792"/>
    <w:rsid w:val="008247E9"/>
    <w:rsid w:val="0082481A"/>
    <w:rsid w:val="00824860"/>
    <w:rsid w:val="0082486A"/>
    <w:rsid w:val="008249C4"/>
    <w:rsid w:val="008249E5"/>
    <w:rsid w:val="00824ABA"/>
    <w:rsid w:val="00824AFE"/>
    <w:rsid w:val="00824B14"/>
    <w:rsid w:val="00824C80"/>
    <w:rsid w:val="00824C96"/>
    <w:rsid w:val="00824CA9"/>
    <w:rsid w:val="00824E07"/>
    <w:rsid w:val="00824E83"/>
    <w:rsid w:val="00824F92"/>
    <w:rsid w:val="00824FB1"/>
    <w:rsid w:val="00824FEC"/>
    <w:rsid w:val="00824FF5"/>
    <w:rsid w:val="00825005"/>
    <w:rsid w:val="00825098"/>
    <w:rsid w:val="008250D5"/>
    <w:rsid w:val="0082519D"/>
    <w:rsid w:val="008251A2"/>
    <w:rsid w:val="008251F8"/>
    <w:rsid w:val="008252E6"/>
    <w:rsid w:val="008253FB"/>
    <w:rsid w:val="00825538"/>
    <w:rsid w:val="0082561C"/>
    <w:rsid w:val="0082561E"/>
    <w:rsid w:val="00825661"/>
    <w:rsid w:val="008256BA"/>
    <w:rsid w:val="00825805"/>
    <w:rsid w:val="0082585C"/>
    <w:rsid w:val="00825A16"/>
    <w:rsid w:val="00825B61"/>
    <w:rsid w:val="00825B7A"/>
    <w:rsid w:val="00825B7F"/>
    <w:rsid w:val="00825BDC"/>
    <w:rsid w:val="00825C29"/>
    <w:rsid w:val="00825C41"/>
    <w:rsid w:val="00825CB7"/>
    <w:rsid w:val="00825CFE"/>
    <w:rsid w:val="00825EC5"/>
    <w:rsid w:val="00825ED4"/>
    <w:rsid w:val="00826179"/>
    <w:rsid w:val="008261B9"/>
    <w:rsid w:val="008261D7"/>
    <w:rsid w:val="0082620E"/>
    <w:rsid w:val="00826259"/>
    <w:rsid w:val="0082630F"/>
    <w:rsid w:val="00826360"/>
    <w:rsid w:val="00826428"/>
    <w:rsid w:val="008264AD"/>
    <w:rsid w:val="008264E2"/>
    <w:rsid w:val="0082658F"/>
    <w:rsid w:val="008265A1"/>
    <w:rsid w:val="00826643"/>
    <w:rsid w:val="008266B4"/>
    <w:rsid w:val="008267CA"/>
    <w:rsid w:val="008267E2"/>
    <w:rsid w:val="0082681C"/>
    <w:rsid w:val="00826855"/>
    <w:rsid w:val="00826882"/>
    <w:rsid w:val="00826886"/>
    <w:rsid w:val="00826893"/>
    <w:rsid w:val="008268E5"/>
    <w:rsid w:val="00826919"/>
    <w:rsid w:val="00826A3F"/>
    <w:rsid w:val="00826AAD"/>
    <w:rsid w:val="00826BEF"/>
    <w:rsid w:val="00826CD4"/>
    <w:rsid w:val="00826CE0"/>
    <w:rsid w:val="00826D83"/>
    <w:rsid w:val="00826DFE"/>
    <w:rsid w:val="00826EBF"/>
    <w:rsid w:val="00826F21"/>
    <w:rsid w:val="00826F34"/>
    <w:rsid w:val="00826FC0"/>
    <w:rsid w:val="00827013"/>
    <w:rsid w:val="0082707F"/>
    <w:rsid w:val="00827082"/>
    <w:rsid w:val="00827084"/>
    <w:rsid w:val="00827167"/>
    <w:rsid w:val="008271B9"/>
    <w:rsid w:val="00827252"/>
    <w:rsid w:val="00827291"/>
    <w:rsid w:val="008273B8"/>
    <w:rsid w:val="00827449"/>
    <w:rsid w:val="00827459"/>
    <w:rsid w:val="008274CE"/>
    <w:rsid w:val="00827588"/>
    <w:rsid w:val="0082773F"/>
    <w:rsid w:val="00827823"/>
    <w:rsid w:val="00827871"/>
    <w:rsid w:val="008278E9"/>
    <w:rsid w:val="008278FF"/>
    <w:rsid w:val="00827900"/>
    <w:rsid w:val="00827927"/>
    <w:rsid w:val="00827950"/>
    <w:rsid w:val="008279C6"/>
    <w:rsid w:val="00827ABB"/>
    <w:rsid w:val="00827ABC"/>
    <w:rsid w:val="00827B0E"/>
    <w:rsid w:val="00827B25"/>
    <w:rsid w:val="00827B2E"/>
    <w:rsid w:val="00827B9A"/>
    <w:rsid w:val="00827BF4"/>
    <w:rsid w:val="00827CF0"/>
    <w:rsid w:val="00827DE3"/>
    <w:rsid w:val="00827E09"/>
    <w:rsid w:val="00827E71"/>
    <w:rsid w:val="00827EBB"/>
    <w:rsid w:val="00827EC9"/>
    <w:rsid w:val="00827F9E"/>
    <w:rsid w:val="0083001F"/>
    <w:rsid w:val="00830096"/>
    <w:rsid w:val="008300DE"/>
    <w:rsid w:val="00830135"/>
    <w:rsid w:val="00830172"/>
    <w:rsid w:val="008301F1"/>
    <w:rsid w:val="0083025B"/>
    <w:rsid w:val="00830271"/>
    <w:rsid w:val="00830273"/>
    <w:rsid w:val="008305A8"/>
    <w:rsid w:val="0083064D"/>
    <w:rsid w:val="0083076F"/>
    <w:rsid w:val="008307C8"/>
    <w:rsid w:val="00830824"/>
    <w:rsid w:val="00830848"/>
    <w:rsid w:val="0083087E"/>
    <w:rsid w:val="008308E4"/>
    <w:rsid w:val="008308FB"/>
    <w:rsid w:val="00830969"/>
    <w:rsid w:val="008309C2"/>
    <w:rsid w:val="00830A10"/>
    <w:rsid w:val="00830A39"/>
    <w:rsid w:val="00830A75"/>
    <w:rsid w:val="00830B17"/>
    <w:rsid w:val="00830B53"/>
    <w:rsid w:val="00830B71"/>
    <w:rsid w:val="00830B97"/>
    <w:rsid w:val="00830BEF"/>
    <w:rsid w:val="00830C3B"/>
    <w:rsid w:val="00830C4F"/>
    <w:rsid w:val="00830C62"/>
    <w:rsid w:val="00830C8F"/>
    <w:rsid w:val="00830CAC"/>
    <w:rsid w:val="00830D4A"/>
    <w:rsid w:val="00830E06"/>
    <w:rsid w:val="00830E3F"/>
    <w:rsid w:val="00830F48"/>
    <w:rsid w:val="00830F65"/>
    <w:rsid w:val="0083104A"/>
    <w:rsid w:val="008310CD"/>
    <w:rsid w:val="008310D6"/>
    <w:rsid w:val="008311A3"/>
    <w:rsid w:val="008312BA"/>
    <w:rsid w:val="008312D7"/>
    <w:rsid w:val="00831313"/>
    <w:rsid w:val="00831369"/>
    <w:rsid w:val="008313C4"/>
    <w:rsid w:val="008313EE"/>
    <w:rsid w:val="00831594"/>
    <w:rsid w:val="008315C1"/>
    <w:rsid w:val="00831630"/>
    <w:rsid w:val="00831636"/>
    <w:rsid w:val="0083166B"/>
    <w:rsid w:val="00831764"/>
    <w:rsid w:val="00831835"/>
    <w:rsid w:val="00831A11"/>
    <w:rsid w:val="00831A7E"/>
    <w:rsid w:val="00831B56"/>
    <w:rsid w:val="00831B97"/>
    <w:rsid w:val="00831BF6"/>
    <w:rsid w:val="00831C6C"/>
    <w:rsid w:val="00831DC0"/>
    <w:rsid w:val="00831E1A"/>
    <w:rsid w:val="00831F04"/>
    <w:rsid w:val="0083210E"/>
    <w:rsid w:val="00832276"/>
    <w:rsid w:val="0083235E"/>
    <w:rsid w:val="0083237A"/>
    <w:rsid w:val="008323B7"/>
    <w:rsid w:val="0083242C"/>
    <w:rsid w:val="008324DA"/>
    <w:rsid w:val="00832582"/>
    <w:rsid w:val="00832591"/>
    <w:rsid w:val="00832611"/>
    <w:rsid w:val="00832667"/>
    <w:rsid w:val="00832734"/>
    <w:rsid w:val="008327E3"/>
    <w:rsid w:val="00832814"/>
    <w:rsid w:val="00832833"/>
    <w:rsid w:val="00832872"/>
    <w:rsid w:val="008328D8"/>
    <w:rsid w:val="008329C1"/>
    <w:rsid w:val="00832A4C"/>
    <w:rsid w:val="00832BF6"/>
    <w:rsid w:val="00832C39"/>
    <w:rsid w:val="00832C64"/>
    <w:rsid w:val="00832D47"/>
    <w:rsid w:val="00832D48"/>
    <w:rsid w:val="00832D4C"/>
    <w:rsid w:val="00832E84"/>
    <w:rsid w:val="00832E87"/>
    <w:rsid w:val="00832EE2"/>
    <w:rsid w:val="00832F6E"/>
    <w:rsid w:val="00832FF0"/>
    <w:rsid w:val="00832FFB"/>
    <w:rsid w:val="0083302A"/>
    <w:rsid w:val="0083302C"/>
    <w:rsid w:val="008332AD"/>
    <w:rsid w:val="008332EF"/>
    <w:rsid w:val="0083337D"/>
    <w:rsid w:val="00833416"/>
    <w:rsid w:val="00833458"/>
    <w:rsid w:val="008334CD"/>
    <w:rsid w:val="0083350B"/>
    <w:rsid w:val="00833635"/>
    <w:rsid w:val="0083367B"/>
    <w:rsid w:val="008336E8"/>
    <w:rsid w:val="0083378E"/>
    <w:rsid w:val="0083380A"/>
    <w:rsid w:val="0083387D"/>
    <w:rsid w:val="0083392F"/>
    <w:rsid w:val="0083395A"/>
    <w:rsid w:val="00833AB8"/>
    <w:rsid w:val="00833AF1"/>
    <w:rsid w:val="00833B37"/>
    <w:rsid w:val="00833B43"/>
    <w:rsid w:val="00833BAD"/>
    <w:rsid w:val="00833C00"/>
    <w:rsid w:val="00833C09"/>
    <w:rsid w:val="00833D0F"/>
    <w:rsid w:val="00833D23"/>
    <w:rsid w:val="00833D59"/>
    <w:rsid w:val="00833D69"/>
    <w:rsid w:val="00833E23"/>
    <w:rsid w:val="00833E77"/>
    <w:rsid w:val="00833F63"/>
    <w:rsid w:val="00833F6E"/>
    <w:rsid w:val="0083414A"/>
    <w:rsid w:val="0083416C"/>
    <w:rsid w:val="00834172"/>
    <w:rsid w:val="0083422E"/>
    <w:rsid w:val="00834258"/>
    <w:rsid w:val="00834265"/>
    <w:rsid w:val="008342E4"/>
    <w:rsid w:val="00834377"/>
    <w:rsid w:val="008343E8"/>
    <w:rsid w:val="00834525"/>
    <w:rsid w:val="00834551"/>
    <w:rsid w:val="00834659"/>
    <w:rsid w:val="0083472D"/>
    <w:rsid w:val="00834A2E"/>
    <w:rsid w:val="00834B2C"/>
    <w:rsid w:val="00834B7F"/>
    <w:rsid w:val="00834BE5"/>
    <w:rsid w:val="00834C36"/>
    <w:rsid w:val="00834C83"/>
    <w:rsid w:val="00834CE3"/>
    <w:rsid w:val="00834D25"/>
    <w:rsid w:val="00834DF9"/>
    <w:rsid w:val="00834E13"/>
    <w:rsid w:val="00834E90"/>
    <w:rsid w:val="00834F14"/>
    <w:rsid w:val="00834F50"/>
    <w:rsid w:val="0083507D"/>
    <w:rsid w:val="00835130"/>
    <w:rsid w:val="008351B8"/>
    <w:rsid w:val="00835201"/>
    <w:rsid w:val="008352BC"/>
    <w:rsid w:val="008352C4"/>
    <w:rsid w:val="00835302"/>
    <w:rsid w:val="0083533F"/>
    <w:rsid w:val="008353BA"/>
    <w:rsid w:val="008353D9"/>
    <w:rsid w:val="0083541C"/>
    <w:rsid w:val="008354B4"/>
    <w:rsid w:val="0083567E"/>
    <w:rsid w:val="008356FA"/>
    <w:rsid w:val="00835757"/>
    <w:rsid w:val="0083578D"/>
    <w:rsid w:val="008357F0"/>
    <w:rsid w:val="00835A5E"/>
    <w:rsid w:val="00835B02"/>
    <w:rsid w:val="00835B1F"/>
    <w:rsid w:val="00835B79"/>
    <w:rsid w:val="00835B8D"/>
    <w:rsid w:val="00835BAA"/>
    <w:rsid w:val="00835BE7"/>
    <w:rsid w:val="00835C1F"/>
    <w:rsid w:val="00835CBB"/>
    <w:rsid w:val="00835CD3"/>
    <w:rsid w:val="00835CFD"/>
    <w:rsid w:val="00835DD4"/>
    <w:rsid w:val="00835DDF"/>
    <w:rsid w:val="00835DE6"/>
    <w:rsid w:val="00835DF2"/>
    <w:rsid w:val="00835E1B"/>
    <w:rsid w:val="00835E8F"/>
    <w:rsid w:val="00835F16"/>
    <w:rsid w:val="00835F1A"/>
    <w:rsid w:val="00835F43"/>
    <w:rsid w:val="00835F8E"/>
    <w:rsid w:val="00835F9F"/>
    <w:rsid w:val="00835FC6"/>
    <w:rsid w:val="0083608E"/>
    <w:rsid w:val="00836128"/>
    <w:rsid w:val="00836166"/>
    <w:rsid w:val="0083616C"/>
    <w:rsid w:val="008361F3"/>
    <w:rsid w:val="008364BB"/>
    <w:rsid w:val="0083650A"/>
    <w:rsid w:val="0083650E"/>
    <w:rsid w:val="0083664E"/>
    <w:rsid w:val="00836680"/>
    <w:rsid w:val="00836744"/>
    <w:rsid w:val="0083685B"/>
    <w:rsid w:val="008368BF"/>
    <w:rsid w:val="00836955"/>
    <w:rsid w:val="008369CA"/>
    <w:rsid w:val="008369DB"/>
    <w:rsid w:val="008369E9"/>
    <w:rsid w:val="00836A7D"/>
    <w:rsid w:val="00836B45"/>
    <w:rsid w:val="00836CC3"/>
    <w:rsid w:val="00836CCD"/>
    <w:rsid w:val="00836D13"/>
    <w:rsid w:val="00836DE6"/>
    <w:rsid w:val="00836E02"/>
    <w:rsid w:val="00836FAD"/>
    <w:rsid w:val="00837025"/>
    <w:rsid w:val="008370E0"/>
    <w:rsid w:val="0083711D"/>
    <w:rsid w:val="0083717F"/>
    <w:rsid w:val="00837223"/>
    <w:rsid w:val="008372B0"/>
    <w:rsid w:val="008372F0"/>
    <w:rsid w:val="0083734B"/>
    <w:rsid w:val="0083736A"/>
    <w:rsid w:val="0083737D"/>
    <w:rsid w:val="00837382"/>
    <w:rsid w:val="00837392"/>
    <w:rsid w:val="00837393"/>
    <w:rsid w:val="0083739B"/>
    <w:rsid w:val="00837535"/>
    <w:rsid w:val="008375DA"/>
    <w:rsid w:val="008376AE"/>
    <w:rsid w:val="008376EC"/>
    <w:rsid w:val="00837714"/>
    <w:rsid w:val="008377FC"/>
    <w:rsid w:val="0083781B"/>
    <w:rsid w:val="00837856"/>
    <w:rsid w:val="008378DF"/>
    <w:rsid w:val="00837969"/>
    <w:rsid w:val="00837A5F"/>
    <w:rsid w:val="00837A67"/>
    <w:rsid w:val="00837A76"/>
    <w:rsid w:val="00837AD6"/>
    <w:rsid w:val="00837B5F"/>
    <w:rsid w:val="00837B82"/>
    <w:rsid w:val="00837BDF"/>
    <w:rsid w:val="00837C47"/>
    <w:rsid w:val="00837C5F"/>
    <w:rsid w:val="00837C77"/>
    <w:rsid w:val="00837DA0"/>
    <w:rsid w:val="00837E06"/>
    <w:rsid w:val="00837EA7"/>
    <w:rsid w:val="00837EE2"/>
    <w:rsid w:val="00837F29"/>
    <w:rsid w:val="0084001B"/>
    <w:rsid w:val="00840111"/>
    <w:rsid w:val="008401FE"/>
    <w:rsid w:val="00840256"/>
    <w:rsid w:val="0084045D"/>
    <w:rsid w:val="008404F8"/>
    <w:rsid w:val="00840681"/>
    <w:rsid w:val="00840726"/>
    <w:rsid w:val="008407DB"/>
    <w:rsid w:val="008407F0"/>
    <w:rsid w:val="00840951"/>
    <w:rsid w:val="00840981"/>
    <w:rsid w:val="00840A46"/>
    <w:rsid w:val="00840A99"/>
    <w:rsid w:val="00840B1C"/>
    <w:rsid w:val="00840B45"/>
    <w:rsid w:val="00840C4D"/>
    <w:rsid w:val="00840CCF"/>
    <w:rsid w:val="00840CEA"/>
    <w:rsid w:val="00840D3D"/>
    <w:rsid w:val="00840DDE"/>
    <w:rsid w:val="00840E0A"/>
    <w:rsid w:val="00840E79"/>
    <w:rsid w:val="00840E83"/>
    <w:rsid w:val="00840EF4"/>
    <w:rsid w:val="00840F27"/>
    <w:rsid w:val="00840F2E"/>
    <w:rsid w:val="00840F7A"/>
    <w:rsid w:val="00840FDB"/>
    <w:rsid w:val="00841008"/>
    <w:rsid w:val="00841011"/>
    <w:rsid w:val="0084101A"/>
    <w:rsid w:val="008410E3"/>
    <w:rsid w:val="00841286"/>
    <w:rsid w:val="008412E3"/>
    <w:rsid w:val="008412E5"/>
    <w:rsid w:val="00841418"/>
    <w:rsid w:val="0084146E"/>
    <w:rsid w:val="008414E8"/>
    <w:rsid w:val="008415BE"/>
    <w:rsid w:val="0084164E"/>
    <w:rsid w:val="00841695"/>
    <w:rsid w:val="008416EC"/>
    <w:rsid w:val="0084180C"/>
    <w:rsid w:val="0084181E"/>
    <w:rsid w:val="00841891"/>
    <w:rsid w:val="008419CA"/>
    <w:rsid w:val="008419CB"/>
    <w:rsid w:val="00841AD1"/>
    <w:rsid w:val="00841B0F"/>
    <w:rsid w:val="00841B46"/>
    <w:rsid w:val="00841BBF"/>
    <w:rsid w:val="00841C10"/>
    <w:rsid w:val="00841C28"/>
    <w:rsid w:val="00841CB3"/>
    <w:rsid w:val="00841D7E"/>
    <w:rsid w:val="00841EA1"/>
    <w:rsid w:val="0084206F"/>
    <w:rsid w:val="0084207B"/>
    <w:rsid w:val="008420FD"/>
    <w:rsid w:val="0084227F"/>
    <w:rsid w:val="0084229B"/>
    <w:rsid w:val="008422E6"/>
    <w:rsid w:val="00842315"/>
    <w:rsid w:val="0084237C"/>
    <w:rsid w:val="0084237D"/>
    <w:rsid w:val="008423A1"/>
    <w:rsid w:val="008423FB"/>
    <w:rsid w:val="00842417"/>
    <w:rsid w:val="0084244F"/>
    <w:rsid w:val="008425C0"/>
    <w:rsid w:val="008425C7"/>
    <w:rsid w:val="008426C6"/>
    <w:rsid w:val="008426C7"/>
    <w:rsid w:val="00842717"/>
    <w:rsid w:val="0084278B"/>
    <w:rsid w:val="008427B0"/>
    <w:rsid w:val="008429E2"/>
    <w:rsid w:val="00842A1D"/>
    <w:rsid w:val="00842A2B"/>
    <w:rsid w:val="00842B04"/>
    <w:rsid w:val="00842B2D"/>
    <w:rsid w:val="00842B38"/>
    <w:rsid w:val="00842C18"/>
    <w:rsid w:val="00842DC8"/>
    <w:rsid w:val="00842EB1"/>
    <w:rsid w:val="00842EFA"/>
    <w:rsid w:val="00842F88"/>
    <w:rsid w:val="00842FBB"/>
    <w:rsid w:val="00843038"/>
    <w:rsid w:val="008430CF"/>
    <w:rsid w:val="00843142"/>
    <w:rsid w:val="0084327E"/>
    <w:rsid w:val="008432F5"/>
    <w:rsid w:val="008433E4"/>
    <w:rsid w:val="00843490"/>
    <w:rsid w:val="00843532"/>
    <w:rsid w:val="00843535"/>
    <w:rsid w:val="008435C1"/>
    <w:rsid w:val="008435D5"/>
    <w:rsid w:val="00843640"/>
    <w:rsid w:val="00843722"/>
    <w:rsid w:val="00843731"/>
    <w:rsid w:val="0084374A"/>
    <w:rsid w:val="00843832"/>
    <w:rsid w:val="00843923"/>
    <w:rsid w:val="00843945"/>
    <w:rsid w:val="00843AEE"/>
    <w:rsid w:val="00843B13"/>
    <w:rsid w:val="00843C02"/>
    <w:rsid w:val="00843CC2"/>
    <w:rsid w:val="00843DF2"/>
    <w:rsid w:val="00843E01"/>
    <w:rsid w:val="00843F8C"/>
    <w:rsid w:val="00843FCC"/>
    <w:rsid w:val="00844018"/>
    <w:rsid w:val="00844026"/>
    <w:rsid w:val="0084403A"/>
    <w:rsid w:val="00844097"/>
    <w:rsid w:val="00844159"/>
    <w:rsid w:val="008441A7"/>
    <w:rsid w:val="008441AE"/>
    <w:rsid w:val="008441D1"/>
    <w:rsid w:val="00844249"/>
    <w:rsid w:val="008442AB"/>
    <w:rsid w:val="008443AE"/>
    <w:rsid w:val="008444B4"/>
    <w:rsid w:val="008446E2"/>
    <w:rsid w:val="00844713"/>
    <w:rsid w:val="008447CE"/>
    <w:rsid w:val="008448D7"/>
    <w:rsid w:val="00844907"/>
    <w:rsid w:val="008449B8"/>
    <w:rsid w:val="008449C5"/>
    <w:rsid w:val="00844A2A"/>
    <w:rsid w:val="00844A2C"/>
    <w:rsid w:val="00844A71"/>
    <w:rsid w:val="00844B25"/>
    <w:rsid w:val="00844B62"/>
    <w:rsid w:val="00844B72"/>
    <w:rsid w:val="00844B93"/>
    <w:rsid w:val="00844BE5"/>
    <w:rsid w:val="00844C7D"/>
    <w:rsid w:val="00844CA5"/>
    <w:rsid w:val="00844D24"/>
    <w:rsid w:val="00844D48"/>
    <w:rsid w:val="00844E47"/>
    <w:rsid w:val="00844ED0"/>
    <w:rsid w:val="00844ED5"/>
    <w:rsid w:val="00844FD9"/>
    <w:rsid w:val="0084508C"/>
    <w:rsid w:val="0084508F"/>
    <w:rsid w:val="008451D5"/>
    <w:rsid w:val="0084521B"/>
    <w:rsid w:val="00845351"/>
    <w:rsid w:val="00845362"/>
    <w:rsid w:val="008453BE"/>
    <w:rsid w:val="00845400"/>
    <w:rsid w:val="008454EC"/>
    <w:rsid w:val="0084551F"/>
    <w:rsid w:val="0084553C"/>
    <w:rsid w:val="00845552"/>
    <w:rsid w:val="008455B8"/>
    <w:rsid w:val="008455BA"/>
    <w:rsid w:val="00845700"/>
    <w:rsid w:val="0084574E"/>
    <w:rsid w:val="008457D9"/>
    <w:rsid w:val="0084580F"/>
    <w:rsid w:val="008458CE"/>
    <w:rsid w:val="00845951"/>
    <w:rsid w:val="008459B8"/>
    <w:rsid w:val="00845A2B"/>
    <w:rsid w:val="00845A5D"/>
    <w:rsid w:val="00845AA6"/>
    <w:rsid w:val="00845ABB"/>
    <w:rsid w:val="00845AF3"/>
    <w:rsid w:val="00845B1F"/>
    <w:rsid w:val="00845B5F"/>
    <w:rsid w:val="00845B6A"/>
    <w:rsid w:val="00845BDA"/>
    <w:rsid w:val="00845CC0"/>
    <w:rsid w:val="00845D6A"/>
    <w:rsid w:val="00845E32"/>
    <w:rsid w:val="00845E86"/>
    <w:rsid w:val="00845EC8"/>
    <w:rsid w:val="00845ED6"/>
    <w:rsid w:val="00845F40"/>
    <w:rsid w:val="00845FF1"/>
    <w:rsid w:val="00846001"/>
    <w:rsid w:val="008460C3"/>
    <w:rsid w:val="00846108"/>
    <w:rsid w:val="00846158"/>
    <w:rsid w:val="00846195"/>
    <w:rsid w:val="00846223"/>
    <w:rsid w:val="008462D4"/>
    <w:rsid w:val="0084632C"/>
    <w:rsid w:val="00846499"/>
    <w:rsid w:val="008464AC"/>
    <w:rsid w:val="008464E7"/>
    <w:rsid w:val="0084655F"/>
    <w:rsid w:val="0084668C"/>
    <w:rsid w:val="0084668E"/>
    <w:rsid w:val="00846694"/>
    <w:rsid w:val="008466AB"/>
    <w:rsid w:val="00846769"/>
    <w:rsid w:val="0084683D"/>
    <w:rsid w:val="00846957"/>
    <w:rsid w:val="00846AEC"/>
    <w:rsid w:val="00846C6A"/>
    <w:rsid w:val="00846C77"/>
    <w:rsid w:val="00846CD7"/>
    <w:rsid w:val="00846D2B"/>
    <w:rsid w:val="00846D66"/>
    <w:rsid w:val="00846D70"/>
    <w:rsid w:val="00846DB0"/>
    <w:rsid w:val="00846DF6"/>
    <w:rsid w:val="00846E11"/>
    <w:rsid w:val="00846E25"/>
    <w:rsid w:val="00846E62"/>
    <w:rsid w:val="00846EB5"/>
    <w:rsid w:val="00846EBF"/>
    <w:rsid w:val="00846F3F"/>
    <w:rsid w:val="00846F8B"/>
    <w:rsid w:val="00846FBF"/>
    <w:rsid w:val="00846FC4"/>
    <w:rsid w:val="00846FF1"/>
    <w:rsid w:val="0084707E"/>
    <w:rsid w:val="00847141"/>
    <w:rsid w:val="0084717A"/>
    <w:rsid w:val="008471FA"/>
    <w:rsid w:val="00847399"/>
    <w:rsid w:val="00847518"/>
    <w:rsid w:val="00847550"/>
    <w:rsid w:val="00847578"/>
    <w:rsid w:val="008475B9"/>
    <w:rsid w:val="008475FF"/>
    <w:rsid w:val="00847628"/>
    <w:rsid w:val="008476CD"/>
    <w:rsid w:val="008476E5"/>
    <w:rsid w:val="00847763"/>
    <w:rsid w:val="00847833"/>
    <w:rsid w:val="008478EB"/>
    <w:rsid w:val="0084797D"/>
    <w:rsid w:val="008479A5"/>
    <w:rsid w:val="00847A43"/>
    <w:rsid w:val="00847A5C"/>
    <w:rsid w:val="00847B02"/>
    <w:rsid w:val="00847C9E"/>
    <w:rsid w:val="00847CA3"/>
    <w:rsid w:val="00847D4F"/>
    <w:rsid w:val="00847E1B"/>
    <w:rsid w:val="00847E25"/>
    <w:rsid w:val="00847E90"/>
    <w:rsid w:val="0085000D"/>
    <w:rsid w:val="0085002C"/>
    <w:rsid w:val="00850042"/>
    <w:rsid w:val="00850065"/>
    <w:rsid w:val="008500E1"/>
    <w:rsid w:val="00850103"/>
    <w:rsid w:val="00850178"/>
    <w:rsid w:val="00850233"/>
    <w:rsid w:val="0085047B"/>
    <w:rsid w:val="0085051C"/>
    <w:rsid w:val="008505FA"/>
    <w:rsid w:val="00850630"/>
    <w:rsid w:val="0085067E"/>
    <w:rsid w:val="00850713"/>
    <w:rsid w:val="00850758"/>
    <w:rsid w:val="00850762"/>
    <w:rsid w:val="00850809"/>
    <w:rsid w:val="0085087C"/>
    <w:rsid w:val="008508D8"/>
    <w:rsid w:val="0085090B"/>
    <w:rsid w:val="008509B6"/>
    <w:rsid w:val="00850A42"/>
    <w:rsid w:val="00850A9B"/>
    <w:rsid w:val="00850D10"/>
    <w:rsid w:val="00850D31"/>
    <w:rsid w:val="00850E96"/>
    <w:rsid w:val="00850ED9"/>
    <w:rsid w:val="00850F6E"/>
    <w:rsid w:val="00850FF7"/>
    <w:rsid w:val="00850FFF"/>
    <w:rsid w:val="0085109C"/>
    <w:rsid w:val="008510EF"/>
    <w:rsid w:val="0085114D"/>
    <w:rsid w:val="00851163"/>
    <w:rsid w:val="00851186"/>
    <w:rsid w:val="008511BF"/>
    <w:rsid w:val="00851250"/>
    <w:rsid w:val="0085136A"/>
    <w:rsid w:val="008513B2"/>
    <w:rsid w:val="008513B4"/>
    <w:rsid w:val="0085142B"/>
    <w:rsid w:val="008514EA"/>
    <w:rsid w:val="008515AD"/>
    <w:rsid w:val="008515E6"/>
    <w:rsid w:val="00851630"/>
    <w:rsid w:val="00851654"/>
    <w:rsid w:val="0085166E"/>
    <w:rsid w:val="008516C3"/>
    <w:rsid w:val="008517D2"/>
    <w:rsid w:val="00851837"/>
    <w:rsid w:val="008519A1"/>
    <w:rsid w:val="00851A41"/>
    <w:rsid w:val="00851C0A"/>
    <w:rsid w:val="00851C19"/>
    <w:rsid w:val="00851D10"/>
    <w:rsid w:val="00851EF0"/>
    <w:rsid w:val="00851FB0"/>
    <w:rsid w:val="00851FC1"/>
    <w:rsid w:val="00851FCD"/>
    <w:rsid w:val="00851FF3"/>
    <w:rsid w:val="00852171"/>
    <w:rsid w:val="0085219A"/>
    <w:rsid w:val="008521B5"/>
    <w:rsid w:val="008521D8"/>
    <w:rsid w:val="008522FC"/>
    <w:rsid w:val="00852567"/>
    <w:rsid w:val="0085271A"/>
    <w:rsid w:val="008527D1"/>
    <w:rsid w:val="008527DF"/>
    <w:rsid w:val="0085285F"/>
    <w:rsid w:val="0085295E"/>
    <w:rsid w:val="008529CD"/>
    <w:rsid w:val="00852B09"/>
    <w:rsid w:val="00852BA2"/>
    <w:rsid w:val="00852BF4"/>
    <w:rsid w:val="00852D80"/>
    <w:rsid w:val="00852DCD"/>
    <w:rsid w:val="00852E5D"/>
    <w:rsid w:val="00852E7C"/>
    <w:rsid w:val="00852EDC"/>
    <w:rsid w:val="00852EE7"/>
    <w:rsid w:val="00852F99"/>
    <w:rsid w:val="008530B5"/>
    <w:rsid w:val="008531AF"/>
    <w:rsid w:val="0085322A"/>
    <w:rsid w:val="00853254"/>
    <w:rsid w:val="00853273"/>
    <w:rsid w:val="0085327B"/>
    <w:rsid w:val="00853349"/>
    <w:rsid w:val="00853390"/>
    <w:rsid w:val="008534B7"/>
    <w:rsid w:val="008534E9"/>
    <w:rsid w:val="00853573"/>
    <w:rsid w:val="00853664"/>
    <w:rsid w:val="00853669"/>
    <w:rsid w:val="00853894"/>
    <w:rsid w:val="008538CF"/>
    <w:rsid w:val="008538EF"/>
    <w:rsid w:val="00853960"/>
    <w:rsid w:val="008539EA"/>
    <w:rsid w:val="00853A10"/>
    <w:rsid w:val="00853A5D"/>
    <w:rsid w:val="00853A6C"/>
    <w:rsid w:val="00853AA1"/>
    <w:rsid w:val="00853B8F"/>
    <w:rsid w:val="00853C52"/>
    <w:rsid w:val="00853C98"/>
    <w:rsid w:val="00853CFC"/>
    <w:rsid w:val="00853DD1"/>
    <w:rsid w:val="00853EEF"/>
    <w:rsid w:val="00853EF0"/>
    <w:rsid w:val="00853FE1"/>
    <w:rsid w:val="00854052"/>
    <w:rsid w:val="00854071"/>
    <w:rsid w:val="00854112"/>
    <w:rsid w:val="008541A9"/>
    <w:rsid w:val="0085423A"/>
    <w:rsid w:val="008543B3"/>
    <w:rsid w:val="008543DF"/>
    <w:rsid w:val="0085445C"/>
    <w:rsid w:val="00854472"/>
    <w:rsid w:val="0085455F"/>
    <w:rsid w:val="0085456C"/>
    <w:rsid w:val="008546C6"/>
    <w:rsid w:val="008547DF"/>
    <w:rsid w:val="00854854"/>
    <w:rsid w:val="008548D5"/>
    <w:rsid w:val="008548DF"/>
    <w:rsid w:val="0085494B"/>
    <w:rsid w:val="00854960"/>
    <w:rsid w:val="00854972"/>
    <w:rsid w:val="00854AF9"/>
    <w:rsid w:val="00854BB0"/>
    <w:rsid w:val="00854D32"/>
    <w:rsid w:val="00854D57"/>
    <w:rsid w:val="00854D9A"/>
    <w:rsid w:val="00854F18"/>
    <w:rsid w:val="00854FEC"/>
    <w:rsid w:val="00855025"/>
    <w:rsid w:val="00855111"/>
    <w:rsid w:val="00855118"/>
    <w:rsid w:val="00855147"/>
    <w:rsid w:val="008551C4"/>
    <w:rsid w:val="008551CA"/>
    <w:rsid w:val="008552DF"/>
    <w:rsid w:val="0085530F"/>
    <w:rsid w:val="00855330"/>
    <w:rsid w:val="00855358"/>
    <w:rsid w:val="0085539D"/>
    <w:rsid w:val="00855416"/>
    <w:rsid w:val="0085543D"/>
    <w:rsid w:val="0085571B"/>
    <w:rsid w:val="00855755"/>
    <w:rsid w:val="0085575B"/>
    <w:rsid w:val="00855891"/>
    <w:rsid w:val="008558A6"/>
    <w:rsid w:val="008558B6"/>
    <w:rsid w:val="008558BB"/>
    <w:rsid w:val="008558F0"/>
    <w:rsid w:val="00855987"/>
    <w:rsid w:val="008559A9"/>
    <w:rsid w:val="008559ED"/>
    <w:rsid w:val="00855BC4"/>
    <w:rsid w:val="00855BEF"/>
    <w:rsid w:val="00855CC7"/>
    <w:rsid w:val="00855CEF"/>
    <w:rsid w:val="00855D03"/>
    <w:rsid w:val="00855D46"/>
    <w:rsid w:val="00855F14"/>
    <w:rsid w:val="00855F1C"/>
    <w:rsid w:val="00856061"/>
    <w:rsid w:val="00856065"/>
    <w:rsid w:val="00856072"/>
    <w:rsid w:val="008561DB"/>
    <w:rsid w:val="008561E0"/>
    <w:rsid w:val="00856254"/>
    <w:rsid w:val="008562C6"/>
    <w:rsid w:val="0085633E"/>
    <w:rsid w:val="008563C0"/>
    <w:rsid w:val="008563CB"/>
    <w:rsid w:val="0085641E"/>
    <w:rsid w:val="00856490"/>
    <w:rsid w:val="008564D5"/>
    <w:rsid w:val="0085651D"/>
    <w:rsid w:val="0085655B"/>
    <w:rsid w:val="00856640"/>
    <w:rsid w:val="0085668B"/>
    <w:rsid w:val="0085668D"/>
    <w:rsid w:val="008566A7"/>
    <w:rsid w:val="00856769"/>
    <w:rsid w:val="00856833"/>
    <w:rsid w:val="008568A7"/>
    <w:rsid w:val="008568B5"/>
    <w:rsid w:val="00856941"/>
    <w:rsid w:val="0085697F"/>
    <w:rsid w:val="008569F8"/>
    <w:rsid w:val="00856A30"/>
    <w:rsid w:val="00856AD9"/>
    <w:rsid w:val="00856B30"/>
    <w:rsid w:val="00856B3D"/>
    <w:rsid w:val="00856B85"/>
    <w:rsid w:val="00856C05"/>
    <w:rsid w:val="00856C32"/>
    <w:rsid w:val="00856C7A"/>
    <w:rsid w:val="00856CA1"/>
    <w:rsid w:val="00856CD1"/>
    <w:rsid w:val="00856D44"/>
    <w:rsid w:val="00856D92"/>
    <w:rsid w:val="00856DA2"/>
    <w:rsid w:val="00856DD4"/>
    <w:rsid w:val="00856E85"/>
    <w:rsid w:val="00856FE0"/>
    <w:rsid w:val="00856FF7"/>
    <w:rsid w:val="00857114"/>
    <w:rsid w:val="0085713B"/>
    <w:rsid w:val="0085716A"/>
    <w:rsid w:val="00857195"/>
    <w:rsid w:val="008571AC"/>
    <w:rsid w:val="00857245"/>
    <w:rsid w:val="00857360"/>
    <w:rsid w:val="0085748B"/>
    <w:rsid w:val="008574BF"/>
    <w:rsid w:val="00857623"/>
    <w:rsid w:val="00857657"/>
    <w:rsid w:val="0085770A"/>
    <w:rsid w:val="0085779E"/>
    <w:rsid w:val="008577A3"/>
    <w:rsid w:val="008577BA"/>
    <w:rsid w:val="00857812"/>
    <w:rsid w:val="00857837"/>
    <w:rsid w:val="00857846"/>
    <w:rsid w:val="00857984"/>
    <w:rsid w:val="008579A2"/>
    <w:rsid w:val="00857A5A"/>
    <w:rsid w:val="00857B0C"/>
    <w:rsid w:val="00857BA4"/>
    <w:rsid w:val="00857CF2"/>
    <w:rsid w:val="00857DE5"/>
    <w:rsid w:val="00857E1A"/>
    <w:rsid w:val="00857E8C"/>
    <w:rsid w:val="00857F10"/>
    <w:rsid w:val="00857F94"/>
    <w:rsid w:val="00857FC5"/>
    <w:rsid w:val="00857FF5"/>
    <w:rsid w:val="00860008"/>
    <w:rsid w:val="0086000D"/>
    <w:rsid w:val="0086006E"/>
    <w:rsid w:val="008600D6"/>
    <w:rsid w:val="00860124"/>
    <w:rsid w:val="00860177"/>
    <w:rsid w:val="00860189"/>
    <w:rsid w:val="0086021F"/>
    <w:rsid w:val="00860274"/>
    <w:rsid w:val="00860339"/>
    <w:rsid w:val="00860410"/>
    <w:rsid w:val="0086042F"/>
    <w:rsid w:val="00860434"/>
    <w:rsid w:val="00860490"/>
    <w:rsid w:val="008604B9"/>
    <w:rsid w:val="008604CE"/>
    <w:rsid w:val="00860535"/>
    <w:rsid w:val="0086053B"/>
    <w:rsid w:val="00860690"/>
    <w:rsid w:val="00860694"/>
    <w:rsid w:val="008606C7"/>
    <w:rsid w:val="00860759"/>
    <w:rsid w:val="008607EC"/>
    <w:rsid w:val="0086081D"/>
    <w:rsid w:val="008608DC"/>
    <w:rsid w:val="00860955"/>
    <w:rsid w:val="00860A1C"/>
    <w:rsid w:val="00860AD2"/>
    <w:rsid w:val="00860B61"/>
    <w:rsid w:val="00860B8F"/>
    <w:rsid w:val="00860B92"/>
    <w:rsid w:val="00860C12"/>
    <w:rsid w:val="00860C23"/>
    <w:rsid w:val="00860C75"/>
    <w:rsid w:val="00860C85"/>
    <w:rsid w:val="00860CF1"/>
    <w:rsid w:val="00860DB0"/>
    <w:rsid w:val="00860EB2"/>
    <w:rsid w:val="00860EB8"/>
    <w:rsid w:val="00860EE3"/>
    <w:rsid w:val="00860EF5"/>
    <w:rsid w:val="00860F9C"/>
    <w:rsid w:val="00860FCF"/>
    <w:rsid w:val="00861028"/>
    <w:rsid w:val="0086102E"/>
    <w:rsid w:val="0086103F"/>
    <w:rsid w:val="00861156"/>
    <w:rsid w:val="00861188"/>
    <w:rsid w:val="0086119B"/>
    <w:rsid w:val="008611D6"/>
    <w:rsid w:val="008611E4"/>
    <w:rsid w:val="00861207"/>
    <w:rsid w:val="0086121F"/>
    <w:rsid w:val="00861264"/>
    <w:rsid w:val="00861277"/>
    <w:rsid w:val="00861337"/>
    <w:rsid w:val="00861525"/>
    <w:rsid w:val="00861541"/>
    <w:rsid w:val="00861545"/>
    <w:rsid w:val="00861549"/>
    <w:rsid w:val="008615E2"/>
    <w:rsid w:val="008616C2"/>
    <w:rsid w:val="008616E8"/>
    <w:rsid w:val="0086171E"/>
    <w:rsid w:val="00861745"/>
    <w:rsid w:val="0086186C"/>
    <w:rsid w:val="0086193C"/>
    <w:rsid w:val="00861950"/>
    <w:rsid w:val="00861962"/>
    <w:rsid w:val="008619D4"/>
    <w:rsid w:val="00861A05"/>
    <w:rsid w:val="00861A57"/>
    <w:rsid w:val="00861A7B"/>
    <w:rsid w:val="00861AC8"/>
    <w:rsid w:val="00861B30"/>
    <w:rsid w:val="00861CDD"/>
    <w:rsid w:val="00861D10"/>
    <w:rsid w:val="00861D76"/>
    <w:rsid w:val="00861E3C"/>
    <w:rsid w:val="00861EF7"/>
    <w:rsid w:val="00861F33"/>
    <w:rsid w:val="00861F77"/>
    <w:rsid w:val="008620AC"/>
    <w:rsid w:val="0086211D"/>
    <w:rsid w:val="00862178"/>
    <w:rsid w:val="008621E8"/>
    <w:rsid w:val="00862281"/>
    <w:rsid w:val="00862358"/>
    <w:rsid w:val="00862380"/>
    <w:rsid w:val="00862397"/>
    <w:rsid w:val="008623B0"/>
    <w:rsid w:val="008624DA"/>
    <w:rsid w:val="008624DF"/>
    <w:rsid w:val="008625C2"/>
    <w:rsid w:val="00862611"/>
    <w:rsid w:val="00862657"/>
    <w:rsid w:val="0086278A"/>
    <w:rsid w:val="008627A1"/>
    <w:rsid w:val="008627C7"/>
    <w:rsid w:val="008627ED"/>
    <w:rsid w:val="00862865"/>
    <w:rsid w:val="008628A5"/>
    <w:rsid w:val="008628C5"/>
    <w:rsid w:val="00862A27"/>
    <w:rsid w:val="00862A77"/>
    <w:rsid w:val="00862B4D"/>
    <w:rsid w:val="00862B90"/>
    <w:rsid w:val="00862BB5"/>
    <w:rsid w:val="00862BCA"/>
    <w:rsid w:val="00862C00"/>
    <w:rsid w:val="00862DB5"/>
    <w:rsid w:val="00862DC3"/>
    <w:rsid w:val="00862E2D"/>
    <w:rsid w:val="00862E40"/>
    <w:rsid w:val="00862F4E"/>
    <w:rsid w:val="00862FE3"/>
    <w:rsid w:val="00863153"/>
    <w:rsid w:val="00863176"/>
    <w:rsid w:val="008631A5"/>
    <w:rsid w:val="008631AB"/>
    <w:rsid w:val="00863223"/>
    <w:rsid w:val="0086340B"/>
    <w:rsid w:val="0086347B"/>
    <w:rsid w:val="0086347E"/>
    <w:rsid w:val="008634A4"/>
    <w:rsid w:val="008634A5"/>
    <w:rsid w:val="008634D1"/>
    <w:rsid w:val="008634EE"/>
    <w:rsid w:val="008635A9"/>
    <w:rsid w:val="008635B9"/>
    <w:rsid w:val="00863684"/>
    <w:rsid w:val="008636BE"/>
    <w:rsid w:val="008636DB"/>
    <w:rsid w:val="00863743"/>
    <w:rsid w:val="008637AA"/>
    <w:rsid w:val="008638B0"/>
    <w:rsid w:val="00863912"/>
    <w:rsid w:val="008639A6"/>
    <w:rsid w:val="008639D8"/>
    <w:rsid w:val="008639E8"/>
    <w:rsid w:val="00863A87"/>
    <w:rsid w:val="00863B05"/>
    <w:rsid w:val="00863B95"/>
    <w:rsid w:val="00863BAD"/>
    <w:rsid w:val="00863BDB"/>
    <w:rsid w:val="00863C17"/>
    <w:rsid w:val="00863CB5"/>
    <w:rsid w:val="00863D03"/>
    <w:rsid w:val="00863D06"/>
    <w:rsid w:val="00863DAC"/>
    <w:rsid w:val="00863E63"/>
    <w:rsid w:val="00863EA6"/>
    <w:rsid w:val="00863EFC"/>
    <w:rsid w:val="00863F9B"/>
    <w:rsid w:val="00864145"/>
    <w:rsid w:val="0086419E"/>
    <w:rsid w:val="008641B0"/>
    <w:rsid w:val="008641E0"/>
    <w:rsid w:val="00864215"/>
    <w:rsid w:val="00864272"/>
    <w:rsid w:val="00864297"/>
    <w:rsid w:val="008642F4"/>
    <w:rsid w:val="008643BD"/>
    <w:rsid w:val="0086443D"/>
    <w:rsid w:val="0086446A"/>
    <w:rsid w:val="00864611"/>
    <w:rsid w:val="008646BC"/>
    <w:rsid w:val="008647DE"/>
    <w:rsid w:val="00864855"/>
    <w:rsid w:val="00864963"/>
    <w:rsid w:val="008649E6"/>
    <w:rsid w:val="00864A7D"/>
    <w:rsid w:val="00864A83"/>
    <w:rsid w:val="00864A89"/>
    <w:rsid w:val="00864B0A"/>
    <w:rsid w:val="00864B9D"/>
    <w:rsid w:val="00864C13"/>
    <w:rsid w:val="00864C61"/>
    <w:rsid w:val="00864CB5"/>
    <w:rsid w:val="00864D53"/>
    <w:rsid w:val="00864D9E"/>
    <w:rsid w:val="00864DC0"/>
    <w:rsid w:val="00864F80"/>
    <w:rsid w:val="00864F8E"/>
    <w:rsid w:val="0086503D"/>
    <w:rsid w:val="00865053"/>
    <w:rsid w:val="008650F1"/>
    <w:rsid w:val="00865129"/>
    <w:rsid w:val="008652D5"/>
    <w:rsid w:val="008652E1"/>
    <w:rsid w:val="0086542A"/>
    <w:rsid w:val="0086545C"/>
    <w:rsid w:val="0086559E"/>
    <w:rsid w:val="0086561D"/>
    <w:rsid w:val="00865695"/>
    <w:rsid w:val="008656C2"/>
    <w:rsid w:val="00865794"/>
    <w:rsid w:val="008657F1"/>
    <w:rsid w:val="0086583A"/>
    <w:rsid w:val="00865859"/>
    <w:rsid w:val="008658AE"/>
    <w:rsid w:val="00865B4F"/>
    <w:rsid w:val="00865B98"/>
    <w:rsid w:val="00865C17"/>
    <w:rsid w:val="00865CD1"/>
    <w:rsid w:val="00865CE9"/>
    <w:rsid w:val="00865DB2"/>
    <w:rsid w:val="00865E1B"/>
    <w:rsid w:val="0086605E"/>
    <w:rsid w:val="00866270"/>
    <w:rsid w:val="00866295"/>
    <w:rsid w:val="00866357"/>
    <w:rsid w:val="0086635B"/>
    <w:rsid w:val="00866411"/>
    <w:rsid w:val="0086641C"/>
    <w:rsid w:val="008664D0"/>
    <w:rsid w:val="008664D8"/>
    <w:rsid w:val="0086652F"/>
    <w:rsid w:val="008665DA"/>
    <w:rsid w:val="008665F6"/>
    <w:rsid w:val="008666D8"/>
    <w:rsid w:val="00866726"/>
    <w:rsid w:val="0086674E"/>
    <w:rsid w:val="0086676D"/>
    <w:rsid w:val="008667B0"/>
    <w:rsid w:val="0086687B"/>
    <w:rsid w:val="00866887"/>
    <w:rsid w:val="00866899"/>
    <w:rsid w:val="0086698E"/>
    <w:rsid w:val="008669AF"/>
    <w:rsid w:val="00866A30"/>
    <w:rsid w:val="00866A7B"/>
    <w:rsid w:val="00866B47"/>
    <w:rsid w:val="00866B79"/>
    <w:rsid w:val="00866CE8"/>
    <w:rsid w:val="00866DB2"/>
    <w:rsid w:val="00866EAB"/>
    <w:rsid w:val="0086704D"/>
    <w:rsid w:val="008670BD"/>
    <w:rsid w:val="0086713C"/>
    <w:rsid w:val="008671AF"/>
    <w:rsid w:val="008671C6"/>
    <w:rsid w:val="008671DF"/>
    <w:rsid w:val="00867235"/>
    <w:rsid w:val="008672CF"/>
    <w:rsid w:val="008673AC"/>
    <w:rsid w:val="008673F2"/>
    <w:rsid w:val="0086740B"/>
    <w:rsid w:val="0086741C"/>
    <w:rsid w:val="008676A4"/>
    <w:rsid w:val="008676DF"/>
    <w:rsid w:val="008676E5"/>
    <w:rsid w:val="008676FA"/>
    <w:rsid w:val="0086772A"/>
    <w:rsid w:val="008677EA"/>
    <w:rsid w:val="00867875"/>
    <w:rsid w:val="008678D2"/>
    <w:rsid w:val="0086799B"/>
    <w:rsid w:val="008679B2"/>
    <w:rsid w:val="00867A54"/>
    <w:rsid w:val="00867A5B"/>
    <w:rsid w:val="00867B26"/>
    <w:rsid w:val="00867B3C"/>
    <w:rsid w:val="00867BCE"/>
    <w:rsid w:val="00867BD5"/>
    <w:rsid w:val="00867C31"/>
    <w:rsid w:val="00867C45"/>
    <w:rsid w:val="00867E57"/>
    <w:rsid w:val="00867EA6"/>
    <w:rsid w:val="00867F3D"/>
    <w:rsid w:val="00870052"/>
    <w:rsid w:val="0087006C"/>
    <w:rsid w:val="0087024E"/>
    <w:rsid w:val="0087026D"/>
    <w:rsid w:val="00870295"/>
    <w:rsid w:val="008702EC"/>
    <w:rsid w:val="008703B5"/>
    <w:rsid w:val="00870451"/>
    <w:rsid w:val="008704C2"/>
    <w:rsid w:val="00870518"/>
    <w:rsid w:val="0087055C"/>
    <w:rsid w:val="008705D9"/>
    <w:rsid w:val="00870747"/>
    <w:rsid w:val="0087085A"/>
    <w:rsid w:val="0087087F"/>
    <w:rsid w:val="0087096F"/>
    <w:rsid w:val="0087099E"/>
    <w:rsid w:val="008709B3"/>
    <w:rsid w:val="00870B05"/>
    <w:rsid w:val="00870BDD"/>
    <w:rsid w:val="00870C6D"/>
    <w:rsid w:val="00870C76"/>
    <w:rsid w:val="00870D4B"/>
    <w:rsid w:val="00870D58"/>
    <w:rsid w:val="00870E24"/>
    <w:rsid w:val="00870F50"/>
    <w:rsid w:val="00870FE6"/>
    <w:rsid w:val="0087104B"/>
    <w:rsid w:val="00871055"/>
    <w:rsid w:val="0087105B"/>
    <w:rsid w:val="00871069"/>
    <w:rsid w:val="008710C9"/>
    <w:rsid w:val="008710F5"/>
    <w:rsid w:val="0087114B"/>
    <w:rsid w:val="008711AA"/>
    <w:rsid w:val="008711B7"/>
    <w:rsid w:val="00871240"/>
    <w:rsid w:val="00871315"/>
    <w:rsid w:val="00871354"/>
    <w:rsid w:val="00871384"/>
    <w:rsid w:val="008713CF"/>
    <w:rsid w:val="00871439"/>
    <w:rsid w:val="008714B6"/>
    <w:rsid w:val="008714C1"/>
    <w:rsid w:val="008715FE"/>
    <w:rsid w:val="008716DE"/>
    <w:rsid w:val="00871731"/>
    <w:rsid w:val="008717BA"/>
    <w:rsid w:val="008717C0"/>
    <w:rsid w:val="0087180E"/>
    <w:rsid w:val="00871815"/>
    <w:rsid w:val="00871862"/>
    <w:rsid w:val="00871901"/>
    <w:rsid w:val="0087197D"/>
    <w:rsid w:val="00871A50"/>
    <w:rsid w:val="00871A9A"/>
    <w:rsid w:val="00871AD5"/>
    <w:rsid w:val="00871B8A"/>
    <w:rsid w:val="00871B94"/>
    <w:rsid w:val="00871C00"/>
    <w:rsid w:val="00871CDF"/>
    <w:rsid w:val="00871D03"/>
    <w:rsid w:val="00871D57"/>
    <w:rsid w:val="00871D61"/>
    <w:rsid w:val="00871D86"/>
    <w:rsid w:val="00871E62"/>
    <w:rsid w:val="00871EB7"/>
    <w:rsid w:val="00871F84"/>
    <w:rsid w:val="00871FA6"/>
    <w:rsid w:val="00872101"/>
    <w:rsid w:val="00872135"/>
    <w:rsid w:val="008721A4"/>
    <w:rsid w:val="00872274"/>
    <w:rsid w:val="008723AB"/>
    <w:rsid w:val="008724D8"/>
    <w:rsid w:val="008725E7"/>
    <w:rsid w:val="00872623"/>
    <w:rsid w:val="0087262D"/>
    <w:rsid w:val="008726D7"/>
    <w:rsid w:val="0087271F"/>
    <w:rsid w:val="0087275B"/>
    <w:rsid w:val="008727BB"/>
    <w:rsid w:val="008727E1"/>
    <w:rsid w:val="008727F1"/>
    <w:rsid w:val="008727FE"/>
    <w:rsid w:val="0087297B"/>
    <w:rsid w:val="0087297D"/>
    <w:rsid w:val="00872995"/>
    <w:rsid w:val="0087299D"/>
    <w:rsid w:val="008729A1"/>
    <w:rsid w:val="00872B4E"/>
    <w:rsid w:val="00872CA2"/>
    <w:rsid w:val="00872CD0"/>
    <w:rsid w:val="00872CEC"/>
    <w:rsid w:val="00872D98"/>
    <w:rsid w:val="00872DD0"/>
    <w:rsid w:val="00872E20"/>
    <w:rsid w:val="00872ECC"/>
    <w:rsid w:val="00872FF7"/>
    <w:rsid w:val="00873052"/>
    <w:rsid w:val="00873068"/>
    <w:rsid w:val="008730BA"/>
    <w:rsid w:val="00873160"/>
    <w:rsid w:val="008731B4"/>
    <w:rsid w:val="008731E2"/>
    <w:rsid w:val="00873273"/>
    <w:rsid w:val="00873305"/>
    <w:rsid w:val="00873364"/>
    <w:rsid w:val="00873421"/>
    <w:rsid w:val="008734AE"/>
    <w:rsid w:val="008734FB"/>
    <w:rsid w:val="0087356C"/>
    <w:rsid w:val="008737D4"/>
    <w:rsid w:val="008737D6"/>
    <w:rsid w:val="0087382D"/>
    <w:rsid w:val="00873830"/>
    <w:rsid w:val="0087384F"/>
    <w:rsid w:val="00873A19"/>
    <w:rsid w:val="00873A1E"/>
    <w:rsid w:val="00873A8C"/>
    <w:rsid w:val="00873A99"/>
    <w:rsid w:val="00873B05"/>
    <w:rsid w:val="00873B31"/>
    <w:rsid w:val="00873B47"/>
    <w:rsid w:val="00873BE5"/>
    <w:rsid w:val="00873E1C"/>
    <w:rsid w:val="00873E4E"/>
    <w:rsid w:val="00873EC2"/>
    <w:rsid w:val="00873F5D"/>
    <w:rsid w:val="0087403B"/>
    <w:rsid w:val="00874152"/>
    <w:rsid w:val="0087415E"/>
    <w:rsid w:val="008742B2"/>
    <w:rsid w:val="00874303"/>
    <w:rsid w:val="0087443E"/>
    <w:rsid w:val="00874507"/>
    <w:rsid w:val="0087456C"/>
    <w:rsid w:val="008745A0"/>
    <w:rsid w:val="00874651"/>
    <w:rsid w:val="008746AA"/>
    <w:rsid w:val="008746BE"/>
    <w:rsid w:val="008746D6"/>
    <w:rsid w:val="008746FF"/>
    <w:rsid w:val="00874769"/>
    <w:rsid w:val="00874780"/>
    <w:rsid w:val="008747A1"/>
    <w:rsid w:val="00874856"/>
    <w:rsid w:val="00874918"/>
    <w:rsid w:val="00874956"/>
    <w:rsid w:val="00874AAD"/>
    <w:rsid w:val="00874AF4"/>
    <w:rsid w:val="00874AFC"/>
    <w:rsid w:val="00874B15"/>
    <w:rsid w:val="00874B3B"/>
    <w:rsid w:val="00874C5F"/>
    <w:rsid w:val="00874C7A"/>
    <w:rsid w:val="00874C8F"/>
    <w:rsid w:val="00874D0D"/>
    <w:rsid w:val="00874D8A"/>
    <w:rsid w:val="00874DBC"/>
    <w:rsid w:val="00874E48"/>
    <w:rsid w:val="00874E5B"/>
    <w:rsid w:val="0087504E"/>
    <w:rsid w:val="0087512C"/>
    <w:rsid w:val="008751A8"/>
    <w:rsid w:val="00875202"/>
    <w:rsid w:val="0087535B"/>
    <w:rsid w:val="00875388"/>
    <w:rsid w:val="008753D4"/>
    <w:rsid w:val="008754A4"/>
    <w:rsid w:val="008754DB"/>
    <w:rsid w:val="008754ED"/>
    <w:rsid w:val="00875614"/>
    <w:rsid w:val="0087566F"/>
    <w:rsid w:val="00875684"/>
    <w:rsid w:val="008756A5"/>
    <w:rsid w:val="008756AC"/>
    <w:rsid w:val="008756B0"/>
    <w:rsid w:val="00875755"/>
    <w:rsid w:val="008757FB"/>
    <w:rsid w:val="00875811"/>
    <w:rsid w:val="00875856"/>
    <w:rsid w:val="008759BE"/>
    <w:rsid w:val="00875ACF"/>
    <w:rsid w:val="00875BDD"/>
    <w:rsid w:val="00875E90"/>
    <w:rsid w:val="00875F11"/>
    <w:rsid w:val="00875F8A"/>
    <w:rsid w:val="00875FEE"/>
    <w:rsid w:val="00876057"/>
    <w:rsid w:val="00876059"/>
    <w:rsid w:val="008760B5"/>
    <w:rsid w:val="008760BC"/>
    <w:rsid w:val="008760FA"/>
    <w:rsid w:val="008761D3"/>
    <w:rsid w:val="00876236"/>
    <w:rsid w:val="00876245"/>
    <w:rsid w:val="00876265"/>
    <w:rsid w:val="00876328"/>
    <w:rsid w:val="0087637B"/>
    <w:rsid w:val="00876405"/>
    <w:rsid w:val="00876503"/>
    <w:rsid w:val="00876528"/>
    <w:rsid w:val="0087654A"/>
    <w:rsid w:val="0087656B"/>
    <w:rsid w:val="0087658E"/>
    <w:rsid w:val="008765B3"/>
    <w:rsid w:val="008765B5"/>
    <w:rsid w:val="00876621"/>
    <w:rsid w:val="00876687"/>
    <w:rsid w:val="00876711"/>
    <w:rsid w:val="0087682B"/>
    <w:rsid w:val="00876839"/>
    <w:rsid w:val="008768E5"/>
    <w:rsid w:val="008768FC"/>
    <w:rsid w:val="0087690B"/>
    <w:rsid w:val="008769A5"/>
    <w:rsid w:val="00876B35"/>
    <w:rsid w:val="00876B48"/>
    <w:rsid w:val="00876B64"/>
    <w:rsid w:val="00876B92"/>
    <w:rsid w:val="00876B96"/>
    <w:rsid w:val="00876C27"/>
    <w:rsid w:val="00876C49"/>
    <w:rsid w:val="00876CB8"/>
    <w:rsid w:val="00876CF2"/>
    <w:rsid w:val="00876E20"/>
    <w:rsid w:val="00876FCD"/>
    <w:rsid w:val="00876FD6"/>
    <w:rsid w:val="00876FE5"/>
    <w:rsid w:val="00877039"/>
    <w:rsid w:val="00877057"/>
    <w:rsid w:val="008771B5"/>
    <w:rsid w:val="00877285"/>
    <w:rsid w:val="0087731E"/>
    <w:rsid w:val="0087734D"/>
    <w:rsid w:val="008773D7"/>
    <w:rsid w:val="00877471"/>
    <w:rsid w:val="00877571"/>
    <w:rsid w:val="00877573"/>
    <w:rsid w:val="00877574"/>
    <w:rsid w:val="008775CA"/>
    <w:rsid w:val="00877648"/>
    <w:rsid w:val="0087768B"/>
    <w:rsid w:val="00877696"/>
    <w:rsid w:val="008776C2"/>
    <w:rsid w:val="008776CE"/>
    <w:rsid w:val="00877747"/>
    <w:rsid w:val="00877790"/>
    <w:rsid w:val="008777DE"/>
    <w:rsid w:val="0087782E"/>
    <w:rsid w:val="00877862"/>
    <w:rsid w:val="0087789F"/>
    <w:rsid w:val="00877AA4"/>
    <w:rsid w:val="00877AFB"/>
    <w:rsid w:val="00877C28"/>
    <w:rsid w:val="00877CB2"/>
    <w:rsid w:val="00877D85"/>
    <w:rsid w:val="00877EFA"/>
    <w:rsid w:val="00877F9C"/>
    <w:rsid w:val="00880172"/>
    <w:rsid w:val="008801D2"/>
    <w:rsid w:val="00880296"/>
    <w:rsid w:val="00880393"/>
    <w:rsid w:val="008803F4"/>
    <w:rsid w:val="00880481"/>
    <w:rsid w:val="008804FB"/>
    <w:rsid w:val="00880591"/>
    <w:rsid w:val="00880594"/>
    <w:rsid w:val="00880611"/>
    <w:rsid w:val="008806CD"/>
    <w:rsid w:val="008807BD"/>
    <w:rsid w:val="008807C4"/>
    <w:rsid w:val="008808EA"/>
    <w:rsid w:val="008809C0"/>
    <w:rsid w:val="008809DC"/>
    <w:rsid w:val="00880A18"/>
    <w:rsid w:val="00880A61"/>
    <w:rsid w:val="00880A7F"/>
    <w:rsid w:val="00880B72"/>
    <w:rsid w:val="00880B97"/>
    <w:rsid w:val="00880CA7"/>
    <w:rsid w:val="00880CF4"/>
    <w:rsid w:val="00880EF5"/>
    <w:rsid w:val="00880F1F"/>
    <w:rsid w:val="00881007"/>
    <w:rsid w:val="00881051"/>
    <w:rsid w:val="00881087"/>
    <w:rsid w:val="008810EF"/>
    <w:rsid w:val="00881131"/>
    <w:rsid w:val="00881291"/>
    <w:rsid w:val="008812D8"/>
    <w:rsid w:val="008813D3"/>
    <w:rsid w:val="008814CC"/>
    <w:rsid w:val="008815E6"/>
    <w:rsid w:val="00881846"/>
    <w:rsid w:val="00881904"/>
    <w:rsid w:val="00881913"/>
    <w:rsid w:val="00881943"/>
    <w:rsid w:val="00881984"/>
    <w:rsid w:val="00881A31"/>
    <w:rsid w:val="00881A8A"/>
    <w:rsid w:val="00881A9C"/>
    <w:rsid w:val="00881AB6"/>
    <w:rsid w:val="00881C1A"/>
    <w:rsid w:val="00881CD1"/>
    <w:rsid w:val="00881D56"/>
    <w:rsid w:val="00881D59"/>
    <w:rsid w:val="00881D91"/>
    <w:rsid w:val="00881DF8"/>
    <w:rsid w:val="00881E3F"/>
    <w:rsid w:val="00881E5B"/>
    <w:rsid w:val="00881E9A"/>
    <w:rsid w:val="00881EB6"/>
    <w:rsid w:val="00881ED6"/>
    <w:rsid w:val="00881F37"/>
    <w:rsid w:val="00881F48"/>
    <w:rsid w:val="00881FA9"/>
    <w:rsid w:val="008820DA"/>
    <w:rsid w:val="00882116"/>
    <w:rsid w:val="00882150"/>
    <w:rsid w:val="00882191"/>
    <w:rsid w:val="0088219B"/>
    <w:rsid w:val="00882321"/>
    <w:rsid w:val="008823C0"/>
    <w:rsid w:val="008824BA"/>
    <w:rsid w:val="008824E5"/>
    <w:rsid w:val="008824F7"/>
    <w:rsid w:val="00882568"/>
    <w:rsid w:val="00882640"/>
    <w:rsid w:val="00882650"/>
    <w:rsid w:val="00882658"/>
    <w:rsid w:val="00882688"/>
    <w:rsid w:val="008826D2"/>
    <w:rsid w:val="008826F9"/>
    <w:rsid w:val="008827B5"/>
    <w:rsid w:val="0088285D"/>
    <w:rsid w:val="008828CF"/>
    <w:rsid w:val="00882963"/>
    <w:rsid w:val="00882A11"/>
    <w:rsid w:val="00882B47"/>
    <w:rsid w:val="00882C36"/>
    <w:rsid w:val="00882C7C"/>
    <w:rsid w:val="00882D54"/>
    <w:rsid w:val="00882D60"/>
    <w:rsid w:val="00882E93"/>
    <w:rsid w:val="00882E9D"/>
    <w:rsid w:val="00882EE4"/>
    <w:rsid w:val="00882F6F"/>
    <w:rsid w:val="00882FC8"/>
    <w:rsid w:val="008830A1"/>
    <w:rsid w:val="0088316C"/>
    <w:rsid w:val="00883192"/>
    <w:rsid w:val="008831CC"/>
    <w:rsid w:val="008831E3"/>
    <w:rsid w:val="00883299"/>
    <w:rsid w:val="008832E8"/>
    <w:rsid w:val="0088330A"/>
    <w:rsid w:val="00883312"/>
    <w:rsid w:val="00883365"/>
    <w:rsid w:val="0088338B"/>
    <w:rsid w:val="0088343D"/>
    <w:rsid w:val="00883584"/>
    <w:rsid w:val="0088373B"/>
    <w:rsid w:val="00883786"/>
    <w:rsid w:val="008837B3"/>
    <w:rsid w:val="008837BC"/>
    <w:rsid w:val="008837C0"/>
    <w:rsid w:val="008837E4"/>
    <w:rsid w:val="0088383F"/>
    <w:rsid w:val="00883892"/>
    <w:rsid w:val="008838B4"/>
    <w:rsid w:val="00883AEF"/>
    <w:rsid w:val="00883C0A"/>
    <w:rsid w:val="00883CD7"/>
    <w:rsid w:val="00883D60"/>
    <w:rsid w:val="00884019"/>
    <w:rsid w:val="00884032"/>
    <w:rsid w:val="008840BF"/>
    <w:rsid w:val="00884210"/>
    <w:rsid w:val="00884480"/>
    <w:rsid w:val="008844A7"/>
    <w:rsid w:val="008844C7"/>
    <w:rsid w:val="008844DE"/>
    <w:rsid w:val="008844EF"/>
    <w:rsid w:val="00884504"/>
    <w:rsid w:val="008845B8"/>
    <w:rsid w:val="00884648"/>
    <w:rsid w:val="008846CD"/>
    <w:rsid w:val="00884779"/>
    <w:rsid w:val="00884780"/>
    <w:rsid w:val="008847C6"/>
    <w:rsid w:val="0088482B"/>
    <w:rsid w:val="00884911"/>
    <w:rsid w:val="008849BA"/>
    <w:rsid w:val="008849E8"/>
    <w:rsid w:val="00884A05"/>
    <w:rsid w:val="00884ADB"/>
    <w:rsid w:val="00884AE7"/>
    <w:rsid w:val="00884AFB"/>
    <w:rsid w:val="00884B7E"/>
    <w:rsid w:val="00884EFC"/>
    <w:rsid w:val="00884F21"/>
    <w:rsid w:val="0088506B"/>
    <w:rsid w:val="008850C9"/>
    <w:rsid w:val="008850E1"/>
    <w:rsid w:val="0088511C"/>
    <w:rsid w:val="00885150"/>
    <w:rsid w:val="00885155"/>
    <w:rsid w:val="00885174"/>
    <w:rsid w:val="008851A1"/>
    <w:rsid w:val="0088522B"/>
    <w:rsid w:val="008852DC"/>
    <w:rsid w:val="00885367"/>
    <w:rsid w:val="0088536E"/>
    <w:rsid w:val="00885515"/>
    <w:rsid w:val="008855A9"/>
    <w:rsid w:val="00885620"/>
    <w:rsid w:val="0088562B"/>
    <w:rsid w:val="00885771"/>
    <w:rsid w:val="00885973"/>
    <w:rsid w:val="008859AA"/>
    <w:rsid w:val="00885A87"/>
    <w:rsid w:val="00885AEA"/>
    <w:rsid w:val="00885AEC"/>
    <w:rsid w:val="00885B64"/>
    <w:rsid w:val="00885B9E"/>
    <w:rsid w:val="00885D5E"/>
    <w:rsid w:val="00885DEC"/>
    <w:rsid w:val="00885E7D"/>
    <w:rsid w:val="00885E8E"/>
    <w:rsid w:val="00885EF7"/>
    <w:rsid w:val="00885F3D"/>
    <w:rsid w:val="00885F9E"/>
    <w:rsid w:val="008860FA"/>
    <w:rsid w:val="00886126"/>
    <w:rsid w:val="00886141"/>
    <w:rsid w:val="008861FF"/>
    <w:rsid w:val="0088624A"/>
    <w:rsid w:val="00886354"/>
    <w:rsid w:val="0088649D"/>
    <w:rsid w:val="008864D8"/>
    <w:rsid w:val="00886518"/>
    <w:rsid w:val="0088664A"/>
    <w:rsid w:val="00886827"/>
    <w:rsid w:val="00886892"/>
    <w:rsid w:val="008868CB"/>
    <w:rsid w:val="00886943"/>
    <w:rsid w:val="008869B1"/>
    <w:rsid w:val="00886A6B"/>
    <w:rsid w:val="00886BF5"/>
    <w:rsid w:val="00886CAB"/>
    <w:rsid w:val="00886CEF"/>
    <w:rsid w:val="00886D36"/>
    <w:rsid w:val="00886D6D"/>
    <w:rsid w:val="00886DA3"/>
    <w:rsid w:val="00886DD9"/>
    <w:rsid w:val="00886ED6"/>
    <w:rsid w:val="00886EEC"/>
    <w:rsid w:val="00886F4A"/>
    <w:rsid w:val="008870D6"/>
    <w:rsid w:val="00887237"/>
    <w:rsid w:val="008872BE"/>
    <w:rsid w:val="00887389"/>
    <w:rsid w:val="00887409"/>
    <w:rsid w:val="0088742D"/>
    <w:rsid w:val="00887445"/>
    <w:rsid w:val="0088746C"/>
    <w:rsid w:val="00887494"/>
    <w:rsid w:val="0088750D"/>
    <w:rsid w:val="00887620"/>
    <w:rsid w:val="00887657"/>
    <w:rsid w:val="00887663"/>
    <w:rsid w:val="0088784A"/>
    <w:rsid w:val="00887854"/>
    <w:rsid w:val="00887861"/>
    <w:rsid w:val="0088792A"/>
    <w:rsid w:val="008879A1"/>
    <w:rsid w:val="00887B03"/>
    <w:rsid w:val="00887C03"/>
    <w:rsid w:val="00887C7B"/>
    <w:rsid w:val="00887CBF"/>
    <w:rsid w:val="00887CCE"/>
    <w:rsid w:val="00887D27"/>
    <w:rsid w:val="00887DA5"/>
    <w:rsid w:val="00887EED"/>
    <w:rsid w:val="00887F72"/>
    <w:rsid w:val="00890097"/>
    <w:rsid w:val="00890109"/>
    <w:rsid w:val="00890145"/>
    <w:rsid w:val="00890185"/>
    <w:rsid w:val="008901D8"/>
    <w:rsid w:val="008901FC"/>
    <w:rsid w:val="008902A3"/>
    <w:rsid w:val="0089031D"/>
    <w:rsid w:val="00890344"/>
    <w:rsid w:val="008903F3"/>
    <w:rsid w:val="00890464"/>
    <w:rsid w:val="008904D2"/>
    <w:rsid w:val="008905AA"/>
    <w:rsid w:val="008905B5"/>
    <w:rsid w:val="008905E6"/>
    <w:rsid w:val="0089063A"/>
    <w:rsid w:val="008906A0"/>
    <w:rsid w:val="008906A8"/>
    <w:rsid w:val="00890865"/>
    <w:rsid w:val="00890873"/>
    <w:rsid w:val="00890945"/>
    <w:rsid w:val="00890A11"/>
    <w:rsid w:val="00890BC7"/>
    <w:rsid w:val="00890BE0"/>
    <w:rsid w:val="00890C8A"/>
    <w:rsid w:val="00890D04"/>
    <w:rsid w:val="00890D31"/>
    <w:rsid w:val="00890D34"/>
    <w:rsid w:val="00890D53"/>
    <w:rsid w:val="00890E05"/>
    <w:rsid w:val="00890E9C"/>
    <w:rsid w:val="00890EA2"/>
    <w:rsid w:val="00890EF6"/>
    <w:rsid w:val="00890F63"/>
    <w:rsid w:val="00890F6A"/>
    <w:rsid w:val="00891069"/>
    <w:rsid w:val="00891083"/>
    <w:rsid w:val="008910F3"/>
    <w:rsid w:val="00891190"/>
    <w:rsid w:val="00891226"/>
    <w:rsid w:val="00891249"/>
    <w:rsid w:val="008912F8"/>
    <w:rsid w:val="0089138D"/>
    <w:rsid w:val="008913E8"/>
    <w:rsid w:val="008913FA"/>
    <w:rsid w:val="00891438"/>
    <w:rsid w:val="008914C1"/>
    <w:rsid w:val="00891562"/>
    <w:rsid w:val="00891636"/>
    <w:rsid w:val="008916A3"/>
    <w:rsid w:val="008916F0"/>
    <w:rsid w:val="0089176B"/>
    <w:rsid w:val="00891784"/>
    <w:rsid w:val="0089185E"/>
    <w:rsid w:val="0089189A"/>
    <w:rsid w:val="008918B9"/>
    <w:rsid w:val="00891A11"/>
    <w:rsid w:val="00891AA8"/>
    <w:rsid w:val="00891AD3"/>
    <w:rsid w:val="00891B2E"/>
    <w:rsid w:val="00891B56"/>
    <w:rsid w:val="00891B61"/>
    <w:rsid w:val="00891BB7"/>
    <w:rsid w:val="00891BE8"/>
    <w:rsid w:val="00891C38"/>
    <w:rsid w:val="00891D23"/>
    <w:rsid w:val="00891EA7"/>
    <w:rsid w:val="00891F1D"/>
    <w:rsid w:val="00891F42"/>
    <w:rsid w:val="00892036"/>
    <w:rsid w:val="00892065"/>
    <w:rsid w:val="0089210A"/>
    <w:rsid w:val="0089212B"/>
    <w:rsid w:val="00892235"/>
    <w:rsid w:val="008922DE"/>
    <w:rsid w:val="00892334"/>
    <w:rsid w:val="008923C7"/>
    <w:rsid w:val="00892423"/>
    <w:rsid w:val="00892435"/>
    <w:rsid w:val="00892468"/>
    <w:rsid w:val="00892482"/>
    <w:rsid w:val="0089259D"/>
    <w:rsid w:val="00892717"/>
    <w:rsid w:val="008927FA"/>
    <w:rsid w:val="008929ED"/>
    <w:rsid w:val="00892A2C"/>
    <w:rsid w:val="00892A58"/>
    <w:rsid w:val="00892AA9"/>
    <w:rsid w:val="00892BB5"/>
    <w:rsid w:val="00892CBA"/>
    <w:rsid w:val="00892D27"/>
    <w:rsid w:val="00892DD4"/>
    <w:rsid w:val="00892DE2"/>
    <w:rsid w:val="00892EAF"/>
    <w:rsid w:val="0089306D"/>
    <w:rsid w:val="0089309A"/>
    <w:rsid w:val="008930A6"/>
    <w:rsid w:val="008930B5"/>
    <w:rsid w:val="008930E5"/>
    <w:rsid w:val="008931DB"/>
    <w:rsid w:val="008931DE"/>
    <w:rsid w:val="0089323A"/>
    <w:rsid w:val="0089325C"/>
    <w:rsid w:val="00893358"/>
    <w:rsid w:val="0089335B"/>
    <w:rsid w:val="0089342F"/>
    <w:rsid w:val="0089344A"/>
    <w:rsid w:val="00893454"/>
    <w:rsid w:val="008934F4"/>
    <w:rsid w:val="008934FC"/>
    <w:rsid w:val="00893554"/>
    <w:rsid w:val="0089356B"/>
    <w:rsid w:val="00893584"/>
    <w:rsid w:val="008935FA"/>
    <w:rsid w:val="00893619"/>
    <w:rsid w:val="0089362D"/>
    <w:rsid w:val="0089368B"/>
    <w:rsid w:val="0089368F"/>
    <w:rsid w:val="008936DF"/>
    <w:rsid w:val="00893703"/>
    <w:rsid w:val="00893719"/>
    <w:rsid w:val="0089371F"/>
    <w:rsid w:val="0089372B"/>
    <w:rsid w:val="008937A0"/>
    <w:rsid w:val="008937F2"/>
    <w:rsid w:val="00893867"/>
    <w:rsid w:val="0089393B"/>
    <w:rsid w:val="0089396A"/>
    <w:rsid w:val="00893A30"/>
    <w:rsid w:val="00893B1F"/>
    <w:rsid w:val="00893B86"/>
    <w:rsid w:val="00893B89"/>
    <w:rsid w:val="00893B8D"/>
    <w:rsid w:val="00893C23"/>
    <w:rsid w:val="00893C68"/>
    <w:rsid w:val="00893C8A"/>
    <w:rsid w:val="00893E02"/>
    <w:rsid w:val="00893E1C"/>
    <w:rsid w:val="00893E99"/>
    <w:rsid w:val="00893EA2"/>
    <w:rsid w:val="00893EE9"/>
    <w:rsid w:val="00893F42"/>
    <w:rsid w:val="00893FC7"/>
    <w:rsid w:val="00893FCB"/>
    <w:rsid w:val="00894081"/>
    <w:rsid w:val="0089415D"/>
    <w:rsid w:val="0089420F"/>
    <w:rsid w:val="008942E5"/>
    <w:rsid w:val="008944E5"/>
    <w:rsid w:val="0089454E"/>
    <w:rsid w:val="00894562"/>
    <w:rsid w:val="0089463E"/>
    <w:rsid w:val="008946C4"/>
    <w:rsid w:val="008946EB"/>
    <w:rsid w:val="00894781"/>
    <w:rsid w:val="00894792"/>
    <w:rsid w:val="008947DC"/>
    <w:rsid w:val="00894820"/>
    <w:rsid w:val="00894990"/>
    <w:rsid w:val="00894A06"/>
    <w:rsid w:val="00894AD6"/>
    <w:rsid w:val="00894B60"/>
    <w:rsid w:val="00894B90"/>
    <w:rsid w:val="00894BD4"/>
    <w:rsid w:val="00894C2E"/>
    <w:rsid w:val="00894C84"/>
    <w:rsid w:val="00894C85"/>
    <w:rsid w:val="00894CCD"/>
    <w:rsid w:val="00894CCF"/>
    <w:rsid w:val="00894CF7"/>
    <w:rsid w:val="00894DC8"/>
    <w:rsid w:val="00894E17"/>
    <w:rsid w:val="00894EA6"/>
    <w:rsid w:val="00894EF3"/>
    <w:rsid w:val="00894F6E"/>
    <w:rsid w:val="00894F8B"/>
    <w:rsid w:val="0089506D"/>
    <w:rsid w:val="008950BA"/>
    <w:rsid w:val="00895103"/>
    <w:rsid w:val="0089515F"/>
    <w:rsid w:val="0089518C"/>
    <w:rsid w:val="008951B8"/>
    <w:rsid w:val="00895257"/>
    <w:rsid w:val="008952F5"/>
    <w:rsid w:val="00895338"/>
    <w:rsid w:val="0089535B"/>
    <w:rsid w:val="00895387"/>
    <w:rsid w:val="00895391"/>
    <w:rsid w:val="008953D8"/>
    <w:rsid w:val="008953F7"/>
    <w:rsid w:val="00895406"/>
    <w:rsid w:val="0089543A"/>
    <w:rsid w:val="00895500"/>
    <w:rsid w:val="008955FF"/>
    <w:rsid w:val="00895692"/>
    <w:rsid w:val="00895773"/>
    <w:rsid w:val="008957CA"/>
    <w:rsid w:val="00895B0E"/>
    <w:rsid w:val="00895BC1"/>
    <w:rsid w:val="00895BE1"/>
    <w:rsid w:val="00895C68"/>
    <w:rsid w:val="00895C97"/>
    <w:rsid w:val="00895CFB"/>
    <w:rsid w:val="00895D61"/>
    <w:rsid w:val="00895D7F"/>
    <w:rsid w:val="00895E6F"/>
    <w:rsid w:val="00895FD8"/>
    <w:rsid w:val="00895FE8"/>
    <w:rsid w:val="0089600A"/>
    <w:rsid w:val="0089602D"/>
    <w:rsid w:val="00896105"/>
    <w:rsid w:val="00896122"/>
    <w:rsid w:val="00896127"/>
    <w:rsid w:val="0089612F"/>
    <w:rsid w:val="008961E6"/>
    <w:rsid w:val="00896233"/>
    <w:rsid w:val="0089623D"/>
    <w:rsid w:val="0089636D"/>
    <w:rsid w:val="00896383"/>
    <w:rsid w:val="008963B0"/>
    <w:rsid w:val="008963C8"/>
    <w:rsid w:val="0089648B"/>
    <w:rsid w:val="008964AE"/>
    <w:rsid w:val="008964EA"/>
    <w:rsid w:val="00896568"/>
    <w:rsid w:val="008965CB"/>
    <w:rsid w:val="008965E8"/>
    <w:rsid w:val="00896624"/>
    <w:rsid w:val="0089663E"/>
    <w:rsid w:val="00896661"/>
    <w:rsid w:val="008966B0"/>
    <w:rsid w:val="008966F1"/>
    <w:rsid w:val="0089671D"/>
    <w:rsid w:val="00896758"/>
    <w:rsid w:val="0089676C"/>
    <w:rsid w:val="008967BB"/>
    <w:rsid w:val="008968E6"/>
    <w:rsid w:val="00896901"/>
    <w:rsid w:val="00896986"/>
    <w:rsid w:val="00896993"/>
    <w:rsid w:val="0089699D"/>
    <w:rsid w:val="00896A9F"/>
    <w:rsid w:val="00896BAC"/>
    <w:rsid w:val="00896BD6"/>
    <w:rsid w:val="00896D49"/>
    <w:rsid w:val="00896D68"/>
    <w:rsid w:val="00896E4E"/>
    <w:rsid w:val="00896E7D"/>
    <w:rsid w:val="00896F8F"/>
    <w:rsid w:val="00897219"/>
    <w:rsid w:val="008972AC"/>
    <w:rsid w:val="008972C2"/>
    <w:rsid w:val="0089739C"/>
    <w:rsid w:val="0089743F"/>
    <w:rsid w:val="008974C9"/>
    <w:rsid w:val="008974EF"/>
    <w:rsid w:val="00897659"/>
    <w:rsid w:val="00897668"/>
    <w:rsid w:val="008976E6"/>
    <w:rsid w:val="008976E9"/>
    <w:rsid w:val="0089771B"/>
    <w:rsid w:val="008977CC"/>
    <w:rsid w:val="0089786B"/>
    <w:rsid w:val="00897895"/>
    <w:rsid w:val="00897933"/>
    <w:rsid w:val="00897A1D"/>
    <w:rsid w:val="00897A7B"/>
    <w:rsid w:val="00897AD7"/>
    <w:rsid w:val="00897C1B"/>
    <w:rsid w:val="00897C6C"/>
    <w:rsid w:val="00897CB2"/>
    <w:rsid w:val="00897CBB"/>
    <w:rsid w:val="00897F28"/>
    <w:rsid w:val="00897F83"/>
    <w:rsid w:val="00897FA2"/>
    <w:rsid w:val="008A0006"/>
    <w:rsid w:val="008A0018"/>
    <w:rsid w:val="008A001B"/>
    <w:rsid w:val="008A0078"/>
    <w:rsid w:val="008A00D7"/>
    <w:rsid w:val="008A03D8"/>
    <w:rsid w:val="008A0405"/>
    <w:rsid w:val="008A041E"/>
    <w:rsid w:val="008A0489"/>
    <w:rsid w:val="008A05AC"/>
    <w:rsid w:val="008A067A"/>
    <w:rsid w:val="008A0715"/>
    <w:rsid w:val="008A0736"/>
    <w:rsid w:val="008A074A"/>
    <w:rsid w:val="008A08ED"/>
    <w:rsid w:val="008A0ACC"/>
    <w:rsid w:val="008A0C7B"/>
    <w:rsid w:val="008A0CC2"/>
    <w:rsid w:val="008A0CFD"/>
    <w:rsid w:val="008A0D16"/>
    <w:rsid w:val="008A0E2C"/>
    <w:rsid w:val="008A0E91"/>
    <w:rsid w:val="008A0F0C"/>
    <w:rsid w:val="008A0F9A"/>
    <w:rsid w:val="008A0FB1"/>
    <w:rsid w:val="008A0FEF"/>
    <w:rsid w:val="008A1189"/>
    <w:rsid w:val="008A1256"/>
    <w:rsid w:val="008A13C5"/>
    <w:rsid w:val="008A13C7"/>
    <w:rsid w:val="008A1438"/>
    <w:rsid w:val="008A1476"/>
    <w:rsid w:val="008A14CF"/>
    <w:rsid w:val="008A14D4"/>
    <w:rsid w:val="008A163D"/>
    <w:rsid w:val="008A1648"/>
    <w:rsid w:val="008A1656"/>
    <w:rsid w:val="008A178D"/>
    <w:rsid w:val="008A1B87"/>
    <w:rsid w:val="008A1B99"/>
    <w:rsid w:val="008A1BCB"/>
    <w:rsid w:val="008A1BD0"/>
    <w:rsid w:val="008A1BDB"/>
    <w:rsid w:val="008A1CA0"/>
    <w:rsid w:val="008A1D70"/>
    <w:rsid w:val="008A1DB1"/>
    <w:rsid w:val="008A1DB3"/>
    <w:rsid w:val="008A1E48"/>
    <w:rsid w:val="008A1E51"/>
    <w:rsid w:val="008A1EB5"/>
    <w:rsid w:val="008A2005"/>
    <w:rsid w:val="008A218A"/>
    <w:rsid w:val="008A220F"/>
    <w:rsid w:val="008A22C1"/>
    <w:rsid w:val="008A22DF"/>
    <w:rsid w:val="008A2356"/>
    <w:rsid w:val="008A23C3"/>
    <w:rsid w:val="008A23CF"/>
    <w:rsid w:val="008A24A4"/>
    <w:rsid w:val="008A24CB"/>
    <w:rsid w:val="008A24F9"/>
    <w:rsid w:val="008A251F"/>
    <w:rsid w:val="008A25DB"/>
    <w:rsid w:val="008A265B"/>
    <w:rsid w:val="008A26F0"/>
    <w:rsid w:val="008A278C"/>
    <w:rsid w:val="008A2798"/>
    <w:rsid w:val="008A286A"/>
    <w:rsid w:val="008A28FF"/>
    <w:rsid w:val="008A293F"/>
    <w:rsid w:val="008A29EC"/>
    <w:rsid w:val="008A29FC"/>
    <w:rsid w:val="008A2A14"/>
    <w:rsid w:val="008A2A21"/>
    <w:rsid w:val="008A2D2D"/>
    <w:rsid w:val="008A2E3E"/>
    <w:rsid w:val="008A2E55"/>
    <w:rsid w:val="008A2E68"/>
    <w:rsid w:val="008A3026"/>
    <w:rsid w:val="008A3032"/>
    <w:rsid w:val="008A3093"/>
    <w:rsid w:val="008A30B4"/>
    <w:rsid w:val="008A30E6"/>
    <w:rsid w:val="008A3113"/>
    <w:rsid w:val="008A311E"/>
    <w:rsid w:val="008A313B"/>
    <w:rsid w:val="008A31B2"/>
    <w:rsid w:val="008A31F7"/>
    <w:rsid w:val="008A3384"/>
    <w:rsid w:val="008A33E6"/>
    <w:rsid w:val="008A34A3"/>
    <w:rsid w:val="008A35F3"/>
    <w:rsid w:val="008A3606"/>
    <w:rsid w:val="008A362A"/>
    <w:rsid w:val="008A3647"/>
    <w:rsid w:val="008A3691"/>
    <w:rsid w:val="008A3692"/>
    <w:rsid w:val="008A3718"/>
    <w:rsid w:val="008A37B5"/>
    <w:rsid w:val="008A37B8"/>
    <w:rsid w:val="008A3853"/>
    <w:rsid w:val="008A385A"/>
    <w:rsid w:val="008A38E1"/>
    <w:rsid w:val="008A38EC"/>
    <w:rsid w:val="008A3945"/>
    <w:rsid w:val="008A39F7"/>
    <w:rsid w:val="008A3A15"/>
    <w:rsid w:val="008A3A29"/>
    <w:rsid w:val="008A3AC4"/>
    <w:rsid w:val="008A3BE2"/>
    <w:rsid w:val="008A3C37"/>
    <w:rsid w:val="008A3CDA"/>
    <w:rsid w:val="008A3D20"/>
    <w:rsid w:val="008A3FF9"/>
    <w:rsid w:val="008A403D"/>
    <w:rsid w:val="008A425A"/>
    <w:rsid w:val="008A426E"/>
    <w:rsid w:val="008A4344"/>
    <w:rsid w:val="008A4397"/>
    <w:rsid w:val="008A43D3"/>
    <w:rsid w:val="008A441E"/>
    <w:rsid w:val="008A4507"/>
    <w:rsid w:val="008A4534"/>
    <w:rsid w:val="008A45D3"/>
    <w:rsid w:val="008A45E1"/>
    <w:rsid w:val="008A4694"/>
    <w:rsid w:val="008A472A"/>
    <w:rsid w:val="008A47F9"/>
    <w:rsid w:val="008A487E"/>
    <w:rsid w:val="008A4892"/>
    <w:rsid w:val="008A48A0"/>
    <w:rsid w:val="008A4988"/>
    <w:rsid w:val="008A4C75"/>
    <w:rsid w:val="008A4CBE"/>
    <w:rsid w:val="008A4D14"/>
    <w:rsid w:val="008A4D1E"/>
    <w:rsid w:val="008A4D9A"/>
    <w:rsid w:val="008A4DC3"/>
    <w:rsid w:val="008A4F2A"/>
    <w:rsid w:val="008A4F59"/>
    <w:rsid w:val="008A4FB7"/>
    <w:rsid w:val="008A4FE0"/>
    <w:rsid w:val="008A50A8"/>
    <w:rsid w:val="008A50F8"/>
    <w:rsid w:val="008A50F9"/>
    <w:rsid w:val="008A5128"/>
    <w:rsid w:val="008A514B"/>
    <w:rsid w:val="008A5172"/>
    <w:rsid w:val="008A51A6"/>
    <w:rsid w:val="008A51EB"/>
    <w:rsid w:val="008A52F7"/>
    <w:rsid w:val="008A5319"/>
    <w:rsid w:val="008A534C"/>
    <w:rsid w:val="008A5361"/>
    <w:rsid w:val="008A5545"/>
    <w:rsid w:val="008A55C3"/>
    <w:rsid w:val="008A565E"/>
    <w:rsid w:val="008A56EB"/>
    <w:rsid w:val="008A5761"/>
    <w:rsid w:val="008A5862"/>
    <w:rsid w:val="008A5882"/>
    <w:rsid w:val="008A5898"/>
    <w:rsid w:val="008A594E"/>
    <w:rsid w:val="008A59D3"/>
    <w:rsid w:val="008A59F1"/>
    <w:rsid w:val="008A5A09"/>
    <w:rsid w:val="008A5A56"/>
    <w:rsid w:val="008A5AB1"/>
    <w:rsid w:val="008A5BF3"/>
    <w:rsid w:val="008A5C15"/>
    <w:rsid w:val="008A5C17"/>
    <w:rsid w:val="008A5C34"/>
    <w:rsid w:val="008A5CD8"/>
    <w:rsid w:val="008A5D29"/>
    <w:rsid w:val="008A5D89"/>
    <w:rsid w:val="008A5DF4"/>
    <w:rsid w:val="008A5E07"/>
    <w:rsid w:val="008A5E67"/>
    <w:rsid w:val="008A5E9A"/>
    <w:rsid w:val="008A5EA5"/>
    <w:rsid w:val="008A5EE4"/>
    <w:rsid w:val="008A5F40"/>
    <w:rsid w:val="008A5F48"/>
    <w:rsid w:val="008A5F9F"/>
    <w:rsid w:val="008A5FAA"/>
    <w:rsid w:val="008A5FB4"/>
    <w:rsid w:val="008A624D"/>
    <w:rsid w:val="008A631F"/>
    <w:rsid w:val="008A6375"/>
    <w:rsid w:val="008A63C1"/>
    <w:rsid w:val="008A63F7"/>
    <w:rsid w:val="008A640C"/>
    <w:rsid w:val="008A6446"/>
    <w:rsid w:val="008A65CB"/>
    <w:rsid w:val="008A65D7"/>
    <w:rsid w:val="008A65E5"/>
    <w:rsid w:val="008A6681"/>
    <w:rsid w:val="008A67A8"/>
    <w:rsid w:val="008A6804"/>
    <w:rsid w:val="008A682E"/>
    <w:rsid w:val="008A687A"/>
    <w:rsid w:val="008A699A"/>
    <w:rsid w:val="008A6ABB"/>
    <w:rsid w:val="008A6B2B"/>
    <w:rsid w:val="008A6C1B"/>
    <w:rsid w:val="008A6CAF"/>
    <w:rsid w:val="008A6CF8"/>
    <w:rsid w:val="008A6CFA"/>
    <w:rsid w:val="008A6D0A"/>
    <w:rsid w:val="008A6D5A"/>
    <w:rsid w:val="008A6DAC"/>
    <w:rsid w:val="008A6DBC"/>
    <w:rsid w:val="008A6DE5"/>
    <w:rsid w:val="008A6F26"/>
    <w:rsid w:val="008A71ED"/>
    <w:rsid w:val="008A7229"/>
    <w:rsid w:val="008A738E"/>
    <w:rsid w:val="008A7448"/>
    <w:rsid w:val="008A75A7"/>
    <w:rsid w:val="008A75E4"/>
    <w:rsid w:val="008A76ED"/>
    <w:rsid w:val="008A7716"/>
    <w:rsid w:val="008A771E"/>
    <w:rsid w:val="008A773A"/>
    <w:rsid w:val="008A7744"/>
    <w:rsid w:val="008A7860"/>
    <w:rsid w:val="008A7AED"/>
    <w:rsid w:val="008A7BAB"/>
    <w:rsid w:val="008A7E4C"/>
    <w:rsid w:val="008A7F0F"/>
    <w:rsid w:val="008A7F40"/>
    <w:rsid w:val="008B0081"/>
    <w:rsid w:val="008B016A"/>
    <w:rsid w:val="008B01AB"/>
    <w:rsid w:val="008B0262"/>
    <w:rsid w:val="008B0284"/>
    <w:rsid w:val="008B02A1"/>
    <w:rsid w:val="008B032C"/>
    <w:rsid w:val="008B03D6"/>
    <w:rsid w:val="008B052C"/>
    <w:rsid w:val="008B0598"/>
    <w:rsid w:val="008B0637"/>
    <w:rsid w:val="008B0750"/>
    <w:rsid w:val="008B07BD"/>
    <w:rsid w:val="008B07FF"/>
    <w:rsid w:val="008B08E8"/>
    <w:rsid w:val="008B09B3"/>
    <w:rsid w:val="008B09BB"/>
    <w:rsid w:val="008B09C6"/>
    <w:rsid w:val="008B0A4A"/>
    <w:rsid w:val="008B0A63"/>
    <w:rsid w:val="008B0A7B"/>
    <w:rsid w:val="008B0B01"/>
    <w:rsid w:val="008B0B1C"/>
    <w:rsid w:val="008B0B7D"/>
    <w:rsid w:val="008B0B80"/>
    <w:rsid w:val="008B0BC3"/>
    <w:rsid w:val="008B0CD9"/>
    <w:rsid w:val="008B0CE1"/>
    <w:rsid w:val="008B0D5C"/>
    <w:rsid w:val="008B0D64"/>
    <w:rsid w:val="008B0E9F"/>
    <w:rsid w:val="008B0EAB"/>
    <w:rsid w:val="008B0F17"/>
    <w:rsid w:val="008B109A"/>
    <w:rsid w:val="008B10AD"/>
    <w:rsid w:val="008B11C0"/>
    <w:rsid w:val="008B121E"/>
    <w:rsid w:val="008B12EC"/>
    <w:rsid w:val="008B13EC"/>
    <w:rsid w:val="008B14A2"/>
    <w:rsid w:val="008B14CC"/>
    <w:rsid w:val="008B1589"/>
    <w:rsid w:val="008B160E"/>
    <w:rsid w:val="008B1700"/>
    <w:rsid w:val="008B1730"/>
    <w:rsid w:val="008B18BC"/>
    <w:rsid w:val="008B1903"/>
    <w:rsid w:val="008B1929"/>
    <w:rsid w:val="008B1A02"/>
    <w:rsid w:val="008B1A86"/>
    <w:rsid w:val="008B1B22"/>
    <w:rsid w:val="008B1B36"/>
    <w:rsid w:val="008B1BA3"/>
    <w:rsid w:val="008B1BCA"/>
    <w:rsid w:val="008B1C6A"/>
    <w:rsid w:val="008B1CC4"/>
    <w:rsid w:val="008B1D25"/>
    <w:rsid w:val="008B1D2F"/>
    <w:rsid w:val="008B1E03"/>
    <w:rsid w:val="008B1E55"/>
    <w:rsid w:val="008B1E65"/>
    <w:rsid w:val="008B1E70"/>
    <w:rsid w:val="008B1EE1"/>
    <w:rsid w:val="008B1F1F"/>
    <w:rsid w:val="008B1FDE"/>
    <w:rsid w:val="008B20BA"/>
    <w:rsid w:val="008B20CD"/>
    <w:rsid w:val="008B219A"/>
    <w:rsid w:val="008B21F9"/>
    <w:rsid w:val="008B22AC"/>
    <w:rsid w:val="008B22B5"/>
    <w:rsid w:val="008B2306"/>
    <w:rsid w:val="008B23DB"/>
    <w:rsid w:val="008B2572"/>
    <w:rsid w:val="008B25E4"/>
    <w:rsid w:val="008B2601"/>
    <w:rsid w:val="008B264A"/>
    <w:rsid w:val="008B265A"/>
    <w:rsid w:val="008B26F5"/>
    <w:rsid w:val="008B2726"/>
    <w:rsid w:val="008B29B9"/>
    <w:rsid w:val="008B29DD"/>
    <w:rsid w:val="008B29E1"/>
    <w:rsid w:val="008B29F0"/>
    <w:rsid w:val="008B2A15"/>
    <w:rsid w:val="008B2A1E"/>
    <w:rsid w:val="008B2AB3"/>
    <w:rsid w:val="008B2ADD"/>
    <w:rsid w:val="008B2C1D"/>
    <w:rsid w:val="008B2C52"/>
    <w:rsid w:val="008B2DB3"/>
    <w:rsid w:val="008B2EAB"/>
    <w:rsid w:val="008B2F6B"/>
    <w:rsid w:val="008B3057"/>
    <w:rsid w:val="008B31A4"/>
    <w:rsid w:val="008B3222"/>
    <w:rsid w:val="008B3273"/>
    <w:rsid w:val="008B33DD"/>
    <w:rsid w:val="008B33F2"/>
    <w:rsid w:val="008B34AA"/>
    <w:rsid w:val="008B3513"/>
    <w:rsid w:val="008B36E3"/>
    <w:rsid w:val="008B3734"/>
    <w:rsid w:val="008B3785"/>
    <w:rsid w:val="008B382B"/>
    <w:rsid w:val="008B3897"/>
    <w:rsid w:val="008B38AD"/>
    <w:rsid w:val="008B38C3"/>
    <w:rsid w:val="008B397A"/>
    <w:rsid w:val="008B39F7"/>
    <w:rsid w:val="008B3A49"/>
    <w:rsid w:val="008B3A4A"/>
    <w:rsid w:val="008B3AF0"/>
    <w:rsid w:val="008B3B62"/>
    <w:rsid w:val="008B3BA4"/>
    <w:rsid w:val="008B3C39"/>
    <w:rsid w:val="008B3CBD"/>
    <w:rsid w:val="008B3E5D"/>
    <w:rsid w:val="008B3E9A"/>
    <w:rsid w:val="008B3EB8"/>
    <w:rsid w:val="008B3F23"/>
    <w:rsid w:val="008B3F72"/>
    <w:rsid w:val="008B3FCF"/>
    <w:rsid w:val="008B4031"/>
    <w:rsid w:val="008B40EB"/>
    <w:rsid w:val="008B410F"/>
    <w:rsid w:val="008B4156"/>
    <w:rsid w:val="008B4160"/>
    <w:rsid w:val="008B4290"/>
    <w:rsid w:val="008B4346"/>
    <w:rsid w:val="008B43B2"/>
    <w:rsid w:val="008B4490"/>
    <w:rsid w:val="008B453B"/>
    <w:rsid w:val="008B456B"/>
    <w:rsid w:val="008B456E"/>
    <w:rsid w:val="008B47FE"/>
    <w:rsid w:val="008B4869"/>
    <w:rsid w:val="008B48BB"/>
    <w:rsid w:val="008B4952"/>
    <w:rsid w:val="008B4970"/>
    <w:rsid w:val="008B4A01"/>
    <w:rsid w:val="008B4A30"/>
    <w:rsid w:val="008B4A7F"/>
    <w:rsid w:val="008B4C1A"/>
    <w:rsid w:val="008B4C1B"/>
    <w:rsid w:val="008B4D7D"/>
    <w:rsid w:val="008B4EB3"/>
    <w:rsid w:val="008B5066"/>
    <w:rsid w:val="008B511A"/>
    <w:rsid w:val="008B5228"/>
    <w:rsid w:val="008B5246"/>
    <w:rsid w:val="008B5273"/>
    <w:rsid w:val="008B5311"/>
    <w:rsid w:val="008B5320"/>
    <w:rsid w:val="008B53A9"/>
    <w:rsid w:val="008B5451"/>
    <w:rsid w:val="008B551F"/>
    <w:rsid w:val="008B55CB"/>
    <w:rsid w:val="008B5647"/>
    <w:rsid w:val="008B5686"/>
    <w:rsid w:val="008B56D5"/>
    <w:rsid w:val="008B575B"/>
    <w:rsid w:val="008B57FE"/>
    <w:rsid w:val="008B5814"/>
    <w:rsid w:val="008B5A15"/>
    <w:rsid w:val="008B5B2B"/>
    <w:rsid w:val="008B5B98"/>
    <w:rsid w:val="008B5C20"/>
    <w:rsid w:val="008B5C76"/>
    <w:rsid w:val="008B5CB0"/>
    <w:rsid w:val="008B5D13"/>
    <w:rsid w:val="008B5D14"/>
    <w:rsid w:val="008B5E49"/>
    <w:rsid w:val="008B5EA6"/>
    <w:rsid w:val="008B5F4D"/>
    <w:rsid w:val="008B5FD0"/>
    <w:rsid w:val="008B60E8"/>
    <w:rsid w:val="008B6151"/>
    <w:rsid w:val="008B6156"/>
    <w:rsid w:val="008B61A8"/>
    <w:rsid w:val="008B61D8"/>
    <w:rsid w:val="008B61FC"/>
    <w:rsid w:val="008B62FA"/>
    <w:rsid w:val="008B6359"/>
    <w:rsid w:val="008B6389"/>
    <w:rsid w:val="008B63D3"/>
    <w:rsid w:val="008B64A1"/>
    <w:rsid w:val="008B64CA"/>
    <w:rsid w:val="008B6508"/>
    <w:rsid w:val="008B6521"/>
    <w:rsid w:val="008B6530"/>
    <w:rsid w:val="008B655E"/>
    <w:rsid w:val="008B656F"/>
    <w:rsid w:val="008B662D"/>
    <w:rsid w:val="008B677B"/>
    <w:rsid w:val="008B67B0"/>
    <w:rsid w:val="008B67F4"/>
    <w:rsid w:val="008B682A"/>
    <w:rsid w:val="008B6841"/>
    <w:rsid w:val="008B688B"/>
    <w:rsid w:val="008B6904"/>
    <w:rsid w:val="008B6926"/>
    <w:rsid w:val="008B6948"/>
    <w:rsid w:val="008B69C7"/>
    <w:rsid w:val="008B6AB4"/>
    <w:rsid w:val="008B6AEF"/>
    <w:rsid w:val="008B6BA3"/>
    <w:rsid w:val="008B6BD9"/>
    <w:rsid w:val="008B6BEF"/>
    <w:rsid w:val="008B6C21"/>
    <w:rsid w:val="008B6CA2"/>
    <w:rsid w:val="008B6CD7"/>
    <w:rsid w:val="008B6D7A"/>
    <w:rsid w:val="008B6DAB"/>
    <w:rsid w:val="008B6DCE"/>
    <w:rsid w:val="008B6DDB"/>
    <w:rsid w:val="008B6ECA"/>
    <w:rsid w:val="008B6F65"/>
    <w:rsid w:val="008B6F92"/>
    <w:rsid w:val="008B7210"/>
    <w:rsid w:val="008B7393"/>
    <w:rsid w:val="008B7480"/>
    <w:rsid w:val="008B749E"/>
    <w:rsid w:val="008B7573"/>
    <w:rsid w:val="008B761F"/>
    <w:rsid w:val="008B770B"/>
    <w:rsid w:val="008B776D"/>
    <w:rsid w:val="008B785C"/>
    <w:rsid w:val="008B7863"/>
    <w:rsid w:val="008B786A"/>
    <w:rsid w:val="008B78F5"/>
    <w:rsid w:val="008B7B23"/>
    <w:rsid w:val="008B7B2C"/>
    <w:rsid w:val="008B7BF3"/>
    <w:rsid w:val="008B7C01"/>
    <w:rsid w:val="008B7CB1"/>
    <w:rsid w:val="008B7D1A"/>
    <w:rsid w:val="008B7E1D"/>
    <w:rsid w:val="008B7F18"/>
    <w:rsid w:val="008B7FA3"/>
    <w:rsid w:val="008C0015"/>
    <w:rsid w:val="008C0090"/>
    <w:rsid w:val="008C018F"/>
    <w:rsid w:val="008C01C0"/>
    <w:rsid w:val="008C031A"/>
    <w:rsid w:val="008C0406"/>
    <w:rsid w:val="008C0414"/>
    <w:rsid w:val="008C0580"/>
    <w:rsid w:val="008C06A7"/>
    <w:rsid w:val="008C06E0"/>
    <w:rsid w:val="008C0724"/>
    <w:rsid w:val="008C0880"/>
    <w:rsid w:val="008C08FD"/>
    <w:rsid w:val="008C0927"/>
    <w:rsid w:val="008C092E"/>
    <w:rsid w:val="008C0A78"/>
    <w:rsid w:val="008C0AB7"/>
    <w:rsid w:val="008C0BF9"/>
    <w:rsid w:val="008C0C50"/>
    <w:rsid w:val="008C0DDC"/>
    <w:rsid w:val="008C0F6A"/>
    <w:rsid w:val="008C0FE1"/>
    <w:rsid w:val="008C0FF9"/>
    <w:rsid w:val="008C1137"/>
    <w:rsid w:val="008C122B"/>
    <w:rsid w:val="008C12B3"/>
    <w:rsid w:val="008C137A"/>
    <w:rsid w:val="008C13C1"/>
    <w:rsid w:val="008C1484"/>
    <w:rsid w:val="008C14BA"/>
    <w:rsid w:val="008C14CE"/>
    <w:rsid w:val="008C1539"/>
    <w:rsid w:val="008C15EC"/>
    <w:rsid w:val="008C1610"/>
    <w:rsid w:val="008C16A7"/>
    <w:rsid w:val="008C16D4"/>
    <w:rsid w:val="008C16D8"/>
    <w:rsid w:val="008C16F0"/>
    <w:rsid w:val="008C1799"/>
    <w:rsid w:val="008C17EA"/>
    <w:rsid w:val="008C19AF"/>
    <w:rsid w:val="008C19B6"/>
    <w:rsid w:val="008C1AD3"/>
    <w:rsid w:val="008C1B02"/>
    <w:rsid w:val="008C1B08"/>
    <w:rsid w:val="008C1C62"/>
    <w:rsid w:val="008C1CDF"/>
    <w:rsid w:val="008C1D01"/>
    <w:rsid w:val="008C1F37"/>
    <w:rsid w:val="008C1F6A"/>
    <w:rsid w:val="008C1F80"/>
    <w:rsid w:val="008C1FBB"/>
    <w:rsid w:val="008C1FE6"/>
    <w:rsid w:val="008C20EA"/>
    <w:rsid w:val="008C2105"/>
    <w:rsid w:val="008C21A8"/>
    <w:rsid w:val="008C2254"/>
    <w:rsid w:val="008C236F"/>
    <w:rsid w:val="008C23FD"/>
    <w:rsid w:val="008C24D0"/>
    <w:rsid w:val="008C24E1"/>
    <w:rsid w:val="008C2526"/>
    <w:rsid w:val="008C25C1"/>
    <w:rsid w:val="008C25CB"/>
    <w:rsid w:val="008C2603"/>
    <w:rsid w:val="008C262A"/>
    <w:rsid w:val="008C265B"/>
    <w:rsid w:val="008C276E"/>
    <w:rsid w:val="008C27AD"/>
    <w:rsid w:val="008C27E8"/>
    <w:rsid w:val="008C2856"/>
    <w:rsid w:val="008C2873"/>
    <w:rsid w:val="008C28B1"/>
    <w:rsid w:val="008C290A"/>
    <w:rsid w:val="008C295C"/>
    <w:rsid w:val="008C2A6C"/>
    <w:rsid w:val="008C2A9B"/>
    <w:rsid w:val="008C2AAD"/>
    <w:rsid w:val="008C2AE1"/>
    <w:rsid w:val="008C2AF0"/>
    <w:rsid w:val="008C2B2D"/>
    <w:rsid w:val="008C2B39"/>
    <w:rsid w:val="008C2B5A"/>
    <w:rsid w:val="008C2B5E"/>
    <w:rsid w:val="008C2B65"/>
    <w:rsid w:val="008C2B80"/>
    <w:rsid w:val="008C2B9D"/>
    <w:rsid w:val="008C2BE9"/>
    <w:rsid w:val="008C2CA8"/>
    <w:rsid w:val="008C2CDA"/>
    <w:rsid w:val="008C2D1D"/>
    <w:rsid w:val="008C2F1C"/>
    <w:rsid w:val="008C2FDC"/>
    <w:rsid w:val="008C3080"/>
    <w:rsid w:val="008C3166"/>
    <w:rsid w:val="008C31C6"/>
    <w:rsid w:val="008C334B"/>
    <w:rsid w:val="008C33E8"/>
    <w:rsid w:val="008C3671"/>
    <w:rsid w:val="008C367F"/>
    <w:rsid w:val="008C3748"/>
    <w:rsid w:val="008C3749"/>
    <w:rsid w:val="008C37ED"/>
    <w:rsid w:val="008C3A69"/>
    <w:rsid w:val="008C3AAE"/>
    <w:rsid w:val="008C3B7A"/>
    <w:rsid w:val="008C3B81"/>
    <w:rsid w:val="008C3BA7"/>
    <w:rsid w:val="008C3BE1"/>
    <w:rsid w:val="008C3D3E"/>
    <w:rsid w:val="008C3D79"/>
    <w:rsid w:val="008C3F26"/>
    <w:rsid w:val="008C3F60"/>
    <w:rsid w:val="008C404A"/>
    <w:rsid w:val="008C40D0"/>
    <w:rsid w:val="008C4167"/>
    <w:rsid w:val="008C4170"/>
    <w:rsid w:val="008C41A2"/>
    <w:rsid w:val="008C42F1"/>
    <w:rsid w:val="008C42F6"/>
    <w:rsid w:val="008C4316"/>
    <w:rsid w:val="008C4318"/>
    <w:rsid w:val="008C4384"/>
    <w:rsid w:val="008C43D0"/>
    <w:rsid w:val="008C44E9"/>
    <w:rsid w:val="008C4598"/>
    <w:rsid w:val="008C47D5"/>
    <w:rsid w:val="008C4816"/>
    <w:rsid w:val="008C48E4"/>
    <w:rsid w:val="008C49A1"/>
    <w:rsid w:val="008C49B0"/>
    <w:rsid w:val="008C4A59"/>
    <w:rsid w:val="008C4ADF"/>
    <w:rsid w:val="008C4B00"/>
    <w:rsid w:val="008C4B4B"/>
    <w:rsid w:val="008C4B97"/>
    <w:rsid w:val="008C4BC0"/>
    <w:rsid w:val="008C4D63"/>
    <w:rsid w:val="008C4D65"/>
    <w:rsid w:val="008C4DD1"/>
    <w:rsid w:val="008C4E91"/>
    <w:rsid w:val="008C4ECE"/>
    <w:rsid w:val="008C4F50"/>
    <w:rsid w:val="008C4F90"/>
    <w:rsid w:val="008C4FBD"/>
    <w:rsid w:val="008C4FD6"/>
    <w:rsid w:val="008C5043"/>
    <w:rsid w:val="008C505D"/>
    <w:rsid w:val="008C50D1"/>
    <w:rsid w:val="008C5115"/>
    <w:rsid w:val="008C51B6"/>
    <w:rsid w:val="008C51DE"/>
    <w:rsid w:val="008C5336"/>
    <w:rsid w:val="008C5355"/>
    <w:rsid w:val="008C541A"/>
    <w:rsid w:val="008C54A9"/>
    <w:rsid w:val="008C5532"/>
    <w:rsid w:val="008C5610"/>
    <w:rsid w:val="008C565D"/>
    <w:rsid w:val="008C56E1"/>
    <w:rsid w:val="008C5715"/>
    <w:rsid w:val="008C5770"/>
    <w:rsid w:val="008C57B3"/>
    <w:rsid w:val="008C57F3"/>
    <w:rsid w:val="008C58AA"/>
    <w:rsid w:val="008C59AD"/>
    <w:rsid w:val="008C59B1"/>
    <w:rsid w:val="008C5A3F"/>
    <w:rsid w:val="008C5AA3"/>
    <w:rsid w:val="008C5BC5"/>
    <w:rsid w:val="008C5C6C"/>
    <w:rsid w:val="008C5D16"/>
    <w:rsid w:val="008C5E5A"/>
    <w:rsid w:val="008C5EB4"/>
    <w:rsid w:val="008C5F08"/>
    <w:rsid w:val="008C607A"/>
    <w:rsid w:val="008C60B0"/>
    <w:rsid w:val="008C60BE"/>
    <w:rsid w:val="008C60C8"/>
    <w:rsid w:val="008C60E6"/>
    <w:rsid w:val="008C6138"/>
    <w:rsid w:val="008C6221"/>
    <w:rsid w:val="008C623D"/>
    <w:rsid w:val="008C6291"/>
    <w:rsid w:val="008C62A7"/>
    <w:rsid w:val="008C62A9"/>
    <w:rsid w:val="008C6378"/>
    <w:rsid w:val="008C63C2"/>
    <w:rsid w:val="008C6455"/>
    <w:rsid w:val="008C648A"/>
    <w:rsid w:val="008C64C5"/>
    <w:rsid w:val="008C65A5"/>
    <w:rsid w:val="008C662C"/>
    <w:rsid w:val="008C6663"/>
    <w:rsid w:val="008C6679"/>
    <w:rsid w:val="008C66BA"/>
    <w:rsid w:val="008C66E7"/>
    <w:rsid w:val="008C671B"/>
    <w:rsid w:val="008C67AC"/>
    <w:rsid w:val="008C6806"/>
    <w:rsid w:val="008C683E"/>
    <w:rsid w:val="008C6887"/>
    <w:rsid w:val="008C6890"/>
    <w:rsid w:val="008C68B4"/>
    <w:rsid w:val="008C69AF"/>
    <w:rsid w:val="008C69BD"/>
    <w:rsid w:val="008C6B59"/>
    <w:rsid w:val="008C6BEE"/>
    <w:rsid w:val="008C6C21"/>
    <w:rsid w:val="008C6D05"/>
    <w:rsid w:val="008C6D1F"/>
    <w:rsid w:val="008C6ECB"/>
    <w:rsid w:val="008C6ED8"/>
    <w:rsid w:val="008C6EF5"/>
    <w:rsid w:val="008C7011"/>
    <w:rsid w:val="008C70AF"/>
    <w:rsid w:val="008C70EA"/>
    <w:rsid w:val="008C73D4"/>
    <w:rsid w:val="008C7421"/>
    <w:rsid w:val="008C744A"/>
    <w:rsid w:val="008C7464"/>
    <w:rsid w:val="008C749E"/>
    <w:rsid w:val="008C74F9"/>
    <w:rsid w:val="008C7592"/>
    <w:rsid w:val="008C7600"/>
    <w:rsid w:val="008C782C"/>
    <w:rsid w:val="008C78F9"/>
    <w:rsid w:val="008C79B0"/>
    <w:rsid w:val="008C79DC"/>
    <w:rsid w:val="008C79F3"/>
    <w:rsid w:val="008C7A8F"/>
    <w:rsid w:val="008C7BE0"/>
    <w:rsid w:val="008C7C56"/>
    <w:rsid w:val="008C7CD8"/>
    <w:rsid w:val="008C7D2E"/>
    <w:rsid w:val="008C7D91"/>
    <w:rsid w:val="008C7DBE"/>
    <w:rsid w:val="008C7DC7"/>
    <w:rsid w:val="008C7E8A"/>
    <w:rsid w:val="008C7F7C"/>
    <w:rsid w:val="008C7FE2"/>
    <w:rsid w:val="008D002E"/>
    <w:rsid w:val="008D003E"/>
    <w:rsid w:val="008D0078"/>
    <w:rsid w:val="008D018C"/>
    <w:rsid w:val="008D01BB"/>
    <w:rsid w:val="008D01FB"/>
    <w:rsid w:val="008D031A"/>
    <w:rsid w:val="008D041F"/>
    <w:rsid w:val="008D0428"/>
    <w:rsid w:val="008D044A"/>
    <w:rsid w:val="008D0459"/>
    <w:rsid w:val="008D05B3"/>
    <w:rsid w:val="008D071D"/>
    <w:rsid w:val="008D0720"/>
    <w:rsid w:val="008D0806"/>
    <w:rsid w:val="008D0852"/>
    <w:rsid w:val="008D08EC"/>
    <w:rsid w:val="008D0933"/>
    <w:rsid w:val="008D095C"/>
    <w:rsid w:val="008D097B"/>
    <w:rsid w:val="008D09B9"/>
    <w:rsid w:val="008D09D7"/>
    <w:rsid w:val="008D0A17"/>
    <w:rsid w:val="008D0A8B"/>
    <w:rsid w:val="008D0B2C"/>
    <w:rsid w:val="008D0B96"/>
    <w:rsid w:val="008D0BF9"/>
    <w:rsid w:val="008D0C20"/>
    <w:rsid w:val="008D0CB9"/>
    <w:rsid w:val="008D0D05"/>
    <w:rsid w:val="008D0DB0"/>
    <w:rsid w:val="008D0E01"/>
    <w:rsid w:val="008D0E4E"/>
    <w:rsid w:val="008D0F26"/>
    <w:rsid w:val="008D0F99"/>
    <w:rsid w:val="008D1024"/>
    <w:rsid w:val="008D104C"/>
    <w:rsid w:val="008D10D4"/>
    <w:rsid w:val="008D116E"/>
    <w:rsid w:val="008D119D"/>
    <w:rsid w:val="008D1271"/>
    <w:rsid w:val="008D12BA"/>
    <w:rsid w:val="008D1426"/>
    <w:rsid w:val="008D1429"/>
    <w:rsid w:val="008D1496"/>
    <w:rsid w:val="008D14AD"/>
    <w:rsid w:val="008D1528"/>
    <w:rsid w:val="008D15EB"/>
    <w:rsid w:val="008D168A"/>
    <w:rsid w:val="008D1755"/>
    <w:rsid w:val="008D176F"/>
    <w:rsid w:val="008D1802"/>
    <w:rsid w:val="008D1903"/>
    <w:rsid w:val="008D1985"/>
    <w:rsid w:val="008D1A13"/>
    <w:rsid w:val="008D1B51"/>
    <w:rsid w:val="008D1BA9"/>
    <w:rsid w:val="008D1C5E"/>
    <w:rsid w:val="008D1CEB"/>
    <w:rsid w:val="008D1D11"/>
    <w:rsid w:val="008D1D15"/>
    <w:rsid w:val="008D1D24"/>
    <w:rsid w:val="008D1E86"/>
    <w:rsid w:val="008D1EB8"/>
    <w:rsid w:val="008D1EF1"/>
    <w:rsid w:val="008D1FCF"/>
    <w:rsid w:val="008D1FE3"/>
    <w:rsid w:val="008D215F"/>
    <w:rsid w:val="008D2188"/>
    <w:rsid w:val="008D21C0"/>
    <w:rsid w:val="008D22A5"/>
    <w:rsid w:val="008D233F"/>
    <w:rsid w:val="008D234E"/>
    <w:rsid w:val="008D2350"/>
    <w:rsid w:val="008D23BA"/>
    <w:rsid w:val="008D2469"/>
    <w:rsid w:val="008D2472"/>
    <w:rsid w:val="008D24E4"/>
    <w:rsid w:val="008D24E5"/>
    <w:rsid w:val="008D24EB"/>
    <w:rsid w:val="008D25A6"/>
    <w:rsid w:val="008D26A8"/>
    <w:rsid w:val="008D26C5"/>
    <w:rsid w:val="008D275E"/>
    <w:rsid w:val="008D2795"/>
    <w:rsid w:val="008D2895"/>
    <w:rsid w:val="008D28B3"/>
    <w:rsid w:val="008D28D8"/>
    <w:rsid w:val="008D2904"/>
    <w:rsid w:val="008D292C"/>
    <w:rsid w:val="008D293F"/>
    <w:rsid w:val="008D2A3A"/>
    <w:rsid w:val="008D2B18"/>
    <w:rsid w:val="008D2B1E"/>
    <w:rsid w:val="008D2B80"/>
    <w:rsid w:val="008D2BCF"/>
    <w:rsid w:val="008D2C89"/>
    <w:rsid w:val="008D2D01"/>
    <w:rsid w:val="008D2D8F"/>
    <w:rsid w:val="008D2D9F"/>
    <w:rsid w:val="008D2DB9"/>
    <w:rsid w:val="008D2EB1"/>
    <w:rsid w:val="008D2F11"/>
    <w:rsid w:val="008D2F93"/>
    <w:rsid w:val="008D2FA6"/>
    <w:rsid w:val="008D2FEB"/>
    <w:rsid w:val="008D306B"/>
    <w:rsid w:val="008D309D"/>
    <w:rsid w:val="008D3166"/>
    <w:rsid w:val="008D319C"/>
    <w:rsid w:val="008D31F4"/>
    <w:rsid w:val="008D328D"/>
    <w:rsid w:val="008D32E8"/>
    <w:rsid w:val="008D3328"/>
    <w:rsid w:val="008D34F0"/>
    <w:rsid w:val="008D350C"/>
    <w:rsid w:val="008D3587"/>
    <w:rsid w:val="008D3691"/>
    <w:rsid w:val="008D36EB"/>
    <w:rsid w:val="008D37E7"/>
    <w:rsid w:val="008D3807"/>
    <w:rsid w:val="008D3878"/>
    <w:rsid w:val="008D38AA"/>
    <w:rsid w:val="008D38CF"/>
    <w:rsid w:val="008D38EC"/>
    <w:rsid w:val="008D3910"/>
    <w:rsid w:val="008D39AE"/>
    <w:rsid w:val="008D39B7"/>
    <w:rsid w:val="008D39C4"/>
    <w:rsid w:val="008D3A6C"/>
    <w:rsid w:val="008D3CA1"/>
    <w:rsid w:val="008D3E71"/>
    <w:rsid w:val="008D3E8A"/>
    <w:rsid w:val="008D3ED0"/>
    <w:rsid w:val="008D3EF8"/>
    <w:rsid w:val="008D3F61"/>
    <w:rsid w:val="008D415A"/>
    <w:rsid w:val="008D4164"/>
    <w:rsid w:val="008D417F"/>
    <w:rsid w:val="008D41F6"/>
    <w:rsid w:val="008D43EF"/>
    <w:rsid w:val="008D441A"/>
    <w:rsid w:val="008D4428"/>
    <w:rsid w:val="008D4473"/>
    <w:rsid w:val="008D449F"/>
    <w:rsid w:val="008D4526"/>
    <w:rsid w:val="008D452E"/>
    <w:rsid w:val="008D4535"/>
    <w:rsid w:val="008D45DE"/>
    <w:rsid w:val="008D482B"/>
    <w:rsid w:val="008D485D"/>
    <w:rsid w:val="008D48D2"/>
    <w:rsid w:val="008D48F7"/>
    <w:rsid w:val="008D49EB"/>
    <w:rsid w:val="008D4A1B"/>
    <w:rsid w:val="008D4A7F"/>
    <w:rsid w:val="008D4A90"/>
    <w:rsid w:val="008D4BBB"/>
    <w:rsid w:val="008D4BDF"/>
    <w:rsid w:val="008D4C52"/>
    <w:rsid w:val="008D4CC6"/>
    <w:rsid w:val="008D4D39"/>
    <w:rsid w:val="008D4DF7"/>
    <w:rsid w:val="008D4ED3"/>
    <w:rsid w:val="008D4EED"/>
    <w:rsid w:val="008D4EEF"/>
    <w:rsid w:val="008D4FA1"/>
    <w:rsid w:val="008D505A"/>
    <w:rsid w:val="008D50D1"/>
    <w:rsid w:val="008D50E5"/>
    <w:rsid w:val="008D51D4"/>
    <w:rsid w:val="008D5258"/>
    <w:rsid w:val="008D5270"/>
    <w:rsid w:val="008D52A6"/>
    <w:rsid w:val="008D532B"/>
    <w:rsid w:val="008D5469"/>
    <w:rsid w:val="008D5476"/>
    <w:rsid w:val="008D547B"/>
    <w:rsid w:val="008D5562"/>
    <w:rsid w:val="008D5571"/>
    <w:rsid w:val="008D565B"/>
    <w:rsid w:val="008D5689"/>
    <w:rsid w:val="008D5731"/>
    <w:rsid w:val="008D585E"/>
    <w:rsid w:val="008D5A48"/>
    <w:rsid w:val="008D5AB8"/>
    <w:rsid w:val="008D5B22"/>
    <w:rsid w:val="008D5B70"/>
    <w:rsid w:val="008D5B83"/>
    <w:rsid w:val="008D5B8F"/>
    <w:rsid w:val="008D5BC4"/>
    <w:rsid w:val="008D5C29"/>
    <w:rsid w:val="008D5D17"/>
    <w:rsid w:val="008D5E57"/>
    <w:rsid w:val="008D5F23"/>
    <w:rsid w:val="008D5F7D"/>
    <w:rsid w:val="008D5F9C"/>
    <w:rsid w:val="008D5FA0"/>
    <w:rsid w:val="008D6061"/>
    <w:rsid w:val="008D60AC"/>
    <w:rsid w:val="008D60DA"/>
    <w:rsid w:val="008D610F"/>
    <w:rsid w:val="008D6140"/>
    <w:rsid w:val="008D6194"/>
    <w:rsid w:val="008D62BE"/>
    <w:rsid w:val="008D62C3"/>
    <w:rsid w:val="008D62ED"/>
    <w:rsid w:val="008D6336"/>
    <w:rsid w:val="008D636B"/>
    <w:rsid w:val="008D63EA"/>
    <w:rsid w:val="008D63FE"/>
    <w:rsid w:val="008D6558"/>
    <w:rsid w:val="008D65B7"/>
    <w:rsid w:val="008D65BB"/>
    <w:rsid w:val="008D65E7"/>
    <w:rsid w:val="008D673C"/>
    <w:rsid w:val="008D6747"/>
    <w:rsid w:val="008D67BA"/>
    <w:rsid w:val="008D683A"/>
    <w:rsid w:val="008D684E"/>
    <w:rsid w:val="008D69D1"/>
    <w:rsid w:val="008D6A3B"/>
    <w:rsid w:val="008D6ABD"/>
    <w:rsid w:val="008D6B8C"/>
    <w:rsid w:val="008D6BB1"/>
    <w:rsid w:val="008D6BDF"/>
    <w:rsid w:val="008D6C96"/>
    <w:rsid w:val="008D6CD1"/>
    <w:rsid w:val="008D6D9E"/>
    <w:rsid w:val="008D6DDB"/>
    <w:rsid w:val="008D6E75"/>
    <w:rsid w:val="008D6EA9"/>
    <w:rsid w:val="008D6F91"/>
    <w:rsid w:val="008D6FCD"/>
    <w:rsid w:val="008D704B"/>
    <w:rsid w:val="008D704D"/>
    <w:rsid w:val="008D7168"/>
    <w:rsid w:val="008D71E5"/>
    <w:rsid w:val="008D7203"/>
    <w:rsid w:val="008D743B"/>
    <w:rsid w:val="008D744D"/>
    <w:rsid w:val="008D74A9"/>
    <w:rsid w:val="008D74CC"/>
    <w:rsid w:val="008D7610"/>
    <w:rsid w:val="008D762E"/>
    <w:rsid w:val="008D766C"/>
    <w:rsid w:val="008D76F7"/>
    <w:rsid w:val="008D7719"/>
    <w:rsid w:val="008D77FA"/>
    <w:rsid w:val="008D780C"/>
    <w:rsid w:val="008D792C"/>
    <w:rsid w:val="008D794A"/>
    <w:rsid w:val="008D794F"/>
    <w:rsid w:val="008D799F"/>
    <w:rsid w:val="008D79D9"/>
    <w:rsid w:val="008D7A99"/>
    <w:rsid w:val="008D7AC3"/>
    <w:rsid w:val="008D7AE9"/>
    <w:rsid w:val="008D7B7B"/>
    <w:rsid w:val="008D7CEB"/>
    <w:rsid w:val="008D7D3F"/>
    <w:rsid w:val="008D7D70"/>
    <w:rsid w:val="008D7EEE"/>
    <w:rsid w:val="008E0011"/>
    <w:rsid w:val="008E00B1"/>
    <w:rsid w:val="008E00DF"/>
    <w:rsid w:val="008E0246"/>
    <w:rsid w:val="008E0439"/>
    <w:rsid w:val="008E046A"/>
    <w:rsid w:val="008E046E"/>
    <w:rsid w:val="008E0504"/>
    <w:rsid w:val="008E0546"/>
    <w:rsid w:val="008E0741"/>
    <w:rsid w:val="008E076A"/>
    <w:rsid w:val="008E080C"/>
    <w:rsid w:val="008E084A"/>
    <w:rsid w:val="008E087F"/>
    <w:rsid w:val="008E08B0"/>
    <w:rsid w:val="008E08CB"/>
    <w:rsid w:val="008E0937"/>
    <w:rsid w:val="008E093B"/>
    <w:rsid w:val="008E0987"/>
    <w:rsid w:val="008E0B49"/>
    <w:rsid w:val="008E0CB4"/>
    <w:rsid w:val="008E0CC9"/>
    <w:rsid w:val="008E0D64"/>
    <w:rsid w:val="008E0DF7"/>
    <w:rsid w:val="008E0DFA"/>
    <w:rsid w:val="008E0DFC"/>
    <w:rsid w:val="008E0E00"/>
    <w:rsid w:val="008E0E21"/>
    <w:rsid w:val="008E0E2B"/>
    <w:rsid w:val="008E0F75"/>
    <w:rsid w:val="008E0F8B"/>
    <w:rsid w:val="008E1027"/>
    <w:rsid w:val="008E103C"/>
    <w:rsid w:val="008E1078"/>
    <w:rsid w:val="008E10AD"/>
    <w:rsid w:val="008E1150"/>
    <w:rsid w:val="008E1189"/>
    <w:rsid w:val="008E1362"/>
    <w:rsid w:val="008E13C1"/>
    <w:rsid w:val="008E1415"/>
    <w:rsid w:val="008E14AA"/>
    <w:rsid w:val="008E14B6"/>
    <w:rsid w:val="008E1535"/>
    <w:rsid w:val="008E1563"/>
    <w:rsid w:val="008E15FE"/>
    <w:rsid w:val="008E1636"/>
    <w:rsid w:val="008E1637"/>
    <w:rsid w:val="008E18F4"/>
    <w:rsid w:val="008E1922"/>
    <w:rsid w:val="008E19BF"/>
    <w:rsid w:val="008E1A60"/>
    <w:rsid w:val="008E1B7B"/>
    <w:rsid w:val="008E1BB0"/>
    <w:rsid w:val="008E1BC2"/>
    <w:rsid w:val="008E1BDE"/>
    <w:rsid w:val="008E1CCC"/>
    <w:rsid w:val="008E1D0D"/>
    <w:rsid w:val="008E1D28"/>
    <w:rsid w:val="008E1D77"/>
    <w:rsid w:val="008E1D78"/>
    <w:rsid w:val="008E1DD9"/>
    <w:rsid w:val="008E1E7F"/>
    <w:rsid w:val="008E1E98"/>
    <w:rsid w:val="008E1F74"/>
    <w:rsid w:val="008E1F77"/>
    <w:rsid w:val="008E21EF"/>
    <w:rsid w:val="008E226C"/>
    <w:rsid w:val="008E2311"/>
    <w:rsid w:val="008E2453"/>
    <w:rsid w:val="008E245F"/>
    <w:rsid w:val="008E2489"/>
    <w:rsid w:val="008E24AE"/>
    <w:rsid w:val="008E24F6"/>
    <w:rsid w:val="008E2506"/>
    <w:rsid w:val="008E2556"/>
    <w:rsid w:val="008E25B0"/>
    <w:rsid w:val="008E25CC"/>
    <w:rsid w:val="008E262D"/>
    <w:rsid w:val="008E264F"/>
    <w:rsid w:val="008E26BF"/>
    <w:rsid w:val="008E2755"/>
    <w:rsid w:val="008E2821"/>
    <w:rsid w:val="008E29CC"/>
    <w:rsid w:val="008E2AA4"/>
    <w:rsid w:val="008E2AA9"/>
    <w:rsid w:val="008E2B32"/>
    <w:rsid w:val="008E2BAE"/>
    <w:rsid w:val="008E2BC0"/>
    <w:rsid w:val="008E2D01"/>
    <w:rsid w:val="008E2D97"/>
    <w:rsid w:val="008E2DAD"/>
    <w:rsid w:val="008E2E14"/>
    <w:rsid w:val="008E2E51"/>
    <w:rsid w:val="008E2F96"/>
    <w:rsid w:val="008E2FCE"/>
    <w:rsid w:val="008E30D8"/>
    <w:rsid w:val="008E30F0"/>
    <w:rsid w:val="008E30F6"/>
    <w:rsid w:val="008E313E"/>
    <w:rsid w:val="008E31F0"/>
    <w:rsid w:val="008E324A"/>
    <w:rsid w:val="008E3394"/>
    <w:rsid w:val="008E33E0"/>
    <w:rsid w:val="008E33EA"/>
    <w:rsid w:val="008E34F0"/>
    <w:rsid w:val="008E3515"/>
    <w:rsid w:val="008E358B"/>
    <w:rsid w:val="008E35AF"/>
    <w:rsid w:val="008E3611"/>
    <w:rsid w:val="008E364F"/>
    <w:rsid w:val="008E381B"/>
    <w:rsid w:val="008E3903"/>
    <w:rsid w:val="008E39EF"/>
    <w:rsid w:val="008E3B13"/>
    <w:rsid w:val="008E3C33"/>
    <w:rsid w:val="008E3C93"/>
    <w:rsid w:val="008E3D13"/>
    <w:rsid w:val="008E3D3F"/>
    <w:rsid w:val="008E3D56"/>
    <w:rsid w:val="008E3D70"/>
    <w:rsid w:val="008E3DC2"/>
    <w:rsid w:val="008E3DF7"/>
    <w:rsid w:val="008E3E7A"/>
    <w:rsid w:val="008E3EB1"/>
    <w:rsid w:val="008E3F58"/>
    <w:rsid w:val="008E3F7A"/>
    <w:rsid w:val="008E3F8C"/>
    <w:rsid w:val="008E3FD3"/>
    <w:rsid w:val="008E3FF1"/>
    <w:rsid w:val="008E4183"/>
    <w:rsid w:val="008E419A"/>
    <w:rsid w:val="008E41A2"/>
    <w:rsid w:val="008E4277"/>
    <w:rsid w:val="008E4278"/>
    <w:rsid w:val="008E4332"/>
    <w:rsid w:val="008E442B"/>
    <w:rsid w:val="008E44AE"/>
    <w:rsid w:val="008E44D2"/>
    <w:rsid w:val="008E44E3"/>
    <w:rsid w:val="008E462F"/>
    <w:rsid w:val="008E466C"/>
    <w:rsid w:val="008E46D8"/>
    <w:rsid w:val="008E46E9"/>
    <w:rsid w:val="008E46F7"/>
    <w:rsid w:val="008E471D"/>
    <w:rsid w:val="008E48E2"/>
    <w:rsid w:val="008E49A7"/>
    <w:rsid w:val="008E49AF"/>
    <w:rsid w:val="008E4A76"/>
    <w:rsid w:val="008E4C8D"/>
    <w:rsid w:val="008E4CA3"/>
    <w:rsid w:val="008E4CC6"/>
    <w:rsid w:val="008E4E3B"/>
    <w:rsid w:val="008E4EAF"/>
    <w:rsid w:val="008E4EBE"/>
    <w:rsid w:val="008E4F13"/>
    <w:rsid w:val="008E4F54"/>
    <w:rsid w:val="008E501B"/>
    <w:rsid w:val="008E504A"/>
    <w:rsid w:val="008E50FD"/>
    <w:rsid w:val="008E51D9"/>
    <w:rsid w:val="008E523B"/>
    <w:rsid w:val="008E529B"/>
    <w:rsid w:val="008E5350"/>
    <w:rsid w:val="008E546F"/>
    <w:rsid w:val="008E54FD"/>
    <w:rsid w:val="008E5523"/>
    <w:rsid w:val="008E55FD"/>
    <w:rsid w:val="008E565B"/>
    <w:rsid w:val="008E56D1"/>
    <w:rsid w:val="008E56DC"/>
    <w:rsid w:val="008E573F"/>
    <w:rsid w:val="008E57C0"/>
    <w:rsid w:val="008E57DA"/>
    <w:rsid w:val="008E583D"/>
    <w:rsid w:val="008E5863"/>
    <w:rsid w:val="008E594D"/>
    <w:rsid w:val="008E5A0D"/>
    <w:rsid w:val="008E5ABA"/>
    <w:rsid w:val="008E5AD9"/>
    <w:rsid w:val="008E5BB4"/>
    <w:rsid w:val="008E5C5F"/>
    <w:rsid w:val="008E5C95"/>
    <w:rsid w:val="008E5D0D"/>
    <w:rsid w:val="008E5D43"/>
    <w:rsid w:val="008E5D7E"/>
    <w:rsid w:val="008E5E0E"/>
    <w:rsid w:val="008E5EBD"/>
    <w:rsid w:val="008E5EF3"/>
    <w:rsid w:val="008E5FC3"/>
    <w:rsid w:val="008E6151"/>
    <w:rsid w:val="008E6215"/>
    <w:rsid w:val="008E62F5"/>
    <w:rsid w:val="008E6315"/>
    <w:rsid w:val="008E63F7"/>
    <w:rsid w:val="008E645D"/>
    <w:rsid w:val="008E6481"/>
    <w:rsid w:val="008E6527"/>
    <w:rsid w:val="008E65B9"/>
    <w:rsid w:val="008E662C"/>
    <w:rsid w:val="008E6668"/>
    <w:rsid w:val="008E6707"/>
    <w:rsid w:val="008E674C"/>
    <w:rsid w:val="008E6780"/>
    <w:rsid w:val="008E68BB"/>
    <w:rsid w:val="008E68D0"/>
    <w:rsid w:val="008E691C"/>
    <w:rsid w:val="008E69DB"/>
    <w:rsid w:val="008E6B32"/>
    <w:rsid w:val="008E6B7E"/>
    <w:rsid w:val="008E6BAD"/>
    <w:rsid w:val="008E6C2B"/>
    <w:rsid w:val="008E6D44"/>
    <w:rsid w:val="008E6D77"/>
    <w:rsid w:val="008E6D8E"/>
    <w:rsid w:val="008E6DB5"/>
    <w:rsid w:val="008E6DE1"/>
    <w:rsid w:val="008E6EB6"/>
    <w:rsid w:val="008E6EBE"/>
    <w:rsid w:val="008E6F72"/>
    <w:rsid w:val="008E6FDF"/>
    <w:rsid w:val="008E7025"/>
    <w:rsid w:val="008E7112"/>
    <w:rsid w:val="008E7157"/>
    <w:rsid w:val="008E7225"/>
    <w:rsid w:val="008E727B"/>
    <w:rsid w:val="008E7292"/>
    <w:rsid w:val="008E729F"/>
    <w:rsid w:val="008E7363"/>
    <w:rsid w:val="008E748A"/>
    <w:rsid w:val="008E749A"/>
    <w:rsid w:val="008E74A7"/>
    <w:rsid w:val="008E75B9"/>
    <w:rsid w:val="008E75C8"/>
    <w:rsid w:val="008E768D"/>
    <w:rsid w:val="008E7771"/>
    <w:rsid w:val="008E7829"/>
    <w:rsid w:val="008E784B"/>
    <w:rsid w:val="008E786A"/>
    <w:rsid w:val="008E78A7"/>
    <w:rsid w:val="008E78EF"/>
    <w:rsid w:val="008E7944"/>
    <w:rsid w:val="008E79AA"/>
    <w:rsid w:val="008E79C0"/>
    <w:rsid w:val="008E79CC"/>
    <w:rsid w:val="008E79D1"/>
    <w:rsid w:val="008E7A32"/>
    <w:rsid w:val="008E7A5F"/>
    <w:rsid w:val="008E7A78"/>
    <w:rsid w:val="008E7AE9"/>
    <w:rsid w:val="008E7B21"/>
    <w:rsid w:val="008E7BDC"/>
    <w:rsid w:val="008E7C6E"/>
    <w:rsid w:val="008E7C74"/>
    <w:rsid w:val="008E7D45"/>
    <w:rsid w:val="008E7D56"/>
    <w:rsid w:val="008E7E30"/>
    <w:rsid w:val="008E7EBF"/>
    <w:rsid w:val="008E7EF6"/>
    <w:rsid w:val="008E7F88"/>
    <w:rsid w:val="008E7F93"/>
    <w:rsid w:val="008E7FAE"/>
    <w:rsid w:val="008F0048"/>
    <w:rsid w:val="008F006C"/>
    <w:rsid w:val="008F0195"/>
    <w:rsid w:val="008F02B9"/>
    <w:rsid w:val="008F02C8"/>
    <w:rsid w:val="008F02D6"/>
    <w:rsid w:val="008F041C"/>
    <w:rsid w:val="008F04D8"/>
    <w:rsid w:val="008F060C"/>
    <w:rsid w:val="008F061D"/>
    <w:rsid w:val="008F0624"/>
    <w:rsid w:val="008F069B"/>
    <w:rsid w:val="008F0768"/>
    <w:rsid w:val="008F0777"/>
    <w:rsid w:val="008F0779"/>
    <w:rsid w:val="008F086C"/>
    <w:rsid w:val="008F0935"/>
    <w:rsid w:val="008F0A0D"/>
    <w:rsid w:val="008F0AD5"/>
    <w:rsid w:val="008F0B2B"/>
    <w:rsid w:val="008F0C2E"/>
    <w:rsid w:val="008F0CAC"/>
    <w:rsid w:val="008F0CCB"/>
    <w:rsid w:val="008F0D7A"/>
    <w:rsid w:val="008F0DC3"/>
    <w:rsid w:val="008F0EE4"/>
    <w:rsid w:val="008F0F73"/>
    <w:rsid w:val="008F0FD1"/>
    <w:rsid w:val="008F1015"/>
    <w:rsid w:val="008F105A"/>
    <w:rsid w:val="008F10A2"/>
    <w:rsid w:val="008F1173"/>
    <w:rsid w:val="008F12E1"/>
    <w:rsid w:val="008F1340"/>
    <w:rsid w:val="008F1360"/>
    <w:rsid w:val="008F1423"/>
    <w:rsid w:val="008F14FC"/>
    <w:rsid w:val="008F16C3"/>
    <w:rsid w:val="008F196C"/>
    <w:rsid w:val="008F1A03"/>
    <w:rsid w:val="008F1A3D"/>
    <w:rsid w:val="008F1AA6"/>
    <w:rsid w:val="008F1AE6"/>
    <w:rsid w:val="008F1B5D"/>
    <w:rsid w:val="008F1B6F"/>
    <w:rsid w:val="008F1B73"/>
    <w:rsid w:val="008F1BD2"/>
    <w:rsid w:val="008F1C04"/>
    <w:rsid w:val="008F1D06"/>
    <w:rsid w:val="008F1E95"/>
    <w:rsid w:val="008F1F69"/>
    <w:rsid w:val="008F1F90"/>
    <w:rsid w:val="008F1F9E"/>
    <w:rsid w:val="008F1FD3"/>
    <w:rsid w:val="008F1FFF"/>
    <w:rsid w:val="008F2035"/>
    <w:rsid w:val="008F205C"/>
    <w:rsid w:val="008F205D"/>
    <w:rsid w:val="008F2062"/>
    <w:rsid w:val="008F20D5"/>
    <w:rsid w:val="008F2119"/>
    <w:rsid w:val="008F211C"/>
    <w:rsid w:val="008F214D"/>
    <w:rsid w:val="008F2163"/>
    <w:rsid w:val="008F2166"/>
    <w:rsid w:val="008F217E"/>
    <w:rsid w:val="008F21BC"/>
    <w:rsid w:val="008F21E2"/>
    <w:rsid w:val="008F2235"/>
    <w:rsid w:val="008F2255"/>
    <w:rsid w:val="008F22CF"/>
    <w:rsid w:val="008F22D5"/>
    <w:rsid w:val="008F2342"/>
    <w:rsid w:val="008F23DC"/>
    <w:rsid w:val="008F2558"/>
    <w:rsid w:val="008F25C0"/>
    <w:rsid w:val="008F2612"/>
    <w:rsid w:val="008F2656"/>
    <w:rsid w:val="008F27E1"/>
    <w:rsid w:val="008F2816"/>
    <w:rsid w:val="008F28BC"/>
    <w:rsid w:val="008F28BF"/>
    <w:rsid w:val="008F28F5"/>
    <w:rsid w:val="008F29E3"/>
    <w:rsid w:val="008F2A3E"/>
    <w:rsid w:val="008F2A97"/>
    <w:rsid w:val="008F2B03"/>
    <w:rsid w:val="008F2CFE"/>
    <w:rsid w:val="008F2D59"/>
    <w:rsid w:val="008F2E42"/>
    <w:rsid w:val="008F2EE5"/>
    <w:rsid w:val="008F2F6E"/>
    <w:rsid w:val="008F308F"/>
    <w:rsid w:val="008F311E"/>
    <w:rsid w:val="008F3126"/>
    <w:rsid w:val="008F314B"/>
    <w:rsid w:val="008F3284"/>
    <w:rsid w:val="008F32B4"/>
    <w:rsid w:val="008F32C1"/>
    <w:rsid w:val="008F32DB"/>
    <w:rsid w:val="008F33FA"/>
    <w:rsid w:val="008F3432"/>
    <w:rsid w:val="008F34D2"/>
    <w:rsid w:val="008F34FD"/>
    <w:rsid w:val="008F3502"/>
    <w:rsid w:val="008F363A"/>
    <w:rsid w:val="008F3696"/>
    <w:rsid w:val="008F37A7"/>
    <w:rsid w:val="008F3876"/>
    <w:rsid w:val="008F393B"/>
    <w:rsid w:val="008F3A65"/>
    <w:rsid w:val="008F3AB3"/>
    <w:rsid w:val="008F3ACA"/>
    <w:rsid w:val="008F3AFF"/>
    <w:rsid w:val="008F3BBC"/>
    <w:rsid w:val="008F3C17"/>
    <w:rsid w:val="008F3C42"/>
    <w:rsid w:val="008F3D61"/>
    <w:rsid w:val="008F3EBD"/>
    <w:rsid w:val="008F3F3B"/>
    <w:rsid w:val="008F3FD2"/>
    <w:rsid w:val="008F4074"/>
    <w:rsid w:val="008F424E"/>
    <w:rsid w:val="008F4264"/>
    <w:rsid w:val="008F42AD"/>
    <w:rsid w:val="008F42F7"/>
    <w:rsid w:val="008F430D"/>
    <w:rsid w:val="008F4452"/>
    <w:rsid w:val="008F4491"/>
    <w:rsid w:val="008F449B"/>
    <w:rsid w:val="008F450B"/>
    <w:rsid w:val="008F4596"/>
    <w:rsid w:val="008F4633"/>
    <w:rsid w:val="008F4687"/>
    <w:rsid w:val="008F46EB"/>
    <w:rsid w:val="008F478A"/>
    <w:rsid w:val="008F47C2"/>
    <w:rsid w:val="008F4864"/>
    <w:rsid w:val="008F489A"/>
    <w:rsid w:val="008F48F3"/>
    <w:rsid w:val="008F4A26"/>
    <w:rsid w:val="008F4ACD"/>
    <w:rsid w:val="008F4B92"/>
    <w:rsid w:val="008F4D05"/>
    <w:rsid w:val="008F4DDF"/>
    <w:rsid w:val="008F4EDF"/>
    <w:rsid w:val="008F4F5D"/>
    <w:rsid w:val="008F4F5F"/>
    <w:rsid w:val="008F5014"/>
    <w:rsid w:val="008F5047"/>
    <w:rsid w:val="008F50B2"/>
    <w:rsid w:val="008F50BA"/>
    <w:rsid w:val="008F51EE"/>
    <w:rsid w:val="008F51F8"/>
    <w:rsid w:val="008F524B"/>
    <w:rsid w:val="008F5288"/>
    <w:rsid w:val="008F52F2"/>
    <w:rsid w:val="008F543C"/>
    <w:rsid w:val="008F55A6"/>
    <w:rsid w:val="008F55B0"/>
    <w:rsid w:val="008F55F8"/>
    <w:rsid w:val="008F5679"/>
    <w:rsid w:val="008F572F"/>
    <w:rsid w:val="008F57D9"/>
    <w:rsid w:val="008F587C"/>
    <w:rsid w:val="008F5917"/>
    <w:rsid w:val="008F5922"/>
    <w:rsid w:val="008F5940"/>
    <w:rsid w:val="008F5A94"/>
    <w:rsid w:val="008F5ACB"/>
    <w:rsid w:val="008F5B53"/>
    <w:rsid w:val="008F5C31"/>
    <w:rsid w:val="008F5CD4"/>
    <w:rsid w:val="008F5D10"/>
    <w:rsid w:val="008F5D2C"/>
    <w:rsid w:val="008F5D61"/>
    <w:rsid w:val="008F5D95"/>
    <w:rsid w:val="008F5E59"/>
    <w:rsid w:val="008F5EA8"/>
    <w:rsid w:val="008F5EBC"/>
    <w:rsid w:val="008F5EDE"/>
    <w:rsid w:val="008F5F0A"/>
    <w:rsid w:val="008F5F48"/>
    <w:rsid w:val="008F605B"/>
    <w:rsid w:val="008F6085"/>
    <w:rsid w:val="008F6144"/>
    <w:rsid w:val="008F6161"/>
    <w:rsid w:val="008F620C"/>
    <w:rsid w:val="008F62FA"/>
    <w:rsid w:val="008F6304"/>
    <w:rsid w:val="008F6383"/>
    <w:rsid w:val="008F645E"/>
    <w:rsid w:val="008F64A5"/>
    <w:rsid w:val="008F64C3"/>
    <w:rsid w:val="008F6661"/>
    <w:rsid w:val="008F66C6"/>
    <w:rsid w:val="008F6703"/>
    <w:rsid w:val="008F6727"/>
    <w:rsid w:val="008F6747"/>
    <w:rsid w:val="008F6750"/>
    <w:rsid w:val="008F68FA"/>
    <w:rsid w:val="008F6969"/>
    <w:rsid w:val="008F69B7"/>
    <w:rsid w:val="008F6A9E"/>
    <w:rsid w:val="008F6AD1"/>
    <w:rsid w:val="008F6AF6"/>
    <w:rsid w:val="008F6B04"/>
    <w:rsid w:val="008F6B96"/>
    <w:rsid w:val="008F6BDF"/>
    <w:rsid w:val="008F6C00"/>
    <w:rsid w:val="008F6D4B"/>
    <w:rsid w:val="008F6DCB"/>
    <w:rsid w:val="008F6DE2"/>
    <w:rsid w:val="008F6EC0"/>
    <w:rsid w:val="008F6ED5"/>
    <w:rsid w:val="008F6EEA"/>
    <w:rsid w:val="008F6F0B"/>
    <w:rsid w:val="008F6F8E"/>
    <w:rsid w:val="008F6FC7"/>
    <w:rsid w:val="008F70C1"/>
    <w:rsid w:val="008F70C4"/>
    <w:rsid w:val="008F70FC"/>
    <w:rsid w:val="008F713A"/>
    <w:rsid w:val="008F719B"/>
    <w:rsid w:val="008F71A3"/>
    <w:rsid w:val="008F723C"/>
    <w:rsid w:val="008F7299"/>
    <w:rsid w:val="008F72CC"/>
    <w:rsid w:val="008F7300"/>
    <w:rsid w:val="008F7301"/>
    <w:rsid w:val="008F73FD"/>
    <w:rsid w:val="008F7535"/>
    <w:rsid w:val="008F7593"/>
    <w:rsid w:val="008F7598"/>
    <w:rsid w:val="008F769A"/>
    <w:rsid w:val="008F7717"/>
    <w:rsid w:val="008F7756"/>
    <w:rsid w:val="008F7878"/>
    <w:rsid w:val="008F78C3"/>
    <w:rsid w:val="008F78D9"/>
    <w:rsid w:val="008F78E1"/>
    <w:rsid w:val="008F78F2"/>
    <w:rsid w:val="008F790A"/>
    <w:rsid w:val="008F7996"/>
    <w:rsid w:val="008F79F3"/>
    <w:rsid w:val="008F79F9"/>
    <w:rsid w:val="008F7A52"/>
    <w:rsid w:val="008F7AA1"/>
    <w:rsid w:val="008F7AC8"/>
    <w:rsid w:val="008F7B5F"/>
    <w:rsid w:val="008F7C0F"/>
    <w:rsid w:val="008F7C3D"/>
    <w:rsid w:val="008F7C6D"/>
    <w:rsid w:val="008F7C7E"/>
    <w:rsid w:val="008F7CB8"/>
    <w:rsid w:val="008F7F28"/>
    <w:rsid w:val="008F7F30"/>
    <w:rsid w:val="00900038"/>
    <w:rsid w:val="0090014E"/>
    <w:rsid w:val="009001D3"/>
    <w:rsid w:val="00900243"/>
    <w:rsid w:val="0090024D"/>
    <w:rsid w:val="009002A4"/>
    <w:rsid w:val="009002CD"/>
    <w:rsid w:val="0090039F"/>
    <w:rsid w:val="009003A4"/>
    <w:rsid w:val="0090049D"/>
    <w:rsid w:val="0090060C"/>
    <w:rsid w:val="00900669"/>
    <w:rsid w:val="00900672"/>
    <w:rsid w:val="00900675"/>
    <w:rsid w:val="0090068B"/>
    <w:rsid w:val="009006DE"/>
    <w:rsid w:val="009007E0"/>
    <w:rsid w:val="00900978"/>
    <w:rsid w:val="00900997"/>
    <w:rsid w:val="00900A0A"/>
    <w:rsid w:val="00900B72"/>
    <w:rsid w:val="00900B89"/>
    <w:rsid w:val="00900BB0"/>
    <w:rsid w:val="00900C67"/>
    <w:rsid w:val="00900E21"/>
    <w:rsid w:val="00900EA0"/>
    <w:rsid w:val="00900EA2"/>
    <w:rsid w:val="00900F43"/>
    <w:rsid w:val="00901065"/>
    <w:rsid w:val="009010F8"/>
    <w:rsid w:val="0090114F"/>
    <w:rsid w:val="009011F0"/>
    <w:rsid w:val="009011F6"/>
    <w:rsid w:val="00901230"/>
    <w:rsid w:val="0090128C"/>
    <w:rsid w:val="009012B2"/>
    <w:rsid w:val="00901336"/>
    <w:rsid w:val="009013B4"/>
    <w:rsid w:val="0090141B"/>
    <w:rsid w:val="00901447"/>
    <w:rsid w:val="00901465"/>
    <w:rsid w:val="00901546"/>
    <w:rsid w:val="00901638"/>
    <w:rsid w:val="00901652"/>
    <w:rsid w:val="00901694"/>
    <w:rsid w:val="009016E6"/>
    <w:rsid w:val="00901722"/>
    <w:rsid w:val="009017A5"/>
    <w:rsid w:val="00901852"/>
    <w:rsid w:val="00901872"/>
    <w:rsid w:val="00901886"/>
    <w:rsid w:val="009018B4"/>
    <w:rsid w:val="009018BC"/>
    <w:rsid w:val="009018CE"/>
    <w:rsid w:val="009018FB"/>
    <w:rsid w:val="0090194A"/>
    <w:rsid w:val="009019A2"/>
    <w:rsid w:val="00901AF6"/>
    <w:rsid w:val="00901B86"/>
    <w:rsid w:val="00901C37"/>
    <w:rsid w:val="00901CC0"/>
    <w:rsid w:val="00901D16"/>
    <w:rsid w:val="00901D46"/>
    <w:rsid w:val="00901DA4"/>
    <w:rsid w:val="00901DB1"/>
    <w:rsid w:val="00901EAE"/>
    <w:rsid w:val="00902027"/>
    <w:rsid w:val="0090213D"/>
    <w:rsid w:val="00902294"/>
    <w:rsid w:val="009022A0"/>
    <w:rsid w:val="009022FB"/>
    <w:rsid w:val="009023A3"/>
    <w:rsid w:val="009023FA"/>
    <w:rsid w:val="0090244B"/>
    <w:rsid w:val="009024F5"/>
    <w:rsid w:val="009025A8"/>
    <w:rsid w:val="009025DF"/>
    <w:rsid w:val="0090260C"/>
    <w:rsid w:val="0090269A"/>
    <w:rsid w:val="009026EE"/>
    <w:rsid w:val="009027CB"/>
    <w:rsid w:val="00902817"/>
    <w:rsid w:val="00902852"/>
    <w:rsid w:val="00902A6F"/>
    <w:rsid w:val="00902B2A"/>
    <w:rsid w:val="00902BCE"/>
    <w:rsid w:val="00902CA4"/>
    <w:rsid w:val="00902DB4"/>
    <w:rsid w:val="00902DB5"/>
    <w:rsid w:val="00902DCE"/>
    <w:rsid w:val="00902DD0"/>
    <w:rsid w:val="00902E76"/>
    <w:rsid w:val="00902F89"/>
    <w:rsid w:val="00902FE3"/>
    <w:rsid w:val="0090306E"/>
    <w:rsid w:val="00903193"/>
    <w:rsid w:val="00903250"/>
    <w:rsid w:val="009032F1"/>
    <w:rsid w:val="009032FA"/>
    <w:rsid w:val="00903365"/>
    <w:rsid w:val="009034B8"/>
    <w:rsid w:val="009035DD"/>
    <w:rsid w:val="009035E7"/>
    <w:rsid w:val="009035E8"/>
    <w:rsid w:val="00903657"/>
    <w:rsid w:val="009036C8"/>
    <w:rsid w:val="0090371D"/>
    <w:rsid w:val="0090382A"/>
    <w:rsid w:val="00903844"/>
    <w:rsid w:val="00903927"/>
    <w:rsid w:val="00903937"/>
    <w:rsid w:val="00903B2C"/>
    <w:rsid w:val="00903B5C"/>
    <w:rsid w:val="00903BC3"/>
    <w:rsid w:val="00903CAC"/>
    <w:rsid w:val="00903D26"/>
    <w:rsid w:val="00903D2C"/>
    <w:rsid w:val="00903D47"/>
    <w:rsid w:val="00903D62"/>
    <w:rsid w:val="00903DFC"/>
    <w:rsid w:val="00903E72"/>
    <w:rsid w:val="00903FD9"/>
    <w:rsid w:val="0090401F"/>
    <w:rsid w:val="0090409E"/>
    <w:rsid w:val="009041AE"/>
    <w:rsid w:val="009041E7"/>
    <w:rsid w:val="00904222"/>
    <w:rsid w:val="00904240"/>
    <w:rsid w:val="00904259"/>
    <w:rsid w:val="00904364"/>
    <w:rsid w:val="009043AE"/>
    <w:rsid w:val="00904412"/>
    <w:rsid w:val="00904503"/>
    <w:rsid w:val="00904549"/>
    <w:rsid w:val="0090460E"/>
    <w:rsid w:val="00904625"/>
    <w:rsid w:val="00904802"/>
    <w:rsid w:val="0090484C"/>
    <w:rsid w:val="00904871"/>
    <w:rsid w:val="009048B1"/>
    <w:rsid w:val="00904925"/>
    <w:rsid w:val="0090497E"/>
    <w:rsid w:val="00904986"/>
    <w:rsid w:val="00904A38"/>
    <w:rsid w:val="00904ABE"/>
    <w:rsid w:val="00904B82"/>
    <w:rsid w:val="00904C3A"/>
    <w:rsid w:val="00904CF8"/>
    <w:rsid w:val="00904D22"/>
    <w:rsid w:val="00904D7E"/>
    <w:rsid w:val="00904DC5"/>
    <w:rsid w:val="00904E62"/>
    <w:rsid w:val="00904EBD"/>
    <w:rsid w:val="00904F0E"/>
    <w:rsid w:val="00904FB4"/>
    <w:rsid w:val="00904FEB"/>
    <w:rsid w:val="0090510E"/>
    <w:rsid w:val="0090512C"/>
    <w:rsid w:val="00905143"/>
    <w:rsid w:val="00905206"/>
    <w:rsid w:val="0090537B"/>
    <w:rsid w:val="009053F7"/>
    <w:rsid w:val="00905461"/>
    <w:rsid w:val="009054C2"/>
    <w:rsid w:val="00905520"/>
    <w:rsid w:val="00905558"/>
    <w:rsid w:val="00905679"/>
    <w:rsid w:val="00905740"/>
    <w:rsid w:val="00905799"/>
    <w:rsid w:val="0090581C"/>
    <w:rsid w:val="0090584F"/>
    <w:rsid w:val="00905892"/>
    <w:rsid w:val="009058DB"/>
    <w:rsid w:val="00905A24"/>
    <w:rsid w:val="00905AE8"/>
    <w:rsid w:val="00905B0C"/>
    <w:rsid w:val="00905B33"/>
    <w:rsid w:val="00905C96"/>
    <w:rsid w:val="00905E3A"/>
    <w:rsid w:val="00905E3C"/>
    <w:rsid w:val="00905EAC"/>
    <w:rsid w:val="00905F07"/>
    <w:rsid w:val="00905FB0"/>
    <w:rsid w:val="00905FFD"/>
    <w:rsid w:val="00906126"/>
    <w:rsid w:val="00906200"/>
    <w:rsid w:val="0090620B"/>
    <w:rsid w:val="009062B5"/>
    <w:rsid w:val="00906331"/>
    <w:rsid w:val="00906346"/>
    <w:rsid w:val="00906352"/>
    <w:rsid w:val="00906462"/>
    <w:rsid w:val="0090652D"/>
    <w:rsid w:val="00906631"/>
    <w:rsid w:val="009066A5"/>
    <w:rsid w:val="009067F1"/>
    <w:rsid w:val="0090689E"/>
    <w:rsid w:val="009068DF"/>
    <w:rsid w:val="00906A0C"/>
    <w:rsid w:val="00906A10"/>
    <w:rsid w:val="00906B0D"/>
    <w:rsid w:val="00906B33"/>
    <w:rsid w:val="00906BF1"/>
    <w:rsid w:val="00906C51"/>
    <w:rsid w:val="00906C6F"/>
    <w:rsid w:val="00906CBA"/>
    <w:rsid w:val="00906CE6"/>
    <w:rsid w:val="00906D46"/>
    <w:rsid w:val="00906D96"/>
    <w:rsid w:val="00906E17"/>
    <w:rsid w:val="00906EE0"/>
    <w:rsid w:val="0090703F"/>
    <w:rsid w:val="00907076"/>
    <w:rsid w:val="009071D0"/>
    <w:rsid w:val="00907209"/>
    <w:rsid w:val="00907277"/>
    <w:rsid w:val="009073BD"/>
    <w:rsid w:val="009073CF"/>
    <w:rsid w:val="00907404"/>
    <w:rsid w:val="00907431"/>
    <w:rsid w:val="0090750E"/>
    <w:rsid w:val="00907587"/>
    <w:rsid w:val="0090760D"/>
    <w:rsid w:val="0090770E"/>
    <w:rsid w:val="009077C6"/>
    <w:rsid w:val="0090780B"/>
    <w:rsid w:val="0090782E"/>
    <w:rsid w:val="00907872"/>
    <w:rsid w:val="0090799C"/>
    <w:rsid w:val="00907A1C"/>
    <w:rsid w:val="00907AAA"/>
    <w:rsid w:val="00907B20"/>
    <w:rsid w:val="00907C42"/>
    <w:rsid w:val="00907CD7"/>
    <w:rsid w:val="00907DE7"/>
    <w:rsid w:val="00907E07"/>
    <w:rsid w:val="00907E1D"/>
    <w:rsid w:val="00907EA6"/>
    <w:rsid w:val="00907EE7"/>
    <w:rsid w:val="00907F46"/>
    <w:rsid w:val="00907FC5"/>
    <w:rsid w:val="00907FD9"/>
    <w:rsid w:val="0091002D"/>
    <w:rsid w:val="00910111"/>
    <w:rsid w:val="00910135"/>
    <w:rsid w:val="00910153"/>
    <w:rsid w:val="00910158"/>
    <w:rsid w:val="009101F9"/>
    <w:rsid w:val="009102A8"/>
    <w:rsid w:val="0091033D"/>
    <w:rsid w:val="00910354"/>
    <w:rsid w:val="0091036C"/>
    <w:rsid w:val="0091047E"/>
    <w:rsid w:val="009104AF"/>
    <w:rsid w:val="00910525"/>
    <w:rsid w:val="00910583"/>
    <w:rsid w:val="009105A3"/>
    <w:rsid w:val="00910653"/>
    <w:rsid w:val="009106B4"/>
    <w:rsid w:val="009106D5"/>
    <w:rsid w:val="009106DD"/>
    <w:rsid w:val="00910715"/>
    <w:rsid w:val="009107F7"/>
    <w:rsid w:val="00910890"/>
    <w:rsid w:val="009108B3"/>
    <w:rsid w:val="009108E5"/>
    <w:rsid w:val="009108F0"/>
    <w:rsid w:val="009108F3"/>
    <w:rsid w:val="009109DB"/>
    <w:rsid w:val="009109E2"/>
    <w:rsid w:val="009109E5"/>
    <w:rsid w:val="00910A64"/>
    <w:rsid w:val="00910BDB"/>
    <w:rsid w:val="00910C8B"/>
    <w:rsid w:val="00910E20"/>
    <w:rsid w:val="00910E7C"/>
    <w:rsid w:val="00910EFB"/>
    <w:rsid w:val="00910F04"/>
    <w:rsid w:val="00910F48"/>
    <w:rsid w:val="0091106A"/>
    <w:rsid w:val="0091106B"/>
    <w:rsid w:val="00911074"/>
    <w:rsid w:val="009112AC"/>
    <w:rsid w:val="0091132E"/>
    <w:rsid w:val="009113C7"/>
    <w:rsid w:val="00911435"/>
    <w:rsid w:val="00911455"/>
    <w:rsid w:val="009114C1"/>
    <w:rsid w:val="009114FD"/>
    <w:rsid w:val="00911511"/>
    <w:rsid w:val="0091151C"/>
    <w:rsid w:val="009115C4"/>
    <w:rsid w:val="009115D5"/>
    <w:rsid w:val="009116FC"/>
    <w:rsid w:val="0091175B"/>
    <w:rsid w:val="009117B3"/>
    <w:rsid w:val="00911999"/>
    <w:rsid w:val="0091199F"/>
    <w:rsid w:val="009119FB"/>
    <w:rsid w:val="00911ACF"/>
    <w:rsid w:val="00911AD4"/>
    <w:rsid w:val="00911ADB"/>
    <w:rsid w:val="00911ADF"/>
    <w:rsid w:val="00911B2E"/>
    <w:rsid w:val="00911BBF"/>
    <w:rsid w:val="00911CF3"/>
    <w:rsid w:val="00911D1F"/>
    <w:rsid w:val="00911D2B"/>
    <w:rsid w:val="00911DBD"/>
    <w:rsid w:val="00911DF2"/>
    <w:rsid w:val="00911E47"/>
    <w:rsid w:val="00911F7D"/>
    <w:rsid w:val="00911F9C"/>
    <w:rsid w:val="00911F9F"/>
    <w:rsid w:val="00912000"/>
    <w:rsid w:val="00912026"/>
    <w:rsid w:val="00912027"/>
    <w:rsid w:val="00912073"/>
    <w:rsid w:val="00912172"/>
    <w:rsid w:val="00912204"/>
    <w:rsid w:val="009122B7"/>
    <w:rsid w:val="00912356"/>
    <w:rsid w:val="00912479"/>
    <w:rsid w:val="00912544"/>
    <w:rsid w:val="009126C0"/>
    <w:rsid w:val="0091286E"/>
    <w:rsid w:val="0091289B"/>
    <w:rsid w:val="009129A9"/>
    <w:rsid w:val="00912A55"/>
    <w:rsid w:val="00912A75"/>
    <w:rsid w:val="00912A8A"/>
    <w:rsid w:val="00912AA3"/>
    <w:rsid w:val="00912B5E"/>
    <w:rsid w:val="00912B9D"/>
    <w:rsid w:val="00912C0A"/>
    <w:rsid w:val="00912C49"/>
    <w:rsid w:val="00912CE0"/>
    <w:rsid w:val="00912CE7"/>
    <w:rsid w:val="00912D2B"/>
    <w:rsid w:val="00912D70"/>
    <w:rsid w:val="00912E34"/>
    <w:rsid w:val="00912E8F"/>
    <w:rsid w:val="00912E98"/>
    <w:rsid w:val="00912EA1"/>
    <w:rsid w:val="00912EF1"/>
    <w:rsid w:val="00913030"/>
    <w:rsid w:val="009130F4"/>
    <w:rsid w:val="00913100"/>
    <w:rsid w:val="009131C7"/>
    <w:rsid w:val="00913266"/>
    <w:rsid w:val="0091326D"/>
    <w:rsid w:val="009132DD"/>
    <w:rsid w:val="00913322"/>
    <w:rsid w:val="009133C6"/>
    <w:rsid w:val="00913592"/>
    <w:rsid w:val="009135F8"/>
    <w:rsid w:val="00913645"/>
    <w:rsid w:val="009136CE"/>
    <w:rsid w:val="0091374F"/>
    <w:rsid w:val="0091375F"/>
    <w:rsid w:val="00913761"/>
    <w:rsid w:val="009138A7"/>
    <w:rsid w:val="009138CA"/>
    <w:rsid w:val="00913907"/>
    <w:rsid w:val="0091390F"/>
    <w:rsid w:val="009139AD"/>
    <w:rsid w:val="00913A54"/>
    <w:rsid w:val="00913A72"/>
    <w:rsid w:val="00913AC0"/>
    <w:rsid w:val="00913AF3"/>
    <w:rsid w:val="00913B0E"/>
    <w:rsid w:val="00913B44"/>
    <w:rsid w:val="00913BBC"/>
    <w:rsid w:val="00913BC5"/>
    <w:rsid w:val="00913C29"/>
    <w:rsid w:val="00913C41"/>
    <w:rsid w:val="00913C6B"/>
    <w:rsid w:val="00913C7B"/>
    <w:rsid w:val="00913D22"/>
    <w:rsid w:val="00913D50"/>
    <w:rsid w:val="00913E71"/>
    <w:rsid w:val="00913EED"/>
    <w:rsid w:val="00913F34"/>
    <w:rsid w:val="00913F45"/>
    <w:rsid w:val="00913FF2"/>
    <w:rsid w:val="00914037"/>
    <w:rsid w:val="00914053"/>
    <w:rsid w:val="009140D0"/>
    <w:rsid w:val="009140E0"/>
    <w:rsid w:val="00914149"/>
    <w:rsid w:val="00914176"/>
    <w:rsid w:val="009141A0"/>
    <w:rsid w:val="00914288"/>
    <w:rsid w:val="009142C2"/>
    <w:rsid w:val="00914394"/>
    <w:rsid w:val="009143B4"/>
    <w:rsid w:val="0091440F"/>
    <w:rsid w:val="00914432"/>
    <w:rsid w:val="00914445"/>
    <w:rsid w:val="0091449C"/>
    <w:rsid w:val="009144C1"/>
    <w:rsid w:val="0091466F"/>
    <w:rsid w:val="0091485C"/>
    <w:rsid w:val="0091489B"/>
    <w:rsid w:val="00914974"/>
    <w:rsid w:val="00914A0E"/>
    <w:rsid w:val="00914A4E"/>
    <w:rsid w:val="00914C15"/>
    <w:rsid w:val="00914C34"/>
    <w:rsid w:val="00914CEF"/>
    <w:rsid w:val="00914D20"/>
    <w:rsid w:val="00914D3F"/>
    <w:rsid w:val="00914E5F"/>
    <w:rsid w:val="009150FF"/>
    <w:rsid w:val="0091525D"/>
    <w:rsid w:val="00915381"/>
    <w:rsid w:val="009153B7"/>
    <w:rsid w:val="0091544C"/>
    <w:rsid w:val="009155C2"/>
    <w:rsid w:val="00915625"/>
    <w:rsid w:val="009156A2"/>
    <w:rsid w:val="009156DD"/>
    <w:rsid w:val="009156DE"/>
    <w:rsid w:val="0091574A"/>
    <w:rsid w:val="009157FE"/>
    <w:rsid w:val="0091583C"/>
    <w:rsid w:val="00915892"/>
    <w:rsid w:val="00915A26"/>
    <w:rsid w:val="00915A36"/>
    <w:rsid w:val="00915AC5"/>
    <w:rsid w:val="00915AF5"/>
    <w:rsid w:val="00915B24"/>
    <w:rsid w:val="00915B65"/>
    <w:rsid w:val="00915C16"/>
    <w:rsid w:val="00915C5E"/>
    <w:rsid w:val="00915D0B"/>
    <w:rsid w:val="00915D65"/>
    <w:rsid w:val="00915E2E"/>
    <w:rsid w:val="00915E48"/>
    <w:rsid w:val="00915E88"/>
    <w:rsid w:val="00915EC7"/>
    <w:rsid w:val="00916011"/>
    <w:rsid w:val="00916163"/>
    <w:rsid w:val="009161F5"/>
    <w:rsid w:val="00916314"/>
    <w:rsid w:val="0091631E"/>
    <w:rsid w:val="009163DE"/>
    <w:rsid w:val="009163F6"/>
    <w:rsid w:val="00916490"/>
    <w:rsid w:val="0091652E"/>
    <w:rsid w:val="0091665D"/>
    <w:rsid w:val="0091668B"/>
    <w:rsid w:val="0091669A"/>
    <w:rsid w:val="009166AD"/>
    <w:rsid w:val="009166B6"/>
    <w:rsid w:val="009166C5"/>
    <w:rsid w:val="0091684F"/>
    <w:rsid w:val="009168EB"/>
    <w:rsid w:val="00916981"/>
    <w:rsid w:val="009169AF"/>
    <w:rsid w:val="009169EF"/>
    <w:rsid w:val="00916AC4"/>
    <w:rsid w:val="00916AF9"/>
    <w:rsid w:val="00916B64"/>
    <w:rsid w:val="00916B89"/>
    <w:rsid w:val="00916BF0"/>
    <w:rsid w:val="00916CD2"/>
    <w:rsid w:val="00916CDB"/>
    <w:rsid w:val="00916D4B"/>
    <w:rsid w:val="00916DA3"/>
    <w:rsid w:val="00916DC0"/>
    <w:rsid w:val="00916E5E"/>
    <w:rsid w:val="00916EAF"/>
    <w:rsid w:val="009170A6"/>
    <w:rsid w:val="00917134"/>
    <w:rsid w:val="0091721D"/>
    <w:rsid w:val="00917304"/>
    <w:rsid w:val="009173C1"/>
    <w:rsid w:val="0091741C"/>
    <w:rsid w:val="0091742B"/>
    <w:rsid w:val="00917445"/>
    <w:rsid w:val="009174DB"/>
    <w:rsid w:val="009176B2"/>
    <w:rsid w:val="009178D5"/>
    <w:rsid w:val="009178E3"/>
    <w:rsid w:val="009178FD"/>
    <w:rsid w:val="009179F7"/>
    <w:rsid w:val="00917AA8"/>
    <w:rsid w:val="00917BE4"/>
    <w:rsid w:val="00917C18"/>
    <w:rsid w:val="00917C41"/>
    <w:rsid w:val="00917D2E"/>
    <w:rsid w:val="00917D39"/>
    <w:rsid w:val="00917E92"/>
    <w:rsid w:val="00917F0F"/>
    <w:rsid w:val="009201E6"/>
    <w:rsid w:val="00920273"/>
    <w:rsid w:val="009202B4"/>
    <w:rsid w:val="009202E3"/>
    <w:rsid w:val="0092036F"/>
    <w:rsid w:val="0092042B"/>
    <w:rsid w:val="00920455"/>
    <w:rsid w:val="009204D5"/>
    <w:rsid w:val="0092059E"/>
    <w:rsid w:val="009205A7"/>
    <w:rsid w:val="009205A9"/>
    <w:rsid w:val="00920682"/>
    <w:rsid w:val="0092069B"/>
    <w:rsid w:val="00920774"/>
    <w:rsid w:val="0092080F"/>
    <w:rsid w:val="0092087D"/>
    <w:rsid w:val="0092094F"/>
    <w:rsid w:val="0092096E"/>
    <w:rsid w:val="009209A8"/>
    <w:rsid w:val="009209B0"/>
    <w:rsid w:val="00920A8E"/>
    <w:rsid w:val="00920AD6"/>
    <w:rsid w:val="00920B09"/>
    <w:rsid w:val="00920B69"/>
    <w:rsid w:val="00920D5C"/>
    <w:rsid w:val="00920D7D"/>
    <w:rsid w:val="00920DC6"/>
    <w:rsid w:val="00920DF0"/>
    <w:rsid w:val="00920DF3"/>
    <w:rsid w:val="00920F77"/>
    <w:rsid w:val="00920F79"/>
    <w:rsid w:val="00921018"/>
    <w:rsid w:val="009210BF"/>
    <w:rsid w:val="009211E7"/>
    <w:rsid w:val="009211F8"/>
    <w:rsid w:val="0092129A"/>
    <w:rsid w:val="009212E9"/>
    <w:rsid w:val="009212FF"/>
    <w:rsid w:val="0092141A"/>
    <w:rsid w:val="0092159B"/>
    <w:rsid w:val="0092167D"/>
    <w:rsid w:val="009216C5"/>
    <w:rsid w:val="009217A0"/>
    <w:rsid w:val="009217A9"/>
    <w:rsid w:val="009217FD"/>
    <w:rsid w:val="00921880"/>
    <w:rsid w:val="009218F1"/>
    <w:rsid w:val="00921A1C"/>
    <w:rsid w:val="00921AEA"/>
    <w:rsid w:val="00921B11"/>
    <w:rsid w:val="00921B37"/>
    <w:rsid w:val="00921B8F"/>
    <w:rsid w:val="00921BCF"/>
    <w:rsid w:val="00921C39"/>
    <w:rsid w:val="00921CBF"/>
    <w:rsid w:val="00921D7F"/>
    <w:rsid w:val="00921F45"/>
    <w:rsid w:val="00921FB0"/>
    <w:rsid w:val="00921FB4"/>
    <w:rsid w:val="00921FEC"/>
    <w:rsid w:val="00922106"/>
    <w:rsid w:val="0092212F"/>
    <w:rsid w:val="0092225C"/>
    <w:rsid w:val="009222F4"/>
    <w:rsid w:val="0092251F"/>
    <w:rsid w:val="0092255C"/>
    <w:rsid w:val="00922567"/>
    <w:rsid w:val="0092258E"/>
    <w:rsid w:val="0092260A"/>
    <w:rsid w:val="0092263F"/>
    <w:rsid w:val="0092266C"/>
    <w:rsid w:val="00922843"/>
    <w:rsid w:val="009228AA"/>
    <w:rsid w:val="009229AB"/>
    <w:rsid w:val="00922AB7"/>
    <w:rsid w:val="00922B22"/>
    <w:rsid w:val="00922B2D"/>
    <w:rsid w:val="00922B3D"/>
    <w:rsid w:val="00922B60"/>
    <w:rsid w:val="00922B61"/>
    <w:rsid w:val="00922B70"/>
    <w:rsid w:val="00922B7D"/>
    <w:rsid w:val="00922BBB"/>
    <w:rsid w:val="00922BBF"/>
    <w:rsid w:val="00922C36"/>
    <w:rsid w:val="00922C6C"/>
    <w:rsid w:val="00922CE4"/>
    <w:rsid w:val="00922D0E"/>
    <w:rsid w:val="00922E27"/>
    <w:rsid w:val="00922E72"/>
    <w:rsid w:val="00922F1B"/>
    <w:rsid w:val="00922FD3"/>
    <w:rsid w:val="0092303E"/>
    <w:rsid w:val="00923040"/>
    <w:rsid w:val="00923089"/>
    <w:rsid w:val="009230A8"/>
    <w:rsid w:val="009233F6"/>
    <w:rsid w:val="00923423"/>
    <w:rsid w:val="0092342B"/>
    <w:rsid w:val="0092344D"/>
    <w:rsid w:val="009234F3"/>
    <w:rsid w:val="00923508"/>
    <w:rsid w:val="00923529"/>
    <w:rsid w:val="0092357C"/>
    <w:rsid w:val="009235CB"/>
    <w:rsid w:val="00923689"/>
    <w:rsid w:val="00923701"/>
    <w:rsid w:val="00923721"/>
    <w:rsid w:val="0092380D"/>
    <w:rsid w:val="00923860"/>
    <w:rsid w:val="00923999"/>
    <w:rsid w:val="00923A7F"/>
    <w:rsid w:val="00923BDF"/>
    <w:rsid w:val="00923C15"/>
    <w:rsid w:val="00923C5C"/>
    <w:rsid w:val="00923DA5"/>
    <w:rsid w:val="00923DAE"/>
    <w:rsid w:val="00923E78"/>
    <w:rsid w:val="00923ED6"/>
    <w:rsid w:val="00923F22"/>
    <w:rsid w:val="00923F8C"/>
    <w:rsid w:val="0092401C"/>
    <w:rsid w:val="009240D6"/>
    <w:rsid w:val="009241A8"/>
    <w:rsid w:val="00924219"/>
    <w:rsid w:val="009242F5"/>
    <w:rsid w:val="00924389"/>
    <w:rsid w:val="0092443E"/>
    <w:rsid w:val="00924473"/>
    <w:rsid w:val="00924512"/>
    <w:rsid w:val="00924562"/>
    <w:rsid w:val="009245B5"/>
    <w:rsid w:val="009245D1"/>
    <w:rsid w:val="009246E0"/>
    <w:rsid w:val="009248ED"/>
    <w:rsid w:val="00924937"/>
    <w:rsid w:val="00924946"/>
    <w:rsid w:val="009249E5"/>
    <w:rsid w:val="00924B2D"/>
    <w:rsid w:val="00924BF7"/>
    <w:rsid w:val="00924C91"/>
    <w:rsid w:val="00924D0D"/>
    <w:rsid w:val="00924D62"/>
    <w:rsid w:val="00924DB8"/>
    <w:rsid w:val="00924DE9"/>
    <w:rsid w:val="00924DEC"/>
    <w:rsid w:val="00924E32"/>
    <w:rsid w:val="00924EC0"/>
    <w:rsid w:val="00924FE5"/>
    <w:rsid w:val="00925008"/>
    <w:rsid w:val="00925196"/>
    <w:rsid w:val="009251D5"/>
    <w:rsid w:val="0092523B"/>
    <w:rsid w:val="00925263"/>
    <w:rsid w:val="00925307"/>
    <w:rsid w:val="00925373"/>
    <w:rsid w:val="00925382"/>
    <w:rsid w:val="009253CF"/>
    <w:rsid w:val="009253D0"/>
    <w:rsid w:val="0092549A"/>
    <w:rsid w:val="009254F2"/>
    <w:rsid w:val="0092553F"/>
    <w:rsid w:val="0092560E"/>
    <w:rsid w:val="00925637"/>
    <w:rsid w:val="00925671"/>
    <w:rsid w:val="0092571C"/>
    <w:rsid w:val="00925761"/>
    <w:rsid w:val="00925793"/>
    <w:rsid w:val="009258A0"/>
    <w:rsid w:val="0092596D"/>
    <w:rsid w:val="009259B7"/>
    <w:rsid w:val="009259EA"/>
    <w:rsid w:val="00925B27"/>
    <w:rsid w:val="00925BB1"/>
    <w:rsid w:val="00925C1B"/>
    <w:rsid w:val="00925C5B"/>
    <w:rsid w:val="00925C86"/>
    <w:rsid w:val="00925CA9"/>
    <w:rsid w:val="00925D0F"/>
    <w:rsid w:val="00925D91"/>
    <w:rsid w:val="00925DF3"/>
    <w:rsid w:val="00925E12"/>
    <w:rsid w:val="00925E75"/>
    <w:rsid w:val="00925EB2"/>
    <w:rsid w:val="00925F0A"/>
    <w:rsid w:val="00925F0C"/>
    <w:rsid w:val="00926000"/>
    <w:rsid w:val="0092607D"/>
    <w:rsid w:val="009260DA"/>
    <w:rsid w:val="00926157"/>
    <w:rsid w:val="0092624C"/>
    <w:rsid w:val="009263D7"/>
    <w:rsid w:val="00926420"/>
    <w:rsid w:val="0092662C"/>
    <w:rsid w:val="00926635"/>
    <w:rsid w:val="009266B4"/>
    <w:rsid w:val="009267D7"/>
    <w:rsid w:val="0092686E"/>
    <w:rsid w:val="009268AD"/>
    <w:rsid w:val="009268DD"/>
    <w:rsid w:val="00926919"/>
    <w:rsid w:val="00926924"/>
    <w:rsid w:val="009269ED"/>
    <w:rsid w:val="00926A3F"/>
    <w:rsid w:val="00926A70"/>
    <w:rsid w:val="00926AF8"/>
    <w:rsid w:val="00926BFC"/>
    <w:rsid w:val="00926C5F"/>
    <w:rsid w:val="00926CEE"/>
    <w:rsid w:val="00926D6D"/>
    <w:rsid w:val="00926DEA"/>
    <w:rsid w:val="00926E96"/>
    <w:rsid w:val="00926EFA"/>
    <w:rsid w:val="00926F47"/>
    <w:rsid w:val="00927052"/>
    <w:rsid w:val="00927148"/>
    <w:rsid w:val="0092715A"/>
    <w:rsid w:val="00927192"/>
    <w:rsid w:val="0092719C"/>
    <w:rsid w:val="009271AF"/>
    <w:rsid w:val="009271B8"/>
    <w:rsid w:val="009271BC"/>
    <w:rsid w:val="00927259"/>
    <w:rsid w:val="00927292"/>
    <w:rsid w:val="009272D0"/>
    <w:rsid w:val="009272E0"/>
    <w:rsid w:val="00927474"/>
    <w:rsid w:val="0092747A"/>
    <w:rsid w:val="009274A6"/>
    <w:rsid w:val="009274DE"/>
    <w:rsid w:val="009274FE"/>
    <w:rsid w:val="00927504"/>
    <w:rsid w:val="00927666"/>
    <w:rsid w:val="0092769D"/>
    <w:rsid w:val="009276F4"/>
    <w:rsid w:val="0092776D"/>
    <w:rsid w:val="00927775"/>
    <w:rsid w:val="0092777E"/>
    <w:rsid w:val="00927A19"/>
    <w:rsid w:val="00927A8D"/>
    <w:rsid w:val="00927B0D"/>
    <w:rsid w:val="00927B16"/>
    <w:rsid w:val="00927D96"/>
    <w:rsid w:val="00927E4D"/>
    <w:rsid w:val="00927E76"/>
    <w:rsid w:val="00927EEE"/>
    <w:rsid w:val="00927FA3"/>
    <w:rsid w:val="0093002A"/>
    <w:rsid w:val="00930075"/>
    <w:rsid w:val="00930153"/>
    <w:rsid w:val="009302CD"/>
    <w:rsid w:val="00930416"/>
    <w:rsid w:val="0093041C"/>
    <w:rsid w:val="00930422"/>
    <w:rsid w:val="009304B7"/>
    <w:rsid w:val="00930504"/>
    <w:rsid w:val="0093056F"/>
    <w:rsid w:val="0093058A"/>
    <w:rsid w:val="0093071D"/>
    <w:rsid w:val="009307D0"/>
    <w:rsid w:val="009309A2"/>
    <w:rsid w:val="009309D7"/>
    <w:rsid w:val="00930A06"/>
    <w:rsid w:val="00930A9A"/>
    <w:rsid w:val="00930AC3"/>
    <w:rsid w:val="00930ADF"/>
    <w:rsid w:val="00930B0B"/>
    <w:rsid w:val="00930B37"/>
    <w:rsid w:val="00930B52"/>
    <w:rsid w:val="00930C37"/>
    <w:rsid w:val="00930CAC"/>
    <w:rsid w:val="00930D25"/>
    <w:rsid w:val="00930D77"/>
    <w:rsid w:val="00930EA4"/>
    <w:rsid w:val="00930F07"/>
    <w:rsid w:val="00930F33"/>
    <w:rsid w:val="00930F5A"/>
    <w:rsid w:val="00930F9F"/>
    <w:rsid w:val="0093103A"/>
    <w:rsid w:val="00931098"/>
    <w:rsid w:val="009310EC"/>
    <w:rsid w:val="009310EF"/>
    <w:rsid w:val="00931187"/>
    <w:rsid w:val="00931348"/>
    <w:rsid w:val="009313CA"/>
    <w:rsid w:val="0093145A"/>
    <w:rsid w:val="0093146C"/>
    <w:rsid w:val="0093155D"/>
    <w:rsid w:val="009315B1"/>
    <w:rsid w:val="009315D2"/>
    <w:rsid w:val="00931638"/>
    <w:rsid w:val="00931696"/>
    <w:rsid w:val="0093170E"/>
    <w:rsid w:val="009318EA"/>
    <w:rsid w:val="009319AC"/>
    <w:rsid w:val="00931A4E"/>
    <w:rsid w:val="00931BF2"/>
    <w:rsid w:val="00931C80"/>
    <w:rsid w:val="00931CCA"/>
    <w:rsid w:val="00931CEF"/>
    <w:rsid w:val="00931D1E"/>
    <w:rsid w:val="00931D6E"/>
    <w:rsid w:val="00931D7C"/>
    <w:rsid w:val="00931E1F"/>
    <w:rsid w:val="00931E49"/>
    <w:rsid w:val="00931E95"/>
    <w:rsid w:val="00931EA1"/>
    <w:rsid w:val="00931F38"/>
    <w:rsid w:val="00931F46"/>
    <w:rsid w:val="0093205C"/>
    <w:rsid w:val="009320A3"/>
    <w:rsid w:val="009320C2"/>
    <w:rsid w:val="009321B3"/>
    <w:rsid w:val="00932258"/>
    <w:rsid w:val="00932307"/>
    <w:rsid w:val="00932354"/>
    <w:rsid w:val="00932393"/>
    <w:rsid w:val="009323B5"/>
    <w:rsid w:val="009323D9"/>
    <w:rsid w:val="009323DF"/>
    <w:rsid w:val="0093243E"/>
    <w:rsid w:val="00932597"/>
    <w:rsid w:val="0093267F"/>
    <w:rsid w:val="00932683"/>
    <w:rsid w:val="009327E5"/>
    <w:rsid w:val="00932866"/>
    <w:rsid w:val="00932877"/>
    <w:rsid w:val="00932A4C"/>
    <w:rsid w:val="00932A5C"/>
    <w:rsid w:val="00932A75"/>
    <w:rsid w:val="00932AB5"/>
    <w:rsid w:val="00932B83"/>
    <w:rsid w:val="00932B9F"/>
    <w:rsid w:val="00932C09"/>
    <w:rsid w:val="00932C12"/>
    <w:rsid w:val="00932C8B"/>
    <w:rsid w:val="00932D4B"/>
    <w:rsid w:val="00932D77"/>
    <w:rsid w:val="00932E27"/>
    <w:rsid w:val="00932F3B"/>
    <w:rsid w:val="00932F5B"/>
    <w:rsid w:val="00932F6B"/>
    <w:rsid w:val="00932F74"/>
    <w:rsid w:val="00932FD8"/>
    <w:rsid w:val="0093300F"/>
    <w:rsid w:val="00933010"/>
    <w:rsid w:val="00933052"/>
    <w:rsid w:val="0093305F"/>
    <w:rsid w:val="009330DD"/>
    <w:rsid w:val="00933192"/>
    <w:rsid w:val="009331AB"/>
    <w:rsid w:val="00933252"/>
    <w:rsid w:val="009332A7"/>
    <w:rsid w:val="0093339D"/>
    <w:rsid w:val="009333E0"/>
    <w:rsid w:val="0093358F"/>
    <w:rsid w:val="0093363A"/>
    <w:rsid w:val="00933649"/>
    <w:rsid w:val="0093367D"/>
    <w:rsid w:val="009336B8"/>
    <w:rsid w:val="009337AF"/>
    <w:rsid w:val="00933803"/>
    <w:rsid w:val="00933879"/>
    <w:rsid w:val="009338A2"/>
    <w:rsid w:val="00933938"/>
    <w:rsid w:val="009339ED"/>
    <w:rsid w:val="00933A52"/>
    <w:rsid w:val="00933AAA"/>
    <w:rsid w:val="00933ACB"/>
    <w:rsid w:val="00933C5C"/>
    <w:rsid w:val="00933C6A"/>
    <w:rsid w:val="00933D07"/>
    <w:rsid w:val="00933D68"/>
    <w:rsid w:val="00933E84"/>
    <w:rsid w:val="00933EC9"/>
    <w:rsid w:val="00934016"/>
    <w:rsid w:val="009340FB"/>
    <w:rsid w:val="00934239"/>
    <w:rsid w:val="00934242"/>
    <w:rsid w:val="00934279"/>
    <w:rsid w:val="00934292"/>
    <w:rsid w:val="00934293"/>
    <w:rsid w:val="009343C1"/>
    <w:rsid w:val="009343D7"/>
    <w:rsid w:val="0093440F"/>
    <w:rsid w:val="0093441F"/>
    <w:rsid w:val="00934490"/>
    <w:rsid w:val="009344A6"/>
    <w:rsid w:val="00934559"/>
    <w:rsid w:val="009345C5"/>
    <w:rsid w:val="00934608"/>
    <w:rsid w:val="00934613"/>
    <w:rsid w:val="009347E0"/>
    <w:rsid w:val="009347E3"/>
    <w:rsid w:val="00934852"/>
    <w:rsid w:val="00934858"/>
    <w:rsid w:val="009348A6"/>
    <w:rsid w:val="009348BA"/>
    <w:rsid w:val="00934A1E"/>
    <w:rsid w:val="00934A63"/>
    <w:rsid w:val="00934A93"/>
    <w:rsid w:val="00934BF4"/>
    <w:rsid w:val="00934C10"/>
    <w:rsid w:val="00934E1D"/>
    <w:rsid w:val="00934ED7"/>
    <w:rsid w:val="00934EF1"/>
    <w:rsid w:val="00934F1A"/>
    <w:rsid w:val="00934FED"/>
    <w:rsid w:val="00934FEE"/>
    <w:rsid w:val="0093510E"/>
    <w:rsid w:val="00935216"/>
    <w:rsid w:val="009352B5"/>
    <w:rsid w:val="009352BD"/>
    <w:rsid w:val="009352E5"/>
    <w:rsid w:val="00935319"/>
    <w:rsid w:val="0093534B"/>
    <w:rsid w:val="009353AA"/>
    <w:rsid w:val="009353FA"/>
    <w:rsid w:val="0093540E"/>
    <w:rsid w:val="009354D4"/>
    <w:rsid w:val="009354DF"/>
    <w:rsid w:val="00935514"/>
    <w:rsid w:val="00935525"/>
    <w:rsid w:val="009355C1"/>
    <w:rsid w:val="00935603"/>
    <w:rsid w:val="00935621"/>
    <w:rsid w:val="00935706"/>
    <w:rsid w:val="009358D7"/>
    <w:rsid w:val="009358F5"/>
    <w:rsid w:val="00935966"/>
    <w:rsid w:val="009359F2"/>
    <w:rsid w:val="00935A3A"/>
    <w:rsid w:val="00935ADE"/>
    <w:rsid w:val="00935B95"/>
    <w:rsid w:val="00935BA7"/>
    <w:rsid w:val="00935BF5"/>
    <w:rsid w:val="00935DC8"/>
    <w:rsid w:val="00935E2B"/>
    <w:rsid w:val="00935E43"/>
    <w:rsid w:val="00935F16"/>
    <w:rsid w:val="00935F54"/>
    <w:rsid w:val="00935F79"/>
    <w:rsid w:val="0093616F"/>
    <w:rsid w:val="00936176"/>
    <w:rsid w:val="009361E8"/>
    <w:rsid w:val="0093638D"/>
    <w:rsid w:val="0093639A"/>
    <w:rsid w:val="00936488"/>
    <w:rsid w:val="009364A1"/>
    <w:rsid w:val="009364E4"/>
    <w:rsid w:val="00936636"/>
    <w:rsid w:val="0093665C"/>
    <w:rsid w:val="009367A6"/>
    <w:rsid w:val="009367B1"/>
    <w:rsid w:val="00936813"/>
    <w:rsid w:val="0093683C"/>
    <w:rsid w:val="009368A8"/>
    <w:rsid w:val="0093690F"/>
    <w:rsid w:val="009369C1"/>
    <w:rsid w:val="009369C4"/>
    <w:rsid w:val="00936A4E"/>
    <w:rsid w:val="00936A59"/>
    <w:rsid w:val="00936AE8"/>
    <w:rsid w:val="00936B36"/>
    <w:rsid w:val="00936BB9"/>
    <w:rsid w:val="00936BDB"/>
    <w:rsid w:val="00936BE4"/>
    <w:rsid w:val="00936CAB"/>
    <w:rsid w:val="00936D65"/>
    <w:rsid w:val="00936D92"/>
    <w:rsid w:val="00936DC3"/>
    <w:rsid w:val="00936E56"/>
    <w:rsid w:val="00936F41"/>
    <w:rsid w:val="0093711D"/>
    <w:rsid w:val="00937136"/>
    <w:rsid w:val="00937146"/>
    <w:rsid w:val="009371FD"/>
    <w:rsid w:val="00937310"/>
    <w:rsid w:val="009373C3"/>
    <w:rsid w:val="009373E2"/>
    <w:rsid w:val="009373F9"/>
    <w:rsid w:val="00937418"/>
    <w:rsid w:val="0093741A"/>
    <w:rsid w:val="009374BC"/>
    <w:rsid w:val="009374D6"/>
    <w:rsid w:val="00937514"/>
    <w:rsid w:val="009376AB"/>
    <w:rsid w:val="00937718"/>
    <w:rsid w:val="0093788C"/>
    <w:rsid w:val="0093791D"/>
    <w:rsid w:val="009379E3"/>
    <w:rsid w:val="00937C1A"/>
    <w:rsid w:val="00937C2B"/>
    <w:rsid w:val="00937C39"/>
    <w:rsid w:val="00937C70"/>
    <w:rsid w:val="00937E35"/>
    <w:rsid w:val="0094000D"/>
    <w:rsid w:val="00940060"/>
    <w:rsid w:val="0094006F"/>
    <w:rsid w:val="00940094"/>
    <w:rsid w:val="0094011D"/>
    <w:rsid w:val="00940136"/>
    <w:rsid w:val="0094020E"/>
    <w:rsid w:val="00940465"/>
    <w:rsid w:val="009404B5"/>
    <w:rsid w:val="009405F3"/>
    <w:rsid w:val="00940619"/>
    <w:rsid w:val="00940658"/>
    <w:rsid w:val="00940739"/>
    <w:rsid w:val="00940776"/>
    <w:rsid w:val="00940814"/>
    <w:rsid w:val="00940866"/>
    <w:rsid w:val="009408B6"/>
    <w:rsid w:val="0094098C"/>
    <w:rsid w:val="00940A1D"/>
    <w:rsid w:val="00940A68"/>
    <w:rsid w:val="00940AA3"/>
    <w:rsid w:val="00940AD2"/>
    <w:rsid w:val="00940DA4"/>
    <w:rsid w:val="00940DCC"/>
    <w:rsid w:val="00940DE5"/>
    <w:rsid w:val="00940F28"/>
    <w:rsid w:val="009410CF"/>
    <w:rsid w:val="00941132"/>
    <w:rsid w:val="0094117E"/>
    <w:rsid w:val="00941366"/>
    <w:rsid w:val="0094141D"/>
    <w:rsid w:val="00941459"/>
    <w:rsid w:val="00941460"/>
    <w:rsid w:val="009414E3"/>
    <w:rsid w:val="00941548"/>
    <w:rsid w:val="00941555"/>
    <w:rsid w:val="0094155A"/>
    <w:rsid w:val="00941626"/>
    <w:rsid w:val="0094168F"/>
    <w:rsid w:val="009416F8"/>
    <w:rsid w:val="0094176A"/>
    <w:rsid w:val="00941787"/>
    <w:rsid w:val="009417DF"/>
    <w:rsid w:val="0094196E"/>
    <w:rsid w:val="00941982"/>
    <w:rsid w:val="00941BE4"/>
    <w:rsid w:val="00941C10"/>
    <w:rsid w:val="00941C45"/>
    <w:rsid w:val="00941C69"/>
    <w:rsid w:val="00941D1C"/>
    <w:rsid w:val="00941D7D"/>
    <w:rsid w:val="00941DC5"/>
    <w:rsid w:val="00941DCD"/>
    <w:rsid w:val="00941F0C"/>
    <w:rsid w:val="00941FC6"/>
    <w:rsid w:val="0094201A"/>
    <w:rsid w:val="009420A8"/>
    <w:rsid w:val="00942135"/>
    <w:rsid w:val="009421D2"/>
    <w:rsid w:val="00942220"/>
    <w:rsid w:val="0094233E"/>
    <w:rsid w:val="0094234C"/>
    <w:rsid w:val="00942397"/>
    <w:rsid w:val="0094239E"/>
    <w:rsid w:val="00942484"/>
    <w:rsid w:val="009424EA"/>
    <w:rsid w:val="00942614"/>
    <w:rsid w:val="0094268F"/>
    <w:rsid w:val="0094269C"/>
    <w:rsid w:val="00942785"/>
    <w:rsid w:val="009427AB"/>
    <w:rsid w:val="009428D9"/>
    <w:rsid w:val="0094291C"/>
    <w:rsid w:val="00942A6E"/>
    <w:rsid w:val="00942A92"/>
    <w:rsid w:val="00942ACA"/>
    <w:rsid w:val="00942ACC"/>
    <w:rsid w:val="00942AF7"/>
    <w:rsid w:val="00942B31"/>
    <w:rsid w:val="00942B4B"/>
    <w:rsid w:val="00942BDC"/>
    <w:rsid w:val="00942CC2"/>
    <w:rsid w:val="00942CD7"/>
    <w:rsid w:val="00942DBC"/>
    <w:rsid w:val="00942DD7"/>
    <w:rsid w:val="00942EF8"/>
    <w:rsid w:val="00942F42"/>
    <w:rsid w:val="00943056"/>
    <w:rsid w:val="00943121"/>
    <w:rsid w:val="00943260"/>
    <w:rsid w:val="009432B1"/>
    <w:rsid w:val="009432DD"/>
    <w:rsid w:val="00943321"/>
    <w:rsid w:val="0094345F"/>
    <w:rsid w:val="009434BA"/>
    <w:rsid w:val="0094350C"/>
    <w:rsid w:val="00943598"/>
    <w:rsid w:val="009435B7"/>
    <w:rsid w:val="009435BC"/>
    <w:rsid w:val="009435ED"/>
    <w:rsid w:val="009436AE"/>
    <w:rsid w:val="00943735"/>
    <w:rsid w:val="00943766"/>
    <w:rsid w:val="009437F3"/>
    <w:rsid w:val="00943895"/>
    <w:rsid w:val="009438A4"/>
    <w:rsid w:val="009438E5"/>
    <w:rsid w:val="00943976"/>
    <w:rsid w:val="009439B7"/>
    <w:rsid w:val="009439EF"/>
    <w:rsid w:val="00943A5A"/>
    <w:rsid w:val="00943B5F"/>
    <w:rsid w:val="00943C8B"/>
    <w:rsid w:val="00943DDD"/>
    <w:rsid w:val="00943DE5"/>
    <w:rsid w:val="00943E9E"/>
    <w:rsid w:val="00943F9D"/>
    <w:rsid w:val="00943FBE"/>
    <w:rsid w:val="009440F7"/>
    <w:rsid w:val="009441B9"/>
    <w:rsid w:val="009441D9"/>
    <w:rsid w:val="009442BB"/>
    <w:rsid w:val="00944388"/>
    <w:rsid w:val="00944396"/>
    <w:rsid w:val="009443DE"/>
    <w:rsid w:val="0094449A"/>
    <w:rsid w:val="009444B0"/>
    <w:rsid w:val="00944511"/>
    <w:rsid w:val="009445BA"/>
    <w:rsid w:val="009445D1"/>
    <w:rsid w:val="009445D9"/>
    <w:rsid w:val="009445E3"/>
    <w:rsid w:val="00944639"/>
    <w:rsid w:val="0094472E"/>
    <w:rsid w:val="009447DE"/>
    <w:rsid w:val="00944843"/>
    <w:rsid w:val="0094496F"/>
    <w:rsid w:val="00944992"/>
    <w:rsid w:val="009449FA"/>
    <w:rsid w:val="00944AA9"/>
    <w:rsid w:val="00944B5C"/>
    <w:rsid w:val="00944B6F"/>
    <w:rsid w:val="00944BD6"/>
    <w:rsid w:val="00944BEA"/>
    <w:rsid w:val="00944C1B"/>
    <w:rsid w:val="00944D34"/>
    <w:rsid w:val="00944EA9"/>
    <w:rsid w:val="00944F03"/>
    <w:rsid w:val="00944F79"/>
    <w:rsid w:val="0094503B"/>
    <w:rsid w:val="00945285"/>
    <w:rsid w:val="0094531D"/>
    <w:rsid w:val="009453DE"/>
    <w:rsid w:val="0094556A"/>
    <w:rsid w:val="009455B2"/>
    <w:rsid w:val="009455C1"/>
    <w:rsid w:val="0094562C"/>
    <w:rsid w:val="00945723"/>
    <w:rsid w:val="00945867"/>
    <w:rsid w:val="009459CF"/>
    <w:rsid w:val="00945C29"/>
    <w:rsid w:val="00945C5D"/>
    <w:rsid w:val="00945CAE"/>
    <w:rsid w:val="00945CE6"/>
    <w:rsid w:val="00945E0D"/>
    <w:rsid w:val="00945E65"/>
    <w:rsid w:val="00945F1B"/>
    <w:rsid w:val="00945F22"/>
    <w:rsid w:val="00945F23"/>
    <w:rsid w:val="00945F4B"/>
    <w:rsid w:val="00945F6B"/>
    <w:rsid w:val="00945F97"/>
    <w:rsid w:val="00945FCE"/>
    <w:rsid w:val="00945FD3"/>
    <w:rsid w:val="00945FDC"/>
    <w:rsid w:val="009460C1"/>
    <w:rsid w:val="009461F4"/>
    <w:rsid w:val="00946207"/>
    <w:rsid w:val="009462C9"/>
    <w:rsid w:val="009463A9"/>
    <w:rsid w:val="00946408"/>
    <w:rsid w:val="00946473"/>
    <w:rsid w:val="009464B1"/>
    <w:rsid w:val="00946636"/>
    <w:rsid w:val="00946652"/>
    <w:rsid w:val="00946673"/>
    <w:rsid w:val="00946694"/>
    <w:rsid w:val="0094669A"/>
    <w:rsid w:val="009466C5"/>
    <w:rsid w:val="0094679C"/>
    <w:rsid w:val="009467CD"/>
    <w:rsid w:val="00946815"/>
    <w:rsid w:val="00946843"/>
    <w:rsid w:val="0094688C"/>
    <w:rsid w:val="00946941"/>
    <w:rsid w:val="0094696F"/>
    <w:rsid w:val="00946984"/>
    <w:rsid w:val="009469D5"/>
    <w:rsid w:val="00946A33"/>
    <w:rsid w:val="00946A4A"/>
    <w:rsid w:val="00946A74"/>
    <w:rsid w:val="00946B18"/>
    <w:rsid w:val="00946C6A"/>
    <w:rsid w:val="00946CC4"/>
    <w:rsid w:val="00946D77"/>
    <w:rsid w:val="00946DC4"/>
    <w:rsid w:val="00946E12"/>
    <w:rsid w:val="00946E40"/>
    <w:rsid w:val="00946EBD"/>
    <w:rsid w:val="00946EDF"/>
    <w:rsid w:val="00946F18"/>
    <w:rsid w:val="00946F1C"/>
    <w:rsid w:val="00946F79"/>
    <w:rsid w:val="00946F88"/>
    <w:rsid w:val="0094703B"/>
    <w:rsid w:val="00947057"/>
    <w:rsid w:val="00947069"/>
    <w:rsid w:val="0094720B"/>
    <w:rsid w:val="009472B8"/>
    <w:rsid w:val="009472B9"/>
    <w:rsid w:val="009473C9"/>
    <w:rsid w:val="00947473"/>
    <w:rsid w:val="00947527"/>
    <w:rsid w:val="009475B2"/>
    <w:rsid w:val="009475F3"/>
    <w:rsid w:val="00947694"/>
    <w:rsid w:val="0094772B"/>
    <w:rsid w:val="009478A8"/>
    <w:rsid w:val="009478E5"/>
    <w:rsid w:val="00947926"/>
    <w:rsid w:val="00947952"/>
    <w:rsid w:val="00947968"/>
    <w:rsid w:val="009479C8"/>
    <w:rsid w:val="00947B68"/>
    <w:rsid w:val="00947CA7"/>
    <w:rsid w:val="00947D29"/>
    <w:rsid w:val="00947D36"/>
    <w:rsid w:val="00947DCB"/>
    <w:rsid w:val="00947E78"/>
    <w:rsid w:val="00947EC3"/>
    <w:rsid w:val="009501C6"/>
    <w:rsid w:val="009502A4"/>
    <w:rsid w:val="00950391"/>
    <w:rsid w:val="00950403"/>
    <w:rsid w:val="009505EB"/>
    <w:rsid w:val="00950650"/>
    <w:rsid w:val="00950693"/>
    <w:rsid w:val="009506A0"/>
    <w:rsid w:val="009506EC"/>
    <w:rsid w:val="00950733"/>
    <w:rsid w:val="00950770"/>
    <w:rsid w:val="009507E9"/>
    <w:rsid w:val="0095080A"/>
    <w:rsid w:val="0095083A"/>
    <w:rsid w:val="0095086B"/>
    <w:rsid w:val="009508AA"/>
    <w:rsid w:val="0095093E"/>
    <w:rsid w:val="00950A3C"/>
    <w:rsid w:val="00950A50"/>
    <w:rsid w:val="00950A9C"/>
    <w:rsid w:val="00950AF5"/>
    <w:rsid w:val="00950B0E"/>
    <w:rsid w:val="00950B3A"/>
    <w:rsid w:val="00950DDA"/>
    <w:rsid w:val="00950EA6"/>
    <w:rsid w:val="00950F4F"/>
    <w:rsid w:val="00950FD6"/>
    <w:rsid w:val="00951085"/>
    <w:rsid w:val="009510BB"/>
    <w:rsid w:val="0095122E"/>
    <w:rsid w:val="00951326"/>
    <w:rsid w:val="0095137A"/>
    <w:rsid w:val="009513A5"/>
    <w:rsid w:val="009513E9"/>
    <w:rsid w:val="009513F2"/>
    <w:rsid w:val="0095146C"/>
    <w:rsid w:val="009514DA"/>
    <w:rsid w:val="009514E6"/>
    <w:rsid w:val="0095154F"/>
    <w:rsid w:val="009515BE"/>
    <w:rsid w:val="009515E1"/>
    <w:rsid w:val="009515FF"/>
    <w:rsid w:val="0095161E"/>
    <w:rsid w:val="009516EB"/>
    <w:rsid w:val="009517E9"/>
    <w:rsid w:val="00951944"/>
    <w:rsid w:val="0095199A"/>
    <w:rsid w:val="009519AC"/>
    <w:rsid w:val="009519C8"/>
    <w:rsid w:val="009519CF"/>
    <w:rsid w:val="009519E9"/>
    <w:rsid w:val="00951AF7"/>
    <w:rsid w:val="00951C45"/>
    <w:rsid w:val="00951C67"/>
    <w:rsid w:val="00951CAF"/>
    <w:rsid w:val="00951CE7"/>
    <w:rsid w:val="00951D0E"/>
    <w:rsid w:val="00951D65"/>
    <w:rsid w:val="00951D82"/>
    <w:rsid w:val="00951E08"/>
    <w:rsid w:val="00951E54"/>
    <w:rsid w:val="00951E59"/>
    <w:rsid w:val="00951E60"/>
    <w:rsid w:val="00951ED8"/>
    <w:rsid w:val="00951FD5"/>
    <w:rsid w:val="00951FFA"/>
    <w:rsid w:val="00951FFB"/>
    <w:rsid w:val="00952175"/>
    <w:rsid w:val="0095220F"/>
    <w:rsid w:val="0095232F"/>
    <w:rsid w:val="009523E1"/>
    <w:rsid w:val="00952444"/>
    <w:rsid w:val="00952467"/>
    <w:rsid w:val="00952479"/>
    <w:rsid w:val="0095247D"/>
    <w:rsid w:val="0095254D"/>
    <w:rsid w:val="009525E5"/>
    <w:rsid w:val="009526DA"/>
    <w:rsid w:val="009526E0"/>
    <w:rsid w:val="00952708"/>
    <w:rsid w:val="00952806"/>
    <w:rsid w:val="009528DE"/>
    <w:rsid w:val="00952B93"/>
    <w:rsid w:val="00952BA4"/>
    <w:rsid w:val="00952BAD"/>
    <w:rsid w:val="00952C13"/>
    <w:rsid w:val="00952C62"/>
    <w:rsid w:val="00952F46"/>
    <w:rsid w:val="00952F4D"/>
    <w:rsid w:val="00952F88"/>
    <w:rsid w:val="00952FB1"/>
    <w:rsid w:val="0095301C"/>
    <w:rsid w:val="00953022"/>
    <w:rsid w:val="00953072"/>
    <w:rsid w:val="00953196"/>
    <w:rsid w:val="009531AC"/>
    <w:rsid w:val="009532DC"/>
    <w:rsid w:val="009532F7"/>
    <w:rsid w:val="00953364"/>
    <w:rsid w:val="009533A0"/>
    <w:rsid w:val="009533F2"/>
    <w:rsid w:val="009534B0"/>
    <w:rsid w:val="009534CB"/>
    <w:rsid w:val="0095357A"/>
    <w:rsid w:val="009535FB"/>
    <w:rsid w:val="00953765"/>
    <w:rsid w:val="00953787"/>
    <w:rsid w:val="009537D6"/>
    <w:rsid w:val="0095393B"/>
    <w:rsid w:val="00953A07"/>
    <w:rsid w:val="00953A93"/>
    <w:rsid w:val="00953B0F"/>
    <w:rsid w:val="00953C51"/>
    <w:rsid w:val="00953C54"/>
    <w:rsid w:val="00953CB9"/>
    <w:rsid w:val="00953CF6"/>
    <w:rsid w:val="00953CFF"/>
    <w:rsid w:val="00953DC7"/>
    <w:rsid w:val="00953E12"/>
    <w:rsid w:val="00953E98"/>
    <w:rsid w:val="00953EC0"/>
    <w:rsid w:val="00953F36"/>
    <w:rsid w:val="00953F65"/>
    <w:rsid w:val="00953FA1"/>
    <w:rsid w:val="0095408B"/>
    <w:rsid w:val="00954117"/>
    <w:rsid w:val="00954163"/>
    <w:rsid w:val="00954233"/>
    <w:rsid w:val="0095424A"/>
    <w:rsid w:val="0095425D"/>
    <w:rsid w:val="0095428B"/>
    <w:rsid w:val="00954294"/>
    <w:rsid w:val="009543B9"/>
    <w:rsid w:val="00954424"/>
    <w:rsid w:val="009544CA"/>
    <w:rsid w:val="00954659"/>
    <w:rsid w:val="00954663"/>
    <w:rsid w:val="009546EB"/>
    <w:rsid w:val="0095471E"/>
    <w:rsid w:val="0095475B"/>
    <w:rsid w:val="0095488E"/>
    <w:rsid w:val="009548A2"/>
    <w:rsid w:val="009548AA"/>
    <w:rsid w:val="009548DF"/>
    <w:rsid w:val="0095495B"/>
    <w:rsid w:val="00954A38"/>
    <w:rsid w:val="00954A92"/>
    <w:rsid w:val="00954ADD"/>
    <w:rsid w:val="00954B2D"/>
    <w:rsid w:val="00954BBC"/>
    <w:rsid w:val="00954C0A"/>
    <w:rsid w:val="00954C51"/>
    <w:rsid w:val="00954C60"/>
    <w:rsid w:val="00954CE4"/>
    <w:rsid w:val="00954D0F"/>
    <w:rsid w:val="00954D4B"/>
    <w:rsid w:val="00954D5A"/>
    <w:rsid w:val="00954F0A"/>
    <w:rsid w:val="00954FEE"/>
    <w:rsid w:val="009550C2"/>
    <w:rsid w:val="00955164"/>
    <w:rsid w:val="0095517C"/>
    <w:rsid w:val="009552BE"/>
    <w:rsid w:val="0095530F"/>
    <w:rsid w:val="009553BF"/>
    <w:rsid w:val="009554D0"/>
    <w:rsid w:val="0095550C"/>
    <w:rsid w:val="00955519"/>
    <w:rsid w:val="009555A2"/>
    <w:rsid w:val="0095560D"/>
    <w:rsid w:val="00955718"/>
    <w:rsid w:val="00955778"/>
    <w:rsid w:val="00955781"/>
    <w:rsid w:val="00955787"/>
    <w:rsid w:val="0095578E"/>
    <w:rsid w:val="0095585F"/>
    <w:rsid w:val="00955A14"/>
    <w:rsid w:val="00955A2F"/>
    <w:rsid w:val="00955B5B"/>
    <w:rsid w:val="00955C4C"/>
    <w:rsid w:val="00955D8F"/>
    <w:rsid w:val="00955DAB"/>
    <w:rsid w:val="00955DCF"/>
    <w:rsid w:val="00955E80"/>
    <w:rsid w:val="00955FCE"/>
    <w:rsid w:val="009560DD"/>
    <w:rsid w:val="00956213"/>
    <w:rsid w:val="00956291"/>
    <w:rsid w:val="00956311"/>
    <w:rsid w:val="00956361"/>
    <w:rsid w:val="0095636E"/>
    <w:rsid w:val="00956380"/>
    <w:rsid w:val="0095638D"/>
    <w:rsid w:val="009563B0"/>
    <w:rsid w:val="0095642C"/>
    <w:rsid w:val="009564E4"/>
    <w:rsid w:val="0095651B"/>
    <w:rsid w:val="00956543"/>
    <w:rsid w:val="00956594"/>
    <w:rsid w:val="009565FC"/>
    <w:rsid w:val="009566A0"/>
    <w:rsid w:val="0095670C"/>
    <w:rsid w:val="0095674C"/>
    <w:rsid w:val="009567EC"/>
    <w:rsid w:val="00956807"/>
    <w:rsid w:val="00956888"/>
    <w:rsid w:val="009568BF"/>
    <w:rsid w:val="009568D6"/>
    <w:rsid w:val="009569C0"/>
    <w:rsid w:val="00956B81"/>
    <w:rsid w:val="00956B9B"/>
    <w:rsid w:val="00956C82"/>
    <w:rsid w:val="00956D2C"/>
    <w:rsid w:val="00956DE3"/>
    <w:rsid w:val="00956E05"/>
    <w:rsid w:val="00957028"/>
    <w:rsid w:val="0095707A"/>
    <w:rsid w:val="009570CB"/>
    <w:rsid w:val="009570D9"/>
    <w:rsid w:val="0095711D"/>
    <w:rsid w:val="00957121"/>
    <w:rsid w:val="00957159"/>
    <w:rsid w:val="00957167"/>
    <w:rsid w:val="009571BF"/>
    <w:rsid w:val="009571F7"/>
    <w:rsid w:val="0095720D"/>
    <w:rsid w:val="0095739D"/>
    <w:rsid w:val="00957419"/>
    <w:rsid w:val="00957430"/>
    <w:rsid w:val="00957465"/>
    <w:rsid w:val="00957484"/>
    <w:rsid w:val="009575B0"/>
    <w:rsid w:val="0095762C"/>
    <w:rsid w:val="00957639"/>
    <w:rsid w:val="00957657"/>
    <w:rsid w:val="0095768D"/>
    <w:rsid w:val="009576C9"/>
    <w:rsid w:val="0095777F"/>
    <w:rsid w:val="00957861"/>
    <w:rsid w:val="0095786F"/>
    <w:rsid w:val="00957881"/>
    <w:rsid w:val="00957885"/>
    <w:rsid w:val="0095795D"/>
    <w:rsid w:val="00957986"/>
    <w:rsid w:val="009579B8"/>
    <w:rsid w:val="009579E3"/>
    <w:rsid w:val="009579F0"/>
    <w:rsid w:val="00957A50"/>
    <w:rsid w:val="00957B1F"/>
    <w:rsid w:val="00957B5C"/>
    <w:rsid w:val="00957B7B"/>
    <w:rsid w:val="00957BF1"/>
    <w:rsid w:val="00957C74"/>
    <w:rsid w:val="00957CA6"/>
    <w:rsid w:val="00957CDE"/>
    <w:rsid w:val="00957D2E"/>
    <w:rsid w:val="00957E5D"/>
    <w:rsid w:val="00957F41"/>
    <w:rsid w:val="00957F42"/>
    <w:rsid w:val="00960085"/>
    <w:rsid w:val="0096018F"/>
    <w:rsid w:val="00960290"/>
    <w:rsid w:val="0096031E"/>
    <w:rsid w:val="009603B0"/>
    <w:rsid w:val="009604F7"/>
    <w:rsid w:val="009605C4"/>
    <w:rsid w:val="00960639"/>
    <w:rsid w:val="00960697"/>
    <w:rsid w:val="0096072A"/>
    <w:rsid w:val="00960758"/>
    <w:rsid w:val="009607BF"/>
    <w:rsid w:val="0096083D"/>
    <w:rsid w:val="00960942"/>
    <w:rsid w:val="00960944"/>
    <w:rsid w:val="00960992"/>
    <w:rsid w:val="00960996"/>
    <w:rsid w:val="009609CC"/>
    <w:rsid w:val="00960A4C"/>
    <w:rsid w:val="00960A6F"/>
    <w:rsid w:val="00960B49"/>
    <w:rsid w:val="00960BA7"/>
    <w:rsid w:val="00960BB6"/>
    <w:rsid w:val="00960C9F"/>
    <w:rsid w:val="00960CC3"/>
    <w:rsid w:val="00960D9A"/>
    <w:rsid w:val="00960DAF"/>
    <w:rsid w:val="00960E0B"/>
    <w:rsid w:val="00960E16"/>
    <w:rsid w:val="00960E20"/>
    <w:rsid w:val="00960E29"/>
    <w:rsid w:val="00960E91"/>
    <w:rsid w:val="00960ED3"/>
    <w:rsid w:val="00960EE8"/>
    <w:rsid w:val="00960F5D"/>
    <w:rsid w:val="00960F76"/>
    <w:rsid w:val="00960F8E"/>
    <w:rsid w:val="00960FA3"/>
    <w:rsid w:val="00960FC2"/>
    <w:rsid w:val="0096103A"/>
    <w:rsid w:val="00961120"/>
    <w:rsid w:val="0096115C"/>
    <w:rsid w:val="009611CA"/>
    <w:rsid w:val="009611E8"/>
    <w:rsid w:val="009612CE"/>
    <w:rsid w:val="00961354"/>
    <w:rsid w:val="00961366"/>
    <w:rsid w:val="00961403"/>
    <w:rsid w:val="0096141C"/>
    <w:rsid w:val="00961424"/>
    <w:rsid w:val="0096145E"/>
    <w:rsid w:val="009614A7"/>
    <w:rsid w:val="009614C8"/>
    <w:rsid w:val="00961575"/>
    <w:rsid w:val="00961624"/>
    <w:rsid w:val="00961631"/>
    <w:rsid w:val="009616BF"/>
    <w:rsid w:val="00961704"/>
    <w:rsid w:val="00961736"/>
    <w:rsid w:val="00961750"/>
    <w:rsid w:val="009617B5"/>
    <w:rsid w:val="009617C1"/>
    <w:rsid w:val="00961854"/>
    <w:rsid w:val="00961957"/>
    <w:rsid w:val="0096198A"/>
    <w:rsid w:val="00961A4C"/>
    <w:rsid w:val="00961AD2"/>
    <w:rsid w:val="00961B0E"/>
    <w:rsid w:val="00961BE5"/>
    <w:rsid w:val="00961C00"/>
    <w:rsid w:val="00961C39"/>
    <w:rsid w:val="00961CE3"/>
    <w:rsid w:val="00961CFC"/>
    <w:rsid w:val="00961F5F"/>
    <w:rsid w:val="00961FEE"/>
    <w:rsid w:val="00962045"/>
    <w:rsid w:val="009620BE"/>
    <w:rsid w:val="0096221F"/>
    <w:rsid w:val="00962284"/>
    <w:rsid w:val="009622A3"/>
    <w:rsid w:val="00962312"/>
    <w:rsid w:val="009623D3"/>
    <w:rsid w:val="009624E5"/>
    <w:rsid w:val="0096253B"/>
    <w:rsid w:val="00962556"/>
    <w:rsid w:val="00962569"/>
    <w:rsid w:val="00962588"/>
    <w:rsid w:val="009625E6"/>
    <w:rsid w:val="009625FC"/>
    <w:rsid w:val="0096264B"/>
    <w:rsid w:val="00962660"/>
    <w:rsid w:val="0096278E"/>
    <w:rsid w:val="009627F7"/>
    <w:rsid w:val="0096285C"/>
    <w:rsid w:val="009628EF"/>
    <w:rsid w:val="009628F1"/>
    <w:rsid w:val="009629DA"/>
    <w:rsid w:val="00962A3A"/>
    <w:rsid w:val="00962A3B"/>
    <w:rsid w:val="00962A4A"/>
    <w:rsid w:val="00962A79"/>
    <w:rsid w:val="00962A9A"/>
    <w:rsid w:val="00962ABA"/>
    <w:rsid w:val="00962B4B"/>
    <w:rsid w:val="00962C2C"/>
    <w:rsid w:val="00962C46"/>
    <w:rsid w:val="00962C91"/>
    <w:rsid w:val="00962C95"/>
    <w:rsid w:val="00962E15"/>
    <w:rsid w:val="00962F0E"/>
    <w:rsid w:val="00962F4F"/>
    <w:rsid w:val="00963014"/>
    <w:rsid w:val="00963374"/>
    <w:rsid w:val="00963418"/>
    <w:rsid w:val="009634E8"/>
    <w:rsid w:val="00963587"/>
    <w:rsid w:val="0096361F"/>
    <w:rsid w:val="00963687"/>
    <w:rsid w:val="00963725"/>
    <w:rsid w:val="0096376A"/>
    <w:rsid w:val="00963A08"/>
    <w:rsid w:val="00963A5D"/>
    <w:rsid w:val="00963A84"/>
    <w:rsid w:val="00963B51"/>
    <w:rsid w:val="00963BC9"/>
    <w:rsid w:val="00963BD2"/>
    <w:rsid w:val="00963BEA"/>
    <w:rsid w:val="00963CDA"/>
    <w:rsid w:val="00963D14"/>
    <w:rsid w:val="00963DB2"/>
    <w:rsid w:val="00963DE9"/>
    <w:rsid w:val="00963E31"/>
    <w:rsid w:val="00963E96"/>
    <w:rsid w:val="00963FBF"/>
    <w:rsid w:val="00964013"/>
    <w:rsid w:val="009640C7"/>
    <w:rsid w:val="009640E9"/>
    <w:rsid w:val="0096429F"/>
    <w:rsid w:val="009642D4"/>
    <w:rsid w:val="0096432C"/>
    <w:rsid w:val="00964448"/>
    <w:rsid w:val="00964497"/>
    <w:rsid w:val="009645F5"/>
    <w:rsid w:val="009648B2"/>
    <w:rsid w:val="00964A1A"/>
    <w:rsid w:val="00964ADB"/>
    <w:rsid w:val="00964C55"/>
    <w:rsid w:val="00964C8D"/>
    <w:rsid w:val="00964D6E"/>
    <w:rsid w:val="00964DE0"/>
    <w:rsid w:val="00964E30"/>
    <w:rsid w:val="00964E94"/>
    <w:rsid w:val="00965001"/>
    <w:rsid w:val="00965059"/>
    <w:rsid w:val="00965072"/>
    <w:rsid w:val="0096511D"/>
    <w:rsid w:val="00965193"/>
    <w:rsid w:val="00965240"/>
    <w:rsid w:val="0096527C"/>
    <w:rsid w:val="00965336"/>
    <w:rsid w:val="00965346"/>
    <w:rsid w:val="009653EA"/>
    <w:rsid w:val="0096544E"/>
    <w:rsid w:val="00965496"/>
    <w:rsid w:val="009655A0"/>
    <w:rsid w:val="009655E1"/>
    <w:rsid w:val="009656FD"/>
    <w:rsid w:val="0096579F"/>
    <w:rsid w:val="009657B7"/>
    <w:rsid w:val="009657EB"/>
    <w:rsid w:val="009657F4"/>
    <w:rsid w:val="00965860"/>
    <w:rsid w:val="0096593D"/>
    <w:rsid w:val="00965940"/>
    <w:rsid w:val="00965BE1"/>
    <w:rsid w:val="00965C5F"/>
    <w:rsid w:val="00965CCB"/>
    <w:rsid w:val="00965D0D"/>
    <w:rsid w:val="00965D2E"/>
    <w:rsid w:val="00965D6D"/>
    <w:rsid w:val="00965D70"/>
    <w:rsid w:val="00965DDD"/>
    <w:rsid w:val="00965FA1"/>
    <w:rsid w:val="00965FE0"/>
    <w:rsid w:val="00965FF5"/>
    <w:rsid w:val="00966106"/>
    <w:rsid w:val="00966116"/>
    <w:rsid w:val="009662AC"/>
    <w:rsid w:val="009662B5"/>
    <w:rsid w:val="009662F3"/>
    <w:rsid w:val="00966392"/>
    <w:rsid w:val="009663DE"/>
    <w:rsid w:val="00966400"/>
    <w:rsid w:val="0096642F"/>
    <w:rsid w:val="00966485"/>
    <w:rsid w:val="00966667"/>
    <w:rsid w:val="009666DA"/>
    <w:rsid w:val="00966708"/>
    <w:rsid w:val="00966752"/>
    <w:rsid w:val="00966753"/>
    <w:rsid w:val="00966785"/>
    <w:rsid w:val="009667AF"/>
    <w:rsid w:val="009667F7"/>
    <w:rsid w:val="00966839"/>
    <w:rsid w:val="0096685A"/>
    <w:rsid w:val="009668C0"/>
    <w:rsid w:val="0096693E"/>
    <w:rsid w:val="009669E6"/>
    <w:rsid w:val="00966A9D"/>
    <w:rsid w:val="00966B52"/>
    <w:rsid w:val="00966BE5"/>
    <w:rsid w:val="00966BF3"/>
    <w:rsid w:val="00966C0A"/>
    <w:rsid w:val="00966DAE"/>
    <w:rsid w:val="00966E2F"/>
    <w:rsid w:val="00966EBB"/>
    <w:rsid w:val="00966EBD"/>
    <w:rsid w:val="00966F35"/>
    <w:rsid w:val="00966F52"/>
    <w:rsid w:val="00966FE5"/>
    <w:rsid w:val="00967208"/>
    <w:rsid w:val="009673ED"/>
    <w:rsid w:val="0096744D"/>
    <w:rsid w:val="009674B8"/>
    <w:rsid w:val="00967504"/>
    <w:rsid w:val="009675F7"/>
    <w:rsid w:val="0096763F"/>
    <w:rsid w:val="009676EA"/>
    <w:rsid w:val="00967724"/>
    <w:rsid w:val="0096772A"/>
    <w:rsid w:val="0096776F"/>
    <w:rsid w:val="00967792"/>
    <w:rsid w:val="0096782A"/>
    <w:rsid w:val="00967863"/>
    <w:rsid w:val="0096792D"/>
    <w:rsid w:val="0096794C"/>
    <w:rsid w:val="009679BA"/>
    <w:rsid w:val="00967A44"/>
    <w:rsid w:val="00967A63"/>
    <w:rsid w:val="00967AAD"/>
    <w:rsid w:val="00967B26"/>
    <w:rsid w:val="00967BF4"/>
    <w:rsid w:val="00967C9F"/>
    <w:rsid w:val="00967D51"/>
    <w:rsid w:val="00967EFE"/>
    <w:rsid w:val="00967F52"/>
    <w:rsid w:val="0097000E"/>
    <w:rsid w:val="00970105"/>
    <w:rsid w:val="00970143"/>
    <w:rsid w:val="00970161"/>
    <w:rsid w:val="0097018B"/>
    <w:rsid w:val="009701A3"/>
    <w:rsid w:val="00970201"/>
    <w:rsid w:val="0097021D"/>
    <w:rsid w:val="00970308"/>
    <w:rsid w:val="0097032A"/>
    <w:rsid w:val="00970356"/>
    <w:rsid w:val="0097048A"/>
    <w:rsid w:val="009704B7"/>
    <w:rsid w:val="009704CE"/>
    <w:rsid w:val="009704E9"/>
    <w:rsid w:val="0097053F"/>
    <w:rsid w:val="009705D0"/>
    <w:rsid w:val="0097062D"/>
    <w:rsid w:val="00970641"/>
    <w:rsid w:val="0097075E"/>
    <w:rsid w:val="009707D2"/>
    <w:rsid w:val="009707EC"/>
    <w:rsid w:val="00970804"/>
    <w:rsid w:val="00970A85"/>
    <w:rsid w:val="00970A99"/>
    <w:rsid w:val="00970AE2"/>
    <w:rsid w:val="00970B0E"/>
    <w:rsid w:val="00970BF0"/>
    <w:rsid w:val="00970CA1"/>
    <w:rsid w:val="00970CF5"/>
    <w:rsid w:val="00970D30"/>
    <w:rsid w:val="00970D37"/>
    <w:rsid w:val="00970D3B"/>
    <w:rsid w:val="00970D3D"/>
    <w:rsid w:val="00970EE9"/>
    <w:rsid w:val="00970F18"/>
    <w:rsid w:val="0097101B"/>
    <w:rsid w:val="00971093"/>
    <w:rsid w:val="009710BB"/>
    <w:rsid w:val="009710CD"/>
    <w:rsid w:val="00971192"/>
    <w:rsid w:val="0097119B"/>
    <w:rsid w:val="00971348"/>
    <w:rsid w:val="00971365"/>
    <w:rsid w:val="009713AA"/>
    <w:rsid w:val="00971406"/>
    <w:rsid w:val="00971422"/>
    <w:rsid w:val="0097145A"/>
    <w:rsid w:val="0097146C"/>
    <w:rsid w:val="009714C5"/>
    <w:rsid w:val="009715F9"/>
    <w:rsid w:val="00971657"/>
    <w:rsid w:val="00971749"/>
    <w:rsid w:val="009717C4"/>
    <w:rsid w:val="0097188B"/>
    <w:rsid w:val="009718A1"/>
    <w:rsid w:val="009718EB"/>
    <w:rsid w:val="00971AA7"/>
    <w:rsid w:val="00971AE7"/>
    <w:rsid w:val="00971C8A"/>
    <w:rsid w:val="00971D44"/>
    <w:rsid w:val="00971DCC"/>
    <w:rsid w:val="00971E0C"/>
    <w:rsid w:val="00971ECD"/>
    <w:rsid w:val="00971EE9"/>
    <w:rsid w:val="00971EF9"/>
    <w:rsid w:val="00971F73"/>
    <w:rsid w:val="0097201F"/>
    <w:rsid w:val="00972030"/>
    <w:rsid w:val="0097206C"/>
    <w:rsid w:val="0097208D"/>
    <w:rsid w:val="009720A0"/>
    <w:rsid w:val="00972119"/>
    <w:rsid w:val="0097212E"/>
    <w:rsid w:val="0097229A"/>
    <w:rsid w:val="009722D8"/>
    <w:rsid w:val="009723A6"/>
    <w:rsid w:val="009723D1"/>
    <w:rsid w:val="00972408"/>
    <w:rsid w:val="0097244E"/>
    <w:rsid w:val="0097245B"/>
    <w:rsid w:val="009724B5"/>
    <w:rsid w:val="00972510"/>
    <w:rsid w:val="00972562"/>
    <w:rsid w:val="0097257D"/>
    <w:rsid w:val="00972609"/>
    <w:rsid w:val="00972742"/>
    <w:rsid w:val="0097277E"/>
    <w:rsid w:val="009728AC"/>
    <w:rsid w:val="0097292E"/>
    <w:rsid w:val="0097295D"/>
    <w:rsid w:val="00972970"/>
    <w:rsid w:val="0097299E"/>
    <w:rsid w:val="00972A1B"/>
    <w:rsid w:val="00972B3F"/>
    <w:rsid w:val="00972B73"/>
    <w:rsid w:val="00972C49"/>
    <w:rsid w:val="00972C89"/>
    <w:rsid w:val="00972D9B"/>
    <w:rsid w:val="00972DA2"/>
    <w:rsid w:val="00972EB9"/>
    <w:rsid w:val="00972F50"/>
    <w:rsid w:val="00972FFE"/>
    <w:rsid w:val="00973030"/>
    <w:rsid w:val="009731DB"/>
    <w:rsid w:val="00973303"/>
    <w:rsid w:val="00973305"/>
    <w:rsid w:val="00973373"/>
    <w:rsid w:val="0097337D"/>
    <w:rsid w:val="009733EA"/>
    <w:rsid w:val="009734D1"/>
    <w:rsid w:val="009734FE"/>
    <w:rsid w:val="00973511"/>
    <w:rsid w:val="009735DE"/>
    <w:rsid w:val="009735E9"/>
    <w:rsid w:val="00973617"/>
    <w:rsid w:val="00973627"/>
    <w:rsid w:val="009736B7"/>
    <w:rsid w:val="009736CD"/>
    <w:rsid w:val="0097376C"/>
    <w:rsid w:val="0097378D"/>
    <w:rsid w:val="00973807"/>
    <w:rsid w:val="0097380F"/>
    <w:rsid w:val="00973818"/>
    <w:rsid w:val="00973843"/>
    <w:rsid w:val="00973909"/>
    <w:rsid w:val="00973A80"/>
    <w:rsid w:val="00973B89"/>
    <w:rsid w:val="00973BCE"/>
    <w:rsid w:val="00973D9F"/>
    <w:rsid w:val="00973E4E"/>
    <w:rsid w:val="00973E4F"/>
    <w:rsid w:val="00973E56"/>
    <w:rsid w:val="00973E75"/>
    <w:rsid w:val="00973E8B"/>
    <w:rsid w:val="00973F52"/>
    <w:rsid w:val="00974117"/>
    <w:rsid w:val="00974149"/>
    <w:rsid w:val="00974164"/>
    <w:rsid w:val="0097416F"/>
    <w:rsid w:val="0097420C"/>
    <w:rsid w:val="00974214"/>
    <w:rsid w:val="00974303"/>
    <w:rsid w:val="00974384"/>
    <w:rsid w:val="009743D4"/>
    <w:rsid w:val="0097445B"/>
    <w:rsid w:val="0097453F"/>
    <w:rsid w:val="00974556"/>
    <w:rsid w:val="00974782"/>
    <w:rsid w:val="009747BB"/>
    <w:rsid w:val="009747F7"/>
    <w:rsid w:val="00974861"/>
    <w:rsid w:val="009749E0"/>
    <w:rsid w:val="009749FA"/>
    <w:rsid w:val="00974A4E"/>
    <w:rsid w:val="00974A7E"/>
    <w:rsid w:val="00974AF0"/>
    <w:rsid w:val="00974BDF"/>
    <w:rsid w:val="00974DA8"/>
    <w:rsid w:val="00974DB8"/>
    <w:rsid w:val="00974DBB"/>
    <w:rsid w:val="00974DCE"/>
    <w:rsid w:val="00974EBE"/>
    <w:rsid w:val="00974F1E"/>
    <w:rsid w:val="00974F5A"/>
    <w:rsid w:val="00974FBF"/>
    <w:rsid w:val="00974FEE"/>
    <w:rsid w:val="0097506A"/>
    <w:rsid w:val="009750A5"/>
    <w:rsid w:val="009750F5"/>
    <w:rsid w:val="0097511F"/>
    <w:rsid w:val="00975201"/>
    <w:rsid w:val="00975287"/>
    <w:rsid w:val="009752F7"/>
    <w:rsid w:val="00975342"/>
    <w:rsid w:val="009753C6"/>
    <w:rsid w:val="009754E1"/>
    <w:rsid w:val="009754F9"/>
    <w:rsid w:val="009755A8"/>
    <w:rsid w:val="00975611"/>
    <w:rsid w:val="0097561E"/>
    <w:rsid w:val="0097570C"/>
    <w:rsid w:val="0097573B"/>
    <w:rsid w:val="0097575E"/>
    <w:rsid w:val="00975829"/>
    <w:rsid w:val="0097597C"/>
    <w:rsid w:val="009759B3"/>
    <w:rsid w:val="00975A03"/>
    <w:rsid w:val="00975A37"/>
    <w:rsid w:val="00975A81"/>
    <w:rsid w:val="00975A84"/>
    <w:rsid w:val="00975B79"/>
    <w:rsid w:val="00975B9E"/>
    <w:rsid w:val="00975CF1"/>
    <w:rsid w:val="00975D07"/>
    <w:rsid w:val="00975DBC"/>
    <w:rsid w:val="00975E52"/>
    <w:rsid w:val="00975E54"/>
    <w:rsid w:val="00975F49"/>
    <w:rsid w:val="00975FD2"/>
    <w:rsid w:val="00976000"/>
    <w:rsid w:val="00976011"/>
    <w:rsid w:val="0097614A"/>
    <w:rsid w:val="0097615B"/>
    <w:rsid w:val="00976170"/>
    <w:rsid w:val="00976180"/>
    <w:rsid w:val="00976294"/>
    <w:rsid w:val="009763DB"/>
    <w:rsid w:val="00976418"/>
    <w:rsid w:val="009764F9"/>
    <w:rsid w:val="00976514"/>
    <w:rsid w:val="009765B8"/>
    <w:rsid w:val="0097661E"/>
    <w:rsid w:val="009766A0"/>
    <w:rsid w:val="00976A98"/>
    <w:rsid w:val="00976AB9"/>
    <w:rsid w:val="00976B8F"/>
    <w:rsid w:val="00976C1B"/>
    <w:rsid w:val="00976C33"/>
    <w:rsid w:val="00976D3E"/>
    <w:rsid w:val="00976D66"/>
    <w:rsid w:val="00976DEE"/>
    <w:rsid w:val="00976EA8"/>
    <w:rsid w:val="00976F09"/>
    <w:rsid w:val="00976F8C"/>
    <w:rsid w:val="0097709D"/>
    <w:rsid w:val="009770BA"/>
    <w:rsid w:val="009770DD"/>
    <w:rsid w:val="0097711A"/>
    <w:rsid w:val="00977146"/>
    <w:rsid w:val="00977268"/>
    <w:rsid w:val="0097727A"/>
    <w:rsid w:val="00977320"/>
    <w:rsid w:val="00977328"/>
    <w:rsid w:val="00977340"/>
    <w:rsid w:val="00977375"/>
    <w:rsid w:val="009773A4"/>
    <w:rsid w:val="009773C1"/>
    <w:rsid w:val="00977411"/>
    <w:rsid w:val="00977471"/>
    <w:rsid w:val="0097747A"/>
    <w:rsid w:val="00977496"/>
    <w:rsid w:val="0097749D"/>
    <w:rsid w:val="0097751A"/>
    <w:rsid w:val="00977535"/>
    <w:rsid w:val="0097756A"/>
    <w:rsid w:val="009775AB"/>
    <w:rsid w:val="00977625"/>
    <w:rsid w:val="0097777A"/>
    <w:rsid w:val="009777AE"/>
    <w:rsid w:val="00977950"/>
    <w:rsid w:val="009779E8"/>
    <w:rsid w:val="00977A15"/>
    <w:rsid w:val="00977A4D"/>
    <w:rsid w:val="00977A6D"/>
    <w:rsid w:val="00977B23"/>
    <w:rsid w:val="00977B8F"/>
    <w:rsid w:val="00977C21"/>
    <w:rsid w:val="00977D2D"/>
    <w:rsid w:val="00977E2B"/>
    <w:rsid w:val="00977E35"/>
    <w:rsid w:val="00977F24"/>
    <w:rsid w:val="00977FE6"/>
    <w:rsid w:val="0098000A"/>
    <w:rsid w:val="0098005A"/>
    <w:rsid w:val="00980141"/>
    <w:rsid w:val="0098024E"/>
    <w:rsid w:val="009802A7"/>
    <w:rsid w:val="00980348"/>
    <w:rsid w:val="0098034A"/>
    <w:rsid w:val="0098035C"/>
    <w:rsid w:val="0098036C"/>
    <w:rsid w:val="00980479"/>
    <w:rsid w:val="009804F5"/>
    <w:rsid w:val="00980559"/>
    <w:rsid w:val="0098058F"/>
    <w:rsid w:val="00980592"/>
    <w:rsid w:val="00980744"/>
    <w:rsid w:val="0098083C"/>
    <w:rsid w:val="00980846"/>
    <w:rsid w:val="0098086E"/>
    <w:rsid w:val="00980919"/>
    <w:rsid w:val="00980980"/>
    <w:rsid w:val="00980A23"/>
    <w:rsid w:val="00980A2B"/>
    <w:rsid w:val="00980AEC"/>
    <w:rsid w:val="00980B09"/>
    <w:rsid w:val="00980C2C"/>
    <w:rsid w:val="00980C72"/>
    <w:rsid w:val="00980C7A"/>
    <w:rsid w:val="00980D0C"/>
    <w:rsid w:val="00980E0F"/>
    <w:rsid w:val="00980E12"/>
    <w:rsid w:val="00980EAA"/>
    <w:rsid w:val="00980EDD"/>
    <w:rsid w:val="00980F8E"/>
    <w:rsid w:val="00980F90"/>
    <w:rsid w:val="00980F96"/>
    <w:rsid w:val="0098103D"/>
    <w:rsid w:val="0098114F"/>
    <w:rsid w:val="00981162"/>
    <w:rsid w:val="009811F4"/>
    <w:rsid w:val="0098124D"/>
    <w:rsid w:val="00981254"/>
    <w:rsid w:val="00981364"/>
    <w:rsid w:val="0098136D"/>
    <w:rsid w:val="00981400"/>
    <w:rsid w:val="00981426"/>
    <w:rsid w:val="00981488"/>
    <w:rsid w:val="00981528"/>
    <w:rsid w:val="00981595"/>
    <w:rsid w:val="00981601"/>
    <w:rsid w:val="00981672"/>
    <w:rsid w:val="00981676"/>
    <w:rsid w:val="0098169A"/>
    <w:rsid w:val="009816EE"/>
    <w:rsid w:val="0098172E"/>
    <w:rsid w:val="00981730"/>
    <w:rsid w:val="009817E9"/>
    <w:rsid w:val="0098190D"/>
    <w:rsid w:val="0098191F"/>
    <w:rsid w:val="00981978"/>
    <w:rsid w:val="00981A46"/>
    <w:rsid w:val="00981A6D"/>
    <w:rsid w:val="00981ABF"/>
    <w:rsid w:val="00981C3C"/>
    <w:rsid w:val="00981C4E"/>
    <w:rsid w:val="00981CC7"/>
    <w:rsid w:val="00981DE2"/>
    <w:rsid w:val="00981E43"/>
    <w:rsid w:val="00981EA2"/>
    <w:rsid w:val="00981F2B"/>
    <w:rsid w:val="009821C6"/>
    <w:rsid w:val="009821E5"/>
    <w:rsid w:val="00982221"/>
    <w:rsid w:val="009822B2"/>
    <w:rsid w:val="00982365"/>
    <w:rsid w:val="009823B6"/>
    <w:rsid w:val="0098242A"/>
    <w:rsid w:val="0098243A"/>
    <w:rsid w:val="00982444"/>
    <w:rsid w:val="00982456"/>
    <w:rsid w:val="009824A4"/>
    <w:rsid w:val="0098256F"/>
    <w:rsid w:val="00982573"/>
    <w:rsid w:val="00982595"/>
    <w:rsid w:val="0098272C"/>
    <w:rsid w:val="009827E2"/>
    <w:rsid w:val="00982808"/>
    <w:rsid w:val="00982822"/>
    <w:rsid w:val="00982982"/>
    <w:rsid w:val="009829AD"/>
    <w:rsid w:val="00982A1D"/>
    <w:rsid w:val="00982A3A"/>
    <w:rsid w:val="00982ADF"/>
    <w:rsid w:val="00982B28"/>
    <w:rsid w:val="00982BAC"/>
    <w:rsid w:val="00982CF4"/>
    <w:rsid w:val="00982DF9"/>
    <w:rsid w:val="00982E1D"/>
    <w:rsid w:val="00982E81"/>
    <w:rsid w:val="00982FD0"/>
    <w:rsid w:val="00983045"/>
    <w:rsid w:val="00983118"/>
    <w:rsid w:val="00983148"/>
    <w:rsid w:val="009832B8"/>
    <w:rsid w:val="0098331C"/>
    <w:rsid w:val="0098336F"/>
    <w:rsid w:val="00983383"/>
    <w:rsid w:val="0098346B"/>
    <w:rsid w:val="00983520"/>
    <w:rsid w:val="009835BC"/>
    <w:rsid w:val="00983619"/>
    <w:rsid w:val="009836A9"/>
    <w:rsid w:val="009836D4"/>
    <w:rsid w:val="0098370A"/>
    <w:rsid w:val="009837ED"/>
    <w:rsid w:val="009838FA"/>
    <w:rsid w:val="00983924"/>
    <w:rsid w:val="00983955"/>
    <w:rsid w:val="0098395C"/>
    <w:rsid w:val="009839DC"/>
    <w:rsid w:val="00983AC8"/>
    <w:rsid w:val="00983B0A"/>
    <w:rsid w:val="00983B5F"/>
    <w:rsid w:val="00983CCC"/>
    <w:rsid w:val="00983CE1"/>
    <w:rsid w:val="00983D08"/>
    <w:rsid w:val="00983DEC"/>
    <w:rsid w:val="00983E1A"/>
    <w:rsid w:val="00983E5C"/>
    <w:rsid w:val="00983EBB"/>
    <w:rsid w:val="00983ED8"/>
    <w:rsid w:val="00983FEA"/>
    <w:rsid w:val="0098410B"/>
    <w:rsid w:val="0098410D"/>
    <w:rsid w:val="0098411E"/>
    <w:rsid w:val="0098416E"/>
    <w:rsid w:val="009841A5"/>
    <w:rsid w:val="009841B0"/>
    <w:rsid w:val="0098422B"/>
    <w:rsid w:val="00984415"/>
    <w:rsid w:val="009844B2"/>
    <w:rsid w:val="00984511"/>
    <w:rsid w:val="00984556"/>
    <w:rsid w:val="00984600"/>
    <w:rsid w:val="00984653"/>
    <w:rsid w:val="0098472A"/>
    <w:rsid w:val="0098473B"/>
    <w:rsid w:val="009847EF"/>
    <w:rsid w:val="0098484D"/>
    <w:rsid w:val="0098496A"/>
    <w:rsid w:val="00984982"/>
    <w:rsid w:val="00984B29"/>
    <w:rsid w:val="00984B93"/>
    <w:rsid w:val="00984BCD"/>
    <w:rsid w:val="00984C3B"/>
    <w:rsid w:val="00984C7B"/>
    <w:rsid w:val="00984CC3"/>
    <w:rsid w:val="00984D0B"/>
    <w:rsid w:val="00984D8E"/>
    <w:rsid w:val="00984E67"/>
    <w:rsid w:val="00984E80"/>
    <w:rsid w:val="00984EB3"/>
    <w:rsid w:val="00984F26"/>
    <w:rsid w:val="00984F82"/>
    <w:rsid w:val="00984FCD"/>
    <w:rsid w:val="00985071"/>
    <w:rsid w:val="009850EE"/>
    <w:rsid w:val="009850F8"/>
    <w:rsid w:val="009851E6"/>
    <w:rsid w:val="0098527F"/>
    <w:rsid w:val="0098547A"/>
    <w:rsid w:val="009854C9"/>
    <w:rsid w:val="00985521"/>
    <w:rsid w:val="009855AF"/>
    <w:rsid w:val="009855C7"/>
    <w:rsid w:val="0098561A"/>
    <w:rsid w:val="00985657"/>
    <w:rsid w:val="0098571E"/>
    <w:rsid w:val="00985757"/>
    <w:rsid w:val="009857A0"/>
    <w:rsid w:val="009857CA"/>
    <w:rsid w:val="009858CE"/>
    <w:rsid w:val="009858DC"/>
    <w:rsid w:val="009859BB"/>
    <w:rsid w:val="009859BD"/>
    <w:rsid w:val="009859DF"/>
    <w:rsid w:val="00985A65"/>
    <w:rsid w:val="00985AA9"/>
    <w:rsid w:val="00985AC3"/>
    <w:rsid w:val="00985AFD"/>
    <w:rsid w:val="00985D27"/>
    <w:rsid w:val="00985D45"/>
    <w:rsid w:val="00985DA8"/>
    <w:rsid w:val="00985E13"/>
    <w:rsid w:val="00985E4A"/>
    <w:rsid w:val="00985E88"/>
    <w:rsid w:val="00985F8E"/>
    <w:rsid w:val="00985FAE"/>
    <w:rsid w:val="00986058"/>
    <w:rsid w:val="00986074"/>
    <w:rsid w:val="00986105"/>
    <w:rsid w:val="009861AE"/>
    <w:rsid w:val="009861B6"/>
    <w:rsid w:val="0098629D"/>
    <w:rsid w:val="009862C4"/>
    <w:rsid w:val="009863B5"/>
    <w:rsid w:val="009863BB"/>
    <w:rsid w:val="009864AF"/>
    <w:rsid w:val="009864DD"/>
    <w:rsid w:val="00986507"/>
    <w:rsid w:val="0098654C"/>
    <w:rsid w:val="00986562"/>
    <w:rsid w:val="00986594"/>
    <w:rsid w:val="009865AB"/>
    <w:rsid w:val="009865AE"/>
    <w:rsid w:val="0098664F"/>
    <w:rsid w:val="00986692"/>
    <w:rsid w:val="009866D2"/>
    <w:rsid w:val="0098682B"/>
    <w:rsid w:val="00986858"/>
    <w:rsid w:val="00986A38"/>
    <w:rsid w:val="00986B5C"/>
    <w:rsid w:val="00986CF4"/>
    <w:rsid w:val="00986DDF"/>
    <w:rsid w:val="00986DF9"/>
    <w:rsid w:val="00986EE3"/>
    <w:rsid w:val="00986F0B"/>
    <w:rsid w:val="00987061"/>
    <w:rsid w:val="009870B8"/>
    <w:rsid w:val="009870B9"/>
    <w:rsid w:val="009870F0"/>
    <w:rsid w:val="00987111"/>
    <w:rsid w:val="00987125"/>
    <w:rsid w:val="0098726A"/>
    <w:rsid w:val="00987294"/>
    <w:rsid w:val="0098729B"/>
    <w:rsid w:val="009872A6"/>
    <w:rsid w:val="009872EB"/>
    <w:rsid w:val="009873AC"/>
    <w:rsid w:val="0098753C"/>
    <w:rsid w:val="009875F2"/>
    <w:rsid w:val="0098768D"/>
    <w:rsid w:val="00987692"/>
    <w:rsid w:val="00987703"/>
    <w:rsid w:val="009877DE"/>
    <w:rsid w:val="00987817"/>
    <w:rsid w:val="00987820"/>
    <w:rsid w:val="0098795A"/>
    <w:rsid w:val="00987A82"/>
    <w:rsid w:val="00987B37"/>
    <w:rsid w:val="00987BB3"/>
    <w:rsid w:val="00987CA9"/>
    <w:rsid w:val="00987CB6"/>
    <w:rsid w:val="00987CCC"/>
    <w:rsid w:val="00987D80"/>
    <w:rsid w:val="00987DC4"/>
    <w:rsid w:val="00987DC7"/>
    <w:rsid w:val="00987E8C"/>
    <w:rsid w:val="00987ED7"/>
    <w:rsid w:val="009901EA"/>
    <w:rsid w:val="00990296"/>
    <w:rsid w:val="009902D8"/>
    <w:rsid w:val="00990329"/>
    <w:rsid w:val="009905D0"/>
    <w:rsid w:val="009905FF"/>
    <w:rsid w:val="0099069B"/>
    <w:rsid w:val="009907D5"/>
    <w:rsid w:val="0099096C"/>
    <w:rsid w:val="00990989"/>
    <w:rsid w:val="009909FF"/>
    <w:rsid w:val="00990A19"/>
    <w:rsid w:val="00990AC3"/>
    <w:rsid w:val="00990AD8"/>
    <w:rsid w:val="00990B8B"/>
    <w:rsid w:val="00990C60"/>
    <w:rsid w:val="00990CA9"/>
    <w:rsid w:val="00990DE5"/>
    <w:rsid w:val="00990E61"/>
    <w:rsid w:val="00990F34"/>
    <w:rsid w:val="00990FFA"/>
    <w:rsid w:val="00991096"/>
    <w:rsid w:val="009910F2"/>
    <w:rsid w:val="0099110A"/>
    <w:rsid w:val="00991123"/>
    <w:rsid w:val="009911C5"/>
    <w:rsid w:val="0099120A"/>
    <w:rsid w:val="00991277"/>
    <w:rsid w:val="0099129F"/>
    <w:rsid w:val="009912E9"/>
    <w:rsid w:val="00991313"/>
    <w:rsid w:val="00991462"/>
    <w:rsid w:val="009914A9"/>
    <w:rsid w:val="009914D3"/>
    <w:rsid w:val="0099150B"/>
    <w:rsid w:val="0099151F"/>
    <w:rsid w:val="00991587"/>
    <w:rsid w:val="00991629"/>
    <w:rsid w:val="0099163B"/>
    <w:rsid w:val="009916E2"/>
    <w:rsid w:val="00991806"/>
    <w:rsid w:val="00991858"/>
    <w:rsid w:val="009918CE"/>
    <w:rsid w:val="0099192B"/>
    <w:rsid w:val="00991967"/>
    <w:rsid w:val="00991A20"/>
    <w:rsid w:val="00991A31"/>
    <w:rsid w:val="00991A85"/>
    <w:rsid w:val="00991AAC"/>
    <w:rsid w:val="00991B6F"/>
    <w:rsid w:val="00991C43"/>
    <w:rsid w:val="00991D2B"/>
    <w:rsid w:val="00991DE2"/>
    <w:rsid w:val="00991EC0"/>
    <w:rsid w:val="00991F32"/>
    <w:rsid w:val="00991F41"/>
    <w:rsid w:val="00992121"/>
    <w:rsid w:val="0099229B"/>
    <w:rsid w:val="009922B2"/>
    <w:rsid w:val="009922E4"/>
    <w:rsid w:val="0099237D"/>
    <w:rsid w:val="00992411"/>
    <w:rsid w:val="00992493"/>
    <w:rsid w:val="009924A8"/>
    <w:rsid w:val="009924B9"/>
    <w:rsid w:val="00992691"/>
    <w:rsid w:val="009926D2"/>
    <w:rsid w:val="009927B0"/>
    <w:rsid w:val="009927C3"/>
    <w:rsid w:val="00992886"/>
    <w:rsid w:val="00992A52"/>
    <w:rsid w:val="00992AC2"/>
    <w:rsid w:val="00992CC3"/>
    <w:rsid w:val="00992EA2"/>
    <w:rsid w:val="00992EB0"/>
    <w:rsid w:val="00992EF2"/>
    <w:rsid w:val="00992F44"/>
    <w:rsid w:val="00992F99"/>
    <w:rsid w:val="00993005"/>
    <w:rsid w:val="0099307E"/>
    <w:rsid w:val="009930B4"/>
    <w:rsid w:val="0099315F"/>
    <w:rsid w:val="00993180"/>
    <w:rsid w:val="00993272"/>
    <w:rsid w:val="0099334E"/>
    <w:rsid w:val="009933F0"/>
    <w:rsid w:val="00993462"/>
    <w:rsid w:val="009934B1"/>
    <w:rsid w:val="00993513"/>
    <w:rsid w:val="00993598"/>
    <w:rsid w:val="009935D9"/>
    <w:rsid w:val="00993619"/>
    <w:rsid w:val="0099366F"/>
    <w:rsid w:val="00993728"/>
    <w:rsid w:val="00993754"/>
    <w:rsid w:val="00993767"/>
    <w:rsid w:val="00993775"/>
    <w:rsid w:val="009937B5"/>
    <w:rsid w:val="009937C4"/>
    <w:rsid w:val="0099382C"/>
    <w:rsid w:val="0099394A"/>
    <w:rsid w:val="0099396D"/>
    <w:rsid w:val="00993A1F"/>
    <w:rsid w:val="00993B17"/>
    <w:rsid w:val="00993C84"/>
    <w:rsid w:val="00993CBA"/>
    <w:rsid w:val="00993D0F"/>
    <w:rsid w:val="00993D29"/>
    <w:rsid w:val="00993DC2"/>
    <w:rsid w:val="00993DF5"/>
    <w:rsid w:val="00993DFB"/>
    <w:rsid w:val="00993E2F"/>
    <w:rsid w:val="00993EC7"/>
    <w:rsid w:val="00994005"/>
    <w:rsid w:val="00994010"/>
    <w:rsid w:val="00994021"/>
    <w:rsid w:val="0099404B"/>
    <w:rsid w:val="0099409E"/>
    <w:rsid w:val="009940B2"/>
    <w:rsid w:val="009941EC"/>
    <w:rsid w:val="00994278"/>
    <w:rsid w:val="009942DA"/>
    <w:rsid w:val="009943EA"/>
    <w:rsid w:val="00994406"/>
    <w:rsid w:val="0099441F"/>
    <w:rsid w:val="00994472"/>
    <w:rsid w:val="00994477"/>
    <w:rsid w:val="009944B9"/>
    <w:rsid w:val="0099456D"/>
    <w:rsid w:val="009945E7"/>
    <w:rsid w:val="009945F1"/>
    <w:rsid w:val="00994618"/>
    <w:rsid w:val="0099463A"/>
    <w:rsid w:val="0099465A"/>
    <w:rsid w:val="00994718"/>
    <w:rsid w:val="00994771"/>
    <w:rsid w:val="0099487C"/>
    <w:rsid w:val="0099493F"/>
    <w:rsid w:val="00994A3C"/>
    <w:rsid w:val="00994AA5"/>
    <w:rsid w:val="00994B8C"/>
    <w:rsid w:val="00994C15"/>
    <w:rsid w:val="00994D97"/>
    <w:rsid w:val="00994DCD"/>
    <w:rsid w:val="00994E15"/>
    <w:rsid w:val="0099508C"/>
    <w:rsid w:val="00995279"/>
    <w:rsid w:val="00995380"/>
    <w:rsid w:val="00995468"/>
    <w:rsid w:val="0099559C"/>
    <w:rsid w:val="0099567C"/>
    <w:rsid w:val="00995775"/>
    <w:rsid w:val="0099578E"/>
    <w:rsid w:val="0099592F"/>
    <w:rsid w:val="00995936"/>
    <w:rsid w:val="009959B6"/>
    <w:rsid w:val="009959E1"/>
    <w:rsid w:val="00995ABE"/>
    <w:rsid w:val="00995AC9"/>
    <w:rsid w:val="00995AEA"/>
    <w:rsid w:val="00995B1F"/>
    <w:rsid w:val="00995C07"/>
    <w:rsid w:val="00995C31"/>
    <w:rsid w:val="00995CC9"/>
    <w:rsid w:val="00995D3D"/>
    <w:rsid w:val="00995E59"/>
    <w:rsid w:val="00995EC8"/>
    <w:rsid w:val="00995F04"/>
    <w:rsid w:val="00995F5F"/>
    <w:rsid w:val="0099602B"/>
    <w:rsid w:val="00996178"/>
    <w:rsid w:val="00996204"/>
    <w:rsid w:val="00996248"/>
    <w:rsid w:val="00996296"/>
    <w:rsid w:val="009962D1"/>
    <w:rsid w:val="0099638C"/>
    <w:rsid w:val="009963A5"/>
    <w:rsid w:val="009963D9"/>
    <w:rsid w:val="009964A8"/>
    <w:rsid w:val="009966E3"/>
    <w:rsid w:val="009967D3"/>
    <w:rsid w:val="009967D4"/>
    <w:rsid w:val="00996820"/>
    <w:rsid w:val="00996900"/>
    <w:rsid w:val="00996946"/>
    <w:rsid w:val="0099696B"/>
    <w:rsid w:val="00996977"/>
    <w:rsid w:val="0099699A"/>
    <w:rsid w:val="00996A19"/>
    <w:rsid w:val="00996B08"/>
    <w:rsid w:val="00996B80"/>
    <w:rsid w:val="00996BC9"/>
    <w:rsid w:val="00996C5C"/>
    <w:rsid w:val="00996CCA"/>
    <w:rsid w:val="00996CD5"/>
    <w:rsid w:val="00996D16"/>
    <w:rsid w:val="00996EAD"/>
    <w:rsid w:val="00996ECE"/>
    <w:rsid w:val="00996F96"/>
    <w:rsid w:val="00997029"/>
    <w:rsid w:val="0099710B"/>
    <w:rsid w:val="00997147"/>
    <w:rsid w:val="009971C0"/>
    <w:rsid w:val="009971C4"/>
    <w:rsid w:val="009971CB"/>
    <w:rsid w:val="00997231"/>
    <w:rsid w:val="00997318"/>
    <w:rsid w:val="0099734F"/>
    <w:rsid w:val="00997358"/>
    <w:rsid w:val="00997418"/>
    <w:rsid w:val="00997551"/>
    <w:rsid w:val="00997561"/>
    <w:rsid w:val="009975E4"/>
    <w:rsid w:val="00997651"/>
    <w:rsid w:val="0099766B"/>
    <w:rsid w:val="00997692"/>
    <w:rsid w:val="00997710"/>
    <w:rsid w:val="0099787B"/>
    <w:rsid w:val="009978F0"/>
    <w:rsid w:val="00997978"/>
    <w:rsid w:val="00997A23"/>
    <w:rsid w:val="00997B46"/>
    <w:rsid w:val="00997B52"/>
    <w:rsid w:val="00997B76"/>
    <w:rsid w:val="00997BA5"/>
    <w:rsid w:val="00997DAB"/>
    <w:rsid w:val="00997E35"/>
    <w:rsid w:val="00997E92"/>
    <w:rsid w:val="00997EA3"/>
    <w:rsid w:val="00997FCC"/>
    <w:rsid w:val="009A020D"/>
    <w:rsid w:val="009A0217"/>
    <w:rsid w:val="009A024A"/>
    <w:rsid w:val="009A0449"/>
    <w:rsid w:val="009A0564"/>
    <w:rsid w:val="009A0611"/>
    <w:rsid w:val="009A0618"/>
    <w:rsid w:val="009A0640"/>
    <w:rsid w:val="009A065D"/>
    <w:rsid w:val="009A067E"/>
    <w:rsid w:val="009A079E"/>
    <w:rsid w:val="009A07F5"/>
    <w:rsid w:val="009A0876"/>
    <w:rsid w:val="009A08CD"/>
    <w:rsid w:val="009A0948"/>
    <w:rsid w:val="009A0993"/>
    <w:rsid w:val="009A09B1"/>
    <w:rsid w:val="009A0A86"/>
    <w:rsid w:val="009A0A90"/>
    <w:rsid w:val="009A0AD1"/>
    <w:rsid w:val="009A0AD6"/>
    <w:rsid w:val="009A0AEA"/>
    <w:rsid w:val="009A0B29"/>
    <w:rsid w:val="009A0B2A"/>
    <w:rsid w:val="009A0BAE"/>
    <w:rsid w:val="009A0BC9"/>
    <w:rsid w:val="009A0C1F"/>
    <w:rsid w:val="009A0E91"/>
    <w:rsid w:val="009A101E"/>
    <w:rsid w:val="009A10AB"/>
    <w:rsid w:val="009A10C1"/>
    <w:rsid w:val="009A1161"/>
    <w:rsid w:val="009A1164"/>
    <w:rsid w:val="009A11E1"/>
    <w:rsid w:val="009A122D"/>
    <w:rsid w:val="009A1253"/>
    <w:rsid w:val="009A1319"/>
    <w:rsid w:val="009A1336"/>
    <w:rsid w:val="009A1387"/>
    <w:rsid w:val="009A13F3"/>
    <w:rsid w:val="009A1479"/>
    <w:rsid w:val="009A1609"/>
    <w:rsid w:val="009A161A"/>
    <w:rsid w:val="009A175D"/>
    <w:rsid w:val="009A1766"/>
    <w:rsid w:val="009A17D9"/>
    <w:rsid w:val="009A1A5A"/>
    <w:rsid w:val="009A1A7F"/>
    <w:rsid w:val="009A1AFD"/>
    <w:rsid w:val="009A1B3C"/>
    <w:rsid w:val="009A1BB9"/>
    <w:rsid w:val="009A1C34"/>
    <w:rsid w:val="009A1C5A"/>
    <w:rsid w:val="009A1C7B"/>
    <w:rsid w:val="009A1E01"/>
    <w:rsid w:val="009A1E09"/>
    <w:rsid w:val="009A1F10"/>
    <w:rsid w:val="009A1F41"/>
    <w:rsid w:val="009A1FDC"/>
    <w:rsid w:val="009A20ED"/>
    <w:rsid w:val="009A213E"/>
    <w:rsid w:val="009A218C"/>
    <w:rsid w:val="009A21D4"/>
    <w:rsid w:val="009A220C"/>
    <w:rsid w:val="009A2236"/>
    <w:rsid w:val="009A2252"/>
    <w:rsid w:val="009A2265"/>
    <w:rsid w:val="009A2267"/>
    <w:rsid w:val="009A22AB"/>
    <w:rsid w:val="009A23BB"/>
    <w:rsid w:val="009A23E3"/>
    <w:rsid w:val="009A2550"/>
    <w:rsid w:val="009A2602"/>
    <w:rsid w:val="009A26DB"/>
    <w:rsid w:val="009A277B"/>
    <w:rsid w:val="009A28E6"/>
    <w:rsid w:val="009A295B"/>
    <w:rsid w:val="009A298F"/>
    <w:rsid w:val="009A29B0"/>
    <w:rsid w:val="009A2ACB"/>
    <w:rsid w:val="009A2B3C"/>
    <w:rsid w:val="009A2B59"/>
    <w:rsid w:val="009A2B60"/>
    <w:rsid w:val="009A2BE7"/>
    <w:rsid w:val="009A2C4D"/>
    <w:rsid w:val="009A2DD7"/>
    <w:rsid w:val="009A2DE5"/>
    <w:rsid w:val="009A2E24"/>
    <w:rsid w:val="009A2E87"/>
    <w:rsid w:val="009A2FA7"/>
    <w:rsid w:val="009A306A"/>
    <w:rsid w:val="009A3088"/>
    <w:rsid w:val="009A3199"/>
    <w:rsid w:val="009A3274"/>
    <w:rsid w:val="009A329F"/>
    <w:rsid w:val="009A32B1"/>
    <w:rsid w:val="009A32B2"/>
    <w:rsid w:val="009A33F8"/>
    <w:rsid w:val="009A3448"/>
    <w:rsid w:val="009A3470"/>
    <w:rsid w:val="009A3482"/>
    <w:rsid w:val="009A3498"/>
    <w:rsid w:val="009A34E9"/>
    <w:rsid w:val="009A3535"/>
    <w:rsid w:val="009A354F"/>
    <w:rsid w:val="009A3615"/>
    <w:rsid w:val="009A3652"/>
    <w:rsid w:val="009A36C8"/>
    <w:rsid w:val="009A370B"/>
    <w:rsid w:val="009A3783"/>
    <w:rsid w:val="009A37CF"/>
    <w:rsid w:val="009A390B"/>
    <w:rsid w:val="009A3960"/>
    <w:rsid w:val="009A3A6A"/>
    <w:rsid w:val="009A3B5B"/>
    <w:rsid w:val="009A3C83"/>
    <w:rsid w:val="009A3C88"/>
    <w:rsid w:val="009A3CB0"/>
    <w:rsid w:val="009A3CC5"/>
    <w:rsid w:val="009A3D94"/>
    <w:rsid w:val="009A3DD0"/>
    <w:rsid w:val="009A3DEC"/>
    <w:rsid w:val="009A3E52"/>
    <w:rsid w:val="009A3EDF"/>
    <w:rsid w:val="009A3F20"/>
    <w:rsid w:val="009A40DD"/>
    <w:rsid w:val="009A4100"/>
    <w:rsid w:val="009A412A"/>
    <w:rsid w:val="009A41B1"/>
    <w:rsid w:val="009A41C6"/>
    <w:rsid w:val="009A4200"/>
    <w:rsid w:val="009A42FD"/>
    <w:rsid w:val="009A43FF"/>
    <w:rsid w:val="009A4456"/>
    <w:rsid w:val="009A44F1"/>
    <w:rsid w:val="009A4504"/>
    <w:rsid w:val="009A4516"/>
    <w:rsid w:val="009A4567"/>
    <w:rsid w:val="009A45A1"/>
    <w:rsid w:val="009A45AE"/>
    <w:rsid w:val="009A45DD"/>
    <w:rsid w:val="009A464F"/>
    <w:rsid w:val="009A473C"/>
    <w:rsid w:val="009A47AC"/>
    <w:rsid w:val="009A4965"/>
    <w:rsid w:val="009A4984"/>
    <w:rsid w:val="009A4A2F"/>
    <w:rsid w:val="009A4B0A"/>
    <w:rsid w:val="009A4BDF"/>
    <w:rsid w:val="009A4C1D"/>
    <w:rsid w:val="009A4D59"/>
    <w:rsid w:val="009A4DF7"/>
    <w:rsid w:val="009A4DFD"/>
    <w:rsid w:val="009A4E14"/>
    <w:rsid w:val="009A4E45"/>
    <w:rsid w:val="009A4E94"/>
    <w:rsid w:val="009A4E9E"/>
    <w:rsid w:val="009A4EAC"/>
    <w:rsid w:val="009A4EC2"/>
    <w:rsid w:val="009A4ED9"/>
    <w:rsid w:val="009A4F1A"/>
    <w:rsid w:val="009A4FB3"/>
    <w:rsid w:val="009A50BE"/>
    <w:rsid w:val="009A50FF"/>
    <w:rsid w:val="009A51C7"/>
    <w:rsid w:val="009A51DF"/>
    <w:rsid w:val="009A5243"/>
    <w:rsid w:val="009A530E"/>
    <w:rsid w:val="009A5397"/>
    <w:rsid w:val="009A53F4"/>
    <w:rsid w:val="009A54EE"/>
    <w:rsid w:val="009A5524"/>
    <w:rsid w:val="009A553C"/>
    <w:rsid w:val="009A5577"/>
    <w:rsid w:val="009A5599"/>
    <w:rsid w:val="009A55DB"/>
    <w:rsid w:val="009A55E6"/>
    <w:rsid w:val="009A5795"/>
    <w:rsid w:val="009A57B3"/>
    <w:rsid w:val="009A57C3"/>
    <w:rsid w:val="009A57E5"/>
    <w:rsid w:val="009A57F3"/>
    <w:rsid w:val="009A599D"/>
    <w:rsid w:val="009A59D6"/>
    <w:rsid w:val="009A5A43"/>
    <w:rsid w:val="009A5AC8"/>
    <w:rsid w:val="009A5ACD"/>
    <w:rsid w:val="009A5ACE"/>
    <w:rsid w:val="009A5B47"/>
    <w:rsid w:val="009A5BCB"/>
    <w:rsid w:val="009A5C9A"/>
    <w:rsid w:val="009A5C9F"/>
    <w:rsid w:val="009A5CAD"/>
    <w:rsid w:val="009A5E0D"/>
    <w:rsid w:val="009A5F11"/>
    <w:rsid w:val="009A6158"/>
    <w:rsid w:val="009A616B"/>
    <w:rsid w:val="009A6173"/>
    <w:rsid w:val="009A61CE"/>
    <w:rsid w:val="009A61FB"/>
    <w:rsid w:val="009A628D"/>
    <w:rsid w:val="009A62B9"/>
    <w:rsid w:val="009A62C5"/>
    <w:rsid w:val="009A631F"/>
    <w:rsid w:val="009A636F"/>
    <w:rsid w:val="009A6382"/>
    <w:rsid w:val="009A638E"/>
    <w:rsid w:val="009A6399"/>
    <w:rsid w:val="009A63C6"/>
    <w:rsid w:val="009A6484"/>
    <w:rsid w:val="009A65D6"/>
    <w:rsid w:val="009A6682"/>
    <w:rsid w:val="009A66DC"/>
    <w:rsid w:val="009A6724"/>
    <w:rsid w:val="009A6731"/>
    <w:rsid w:val="009A6860"/>
    <w:rsid w:val="009A68E5"/>
    <w:rsid w:val="009A69A3"/>
    <w:rsid w:val="009A69DF"/>
    <w:rsid w:val="009A6AA2"/>
    <w:rsid w:val="009A6AE9"/>
    <w:rsid w:val="009A6C46"/>
    <w:rsid w:val="009A6C9D"/>
    <w:rsid w:val="009A6D7C"/>
    <w:rsid w:val="009A6DF2"/>
    <w:rsid w:val="009A6EA0"/>
    <w:rsid w:val="009A6ED5"/>
    <w:rsid w:val="009A6F73"/>
    <w:rsid w:val="009A6F75"/>
    <w:rsid w:val="009A6FF5"/>
    <w:rsid w:val="009A7077"/>
    <w:rsid w:val="009A70A0"/>
    <w:rsid w:val="009A72C4"/>
    <w:rsid w:val="009A73ED"/>
    <w:rsid w:val="009A7436"/>
    <w:rsid w:val="009A7630"/>
    <w:rsid w:val="009A7653"/>
    <w:rsid w:val="009A76DD"/>
    <w:rsid w:val="009A7710"/>
    <w:rsid w:val="009A787C"/>
    <w:rsid w:val="009A78C1"/>
    <w:rsid w:val="009A7A3A"/>
    <w:rsid w:val="009A7BB1"/>
    <w:rsid w:val="009A7BE8"/>
    <w:rsid w:val="009A7CC4"/>
    <w:rsid w:val="009A7D7B"/>
    <w:rsid w:val="009A7D96"/>
    <w:rsid w:val="009A7DCC"/>
    <w:rsid w:val="009A7E67"/>
    <w:rsid w:val="009A7F61"/>
    <w:rsid w:val="009A7FCE"/>
    <w:rsid w:val="009B01AF"/>
    <w:rsid w:val="009B01CE"/>
    <w:rsid w:val="009B01D6"/>
    <w:rsid w:val="009B029F"/>
    <w:rsid w:val="009B03B5"/>
    <w:rsid w:val="009B03BD"/>
    <w:rsid w:val="009B0417"/>
    <w:rsid w:val="009B0425"/>
    <w:rsid w:val="009B045E"/>
    <w:rsid w:val="009B057B"/>
    <w:rsid w:val="009B0580"/>
    <w:rsid w:val="009B0598"/>
    <w:rsid w:val="009B05D8"/>
    <w:rsid w:val="009B07A7"/>
    <w:rsid w:val="009B082D"/>
    <w:rsid w:val="009B083E"/>
    <w:rsid w:val="009B0883"/>
    <w:rsid w:val="009B0962"/>
    <w:rsid w:val="009B09FA"/>
    <w:rsid w:val="009B0A4F"/>
    <w:rsid w:val="009B0ACD"/>
    <w:rsid w:val="009B0B42"/>
    <w:rsid w:val="009B0BC1"/>
    <w:rsid w:val="009B0CD3"/>
    <w:rsid w:val="009B0CF1"/>
    <w:rsid w:val="009B0E36"/>
    <w:rsid w:val="009B0EC1"/>
    <w:rsid w:val="009B0F6D"/>
    <w:rsid w:val="009B10B5"/>
    <w:rsid w:val="009B10CF"/>
    <w:rsid w:val="009B1192"/>
    <w:rsid w:val="009B119A"/>
    <w:rsid w:val="009B11B4"/>
    <w:rsid w:val="009B1226"/>
    <w:rsid w:val="009B12EC"/>
    <w:rsid w:val="009B12F2"/>
    <w:rsid w:val="009B1338"/>
    <w:rsid w:val="009B134E"/>
    <w:rsid w:val="009B1384"/>
    <w:rsid w:val="009B1583"/>
    <w:rsid w:val="009B1586"/>
    <w:rsid w:val="009B1587"/>
    <w:rsid w:val="009B15D0"/>
    <w:rsid w:val="009B1693"/>
    <w:rsid w:val="009B177F"/>
    <w:rsid w:val="009B1792"/>
    <w:rsid w:val="009B17CA"/>
    <w:rsid w:val="009B17E5"/>
    <w:rsid w:val="009B18D4"/>
    <w:rsid w:val="009B19B9"/>
    <w:rsid w:val="009B1AA5"/>
    <w:rsid w:val="009B1B06"/>
    <w:rsid w:val="009B1B4B"/>
    <w:rsid w:val="009B1BBE"/>
    <w:rsid w:val="009B1BC2"/>
    <w:rsid w:val="009B1C23"/>
    <w:rsid w:val="009B1C3B"/>
    <w:rsid w:val="009B1C9A"/>
    <w:rsid w:val="009B1D08"/>
    <w:rsid w:val="009B1D18"/>
    <w:rsid w:val="009B1DE8"/>
    <w:rsid w:val="009B1E44"/>
    <w:rsid w:val="009B1E4A"/>
    <w:rsid w:val="009B1E83"/>
    <w:rsid w:val="009B1E8A"/>
    <w:rsid w:val="009B1E95"/>
    <w:rsid w:val="009B1FBB"/>
    <w:rsid w:val="009B2002"/>
    <w:rsid w:val="009B2022"/>
    <w:rsid w:val="009B2073"/>
    <w:rsid w:val="009B209B"/>
    <w:rsid w:val="009B20BA"/>
    <w:rsid w:val="009B2217"/>
    <w:rsid w:val="009B2234"/>
    <w:rsid w:val="009B2290"/>
    <w:rsid w:val="009B22D4"/>
    <w:rsid w:val="009B2305"/>
    <w:rsid w:val="009B23B2"/>
    <w:rsid w:val="009B2437"/>
    <w:rsid w:val="009B244D"/>
    <w:rsid w:val="009B2455"/>
    <w:rsid w:val="009B267E"/>
    <w:rsid w:val="009B26F2"/>
    <w:rsid w:val="009B271B"/>
    <w:rsid w:val="009B2897"/>
    <w:rsid w:val="009B28DF"/>
    <w:rsid w:val="009B292B"/>
    <w:rsid w:val="009B2A2E"/>
    <w:rsid w:val="009B2AC6"/>
    <w:rsid w:val="009B2B93"/>
    <w:rsid w:val="009B2BCC"/>
    <w:rsid w:val="009B2C4B"/>
    <w:rsid w:val="009B2CFA"/>
    <w:rsid w:val="009B2D40"/>
    <w:rsid w:val="009B2D83"/>
    <w:rsid w:val="009B2E07"/>
    <w:rsid w:val="009B2E84"/>
    <w:rsid w:val="009B2EF6"/>
    <w:rsid w:val="009B2EFD"/>
    <w:rsid w:val="009B2F74"/>
    <w:rsid w:val="009B2FC9"/>
    <w:rsid w:val="009B2FD1"/>
    <w:rsid w:val="009B307B"/>
    <w:rsid w:val="009B30DE"/>
    <w:rsid w:val="009B30F2"/>
    <w:rsid w:val="009B3104"/>
    <w:rsid w:val="009B3120"/>
    <w:rsid w:val="009B3149"/>
    <w:rsid w:val="009B31C7"/>
    <w:rsid w:val="009B31D8"/>
    <w:rsid w:val="009B3213"/>
    <w:rsid w:val="009B32A1"/>
    <w:rsid w:val="009B3317"/>
    <w:rsid w:val="009B33AE"/>
    <w:rsid w:val="009B33F6"/>
    <w:rsid w:val="009B341F"/>
    <w:rsid w:val="009B350F"/>
    <w:rsid w:val="009B358E"/>
    <w:rsid w:val="009B35CD"/>
    <w:rsid w:val="009B35D8"/>
    <w:rsid w:val="009B35DC"/>
    <w:rsid w:val="009B36F6"/>
    <w:rsid w:val="009B3739"/>
    <w:rsid w:val="009B3752"/>
    <w:rsid w:val="009B377B"/>
    <w:rsid w:val="009B3800"/>
    <w:rsid w:val="009B383B"/>
    <w:rsid w:val="009B391B"/>
    <w:rsid w:val="009B393A"/>
    <w:rsid w:val="009B3978"/>
    <w:rsid w:val="009B39E9"/>
    <w:rsid w:val="009B3AE3"/>
    <w:rsid w:val="009B3B17"/>
    <w:rsid w:val="009B3C33"/>
    <w:rsid w:val="009B3C4C"/>
    <w:rsid w:val="009B3C72"/>
    <w:rsid w:val="009B3DF8"/>
    <w:rsid w:val="009B3E1C"/>
    <w:rsid w:val="009B3EBD"/>
    <w:rsid w:val="009B400E"/>
    <w:rsid w:val="009B4056"/>
    <w:rsid w:val="009B408E"/>
    <w:rsid w:val="009B40FC"/>
    <w:rsid w:val="009B412C"/>
    <w:rsid w:val="009B41D0"/>
    <w:rsid w:val="009B422C"/>
    <w:rsid w:val="009B4393"/>
    <w:rsid w:val="009B43FE"/>
    <w:rsid w:val="009B44A1"/>
    <w:rsid w:val="009B44B8"/>
    <w:rsid w:val="009B4659"/>
    <w:rsid w:val="009B468B"/>
    <w:rsid w:val="009B468D"/>
    <w:rsid w:val="009B4693"/>
    <w:rsid w:val="009B4743"/>
    <w:rsid w:val="009B4772"/>
    <w:rsid w:val="009B47CE"/>
    <w:rsid w:val="009B4818"/>
    <w:rsid w:val="009B483B"/>
    <w:rsid w:val="009B4851"/>
    <w:rsid w:val="009B4911"/>
    <w:rsid w:val="009B49D1"/>
    <w:rsid w:val="009B4A9C"/>
    <w:rsid w:val="009B4ADF"/>
    <w:rsid w:val="009B4C69"/>
    <w:rsid w:val="009B4C83"/>
    <w:rsid w:val="009B4CA9"/>
    <w:rsid w:val="009B4D94"/>
    <w:rsid w:val="009B4DA8"/>
    <w:rsid w:val="009B4E40"/>
    <w:rsid w:val="009B4E57"/>
    <w:rsid w:val="009B4E63"/>
    <w:rsid w:val="009B4EE5"/>
    <w:rsid w:val="009B4F0A"/>
    <w:rsid w:val="009B4FA9"/>
    <w:rsid w:val="009B5020"/>
    <w:rsid w:val="009B502C"/>
    <w:rsid w:val="009B50DF"/>
    <w:rsid w:val="009B518B"/>
    <w:rsid w:val="009B5199"/>
    <w:rsid w:val="009B51E0"/>
    <w:rsid w:val="009B5231"/>
    <w:rsid w:val="009B5268"/>
    <w:rsid w:val="009B5278"/>
    <w:rsid w:val="009B5286"/>
    <w:rsid w:val="009B5316"/>
    <w:rsid w:val="009B5321"/>
    <w:rsid w:val="009B5328"/>
    <w:rsid w:val="009B5516"/>
    <w:rsid w:val="009B5672"/>
    <w:rsid w:val="009B56B7"/>
    <w:rsid w:val="009B56C2"/>
    <w:rsid w:val="009B570E"/>
    <w:rsid w:val="009B5741"/>
    <w:rsid w:val="009B57EC"/>
    <w:rsid w:val="009B57FC"/>
    <w:rsid w:val="009B5819"/>
    <w:rsid w:val="009B5869"/>
    <w:rsid w:val="009B58B3"/>
    <w:rsid w:val="009B58E7"/>
    <w:rsid w:val="009B5946"/>
    <w:rsid w:val="009B595F"/>
    <w:rsid w:val="009B5A23"/>
    <w:rsid w:val="009B5A7B"/>
    <w:rsid w:val="009B5BE6"/>
    <w:rsid w:val="009B5C17"/>
    <w:rsid w:val="009B5C3A"/>
    <w:rsid w:val="009B5C44"/>
    <w:rsid w:val="009B5DCA"/>
    <w:rsid w:val="009B5DD9"/>
    <w:rsid w:val="009B5E23"/>
    <w:rsid w:val="009B5E9A"/>
    <w:rsid w:val="009B5EB0"/>
    <w:rsid w:val="009B5F8A"/>
    <w:rsid w:val="009B5F8C"/>
    <w:rsid w:val="009B608A"/>
    <w:rsid w:val="009B60BA"/>
    <w:rsid w:val="009B6116"/>
    <w:rsid w:val="009B61E5"/>
    <w:rsid w:val="009B62F2"/>
    <w:rsid w:val="009B6317"/>
    <w:rsid w:val="009B6344"/>
    <w:rsid w:val="009B6494"/>
    <w:rsid w:val="009B652C"/>
    <w:rsid w:val="009B6576"/>
    <w:rsid w:val="009B6682"/>
    <w:rsid w:val="009B67A1"/>
    <w:rsid w:val="009B67CE"/>
    <w:rsid w:val="009B6870"/>
    <w:rsid w:val="009B68BA"/>
    <w:rsid w:val="009B68C0"/>
    <w:rsid w:val="009B68E7"/>
    <w:rsid w:val="009B68F7"/>
    <w:rsid w:val="009B69B0"/>
    <w:rsid w:val="009B6A2B"/>
    <w:rsid w:val="009B6A70"/>
    <w:rsid w:val="009B6B5E"/>
    <w:rsid w:val="009B6C1F"/>
    <w:rsid w:val="009B6C25"/>
    <w:rsid w:val="009B6CA8"/>
    <w:rsid w:val="009B6E7D"/>
    <w:rsid w:val="009B6EB7"/>
    <w:rsid w:val="009B6F96"/>
    <w:rsid w:val="009B6FD3"/>
    <w:rsid w:val="009B7057"/>
    <w:rsid w:val="009B70E3"/>
    <w:rsid w:val="009B70EB"/>
    <w:rsid w:val="009B7105"/>
    <w:rsid w:val="009B7159"/>
    <w:rsid w:val="009B7184"/>
    <w:rsid w:val="009B72A8"/>
    <w:rsid w:val="009B7364"/>
    <w:rsid w:val="009B7365"/>
    <w:rsid w:val="009B737A"/>
    <w:rsid w:val="009B7405"/>
    <w:rsid w:val="009B7436"/>
    <w:rsid w:val="009B757E"/>
    <w:rsid w:val="009B7634"/>
    <w:rsid w:val="009B7658"/>
    <w:rsid w:val="009B78AD"/>
    <w:rsid w:val="009B78C7"/>
    <w:rsid w:val="009B79A6"/>
    <w:rsid w:val="009B7B26"/>
    <w:rsid w:val="009B7BDE"/>
    <w:rsid w:val="009B7C00"/>
    <w:rsid w:val="009B7C17"/>
    <w:rsid w:val="009B7C53"/>
    <w:rsid w:val="009B7CA0"/>
    <w:rsid w:val="009B7CCB"/>
    <w:rsid w:val="009B7DDD"/>
    <w:rsid w:val="009B7E2F"/>
    <w:rsid w:val="009B7E50"/>
    <w:rsid w:val="009B7E7B"/>
    <w:rsid w:val="009C000E"/>
    <w:rsid w:val="009C00C6"/>
    <w:rsid w:val="009C015D"/>
    <w:rsid w:val="009C02B9"/>
    <w:rsid w:val="009C02DE"/>
    <w:rsid w:val="009C0400"/>
    <w:rsid w:val="009C045C"/>
    <w:rsid w:val="009C0567"/>
    <w:rsid w:val="009C0587"/>
    <w:rsid w:val="009C0751"/>
    <w:rsid w:val="009C07F2"/>
    <w:rsid w:val="009C081E"/>
    <w:rsid w:val="009C0849"/>
    <w:rsid w:val="009C0853"/>
    <w:rsid w:val="009C08EC"/>
    <w:rsid w:val="009C095F"/>
    <w:rsid w:val="009C0993"/>
    <w:rsid w:val="009C09D6"/>
    <w:rsid w:val="009C0A2C"/>
    <w:rsid w:val="009C0A96"/>
    <w:rsid w:val="009C0AFF"/>
    <w:rsid w:val="009C0B5E"/>
    <w:rsid w:val="009C0B7D"/>
    <w:rsid w:val="009C0C3D"/>
    <w:rsid w:val="009C0CF9"/>
    <w:rsid w:val="009C0D18"/>
    <w:rsid w:val="009C0DD6"/>
    <w:rsid w:val="009C0DEF"/>
    <w:rsid w:val="009C0E0B"/>
    <w:rsid w:val="009C0F16"/>
    <w:rsid w:val="009C0F5A"/>
    <w:rsid w:val="009C10D7"/>
    <w:rsid w:val="009C1137"/>
    <w:rsid w:val="009C11A2"/>
    <w:rsid w:val="009C11D0"/>
    <w:rsid w:val="009C1266"/>
    <w:rsid w:val="009C127A"/>
    <w:rsid w:val="009C139F"/>
    <w:rsid w:val="009C13BE"/>
    <w:rsid w:val="009C140C"/>
    <w:rsid w:val="009C147F"/>
    <w:rsid w:val="009C1514"/>
    <w:rsid w:val="009C15E6"/>
    <w:rsid w:val="009C15E9"/>
    <w:rsid w:val="009C16AE"/>
    <w:rsid w:val="009C16E3"/>
    <w:rsid w:val="009C1772"/>
    <w:rsid w:val="009C1783"/>
    <w:rsid w:val="009C1795"/>
    <w:rsid w:val="009C185B"/>
    <w:rsid w:val="009C18BB"/>
    <w:rsid w:val="009C18C5"/>
    <w:rsid w:val="009C18F8"/>
    <w:rsid w:val="009C1992"/>
    <w:rsid w:val="009C1A2D"/>
    <w:rsid w:val="009C1B2F"/>
    <w:rsid w:val="009C1C3F"/>
    <w:rsid w:val="009C1D9C"/>
    <w:rsid w:val="009C1E23"/>
    <w:rsid w:val="009C1E26"/>
    <w:rsid w:val="009C1E6B"/>
    <w:rsid w:val="009C1F9C"/>
    <w:rsid w:val="009C20F3"/>
    <w:rsid w:val="009C2133"/>
    <w:rsid w:val="009C2158"/>
    <w:rsid w:val="009C22A5"/>
    <w:rsid w:val="009C230E"/>
    <w:rsid w:val="009C232D"/>
    <w:rsid w:val="009C23D2"/>
    <w:rsid w:val="009C24B3"/>
    <w:rsid w:val="009C24C5"/>
    <w:rsid w:val="009C268D"/>
    <w:rsid w:val="009C2709"/>
    <w:rsid w:val="009C2719"/>
    <w:rsid w:val="009C2728"/>
    <w:rsid w:val="009C27DF"/>
    <w:rsid w:val="009C28AA"/>
    <w:rsid w:val="009C28AF"/>
    <w:rsid w:val="009C2A13"/>
    <w:rsid w:val="009C2AAB"/>
    <w:rsid w:val="009C2B02"/>
    <w:rsid w:val="009C2BFB"/>
    <w:rsid w:val="009C2CA6"/>
    <w:rsid w:val="009C2CA8"/>
    <w:rsid w:val="009C2D92"/>
    <w:rsid w:val="009C2E1F"/>
    <w:rsid w:val="009C2E5B"/>
    <w:rsid w:val="009C2E6E"/>
    <w:rsid w:val="009C2F5C"/>
    <w:rsid w:val="009C300D"/>
    <w:rsid w:val="009C305A"/>
    <w:rsid w:val="009C305B"/>
    <w:rsid w:val="009C306F"/>
    <w:rsid w:val="009C311F"/>
    <w:rsid w:val="009C31E8"/>
    <w:rsid w:val="009C3327"/>
    <w:rsid w:val="009C333C"/>
    <w:rsid w:val="009C334E"/>
    <w:rsid w:val="009C3351"/>
    <w:rsid w:val="009C33B5"/>
    <w:rsid w:val="009C341D"/>
    <w:rsid w:val="009C34CC"/>
    <w:rsid w:val="009C3558"/>
    <w:rsid w:val="009C3588"/>
    <w:rsid w:val="009C36BF"/>
    <w:rsid w:val="009C3736"/>
    <w:rsid w:val="009C37E9"/>
    <w:rsid w:val="009C37F9"/>
    <w:rsid w:val="009C389B"/>
    <w:rsid w:val="009C3A40"/>
    <w:rsid w:val="009C3A70"/>
    <w:rsid w:val="009C3AA6"/>
    <w:rsid w:val="009C3AF9"/>
    <w:rsid w:val="009C3B2E"/>
    <w:rsid w:val="009C3C0A"/>
    <w:rsid w:val="009C3C0D"/>
    <w:rsid w:val="009C3C35"/>
    <w:rsid w:val="009C3C53"/>
    <w:rsid w:val="009C3CBC"/>
    <w:rsid w:val="009C3CCD"/>
    <w:rsid w:val="009C3DC8"/>
    <w:rsid w:val="009C3EB5"/>
    <w:rsid w:val="009C3F56"/>
    <w:rsid w:val="009C3F6D"/>
    <w:rsid w:val="009C4084"/>
    <w:rsid w:val="009C40B3"/>
    <w:rsid w:val="009C4104"/>
    <w:rsid w:val="009C41ED"/>
    <w:rsid w:val="009C426F"/>
    <w:rsid w:val="009C44A9"/>
    <w:rsid w:val="009C44FE"/>
    <w:rsid w:val="009C4549"/>
    <w:rsid w:val="009C4636"/>
    <w:rsid w:val="009C4645"/>
    <w:rsid w:val="009C47C8"/>
    <w:rsid w:val="009C4853"/>
    <w:rsid w:val="009C48B3"/>
    <w:rsid w:val="009C4905"/>
    <w:rsid w:val="009C49CB"/>
    <w:rsid w:val="009C4A47"/>
    <w:rsid w:val="009C4A5F"/>
    <w:rsid w:val="009C4A95"/>
    <w:rsid w:val="009C4ABC"/>
    <w:rsid w:val="009C4B0E"/>
    <w:rsid w:val="009C4B20"/>
    <w:rsid w:val="009C4B2B"/>
    <w:rsid w:val="009C4B32"/>
    <w:rsid w:val="009C4B39"/>
    <w:rsid w:val="009C4B3B"/>
    <w:rsid w:val="009C4B7A"/>
    <w:rsid w:val="009C4B7D"/>
    <w:rsid w:val="009C4C7B"/>
    <w:rsid w:val="009C4C8C"/>
    <w:rsid w:val="009C4CBB"/>
    <w:rsid w:val="009C4CF7"/>
    <w:rsid w:val="009C4D44"/>
    <w:rsid w:val="009C4DA3"/>
    <w:rsid w:val="009C4E29"/>
    <w:rsid w:val="009C4EA0"/>
    <w:rsid w:val="009C502D"/>
    <w:rsid w:val="009C508A"/>
    <w:rsid w:val="009C508E"/>
    <w:rsid w:val="009C50A5"/>
    <w:rsid w:val="009C50FB"/>
    <w:rsid w:val="009C5297"/>
    <w:rsid w:val="009C529D"/>
    <w:rsid w:val="009C53B5"/>
    <w:rsid w:val="009C548B"/>
    <w:rsid w:val="009C54BC"/>
    <w:rsid w:val="009C5644"/>
    <w:rsid w:val="009C5662"/>
    <w:rsid w:val="009C568C"/>
    <w:rsid w:val="009C569D"/>
    <w:rsid w:val="009C57CC"/>
    <w:rsid w:val="009C57E7"/>
    <w:rsid w:val="009C586D"/>
    <w:rsid w:val="009C59D1"/>
    <w:rsid w:val="009C59D5"/>
    <w:rsid w:val="009C5A5D"/>
    <w:rsid w:val="009C5AE6"/>
    <w:rsid w:val="009C5AF6"/>
    <w:rsid w:val="009C5B5A"/>
    <w:rsid w:val="009C5B65"/>
    <w:rsid w:val="009C5C2F"/>
    <w:rsid w:val="009C5D1B"/>
    <w:rsid w:val="009C5E65"/>
    <w:rsid w:val="009C5EE8"/>
    <w:rsid w:val="009C5EF3"/>
    <w:rsid w:val="009C5FC5"/>
    <w:rsid w:val="009C5FDC"/>
    <w:rsid w:val="009C6035"/>
    <w:rsid w:val="009C6043"/>
    <w:rsid w:val="009C621C"/>
    <w:rsid w:val="009C6259"/>
    <w:rsid w:val="009C62D1"/>
    <w:rsid w:val="009C630D"/>
    <w:rsid w:val="009C64F0"/>
    <w:rsid w:val="009C6533"/>
    <w:rsid w:val="009C65EF"/>
    <w:rsid w:val="009C65F1"/>
    <w:rsid w:val="009C661C"/>
    <w:rsid w:val="009C66C2"/>
    <w:rsid w:val="009C66EA"/>
    <w:rsid w:val="009C67B1"/>
    <w:rsid w:val="009C67C9"/>
    <w:rsid w:val="009C67D2"/>
    <w:rsid w:val="009C684F"/>
    <w:rsid w:val="009C690D"/>
    <w:rsid w:val="009C69BC"/>
    <w:rsid w:val="009C6A34"/>
    <w:rsid w:val="009C6ADA"/>
    <w:rsid w:val="009C6AF0"/>
    <w:rsid w:val="009C6C12"/>
    <w:rsid w:val="009C6C9F"/>
    <w:rsid w:val="009C6D5F"/>
    <w:rsid w:val="009C6DDD"/>
    <w:rsid w:val="009C6E8D"/>
    <w:rsid w:val="009C6F41"/>
    <w:rsid w:val="009C6F69"/>
    <w:rsid w:val="009C6F73"/>
    <w:rsid w:val="009C70A8"/>
    <w:rsid w:val="009C70BB"/>
    <w:rsid w:val="009C70D3"/>
    <w:rsid w:val="009C7156"/>
    <w:rsid w:val="009C7172"/>
    <w:rsid w:val="009C71CC"/>
    <w:rsid w:val="009C721E"/>
    <w:rsid w:val="009C7414"/>
    <w:rsid w:val="009C744E"/>
    <w:rsid w:val="009C7490"/>
    <w:rsid w:val="009C749C"/>
    <w:rsid w:val="009C75B9"/>
    <w:rsid w:val="009C75F3"/>
    <w:rsid w:val="009C7644"/>
    <w:rsid w:val="009C7657"/>
    <w:rsid w:val="009C7782"/>
    <w:rsid w:val="009C77C2"/>
    <w:rsid w:val="009C780F"/>
    <w:rsid w:val="009C79FA"/>
    <w:rsid w:val="009C7B18"/>
    <w:rsid w:val="009C7BFE"/>
    <w:rsid w:val="009C7C27"/>
    <w:rsid w:val="009C7C36"/>
    <w:rsid w:val="009C7CAF"/>
    <w:rsid w:val="009C7D00"/>
    <w:rsid w:val="009C7D17"/>
    <w:rsid w:val="009C7DF6"/>
    <w:rsid w:val="009C7E2D"/>
    <w:rsid w:val="009C7E41"/>
    <w:rsid w:val="009C7E83"/>
    <w:rsid w:val="009C7EA4"/>
    <w:rsid w:val="009C7EA5"/>
    <w:rsid w:val="009C7EAB"/>
    <w:rsid w:val="009C7F58"/>
    <w:rsid w:val="009C7FA6"/>
    <w:rsid w:val="009C7FBE"/>
    <w:rsid w:val="009D00FF"/>
    <w:rsid w:val="009D019B"/>
    <w:rsid w:val="009D01A7"/>
    <w:rsid w:val="009D01A8"/>
    <w:rsid w:val="009D03EF"/>
    <w:rsid w:val="009D0431"/>
    <w:rsid w:val="009D0454"/>
    <w:rsid w:val="009D056B"/>
    <w:rsid w:val="009D0757"/>
    <w:rsid w:val="009D0860"/>
    <w:rsid w:val="009D08B5"/>
    <w:rsid w:val="009D0988"/>
    <w:rsid w:val="009D09D5"/>
    <w:rsid w:val="009D0B13"/>
    <w:rsid w:val="009D0B1F"/>
    <w:rsid w:val="009D0C80"/>
    <w:rsid w:val="009D0CDA"/>
    <w:rsid w:val="009D0D49"/>
    <w:rsid w:val="009D0DB4"/>
    <w:rsid w:val="009D0DE2"/>
    <w:rsid w:val="009D0E36"/>
    <w:rsid w:val="009D0E38"/>
    <w:rsid w:val="009D0E6B"/>
    <w:rsid w:val="009D0EFF"/>
    <w:rsid w:val="009D0F0F"/>
    <w:rsid w:val="009D0F2A"/>
    <w:rsid w:val="009D1120"/>
    <w:rsid w:val="009D1182"/>
    <w:rsid w:val="009D11D5"/>
    <w:rsid w:val="009D1239"/>
    <w:rsid w:val="009D12F0"/>
    <w:rsid w:val="009D133B"/>
    <w:rsid w:val="009D1353"/>
    <w:rsid w:val="009D1478"/>
    <w:rsid w:val="009D147C"/>
    <w:rsid w:val="009D149A"/>
    <w:rsid w:val="009D1538"/>
    <w:rsid w:val="009D165C"/>
    <w:rsid w:val="009D168E"/>
    <w:rsid w:val="009D17AE"/>
    <w:rsid w:val="009D191A"/>
    <w:rsid w:val="009D193B"/>
    <w:rsid w:val="009D1997"/>
    <w:rsid w:val="009D1A16"/>
    <w:rsid w:val="009D1A54"/>
    <w:rsid w:val="009D1A5A"/>
    <w:rsid w:val="009D1A7E"/>
    <w:rsid w:val="009D1BAD"/>
    <w:rsid w:val="009D1C62"/>
    <w:rsid w:val="009D1EB6"/>
    <w:rsid w:val="009D1F0A"/>
    <w:rsid w:val="009D1F9E"/>
    <w:rsid w:val="009D2025"/>
    <w:rsid w:val="009D208D"/>
    <w:rsid w:val="009D2162"/>
    <w:rsid w:val="009D226D"/>
    <w:rsid w:val="009D22D1"/>
    <w:rsid w:val="009D22FA"/>
    <w:rsid w:val="009D2501"/>
    <w:rsid w:val="009D253A"/>
    <w:rsid w:val="009D25BF"/>
    <w:rsid w:val="009D2699"/>
    <w:rsid w:val="009D28E2"/>
    <w:rsid w:val="009D2965"/>
    <w:rsid w:val="009D2A9D"/>
    <w:rsid w:val="009D2B0A"/>
    <w:rsid w:val="009D2C9A"/>
    <w:rsid w:val="009D2E32"/>
    <w:rsid w:val="009D2E81"/>
    <w:rsid w:val="009D2ED5"/>
    <w:rsid w:val="009D2F60"/>
    <w:rsid w:val="009D2F8D"/>
    <w:rsid w:val="009D2FF4"/>
    <w:rsid w:val="009D3168"/>
    <w:rsid w:val="009D323B"/>
    <w:rsid w:val="009D325D"/>
    <w:rsid w:val="009D32BD"/>
    <w:rsid w:val="009D32FC"/>
    <w:rsid w:val="009D3322"/>
    <w:rsid w:val="009D3326"/>
    <w:rsid w:val="009D3589"/>
    <w:rsid w:val="009D35F7"/>
    <w:rsid w:val="009D36B8"/>
    <w:rsid w:val="009D3796"/>
    <w:rsid w:val="009D39D3"/>
    <w:rsid w:val="009D3C98"/>
    <w:rsid w:val="009D3E92"/>
    <w:rsid w:val="009D3EC1"/>
    <w:rsid w:val="009D3ECA"/>
    <w:rsid w:val="009D3ED3"/>
    <w:rsid w:val="009D3EDB"/>
    <w:rsid w:val="009D3F39"/>
    <w:rsid w:val="009D3F40"/>
    <w:rsid w:val="009D3F51"/>
    <w:rsid w:val="009D3F6E"/>
    <w:rsid w:val="009D3FB3"/>
    <w:rsid w:val="009D3FCE"/>
    <w:rsid w:val="009D400D"/>
    <w:rsid w:val="009D4028"/>
    <w:rsid w:val="009D4079"/>
    <w:rsid w:val="009D4123"/>
    <w:rsid w:val="009D414E"/>
    <w:rsid w:val="009D417C"/>
    <w:rsid w:val="009D4217"/>
    <w:rsid w:val="009D42ED"/>
    <w:rsid w:val="009D43AA"/>
    <w:rsid w:val="009D446E"/>
    <w:rsid w:val="009D4499"/>
    <w:rsid w:val="009D44CF"/>
    <w:rsid w:val="009D4546"/>
    <w:rsid w:val="009D462D"/>
    <w:rsid w:val="009D464F"/>
    <w:rsid w:val="009D467B"/>
    <w:rsid w:val="009D4763"/>
    <w:rsid w:val="009D47F0"/>
    <w:rsid w:val="009D4819"/>
    <w:rsid w:val="009D4889"/>
    <w:rsid w:val="009D4895"/>
    <w:rsid w:val="009D48B9"/>
    <w:rsid w:val="009D494B"/>
    <w:rsid w:val="009D499F"/>
    <w:rsid w:val="009D4A02"/>
    <w:rsid w:val="009D4A1A"/>
    <w:rsid w:val="009D4A6C"/>
    <w:rsid w:val="009D4ACE"/>
    <w:rsid w:val="009D4AD2"/>
    <w:rsid w:val="009D4AF0"/>
    <w:rsid w:val="009D4AFE"/>
    <w:rsid w:val="009D4B57"/>
    <w:rsid w:val="009D4BDD"/>
    <w:rsid w:val="009D4BE9"/>
    <w:rsid w:val="009D4C38"/>
    <w:rsid w:val="009D4D77"/>
    <w:rsid w:val="009D4E1D"/>
    <w:rsid w:val="009D5036"/>
    <w:rsid w:val="009D5086"/>
    <w:rsid w:val="009D514D"/>
    <w:rsid w:val="009D51AA"/>
    <w:rsid w:val="009D51C2"/>
    <w:rsid w:val="009D5225"/>
    <w:rsid w:val="009D5238"/>
    <w:rsid w:val="009D5358"/>
    <w:rsid w:val="009D5367"/>
    <w:rsid w:val="009D53E4"/>
    <w:rsid w:val="009D544F"/>
    <w:rsid w:val="009D56AF"/>
    <w:rsid w:val="009D573E"/>
    <w:rsid w:val="009D5837"/>
    <w:rsid w:val="009D5876"/>
    <w:rsid w:val="009D58F7"/>
    <w:rsid w:val="009D599B"/>
    <w:rsid w:val="009D5A6A"/>
    <w:rsid w:val="009D5B38"/>
    <w:rsid w:val="009D5BB4"/>
    <w:rsid w:val="009D5BF7"/>
    <w:rsid w:val="009D5C0F"/>
    <w:rsid w:val="009D5C2B"/>
    <w:rsid w:val="009D5C63"/>
    <w:rsid w:val="009D5D3F"/>
    <w:rsid w:val="009D5D95"/>
    <w:rsid w:val="009D5DDD"/>
    <w:rsid w:val="009D5E39"/>
    <w:rsid w:val="009D5F26"/>
    <w:rsid w:val="009D61B8"/>
    <w:rsid w:val="009D62BC"/>
    <w:rsid w:val="009D638F"/>
    <w:rsid w:val="009D6416"/>
    <w:rsid w:val="009D656C"/>
    <w:rsid w:val="009D65E3"/>
    <w:rsid w:val="009D6603"/>
    <w:rsid w:val="009D68E2"/>
    <w:rsid w:val="009D68F9"/>
    <w:rsid w:val="009D68FC"/>
    <w:rsid w:val="009D6924"/>
    <w:rsid w:val="009D69B6"/>
    <w:rsid w:val="009D6AA9"/>
    <w:rsid w:val="009D6B67"/>
    <w:rsid w:val="009D6BFC"/>
    <w:rsid w:val="009D6D34"/>
    <w:rsid w:val="009D6E1F"/>
    <w:rsid w:val="009D6E43"/>
    <w:rsid w:val="009D6E72"/>
    <w:rsid w:val="009D6E73"/>
    <w:rsid w:val="009D6EC3"/>
    <w:rsid w:val="009D6ED1"/>
    <w:rsid w:val="009D6F5E"/>
    <w:rsid w:val="009D6FCA"/>
    <w:rsid w:val="009D707D"/>
    <w:rsid w:val="009D7104"/>
    <w:rsid w:val="009D7114"/>
    <w:rsid w:val="009D720F"/>
    <w:rsid w:val="009D7250"/>
    <w:rsid w:val="009D72F2"/>
    <w:rsid w:val="009D7406"/>
    <w:rsid w:val="009D74D1"/>
    <w:rsid w:val="009D7634"/>
    <w:rsid w:val="009D764E"/>
    <w:rsid w:val="009D765A"/>
    <w:rsid w:val="009D7662"/>
    <w:rsid w:val="009D768B"/>
    <w:rsid w:val="009D7697"/>
    <w:rsid w:val="009D7716"/>
    <w:rsid w:val="009D77F3"/>
    <w:rsid w:val="009D780B"/>
    <w:rsid w:val="009D7892"/>
    <w:rsid w:val="009D78FC"/>
    <w:rsid w:val="009D7938"/>
    <w:rsid w:val="009D7963"/>
    <w:rsid w:val="009D79E6"/>
    <w:rsid w:val="009D7AD2"/>
    <w:rsid w:val="009D7B13"/>
    <w:rsid w:val="009D7C12"/>
    <w:rsid w:val="009D7C30"/>
    <w:rsid w:val="009D7C6D"/>
    <w:rsid w:val="009D7D60"/>
    <w:rsid w:val="009D7EB3"/>
    <w:rsid w:val="009E008B"/>
    <w:rsid w:val="009E0134"/>
    <w:rsid w:val="009E01A3"/>
    <w:rsid w:val="009E020E"/>
    <w:rsid w:val="009E024B"/>
    <w:rsid w:val="009E02EC"/>
    <w:rsid w:val="009E02F6"/>
    <w:rsid w:val="009E0329"/>
    <w:rsid w:val="009E0370"/>
    <w:rsid w:val="009E03D8"/>
    <w:rsid w:val="009E0408"/>
    <w:rsid w:val="009E045D"/>
    <w:rsid w:val="009E047E"/>
    <w:rsid w:val="009E050F"/>
    <w:rsid w:val="009E051D"/>
    <w:rsid w:val="009E0583"/>
    <w:rsid w:val="009E0592"/>
    <w:rsid w:val="009E05E2"/>
    <w:rsid w:val="009E05E8"/>
    <w:rsid w:val="009E06AA"/>
    <w:rsid w:val="009E078A"/>
    <w:rsid w:val="009E07AA"/>
    <w:rsid w:val="009E07D1"/>
    <w:rsid w:val="009E088C"/>
    <w:rsid w:val="009E089F"/>
    <w:rsid w:val="009E08C4"/>
    <w:rsid w:val="009E098A"/>
    <w:rsid w:val="009E0A8C"/>
    <w:rsid w:val="009E0B0A"/>
    <w:rsid w:val="009E0B1A"/>
    <w:rsid w:val="009E0BA6"/>
    <w:rsid w:val="009E0CAE"/>
    <w:rsid w:val="009E0D19"/>
    <w:rsid w:val="009E0EC7"/>
    <w:rsid w:val="009E0F90"/>
    <w:rsid w:val="009E0FB8"/>
    <w:rsid w:val="009E0FD5"/>
    <w:rsid w:val="009E11D5"/>
    <w:rsid w:val="009E11FF"/>
    <w:rsid w:val="009E1271"/>
    <w:rsid w:val="009E12F5"/>
    <w:rsid w:val="009E131E"/>
    <w:rsid w:val="009E132B"/>
    <w:rsid w:val="009E135C"/>
    <w:rsid w:val="009E1457"/>
    <w:rsid w:val="009E146C"/>
    <w:rsid w:val="009E149A"/>
    <w:rsid w:val="009E1616"/>
    <w:rsid w:val="009E1672"/>
    <w:rsid w:val="009E167F"/>
    <w:rsid w:val="009E16C6"/>
    <w:rsid w:val="009E16CD"/>
    <w:rsid w:val="009E16F0"/>
    <w:rsid w:val="009E1770"/>
    <w:rsid w:val="009E17A5"/>
    <w:rsid w:val="009E17A8"/>
    <w:rsid w:val="009E1868"/>
    <w:rsid w:val="009E1962"/>
    <w:rsid w:val="009E19E4"/>
    <w:rsid w:val="009E1A0C"/>
    <w:rsid w:val="009E1A38"/>
    <w:rsid w:val="009E1A41"/>
    <w:rsid w:val="009E1E15"/>
    <w:rsid w:val="009E1EEE"/>
    <w:rsid w:val="009E1F90"/>
    <w:rsid w:val="009E205F"/>
    <w:rsid w:val="009E206D"/>
    <w:rsid w:val="009E20D2"/>
    <w:rsid w:val="009E213F"/>
    <w:rsid w:val="009E225D"/>
    <w:rsid w:val="009E228D"/>
    <w:rsid w:val="009E2387"/>
    <w:rsid w:val="009E2494"/>
    <w:rsid w:val="009E24AD"/>
    <w:rsid w:val="009E25B4"/>
    <w:rsid w:val="009E25CC"/>
    <w:rsid w:val="009E2684"/>
    <w:rsid w:val="009E26D3"/>
    <w:rsid w:val="009E271E"/>
    <w:rsid w:val="009E287A"/>
    <w:rsid w:val="009E289E"/>
    <w:rsid w:val="009E2903"/>
    <w:rsid w:val="009E29F8"/>
    <w:rsid w:val="009E2A3E"/>
    <w:rsid w:val="009E2B5C"/>
    <w:rsid w:val="009E2B94"/>
    <w:rsid w:val="009E2BB3"/>
    <w:rsid w:val="009E2BC6"/>
    <w:rsid w:val="009E2C09"/>
    <w:rsid w:val="009E2C5B"/>
    <w:rsid w:val="009E2CBF"/>
    <w:rsid w:val="009E2D15"/>
    <w:rsid w:val="009E2E1F"/>
    <w:rsid w:val="009E2E6B"/>
    <w:rsid w:val="009E2E7D"/>
    <w:rsid w:val="009E2F5A"/>
    <w:rsid w:val="009E301A"/>
    <w:rsid w:val="009E3085"/>
    <w:rsid w:val="009E3145"/>
    <w:rsid w:val="009E318C"/>
    <w:rsid w:val="009E3207"/>
    <w:rsid w:val="009E329E"/>
    <w:rsid w:val="009E3316"/>
    <w:rsid w:val="009E3319"/>
    <w:rsid w:val="009E334D"/>
    <w:rsid w:val="009E33C1"/>
    <w:rsid w:val="009E342F"/>
    <w:rsid w:val="009E350C"/>
    <w:rsid w:val="009E385E"/>
    <w:rsid w:val="009E3940"/>
    <w:rsid w:val="009E3963"/>
    <w:rsid w:val="009E3AB4"/>
    <w:rsid w:val="009E3AC1"/>
    <w:rsid w:val="009E3B9C"/>
    <w:rsid w:val="009E3D11"/>
    <w:rsid w:val="009E3D7A"/>
    <w:rsid w:val="009E3D9D"/>
    <w:rsid w:val="009E3EDD"/>
    <w:rsid w:val="009E3FA6"/>
    <w:rsid w:val="009E404E"/>
    <w:rsid w:val="009E408A"/>
    <w:rsid w:val="009E40B6"/>
    <w:rsid w:val="009E40C8"/>
    <w:rsid w:val="009E41D7"/>
    <w:rsid w:val="009E41FB"/>
    <w:rsid w:val="009E4241"/>
    <w:rsid w:val="009E4306"/>
    <w:rsid w:val="009E4464"/>
    <w:rsid w:val="009E4515"/>
    <w:rsid w:val="009E45A6"/>
    <w:rsid w:val="009E45CC"/>
    <w:rsid w:val="009E4613"/>
    <w:rsid w:val="009E464E"/>
    <w:rsid w:val="009E46E4"/>
    <w:rsid w:val="009E4760"/>
    <w:rsid w:val="009E484F"/>
    <w:rsid w:val="009E4872"/>
    <w:rsid w:val="009E4887"/>
    <w:rsid w:val="009E494B"/>
    <w:rsid w:val="009E4955"/>
    <w:rsid w:val="009E49BF"/>
    <w:rsid w:val="009E49C6"/>
    <w:rsid w:val="009E4B05"/>
    <w:rsid w:val="009E4B5E"/>
    <w:rsid w:val="009E4B61"/>
    <w:rsid w:val="009E4C69"/>
    <w:rsid w:val="009E4C82"/>
    <w:rsid w:val="009E4C8C"/>
    <w:rsid w:val="009E4CD3"/>
    <w:rsid w:val="009E4D21"/>
    <w:rsid w:val="009E4E49"/>
    <w:rsid w:val="009E4E7E"/>
    <w:rsid w:val="009E4ED0"/>
    <w:rsid w:val="009E4F38"/>
    <w:rsid w:val="009E4F4C"/>
    <w:rsid w:val="009E5009"/>
    <w:rsid w:val="009E500C"/>
    <w:rsid w:val="009E507C"/>
    <w:rsid w:val="009E50BC"/>
    <w:rsid w:val="009E512D"/>
    <w:rsid w:val="009E520C"/>
    <w:rsid w:val="009E5393"/>
    <w:rsid w:val="009E539C"/>
    <w:rsid w:val="009E53F8"/>
    <w:rsid w:val="009E542D"/>
    <w:rsid w:val="009E54B9"/>
    <w:rsid w:val="009E553D"/>
    <w:rsid w:val="009E554C"/>
    <w:rsid w:val="009E55D1"/>
    <w:rsid w:val="009E5645"/>
    <w:rsid w:val="009E575A"/>
    <w:rsid w:val="009E57A4"/>
    <w:rsid w:val="009E589D"/>
    <w:rsid w:val="009E589F"/>
    <w:rsid w:val="009E5954"/>
    <w:rsid w:val="009E5B3D"/>
    <w:rsid w:val="009E5B6B"/>
    <w:rsid w:val="009E5BB9"/>
    <w:rsid w:val="009E5BE2"/>
    <w:rsid w:val="009E5C8F"/>
    <w:rsid w:val="009E5CA2"/>
    <w:rsid w:val="009E5CBF"/>
    <w:rsid w:val="009E5CF1"/>
    <w:rsid w:val="009E5D17"/>
    <w:rsid w:val="009E5D6B"/>
    <w:rsid w:val="009E5D84"/>
    <w:rsid w:val="009E5D8C"/>
    <w:rsid w:val="009E5EC7"/>
    <w:rsid w:val="009E6042"/>
    <w:rsid w:val="009E6063"/>
    <w:rsid w:val="009E6075"/>
    <w:rsid w:val="009E60D4"/>
    <w:rsid w:val="009E610C"/>
    <w:rsid w:val="009E6201"/>
    <w:rsid w:val="009E62E5"/>
    <w:rsid w:val="009E630C"/>
    <w:rsid w:val="009E6339"/>
    <w:rsid w:val="009E636A"/>
    <w:rsid w:val="009E641F"/>
    <w:rsid w:val="009E6441"/>
    <w:rsid w:val="009E6573"/>
    <w:rsid w:val="009E6620"/>
    <w:rsid w:val="009E6689"/>
    <w:rsid w:val="009E66AA"/>
    <w:rsid w:val="009E6760"/>
    <w:rsid w:val="009E6802"/>
    <w:rsid w:val="009E6826"/>
    <w:rsid w:val="009E689A"/>
    <w:rsid w:val="009E6987"/>
    <w:rsid w:val="009E6997"/>
    <w:rsid w:val="009E69A0"/>
    <w:rsid w:val="009E69B5"/>
    <w:rsid w:val="009E6A39"/>
    <w:rsid w:val="009E6A5A"/>
    <w:rsid w:val="009E6B6B"/>
    <w:rsid w:val="009E6C53"/>
    <w:rsid w:val="009E6C97"/>
    <w:rsid w:val="009E6D43"/>
    <w:rsid w:val="009E6E97"/>
    <w:rsid w:val="009E6F01"/>
    <w:rsid w:val="009E6FFC"/>
    <w:rsid w:val="009E70FB"/>
    <w:rsid w:val="009E7375"/>
    <w:rsid w:val="009E7424"/>
    <w:rsid w:val="009E7468"/>
    <w:rsid w:val="009E7561"/>
    <w:rsid w:val="009E766A"/>
    <w:rsid w:val="009E7735"/>
    <w:rsid w:val="009E773B"/>
    <w:rsid w:val="009E7756"/>
    <w:rsid w:val="009E7837"/>
    <w:rsid w:val="009E7856"/>
    <w:rsid w:val="009E785E"/>
    <w:rsid w:val="009E7861"/>
    <w:rsid w:val="009E796E"/>
    <w:rsid w:val="009E799E"/>
    <w:rsid w:val="009E7A03"/>
    <w:rsid w:val="009E7A1F"/>
    <w:rsid w:val="009E7A29"/>
    <w:rsid w:val="009E7A66"/>
    <w:rsid w:val="009E7A80"/>
    <w:rsid w:val="009E7A8A"/>
    <w:rsid w:val="009E7ACE"/>
    <w:rsid w:val="009E7AF4"/>
    <w:rsid w:val="009E7BA2"/>
    <w:rsid w:val="009E7C64"/>
    <w:rsid w:val="009E7D8F"/>
    <w:rsid w:val="009E7E03"/>
    <w:rsid w:val="009E7EF6"/>
    <w:rsid w:val="009E7F07"/>
    <w:rsid w:val="009E7F4A"/>
    <w:rsid w:val="009E7F6B"/>
    <w:rsid w:val="009F0032"/>
    <w:rsid w:val="009F0131"/>
    <w:rsid w:val="009F01D0"/>
    <w:rsid w:val="009F0279"/>
    <w:rsid w:val="009F041D"/>
    <w:rsid w:val="009F042B"/>
    <w:rsid w:val="009F0444"/>
    <w:rsid w:val="009F044F"/>
    <w:rsid w:val="009F06B4"/>
    <w:rsid w:val="009F06CC"/>
    <w:rsid w:val="009F0754"/>
    <w:rsid w:val="009F0887"/>
    <w:rsid w:val="009F08B4"/>
    <w:rsid w:val="009F08DF"/>
    <w:rsid w:val="009F08E2"/>
    <w:rsid w:val="009F0923"/>
    <w:rsid w:val="009F0956"/>
    <w:rsid w:val="009F09D9"/>
    <w:rsid w:val="009F0A00"/>
    <w:rsid w:val="009F0A1D"/>
    <w:rsid w:val="009F0B7D"/>
    <w:rsid w:val="009F0BAC"/>
    <w:rsid w:val="009F0C4A"/>
    <w:rsid w:val="009F0C94"/>
    <w:rsid w:val="009F0E7A"/>
    <w:rsid w:val="009F0EAE"/>
    <w:rsid w:val="009F0EF1"/>
    <w:rsid w:val="009F0F00"/>
    <w:rsid w:val="009F0F37"/>
    <w:rsid w:val="009F0FC3"/>
    <w:rsid w:val="009F109D"/>
    <w:rsid w:val="009F10E0"/>
    <w:rsid w:val="009F10EF"/>
    <w:rsid w:val="009F114E"/>
    <w:rsid w:val="009F123B"/>
    <w:rsid w:val="009F126B"/>
    <w:rsid w:val="009F1308"/>
    <w:rsid w:val="009F1328"/>
    <w:rsid w:val="009F1346"/>
    <w:rsid w:val="009F13CF"/>
    <w:rsid w:val="009F1494"/>
    <w:rsid w:val="009F160D"/>
    <w:rsid w:val="009F1628"/>
    <w:rsid w:val="009F16F8"/>
    <w:rsid w:val="009F1760"/>
    <w:rsid w:val="009F1798"/>
    <w:rsid w:val="009F17DD"/>
    <w:rsid w:val="009F17EB"/>
    <w:rsid w:val="009F1822"/>
    <w:rsid w:val="009F18C7"/>
    <w:rsid w:val="009F18DF"/>
    <w:rsid w:val="009F1916"/>
    <w:rsid w:val="009F192B"/>
    <w:rsid w:val="009F194D"/>
    <w:rsid w:val="009F19A5"/>
    <w:rsid w:val="009F1ACC"/>
    <w:rsid w:val="009F1AD0"/>
    <w:rsid w:val="009F1B64"/>
    <w:rsid w:val="009F1BF2"/>
    <w:rsid w:val="009F1D2E"/>
    <w:rsid w:val="009F1D63"/>
    <w:rsid w:val="009F1DE5"/>
    <w:rsid w:val="009F1E42"/>
    <w:rsid w:val="009F1EDD"/>
    <w:rsid w:val="009F1F47"/>
    <w:rsid w:val="009F20BA"/>
    <w:rsid w:val="009F20ED"/>
    <w:rsid w:val="009F2238"/>
    <w:rsid w:val="009F22E3"/>
    <w:rsid w:val="009F236C"/>
    <w:rsid w:val="009F23D5"/>
    <w:rsid w:val="009F249A"/>
    <w:rsid w:val="009F24A7"/>
    <w:rsid w:val="009F24B4"/>
    <w:rsid w:val="009F24FE"/>
    <w:rsid w:val="009F256B"/>
    <w:rsid w:val="009F2571"/>
    <w:rsid w:val="009F2624"/>
    <w:rsid w:val="009F2659"/>
    <w:rsid w:val="009F267B"/>
    <w:rsid w:val="009F26D2"/>
    <w:rsid w:val="009F280F"/>
    <w:rsid w:val="009F28D2"/>
    <w:rsid w:val="009F2999"/>
    <w:rsid w:val="009F29C8"/>
    <w:rsid w:val="009F29CC"/>
    <w:rsid w:val="009F2A99"/>
    <w:rsid w:val="009F2B1B"/>
    <w:rsid w:val="009F2BE8"/>
    <w:rsid w:val="009F2CBA"/>
    <w:rsid w:val="009F2CEA"/>
    <w:rsid w:val="009F2D39"/>
    <w:rsid w:val="009F2E37"/>
    <w:rsid w:val="009F2F0B"/>
    <w:rsid w:val="009F3057"/>
    <w:rsid w:val="009F309F"/>
    <w:rsid w:val="009F324F"/>
    <w:rsid w:val="009F32DA"/>
    <w:rsid w:val="009F331D"/>
    <w:rsid w:val="009F33AB"/>
    <w:rsid w:val="009F33DD"/>
    <w:rsid w:val="009F33E9"/>
    <w:rsid w:val="009F33ED"/>
    <w:rsid w:val="009F3485"/>
    <w:rsid w:val="009F363F"/>
    <w:rsid w:val="009F36D5"/>
    <w:rsid w:val="009F37A5"/>
    <w:rsid w:val="009F388F"/>
    <w:rsid w:val="009F390F"/>
    <w:rsid w:val="009F392B"/>
    <w:rsid w:val="009F3A2D"/>
    <w:rsid w:val="009F3A51"/>
    <w:rsid w:val="009F3AB4"/>
    <w:rsid w:val="009F3AD3"/>
    <w:rsid w:val="009F3BFD"/>
    <w:rsid w:val="009F3D04"/>
    <w:rsid w:val="009F3D06"/>
    <w:rsid w:val="009F3FA8"/>
    <w:rsid w:val="009F4071"/>
    <w:rsid w:val="009F41F5"/>
    <w:rsid w:val="009F41F9"/>
    <w:rsid w:val="009F421D"/>
    <w:rsid w:val="009F4230"/>
    <w:rsid w:val="009F4281"/>
    <w:rsid w:val="009F4310"/>
    <w:rsid w:val="009F4318"/>
    <w:rsid w:val="009F4438"/>
    <w:rsid w:val="009F447A"/>
    <w:rsid w:val="009F4533"/>
    <w:rsid w:val="009F4646"/>
    <w:rsid w:val="009F47B7"/>
    <w:rsid w:val="009F4828"/>
    <w:rsid w:val="009F487E"/>
    <w:rsid w:val="009F4943"/>
    <w:rsid w:val="009F4988"/>
    <w:rsid w:val="009F4AC5"/>
    <w:rsid w:val="009F4ADB"/>
    <w:rsid w:val="009F4AEC"/>
    <w:rsid w:val="009F4BC9"/>
    <w:rsid w:val="009F4C33"/>
    <w:rsid w:val="009F4C7B"/>
    <w:rsid w:val="009F4D03"/>
    <w:rsid w:val="009F4D06"/>
    <w:rsid w:val="009F4D54"/>
    <w:rsid w:val="009F4D69"/>
    <w:rsid w:val="009F4D82"/>
    <w:rsid w:val="009F4EE0"/>
    <w:rsid w:val="009F4F29"/>
    <w:rsid w:val="009F4F8E"/>
    <w:rsid w:val="009F4F92"/>
    <w:rsid w:val="009F50D1"/>
    <w:rsid w:val="009F50DA"/>
    <w:rsid w:val="009F519F"/>
    <w:rsid w:val="009F5208"/>
    <w:rsid w:val="009F52D5"/>
    <w:rsid w:val="009F5352"/>
    <w:rsid w:val="009F5502"/>
    <w:rsid w:val="009F550F"/>
    <w:rsid w:val="009F55AA"/>
    <w:rsid w:val="009F5600"/>
    <w:rsid w:val="009F563B"/>
    <w:rsid w:val="009F5657"/>
    <w:rsid w:val="009F56A9"/>
    <w:rsid w:val="009F56EF"/>
    <w:rsid w:val="009F5726"/>
    <w:rsid w:val="009F5729"/>
    <w:rsid w:val="009F57B6"/>
    <w:rsid w:val="009F580C"/>
    <w:rsid w:val="009F5866"/>
    <w:rsid w:val="009F5875"/>
    <w:rsid w:val="009F5883"/>
    <w:rsid w:val="009F5908"/>
    <w:rsid w:val="009F5937"/>
    <w:rsid w:val="009F59A6"/>
    <w:rsid w:val="009F59D4"/>
    <w:rsid w:val="009F59E8"/>
    <w:rsid w:val="009F5A25"/>
    <w:rsid w:val="009F5ACB"/>
    <w:rsid w:val="009F5B26"/>
    <w:rsid w:val="009F5CAA"/>
    <w:rsid w:val="009F5CCE"/>
    <w:rsid w:val="009F5CE1"/>
    <w:rsid w:val="009F5D0A"/>
    <w:rsid w:val="009F5DA7"/>
    <w:rsid w:val="009F5EB2"/>
    <w:rsid w:val="009F5EED"/>
    <w:rsid w:val="009F5F5A"/>
    <w:rsid w:val="009F5F60"/>
    <w:rsid w:val="009F6059"/>
    <w:rsid w:val="009F6091"/>
    <w:rsid w:val="009F6115"/>
    <w:rsid w:val="009F618D"/>
    <w:rsid w:val="009F6213"/>
    <w:rsid w:val="009F6312"/>
    <w:rsid w:val="009F633E"/>
    <w:rsid w:val="009F63AC"/>
    <w:rsid w:val="009F6421"/>
    <w:rsid w:val="009F64FB"/>
    <w:rsid w:val="009F652A"/>
    <w:rsid w:val="009F6658"/>
    <w:rsid w:val="009F6670"/>
    <w:rsid w:val="009F66B1"/>
    <w:rsid w:val="009F6771"/>
    <w:rsid w:val="009F67CF"/>
    <w:rsid w:val="009F685E"/>
    <w:rsid w:val="009F687D"/>
    <w:rsid w:val="009F68E2"/>
    <w:rsid w:val="009F6961"/>
    <w:rsid w:val="009F69D1"/>
    <w:rsid w:val="009F6A04"/>
    <w:rsid w:val="009F6A77"/>
    <w:rsid w:val="009F6BDF"/>
    <w:rsid w:val="009F6BF6"/>
    <w:rsid w:val="009F6C6E"/>
    <w:rsid w:val="009F6C83"/>
    <w:rsid w:val="009F6E58"/>
    <w:rsid w:val="009F6E98"/>
    <w:rsid w:val="009F70F0"/>
    <w:rsid w:val="009F71AB"/>
    <w:rsid w:val="009F71D0"/>
    <w:rsid w:val="009F7289"/>
    <w:rsid w:val="009F72BB"/>
    <w:rsid w:val="009F72C8"/>
    <w:rsid w:val="009F7305"/>
    <w:rsid w:val="009F7308"/>
    <w:rsid w:val="009F739A"/>
    <w:rsid w:val="009F73E8"/>
    <w:rsid w:val="009F7480"/>
    <w:rsid w:val="009F74CF"/>
    <w:rsid w:val="009F74E4"/>
    <w:rsid w:val="009F751C"/>
    <w:rsid w:val="009F751D"/>
    <w:rsid w:val="009F758B"/>
    <w:rsid w:val="009F75C2"/>
    <w:rsid w:val="009F75E4"/>
    <w:rsid w:val="009F77A7"/>
    <w:rsid w:val="009F77C7"/>
    <w:rsid w:val="009F7807"/>
    <w:rsid w:val="009F791C"/>
    <w:rsid w:val="009F7A01"/>
    <w:rsid w:val="009F7A6E"/>
    <w:rsid w:val="009F7BB8"/>
    <w:rsid w:val="009F7C73"/>
    <w:rsid w:val="009F7DA3"/>
    <w:rsid w:val="009F7E24"/>
    <w:rsid w:val="009F7F44"/>
    <w:rsid w:val="00A001D5"/>
    <w:rsid w:val="00A00227"/>
    <w:rsid w:val="00A003D5"/>
    <w:rsid w:val="00A003EE"/>
    <w:rsid w:val="00A003F4"/>
    <w:rsid w:val="00A0044A"/>
    <w:rsid w:val="00A0046F"/>
    <w:rsid w:val="00A00525"/>
    <w:rsid w:val="00A00561"/>
    <w:rsid w:val="00A005BD"/>
    <w:rsid w:val="00A005BF"/>
    <w:rsid w:val="00A005DF"/>
    <w:rsid w:val="00A00649"/>
    <w:rsid w:val="00A00710"/>
    <w:rsid w:val="00A00779"/>
    <w:rsid w:val="00A007E0"/>
    <w:rsid w:val="00A0089E"/>
    <w:rsid w:val="00A009F1"/>
    <w:rsid w:val="00A00A26"/>
    <w:rsid w:val="00A00A55"/>
    <w:rsid w:val="00A00A7B"/>
    <w:rsid w:val="00A00AD3"/>
    <w:rsid w:val="00A00B2B"/>
    <w:rsid w:val="00A00BF5"/>
    <w:rsid w:val="00A00D70"/>
    <w:rsid w:val="00A00DAE"/>
    <w:rsid w:val="00A00DEF"/>
    <w:rsid w:val="00A00E02"/>
    <w:rsid w:val="00A00E91"/>
    <w:rsid w:val="00A00ED5"/>
    <w:rsid w:val="00A00ED6"/>
    <w:rsid w:val="00A00F13"/>
    <w:rsid w:val="00A00F2B"/>
    <w:rsid w:val="00A00FB7"/>
    <w:rsid w:val="00A0108B"/>
    <w:rsid w:val="00A01096"/>
    <w:rsid w:val="00A0118D"/>
    <w:rsid w:val="00A011A1"/>
    <w:rsid w:val="00A012B7"/>
    <w:rsid w:val="00A01302"/>
    <w:rsid w:val="00A01344"/>
    <w:rsid w:val="00A0140D"/>
    <w:rsid w:val="00A01414"/>
    <w:rsid w:val="00A0144D"/>
    <w:rsid w:val="00A01542"/>
    <w:rsid w:val="00A015A7"/>
    <w:rsid w:val="00A015D0"/>
    <w:rsid w:val="00A015E4"/>
    <w:rsid w:val="00A01618"/>
    <w:rsid w:val="00A01619"/>
    <w:rsid w:val="00A0163F"/>
    <w:rsid w:val="00A01705"/>
    <w:rsid w:val="00A01746"/>
    <w:rsid w:val="00A0178D"/>
    <w:rsid w:val="00A017E8"/>
    <w:rsid w:val="00A01807"/>
    <w:rsid w:val="00A0180C"/>
    <w:rsid w:val="00A01811"/>
    <w:rsid w:val="00A018B3"/>
    <w:rsid w:val="00A018D5"/>
    <w:rsid w:val="00A01921"/>
    <w:rsid w:val="00A0199A"/>
    <w:rsid w:val="00A0199B"/>
    <w:rsid w:val="00A019A7"/>
    <w:rsid w:val="00A019B7"/>
    <w:rsid w:val="00A019F9"/>
    <w:rsid w:val="00A01A31"/>
    <w:rsid w:val="00A01A4E"/>
    <w:rsid w:val="00A01ADF"/>
    <w:rsid w:val="00A01BE4"/>
    <w:rsid w:val="00A01DB4"/>
    <w:rsid w:val="00A01E2F"/>
    <w:rsid w:val="00A01EDF"/>
    <w:rsid w:val="00A01FBF"/>
    <w:rsid w:val="00A01FF8"/>
    <w:rsid w:val="00A0200D"/>
    <w:rsid w:val="00A02056"/>
    <w:rsid w:val="00A02082"/>
    <w:rsid w:val="00A020F2"/>
    <w:rsid w:val="00A02130"/>
    <w:rsid w:val="00A02195"/>
    <w:rsid w:val="00A021E2"/>
    <w:rsid w:val="00A023D0"/>
    <w:rsid w:val="00A02573"/>
    <w:rsid w:val="00A025AB"/>
    <w:rsid w:val="00A025C1"/>
    <w:rsid w:val="00A025C8"/>
    <w:rsid w:val="00A025F6"/>
    <w:rsid w:val="00A0267C"/>
    <w:rsid w:val="00A02723"/>
    <w:rsid w:val="00A02739"/>
    <w:rsid w:val="00A0274E"/>
    <w:rsid w:val="00A0278C"/>
    <w:rsid w:val="00A02835"/>
    <w:rsid w:val="00A02983"/>
    <w:rsid w:val="00A029A6"/>
    <w:rsid w:val="00A02A27"/>
    <w:rsid w:val="00A02AFC"/>
    <w:rsid w:val="00A02B6C"/>
    <w:rsid w:val="00A02B8F"/>
    <w:rsid w:val="00A02B96"/>
    <w:rsid w:val="00A02CD7"/>
    <w:rsid w:val="00A02D19"/>
    <w:rsid w:val="00A02D63"/>
    <w:rsid w:val="00A02D6F"/>
    <w:rsid w:val="00A02DCF"/>
    <w:rsid w:val="00A02F10"/>
    <w:rsid w:val="00A02FA7"/>
    <w:rsid w:val="00A02FAB"/>
    <w:rsid w:val="00A02FB8"/>
    <w:rsid w:val="00A03098"/>
    <w:rsid w:val="00A030E1"/>
    <w:rsid w:val="00A0310D"/>
    <w:rsid w:val="00A0326F"/>
    <w:rsid w:val="00A03320"/>
    <w:rsid w:val="00A03325"/>
    <w:rsid w:val="00A0335D"/>
    <w:rsid w:val="00A033E9"/>
    <w:rsid w:val="00A0347D"/>
    <w:rsid w:val="00A034EF"/>
    <w:rsid w:val="00A03553"/>
    <w:rsid w:val="00A035B2"/>
    <w:rsid w:val="00A035BC"/>
    <w:rsid w:val="00A0367A"/>
    <w:rsid w:val="00A036AF"/>
    <w:rsid w:val="00A03763"/>
    <w:rsid w:val="00A037DF"/>
    <w:rsid w:val="00A037FB"/>
    <w:rsid w:val="00A03800"/>
    <w:rsid w:val="00A0381A"/>
    <w:rsid w:val="00A038AE"/>
    <w:rsid w:val="00A038C3"/>
    <w:rsid w:val="00A038D6"/>
    <w:rsid w:val="00A03CCF"/>
    <w:rsid w:val="00A03D62"/>
    <w:rsid w:val="00A03D73"/>
    <w:rsid w:val="00A03E24"/>
    <w:rsid w:val="00A03EBA"/>
    <w:rsid w:val="00A03F58"/>
    <w:rsid w:val="00A03F7E"/>
    <w:rsid w:val="00A03F92"/>
    <w:rsid w:val="00A04158"/>
    <w:rsid w:val="00A04167"/>
    <w:rsid w:val="00A04356"/>
    <w:rsid w:val="00A04456"/>
    <w:rsid w:val="00A04461"/>
    <w:rsid w:val="00A04475"/>
    <w:rsid w:val="00A044C4"/>
    <w:rsid w:val="00A044DF"/>
    <w:rsid w:val="00A04539"/>
    <w:rsid w:val="00A04655"/>
    <w:rsid w:val="00A04683"/>
    <w:rsid w:val="00A046EA"/>
    <w:rsid w:val="00A047B0"/>
    <w:rsid w:val="00A04AFB"/>
    <w:rsid w:val="00A04B7A"/>
    <w:rsid w:val="00A04D2B"/>
    <w:rsid w:val="00A04D42"/>
    <w:rsid w:val="00A04D5B"/>
    <w:rsid w:val="00A04E1C"/>
    <w:rsid w:val="00A04ED3"/>
    <w:rsid w:val="00A04EDD"/>
    <w:rsid w:val="00A05167"/>
    <w:rsid w:val="00A051AD"/>
    <w:rsid w:val="00A0520D"/>
    <w:rsid w:val="00A0522E"/>
    <w:rsid w:val="00A0524E"/>
    <w:rsid w:val="00A05363"/>
    <w:rsid w:val="00A0537B"/>
    <w:rsid w:val="00A0542D"/>
    <w:rsid w:val="00A05460"/>
    <w:rsid w:val="00A054C3"/>
    <w:rsid w:val="00A054F1"/>
    <w:rsid w:val="00A05777"/>
    <w:rsid w:val="00A058B0"/>
    <w:rsid w:val="00A05958"/>
    <w:rsid w:val="00A05960"/>
    <w:rsid w:val="00A05992"/>
    <w:rsid w:val="00A059E8"/>
    <w:rsid w:val="00A05A8A"/>
    <w:rsid w:val="00A05BA8"/>
    <w:rsid w:val="00A05C1C"/>
    <w:rsid w:val="00A05C79"/>
    <w:rsid w:val="00A05CC6"/>
    <w:rsid w:val="00A05CD9"/>
    <w:rsid w:val="00A05D4D"/>
    <w:rsid w:val="00A05D7D"/>
    <w:rsid w:val="00A05DEA"/>
    <w:rsid w:val="00A05F70"/>
    <w:rsid w:val="00A0600C"/>
    <w:rsid w:val="00A06029"/>
    <w:rsid w:val="00A0602D"/>
    <w:rsid w:val="00A06107"/>
    <w:rsid w:val="00A0637D"/>
    <w:rsid w:val="00A065ED"/>
    <w:rsid w:val="00A066D7"/>
    <w:rsid w:val="00A06711"/>
    <w:rsid w:val="00A0679A"/>
    <w:rsid w:val="00A0679F"/>
    <w:rsid w:val="00A06809"/>
    <w:rsid w:val="00A06843"/>
    <w:rsid w:val="00A069AE"/>
    <w:rsid w:val="00A06A47"/>
    <w:rsid w:val="00A06AD5"/>
    <w:rsid w:val="00A06AE9"/>
    <w:rsid w:val="00A06D42"/>
    <w:rsid w:val="00A06EEF"/>
    <w:rsid w:val="00A06FE9"/>
    <w:rsid w:val="00A07091"/>
    <w:rsid w:val="00A0716A"/>
    <w:rsid w:val="00A07202"/>
    <w:rsid w:val="00A0722F"/>
    <w:rsid w:val="00A07303"/>
    <w:rsid w:val="00A073BB"/>
    <w:rsid w:val="00A073E7"/>
    <w:rsid w:val="00A07415"/>
    <w:rsid w:val="00A07423"/>
    <w:rsid w:val="00A07457"/>
    <w:rsid w:val="00A0748D"/>
    <w:rsid w:val="00A074B2"/>
    <w:rsid w:val="00A07534"/>
    <w:rsid w:val="00A0769C"/>
    <w:rsid w:val="00A07709"/>
    <w:rsid w:val="00A077D3"/>
    <w:rsid w:val="00A0788D"/>
    <w:rsid w:val="00A07892"/>
    <w:rsid w:val="00A0789F"/>
    <w:rsid w:val="00A078FA"/>
    <w:rsid w:val="00A07903"/>
    <w:rsid w:val="00A079A9"/>
    <w:rsid w:val="00A079AA"/>
    <w:rsid w:val="00A07AA5"/>
    <w:rsid w:val="00A07B13"/>
    <w:rsid w:val="00A07B55"/>
    <w:rsid w:val="00A07B5F"/>
    <w:rsid w:val="00A07B91"/>
    <w:rsid w:val="00A07BFB"/>
    <w:rsid w:val="00A07E4D"/>
    <w:rsid w:val="00A07E58"/>
    <w:rsid w:val="00A07EF5"/>
    <w:rsid w:val="00A10069"/>
    <w:rsid w:val="00A100F0"/>
    <w:rsid w:val="00A10148"/>
    <w:rsid w:val="00A10151"/>
    <w:rsid w:val="00A1016A"/>
    <w:rsid w:val="00A10266"/>
    <w:rsid w:val="00A1028E"/>
    <w:rsid w:val="00A10349"/>
    <w:rsid w:val="00A1036D"/>
    <w:rsid w:val="00A103E5"/>
    <w:rsid w:val="00A1043A"/>
    <w:rsid w:val="00A10530"/>
    <w:rsid w:val="00A105F8"/>
    <w:rsid w:val="00A106A9"/>
    <w:rsid w:val="00A106F6"/>
    <w:rsid w:val="00A10777"/>
    <w:rsid w:val="00A107BE"/>
    <w:rsid w:val="00A10832"/>
    <w:rsid w:val="00A108E8"/>
    <w:rsid w:val="00A108FA"/>
    <w:rsid w:val="00A109D6"/>
    <w:rsid w:val="00A109E9"/>
    <w:rsid w:val="00A10A03"/>
    <w:rsid w:val="00A10A96"/>
    <w:rsid w:val="00A10C07"/>
    <w:rsid w:val="00A10C41"/>
    <w:rsid w:val="00A10D44"/>
    <w:rsid w:val="00A10D5F"/>
    <w:rsid w:val="00A10D62"/>
    <w:rsid w:val="00A10D95"/>
    <w:rsid w:val="00A10D9C"/>
    <w:rsid w:val="00A10E4B"/>
    <w:rsid w:val="00A10E9D"/>
    <w:rsid w:val="00A10F06"/>
    <w:rsid w:val="00A10F31"/>
    <w:rsid w:val="00A10F84"/>
    <w:rsid w:val="00A11038"/>
    <w:rsid w:val="00A1105E"/>
    <w:rsid w:val="00A110B2"/>
    <w:rsid w:val="00A11247"/>
    <w:rsid w:val="00A11288"/>
    <w:rsid w:val="00A112B9"/>
    <w:rsid w:val="00A112F6"/>
    <w:rsid w:val="00A11457"/>
    <w:rsid w:val="00A11465"/>
    <w:rsid w:val="00A11488"/>
    <w:rsid w:val="00A114FC"/>
    <w:rsid w:val="00A115FF"/>
    <w:rsid w:val="00A1166D"/>
    <w:rsid w:val="00A11677"/>
    <w:rsid w:val="00A11678"/>
    <w:rsid w:val="00A1169D"/>
    <w:rsid w:val="00A116F0"/>
    <w:rsid w:val="00A1175B"/>
    <w:rsid w:val="00A117AC"/>
    <w:rsid w:val="00A1186B"/>
    <w:rsid w:val="00A11884"/>
    <w:rsid w:val="00A11ACD"/>
    <w:rsid w:val="00A11B01"/>
    <w:rsid w:val="00A11C60"/>
    <w:rsid w:val="00A11CC3"/>
    <w:rsid w:val="00A11D14"/>
    <w:rsid w:val="00A11DD5"/>
    <w:rsid w:val="00A11DD7"/>
    <w:rsid w:val="00A11E09"/>
    <w:rsid w:val="00A11E93"/>
    <w:rsid w:val="00A11E9B"/>
    <w:rsid w:val="00A120CD"/>
    <w:rsid w:val="00A1215B"/>
    <w:rsid w:val="00A1218C"/>
    <w:rsid w:val="00A12293"/>
    <w:rsid w:val="00A12359"/>
    <w:rsid w:val="00A123E3"/>
    <w:rsid w:val="00A1242D"/>
    <w:rsid w:val="00A12453"/>
    <w:rsid w:val="00A125BE"/>
    <w:rsid w:val="00A125F6"/>
    <w:rsid w:val="00A12697"/>
    <w:rsid w:val="00A126D5"/>
    <w:rsid w:val="00A12829"/>
    <w:rsid w:val="00A12863"/>
    <w:rsid w:val="00A12870"/>
    <w:rsid w:val="00A1287D"/>
    <w:rsid w:val="00A1299F"/>
    <w:rsid w:val="00A12A0D"/>
    <w:rsid w:val="00A12BCF"/>
    <w:rsid w:val="00A12D13"/>
    <w:rsid w:val="00A12D96"/>
    <w:rsid w:val="00A12E17"/>
    <w:rsid w:val="00A12F1D"/>
    <w:rsid w:val="00A12F3C"/>
    <w:rsid w:val="00A13015"/>
    <w:rsid w:val="00A130A1"/>
    <w:rsid w:val="00A13126"/>
    <w:rsid w:val="00A131CC"/>
    <w:rsid w:val="00A131E2"/>
    <w:rsid w:val="00A13233"/>
    <w:rsid w:val="00A13244"/>
    <w:rsid w:val="00A132DA"/>
    <w:rsid w:val="00A1336E"/>
    <w:rsid w:val="00A133C9"/>
    <w:rsid w:val="00A134D5"/>
    <w:rsid w:val="00A1358A"/>
    <w:rsid w:val="00A1359E"/>
    <w:rsid w:val="00A135B0"/>
    <w:rsid w:val="00A135B8"/>
    <w:rsid w:val="00A135CA"/>
    <w:rsid w:val="00A13899"/>
    <w:rsid w:val="00A138D1"/>
    <w:rsid w:val="00A139C8"/>
    <w:rsid w:val="00A139D6"/>
    <w:rsid w:val="00A13A7C"/>
    <w:rsid w:val="00A13B40"/>
    <w:rsid w:val="00A13B7B"/>
    <w:rsid w:val="00A13C57"/>
    <w:rsid w:val="00A13C66"/>
    <w:rsid w:val="00A13CC6"/>
    <w:rsid w:val="00A13CD3"/>
    <w:rsid w:val="00A13CF5"/>
    <w:rsid w:val="00A13CFA"/>
    <w:rsid w:val="00A13D34"/>
    <w:rsid w:val="00A13DE1"/>
    <w:rsid w:val="00A13E1D"/>
    <w:rsid w:val="00A13E8A"/>
    <w:rsid w:val="00A13EBB"/>
    <w:rsid w:val="00A14000"/>
    <w:rsid w:val="00A1402B"/>
    <w:rsid w:val="00A14139"/>
    <w:rsid w:val="00A141CE"/>
    <w:rsid w:val="00A1420B"/>
    <w:rsid w:val="00A1422A"/>
    <w:rsid w:val="00A14297"/>
    <w:rsid w:val="00A14305"/>
    <w:rsid w:val="00A1430E"/>
    <w:rsid w:val="00A14360"/>
    <w:rsid w:val="00A14367"/>
    <w:rsid w:val="00A144BE"/>
    <w:rsid w:val="00A14544"/>
    <w:rsid w:val="00A1454A"/>
    <w:rsid w:val="00A1455A"/>
    <w:rsid w:val="00A145FD"/>
    <w:rsid w:val="00A14606"/>
    <w:rsid w:val="00A14688"/>
    <w:rsid w:val="00A147A3"/>
    <w:rsid w:val="00A147A9"/>
    <w:rsid w:val="00A1486B"/>
    <w:rsid w:val="00A148C7"/>
    <w:rsid w:val="00A148F2"/>
    <w:rsid w:val="00A14906"/>
    <w:rsid w:val="00A1492B"/>
    <w:rsid w:val="00A14A31"/>
    <w:rsid w:val="00A14A48"/>
    <w:rsid w:val="00A14A9A"/>
    <w:rsid w:val="00A14B1A"/>
    <w:rsid w:val="00A14B55"/>
    <w:rsid w:val="00A14CFA"/>
    <w:rsid w:val="00A14D1B"/>
    <w:rsid w:val="00A14DA5"/>
    <w:rsid w:val="00A14DE7"/>
    <w:rsid w:val="00A14E2C"/>
    <w:rsid w:val="00A14E77"/>
    <w:rsid w:val="00A14EC7"/>
    <w:rsid w:val="00A14FFA"/>
    <w:rsid w:val="00A15011"/>
    <w:rsid w:val="00A1507D"/>
    <w:rsid w:val="00A1508E"/>
    <w:rsid w:val="00A15125"/>
    <w:rsid w:val="00A151FE"/>
    <w:rsid w:val="00A152A5"/>
    <w:rsid w:val="00A1533A"/>
    <w:rsid w:val="00A1539E"/>
    <w:rsid w:val="00A153C0"/>
    <w:rsid w:val="00A15442"/>
    <w:rsid w:val="00A15553"/>
    <w:rsid w:val="00A15723"/>
    <w:rsid w:val="00A157EB"/>
    <w:rsid w:val="00A158AB"/>
    <w:rsid w:val="00A158B1"/>
    <w:rsid w:val="00A15916"/>
    <w:rsid w:val="00A15987"/>
    <w:rsid w:val="00A15995"/>
    <w:rsid w:val="00A15BA8"/>
    <w:rsid w:val="00A15BAA"/>
    <w:rsid w:val="00A15BDA"/>
    <w:rsid w:val="00A15CEF"/>
    <w:rsid w:val="00A15D77"/>
    <w:rsid w:val="00A15E04"/>
    <w:rsid w:val="00A15E3D"/>
    <w:rsid w:val="00A15FBD"/>
    <w:rsid w:val="00A160B5"/>
    <w:rsid w:val="00A160C6"/>
    <w:rsid w:val="00A160EF"/>
    <w:rsid w:val="00A16199"/>
    <w:rsid w:val="00A161B0"/>
    <w:rsid w:val="00A162CC"/>
    <w:rsid w:val="00A163CD"/>
    <w:rsid w:val="00A163E2"/>
    <w:rsid w:val="00A164DF"/>
    <w:rsid w:val="00A16538"/>
    <w:rsid w:val="00A166DA"/>
    <w:rsid w:val="00A166E9"/>
    <w:rsid w:val="00A1676B"/>
    <w:rsid w:val="00A167A4"/>
    <w:rsid w:val="00A167D8"/>
    <w:rsid w:val="00A167E5"/>
    <w:rsid w:val="00A1682B"/>
    <w:rsid w:val="00A1682D"/>
    <w:rsid w:val="00A16870"/>
    <w:rsid w:val="00A168D3"/>
    <w:rsid w:val="00A16B02"/>
    <w:rsid w:val="00A16BF5"/>
    <w:rsid w:val="00A16C4C"/>
    <w:rsid w:val="00A16C73"/>
    <w:rsid w:val="00A16CBD"/>
    <w:rsid w:val="00A16CBE"/>
    <w:rsid w:val="00A16CC9"/>
    <w:rsid w:val="00A16CD2"/>
    <w:rsid w:val="00A16E83"/>
    <w:rsid w:val="00A16FA7"/>
    <w:rsid w:val="00A16FAE"/>
    <w:rsid w:val="00A1712B"/>
    <w:rsid w:val="00A17199"/>
    <w:rsid w:val="00A172EB"/>
    <w:rsid w:val="00A17386"/>
    <w:rsid w:val="00A173EA"/>
    <w:rsid w:val="00A173EF"/>
    <w:rsid w:val="00A1746F"/>
    <w:rsid w:val="00A17499"/>
    <w:rsid w:val="00A1750F"/>
    <w:rsid w:val="00A17510"/>
    <w:rsid w:val="00A17598"/>
    <w:rsid w:val="00A1761A"/>
    <w:rsid w:val="00A176A1"/>
    <w:rsid w:val="00A1772B"/>
    <w:rsid w:val="00A177D8"/>
    <w:rsid w:val="00A178BA"/>
    <w:rsid w:val="00A178F6"/>
    <w:rsid w:val="00A17B16"/>
    <w:rsid w:val="00A17B38"/>
    <w:rsid w:val="00A17BB1"/>
    <w:rsid w:val="00A17C9D"/>
    <w:rsid w:val="00A17CAA"/>
    <w:rsid w:val="00A17D0B"/>
    <w:rsid w:val="00A17D45"/>
    <w:rsid w:val="00A17E2C"/>
    <w:rsid w:val="00A17EEC"/>
    <w:rsid w:val="00A17FD2"/>
    <w:rsid w:val="00A20042"/>
    <w:rsid w:val="00A2009D"/>
    <w:rsid w:val="00A20250"/>
    <w:rsid w:val="00A2029F"/>
    <w:rsid w:val="00A202A8"/>
    <w:rsid w:val="00A2034D"/>
    <w:rsid w:val="00A204B2"/>
    <w:rsid w:val="00A204C6"/>
    <w:rsid w:val="00A20569"/>
    <w:rsid w:val="00A205B8"/>
    <w:rsid w:val="00A205DA"/>
    <w:rsid w:val="00A2063D"/>
    <w:rsid w:val="00A20649"/>
    <w:rsid w:val="00A20673"/>
    <w:rsid w:val="00A207E1"/>
    <w:rsid w:val="00A20822"/>
    <w:rsid w:val="00A20842"/>
    <w:rsid w:val="00A20850"/>
    <w:rsid w:val="00A208A0"/>
    <w:rsid w:val="00A2091A"/>
    <w:rsid w:val="00A20A1B"/>
    <w:rsid w:val="00A20A7D"/>
    <w:rsid w:val="00A20AB5"/>
    <w:rsid w:val="00A20AF3"/>
    <w:rsid w:val="00A20BB4"/>
    <w:rsid w:val="00A20BC3"/>
    <w:rsid w:val="00A20C10"/>
    <w:rsid w:val="00A20C37"/>
    <w:rsid w:val="00A20C45"/>
    <w:rsid w:val="00A20DC2"/>
    <w:rsid w:val="00A20E43"/>
    <w:rsid w:val="00A20E7C"/>
    <w:rsid w:val="00A20E9C"/>
    <w:rsid w:val="00A20EAD"/>
    <w:rsid w:val="00A20F05"/>
    <w:rsid w:val="00A20F6E"/>
    <w:rsid w:val="00A20F7B"/>
    <w:rsid w:val="00A20F7F"/>
    <w:rsid w:val="00A20FE9"/>
    <w:rsid w:val="00A21041"/>
    <w:rsid w:val="00A21093"/>
    <w:rsid w:val="00A211DA"/>
    <w:rsid w:val="00A211E9"/>
    <w:rsid w:val="00A21201"/>
    <w:rsid w:val="00A21331"/>
    <w:rsid w:val="00A21338"/>
    <w:rsid w:val="00A213E3"/>
    <w:rsid w:val="00A21411"/>
    <w:rsid w:val="00A2143A"/>
    <w:rsid w:val="00A21446"/>
    <w:rsid w:val="00A214D0"/>
    <w:rsid w:val="00A21542"/>
    <w:rsid w:val="00A2156B"/>
    <w:rsid w:val="00A216A1"/>
    <w:rsid w:val="00A21784"/>
    <w:rsid w:val="00A21790"/>
    <w:rsid w:val="00A21797"/>
    <w:rsid w:val="00A2183E"/>
    <w:rsid w:val="00A2185C"/>
    <w:rsid w:val="00A21A5C"/>
    <w:rsid w:val="00A21B33"/>
    <w:rsid w:val="00A21B34"/>
    <w:rsid w:val="00A21B9F"/>
    <w:rsid w:val="00A21C2E"/>
    <w:rsid w:val="00A21C88"/>
    <w:rsid w:val="00A21CB3"/>
    <w:rsid w:val="00A21CDD"/>
    <w:rsid w:val="00A21E68"/>
    <w:rsid w:val="00A21EF6"/>
    <w:rsid w:val="00A21F31"/>
    <w:rsid w:val="00A21F86"/>
    <w:rsid w:val="00A2203E"/>
    <w:rsid w:val="00A22056"/>
    <w:rsid w:val="00A22093"/>
    <w:rsid w:val="00A2212F"/>
    <w:rsid w:val="00A221E5"/>
    <w:rsid w:val="00A22200"/>
    <w:rsid w:val="00A22233"/>
    <w:rsid w:val="00A2224A"/>
    <w:rsid w:val="00A22445"/>
    <w:rsid w:val="00A22554"/>
    <w:rsid w:val="00A22596"/>
    <w:rsid w:val="00A22683"/>
    <w:rsid w:val="00A226F9"/>
    <w:rsid w:val="00A227C6"/>
    <w:rsid w:val="00A22817"/>
    <w:rsid w:val="00A22827"/>
    <w:rsid w:val="00A228F0"/>
    <w:rsid w:val="00A2295E"/>
    <w:rsid w:val="00A229CD"/>
    <w:rsid w:val="00A22AB4"/>
    <w:rsid w:val="00A22AC2"/>
    <w:rsid w:val="00A22B24"/>
    <w:rsid w:val="00A22BDE"/>
    <w:rsid w:val="00A22C14"/>
    <w:rsid w:val="00A22C28"/>
    <w:rsid w:val="00A22C52"/>
    <w:rsid w:val="00A22CA1"/>
    <w:rsid w:val="00A22D14"/>
    <w:rsid w:val="00A22D6C"/>
    <w:rsid w:val="00A22D83"/>
    <w:rsid w:val="00A22E86"/>
    <w:rsid w:val="00A22EC1"/>
    <w:rsid w:val="00A22EE3"/>
    <w:rsid w:val="00A23033"/>
    <w:rsid w:val="00A2308A"/>
    <w:rsid w:val="00A230EE"/>
    <w:rsid w:val="00A231A1"/>
    <w:rsid w:val="00A231F1"/>
    <w:rsid w:val="00A23228"/>
    <w:rsid w:val="00A2324D"/>
    <w:rsid w:val="00A2328A"/>
    <w:rsid w:val="00A2328E"/>
    <w:rsid w:val="00A23398"/>
    <w:rsid w:val="00A2347F"/>
    <w:rsid w:val="00A23493"/>
    <w:rsid w:val="00A234E7"/>
    <w:rsid w:val="00A2350A"/>
    <w:rsid w:val="00A2351E"/>
    <w:rsid w:val="00A23597"/>
    <w:rsid w:val="00A2359D"/>
    <w:rsid w:val="00A2360A"/>
    <w:rsid w:val="00A2368D"/>
    <w:rsid w:val="00A236BD"/>
    <w:rsid w:val="00A23746"/>
    <w:rsid w:val="00A2376B"/>
    <w:rsid w:val="00A237DF"/>
    <w:rsid w:val="00A23877"/>
    <w:rsid w:val="00A238F9"/>
    <w:rsid w:val="00A238FE"/>
    <w:rsid w:val="00A23934"/>
    <w:rsid w:val="00A23A12"/>
    <w:rsid w:val="00A23A15"/>
    <w:rsid w:val="00A23B7A"/>
    <w:rsid w:val="00A23D01"/>
    <w:rsid w:val="00A23D2C"/>
    <w:rsid w:val="00A23DC4"/>
    <w:rsid w:val="00A23DC7"/>
    <w:rsid w:val="00A23E04"/>
    <w:rsid w:val="00A23E6F"/>
    <w:rsid w:val="00A23E8A"/>
    <w:rsid w:val="00A23F19"/>
    <w:rsid w:val="00A23F95"/>
    <w:rsid w:val="00A2415E"/>
    <w:rsid w:val="00A241C9"/>
    <w:rsid w:val="00A242C5"/>
    <w:rsid w:val="00A2436F"/>
    <w:rsid w:val="00A24382"/>
    <w:rsid w:val="00A24406"/>
    <w:rsid w:val="00A24435"/>
    <w:rsid w:val="00A244A0"/>
    <w:rsid w:val="00A245F9"/>
    <w:rsid w:val="00A24608"/>
    <w:rsid w:val="00A24650"/>
    <w:rsid w:val="00A24661"/>
    <w:rsid w:val="00A247AD"/>
    <w:rsid w:val="00A247B0"/>
    <w:rsid w:val="00A24801"/>
    <w:rsid w:val="00A2489F"/>
    <w:rsid w:val="00A24921"/>
    <w:rsid w:val="00A249CB"/>
    <w:rsid w:val="00A249E8"/>
    <w:rsid w:val="00A24A60"/>
    <w:rsid w:val="00A24AD8"/>
    <w:rsid w:val="00A24ADB"/>
    <w:rsid w:val="00A24AFF"/>
    <w:rsid w:val="00A24C2B"/>
    <w:rsid w:val="00A24C37"/>
    <w:rsid w:val="00A24C43"/>
    <w:rsid w:val="00A24D2A"/>
    <w:rsid w:val="00A24D5D"/>
    <w:rsid w:val="00A24ED1"/>
    <w:rsid w:val="00A2509A"/>
    <w:rsid w:val="00A25214"/>
    <w:rsid w:val="00A25226"/>
    <w:rsid w:val="00A252BE"/>
    <w:rsid w:val="00A252D6"/>
    <w:rsid w:val="00A253E7"/>
    <w:rsid w:val="00A25403"/>
    <w:rsid w:val="00A25486"/>
    <w:rsid w:val="00A254BB"/>
    <w:rsid w:val="00A25584"/>
    <w:rsid w:val="00A25785"/>
    <w:rsid w:val="00A258D2"/>
    <w:rsid w:val="00A25903"/>
    <w:rsid w:val="00A25956"/>
    <w:rsid w:val="00A259AB"/>
    <w:rsid w:val="00A25A1A"/>
    <w:rsid w:val="00A25A59"/>
    <w:rsid w:val="00A25B2C"/>
    <w:rsid w:val="00A25B57"/>
    <w:rsid w:val="00A25B78"/>
    <w:rsid w:val="00A25BEB"/>
    <w:rsid w:val="00A25C2E"/>
    <w:rsid w:val="00A25C6A"/>
    <w:rsid w:val="00A25C8E"/>
    <w:rsid w:val="00A25D29"/>
    <w:rsid w:val="00A25D7F"/>
    <w:rsid w:val="00A25D9F"/>
    <w:rsid w:val="00A25DC0"/>
    <w:rsid w:val="00A25F37"/>
    <w:rsid w:val="00A25F3D"/>
    <w:rsid w:val="00A25F6B"/>
    <w:rsid w:val="00A26025"/>
    <w:rsid w:val="00A2609F"/>
    <w:rsid w:val="00A260C2"/>
    <w:rsid w:val="00A260CC"/>
    <w:rsid w:val="00A26235"/>
    <w:rsid w:val="00A26237"/>
    <w:rsid w:val="00A26245"/>
    <w:rsid w:val="00A26274"/>
    <w:rsid w:val="00A26284"/>
    <w:rsid w:val="00A26327"/>
    <w:rsid w:val="00A26437"/>
    <w:rsid w:val="00A26479"/>
    <w:rsid w:val="00A264D7"/>
    <w:rsid w:val="00A26508"/>
    <w:rsid w:val="00A2656A"/>
    <w:rsid w:val="00A26640"/>
    <w:rsid w:val="00A26749"/>
    <w:rsid w:val="00A26753"/>
    <w:rsid w:val="00A2679A"/>
    <w:rsid w:val="00A26840"/>
    <w:rsid w:val="00A2687B"/>
    <w:rsid w:val="00A2688B"/>
    <w:rsid w:val="00A26892"/>
    <w:rsid w:val="00A268AA"/>
    <w:rsid w:val="00A268AC"/>
    <w:rsid w:val="00A269DF"/>
    <w:rsid w:val="00A26AA2"/>
    <w:rsid w:val="00A26B29"/>
    <w:rsid w:val="00A26B42"/>
    <w:rsid w:val="00A26C9C"/>
    <w:rsid w:val="00A26E2E"/>
    <w:rsid w:val="00A26F5E"/>
    <w:rsid w:val="00A26FF3"/>
    <w:rsid w:val="00A2702F"/>
    <w:rsid w:val="00A27077"/>
    <w:rsid w:val="00A2708A"/>
    <w:rsid w:val="00A2708F"/>
    <w:rsid w:val="00A2709D"/>
    <w:rsid w:val="00A270B1"/>
    <w:rsid w:val="00A2711C"/>
    <w:rsid w:val="00A271DE"/>
    <w:rsid w:val="00A2723A"/>
    <w:rsid w:val="00A2729B"/>
    <w:rsid w:val="00A272D5"/>
    <w:rsid w:val="00A272F9"/>
    <w:rsid w:val="00A2730D"/>
    <w:rsid w:val="00A27403"/>
    <w:rsid w:val="00A274C2"/>
    <w:rsid w:val="00A27539"/>
    <w:rsid w:val="00A27544"/>
    <w:rsid w:val="00A275DC"/>
    <w:rsid w:val="00A276CD"/>
    <w:rsid w:val="00A27773"/>
    <w:rsid w:val="00A2785A"/>
    <w:rsid w:val="00A27919"/>
    <w:rsid w:val="00A27938"/>
    <w:rsid w:val="00A27A7D"/>
    <w:rsid w:val="00A27A82"/>
    <w:rsid w:val="00A27B0E"/>
    <w:rsid w:val="00A27BB3"/>
    <w:rsid w:val="00A27C54"/>
    <w:rsid w:val="00A27C87"/>
    <w:rsid w:val="00A27D13"/>
    <w:rsid w:val="00A27DE4"/>
    <w:rsid w:val="00A27E4F"/>
    <w:rsid w:val="00A27EB6"/>
    <w:rsid w:val="00A27F25"/>
    <w:rsid w:val="00A27F58"/>
    <w:rsid w:val="00A27F60"/>
    <w:rsid w:val="00A27FAD"/>
    <w:rsid w:val="00A27FBA"/>
    <w:rsid w:val="00A3019C"/>
    <w:rsid w:val="00A301C9"/>
    <w:rsid w:val="00A30241"/>
    <w:rsid w:val="00A3046A"/>
    <w:rsid w:val="00A30580"/>
    <w:rsid w:val="00A3071A"/>
    <w:rsid w:val="00A30875"/>
    <w:rsid w:val="00A30911"/>
    <w:rsid w:val="00A3092E"/>
    <w:rsid w:val="00A30939"/>
    <w:rsid w:val="00A30953"/>
    <w:rsid w:val="00A30A02"/>
    <w:rsid w:val="00A30A81"/>
    <w:rsid w:val="00A30A84"/>
    <w:rsid w:val="00A30AB5"/>
    <w:rsid w:val="00A30AF0"/>
    <w:rsid w:val="00A30D76"/>
    <w:rsid w:val="00A30DF0"/>
    <w:rsid w:val="00A30E3E"/>
    <w:rsid w:val="00A30EFF"/>
    <w:rsid w:val="00A30F04"/>
    <w:rsid w:val="00A30F0E"/>
    <w:rsid w:val="00A30F44"/>
    <w:rsid w:val="00A30F56"/>
    <w:rsid w:val="00A30FE6"/>
    <w:rsid w:val="00A31002"/>
    <w:rsid w:val="00A3104D"/>
    <w:rsid w:val="00A3107C"/>
    <w:rsid w:val="00A31088"/>
    <w:rsid w:val="00A3117C"/>
    <w:rsid w:val="00A311DC"/>
    <w:rsid w:val="00A311FB"/>
    <w:rsid w:val="00A31223"/>
    <w:rsid w:val="00A312CD"/>
    <w:rsid w:val="00A312D1"/>
    <w:rsid w:val="00A312EC"/>
    <w:rsid w:val="00A313E9"/>
    <w:rsid w:val="00A313FC"/>
    <w:rsid w:val="00A314E6"/>
    <w:rsid w:val="00A314EA"/>
    <w:rsid w:val="00A314FB"/>
    <w:rsid w:val="00A3158F"/>
    <w:rsid w:val="00A315B9"/>
    <w:rsid w:val="00A3160C"/>
    <w:rsid w:val="00A31768"/>
    <w:rsid w:val="00A31862"/>
    <w:rsid w:val="00A318AA"/>
    <w:rsid w:val="00A318ED"/>
    <w:rsid w:val="00A31A0F"/>
    <w:rsid w:val="00A31A2D"/>
    <w:rsid w:val="00A31AAF"/>
    <w:rsid w:val="00A31B0D"/>
    <w:rsid w:val="00A31BA6"/>
    <w:rsid w:val="00A31C68"/>
    <w:rsid w:val="00A31E34"/>
    <w:rsid w:val="00A31E9A"/>
    <w:rsid w:val="00A31F30"/>
    <w:rsid w:val="00A3207D"/>
    <w:rsid w:val="00A3213A"/>
    <w:rsid w:val="00A321A3"/>
    <w:rsid w:val="00A321E0"/>
    <w:rsid w:val="00A32261"/>
    <w:rsid w:val="00A3226B"/>
    <w:rsid w:val="00A32316"/>
    <w:rsid w:val="00A323AC"/>
    <w:rsid w:val="00A32494"/>
    <w:rsid w:val="00A32495"/>
    <w:rsid w:val="00A324A6"/>
    <w:rsid w:val="00A324CE"/>
    <w:rsid w:val="00A324E0"/>
    <w:rsid w:val="00A324FF"/>
    <w:rsid w:val="00A32521"/>
    <w:rsid w:val="00A326AE"/>
    <w:rsid w:val="00A326DC"/>
    <w:rsid w:val="00A32811"/>
    <w:rsid w:val="00A32863"/>
    <w:rsid w:val="00A32878"/>
    <w:rsid w:val="00A32898"/>
    <w:rsid w:val="00A32931"/>
    <w:rsid w:val="00A32989"/>
    <w:rsid w:val="00A329A3"/>
    <w:rsid w:val="00A329D1"/>
    <w:rsid w:val="00A329FC"/>
    <w:rsid w:val="00A32A79"/>
    <w:rsid w:val="00A32B4C"/>
    <w:rsid w:val="00A32B7A"/>
    <w:rsid w:val="00A32BE0"/>
    <w:rsid w:val="00A32CC6"/>
    <w:rsid w:val="00A32CE5"/>
    <w:rsid w:val="00A32CF9"/>
    <w:rsid w:val="00A32D42"/>
    <w:rsid w:val="00A32D5D"/>
    <w:rsid w:val="00A32DC0"/>
    <w:rsid w:val="00A32E5C"/>
    <w:rsid w:val="00A32E82"/>
    <w:rsid w:val="00A32F85"/>
    <w:rsid w:val="00A32F89"/>
    <w:rsid w:val="00A32FA1"/>
    <w:rsid w:val="00A33026"/>
    <w:rsid w:val="00A33083"/>
    <w:rsid w:val="00A33114"/>
    <w:rsid w:val="00A3316C"/>
    <w:rsid w:val="00A3346B"/>
    <w:rsid w:val="00A334F1"/>
    <w:rsid w:val="00A334F5"/>
    <w:rsid w:val="00A335B3"/>
    <w:rsid w:val="00A337B9"/>
    <w:rsid w:val="00A337E0"/>
    <w:rsid w:val="00A3382F"/>
    <w:rsid w:val="00A338C1"/>
    <w:rsid w:val="00A33938"/>
    <w:rsid w:val="00A3395D"/>
    <w:rsid w:val="00A33A13"/>
    <w:rsid w:val="00A33ABB"/>
    <w:rsid w:val="00A33B0F"/>
    <w:rsid w:val="00A33B3C"/>
    <w:rsid w:val="00A33D18"/>
    <w:rsid w:val="00A33D4E"/>
    <w:rsid w:val="00A33EC6"/>
    <w:rsid w:val="00A34034"/>
    <w:rsid w:val="00A340CE"/>
    <w:rsid w:val="00A34156"/>
    <w:rsid w:val="00A3420B"/>
    <w:rsid w:val="00A34295"/>
    <w:rsid w:val="00A342EC"/>
    <w:rsid w:val="00A3439E"/>
    <w:rsid w:val="00A3439F"/>
    <w:rsid w:val="00A343E1"/>
    <w:rsid w:val="00A344B1"/>
    <w:rsid w:val="00A344F9"/>
    <w:rsid w:val="00A345D7"/>
    <w:rsid w:val="00A3464A"/>
    <w:rsid w:val="00A346AC"/>
    <w:rsid w:val="00A346B4"/>
    <w:rsid w:val="00A34749"/>
    <w:rsid w:val="00A3474C"/>
    <w:rsid w:val="00A347FD"/>
    <w:rsid w:val="00A3483D"/>
    <w:rsid w:val="00A348F0"/>
    <w:rsid w:val="00A34931"/>
    <w:rsid w:val="00A3496E"/>
    <w:rsid w:val="00A34A75"/>
    <w:rsid w:val="00A34AC0"/>
    <w:rsid w:val="00A34B99"/>
    <w:rsid w:val="00A34BE0"/>
    <w:rsid w:val="00A34BE1"/>
    <w:rsid w:val="00A34C9D"/>
    <w:rsid w:val="00A34CF3"/>
    <w:rsid w:val="00A34D1B"/>
    <w:rsid w:val="00A34D30"/>
    <w:rsid w:val="00A34E30"/>
    <w:rsid w:val="00A34FFB"/>
    <w:rsid w:val="00A35002"/>
    <w:rsid w:val="00A3505D"/>
    <w:rsid w:val="00A351D5"/>
    <w:rsid w:val="00A351FE"/>
    <w:rsid w:val="00A3531F"/>
    <w:rsid w:val="00A35337"/>
    <w:rsid w:val="00A3540B"/>
    <w:rsid w:val="00A35484"/>
    <w:rsid w:val="00A354C3"/>
    <w:rsid w:val="00A35520"/>
    <w:rsid w:val="00A35521"/>
    <w:rsid w:val="00A355C4"/>
    <w:rsid w:val="00A355F1"/>
    <w:rsid w:val="00A3562C"/>
    <w:rsid w:val="00A35716"/>
    <w:rsid w:val="00A357D3"/>
    <w:rsid w:val="00A35837"/>
    <w:rsid w:val="00A35838"/>
    <w:rsid w:val="00A3589E"/>
    <w:rsid w:val="00A358AB"/>
    <w:rsid w:val="00A358F1"/>
    <w:rsid w:val="00A35986"/>
    <w:rsid w:val="00A359A4"/>
    <w:rsid w:val="00A359AD"/>
    <w:rsid w:val="00A35A17"/>
    <w:rsid w:val="00A35A57"/>
    <w:rsid w:val="00A35C4B"/>
    <w:rsid w:val="00A35C9F"/>
    <w:rsid w:val="00A35D0E"/>
    <w:rsid w:val="00A35DFE"/>
    <w:rsid w:val="00A35E1F"/>
    <w:rsid w:val="00A35F42"/>
    <w:rsid w:val="00A35F9D"/>
    <w:rsid w:val="00A35FAD"/>
    <w:rsid w:val="00A35FE6"/>
    <w:rsid w:val="00A361DA"/>
    <w:rsid w:val="00A36203"/>
    <w:rsid w:val="00A36205"/>
    <w:rsid w:val="00A362B2"/>
    <w:rsid w:val="00A36385"/>
    <w:rsid w:val="00A363CD"/>
    <w:rsid w:val="00A363D8"/>
    <w:rsid w:val="00A363DA"/>
    <w:rsid w:val="00A36544"/>
    <w:rsid w:val="00A36730"/>
    <w:rsid w:val="00A367AD"/>
    <w:rsid w:val="00A36822"/>
    <w:rsid w:val="00A36836"/>
    <w:rsid w:val="00A36880"/>
    <w:rsid w:val="00A3690B"/>
    <w:rsid w:val="00A3698E"/>
    <w:rsid w:val="00A369D4"/>
    <w:rsid w:val="00A36A6A"/>
    <w:rsid w:val="00A36A8A"/>
    <w:rsid w:val="00A36C72"/>
    <w:rsid w:val="00A36C83"/>
    <w:rsid w:val="00A36D05"/>
    <w:rsid w:val="00A36D36"/>
    <w:rsid w:val="00A36D9B"/>
    <w:rsid w:val="00A36E40"/>
    <w:rsid w:val="00A36F35"/>
    <w:rsid w:val="00A36F38"/>
    <w:rsid w:val="00A37068"/>
    <w:rsid w:val="00A370C2"/>
    <w:rsid w:val="00A3716B"/>
    <w:rsid w:val="00A37281"/>
    <w:rsid w:val="00A372C4"/>
    <w:rsid w:val="00A372DE"/>
    <w:rsid w:val="00A373E3"/>
    <w:rsid w:val="00A3752E"/>
    <w:rsid w:val="00A37560"/>
    <w:rsid w:val="00A375B5"/>
    <w:rsid w:val="00A37687"/>
    <w:rsid w:val="00A37707"/>
    <w:rsid w:val="00A3770D"/>
    <w:rsid w:val="00A37796"/>
    <w:rsid w:val="00A378B5"/>
    <w:rsid w:val="00A37978"/>
    <w:rsid w:val="00A3799E"/>
    <w:rsid w:val="00A37A0B"/>
    <w:rsid w:val="00A37A4E"/>
    <w:rsid w:val="00A37B61"/>
    <w:rsid w:val="00A37C22"/>
    <w:rsid w:val="00A37C51"/>
    <w:rsid w:val="00A37E19"/>
    <w:rsid w:val="00A37F88"/>
    <w:rsid w:val="00A37F8A"/>
    <w:rsid w:val="00A40186"/>
    <w:rsid w:val="00A401B1"/>
    <w:rsid w:val="00A401BC"/>
    <w:rsid w:val="00A401D3"/>
    <w:rsid w:val="00A402B6"/>
    <w:rsid w:val="00A40310"/>
    <w:rsid w:val="00A40427"/>
    <w:rsid w:val="00A40551"/>
    <w:rsid w:val="00A4058C"/>
    <w:rsid w:val="00A406FF"/>
    <w:rsid w:val="00A4091B"/>
    <w:rsid w:val="00A40975"/>
    <w:rsid w:val="00A40988"/>
    <w:rsid w:val="00A409CF"/>
    <w:rsid w:val="00A40A44"/>
    <w:rsid w:val="00A40A5E"/>
    <w:rsid w:val="00A40B19"/>
    <w:rsid w:val="00A40C0A"/>
    <w:rsid w:val="00A40D6B"/>
    <w:rsid w:val="00A40DD4"/>
    <w:rsid w:val="00A40EE4"/>
    <w:rsid w:val="00A40F24"/>
    <w:rsid w:val="00A40F73"/>
    <w:rsid w:val="00A40FE9"/>
    <w:rsid w:val="00A4100B"/>
    <w:rsid w:val="00A410C6"/>
    <w:rsid w:val="00A41119"/>
    <w:rsid w:val="00A411CA"/>
    <w:rsid w:val="00A41246"/>
    <w:rsid w:val="00A41270"/>
    <w:rsid w:val="00A41331"/>
    <w:rsid w:val="00A4137E"/>
    <w:rsid w:val="00A41426"/>
    <w:rsid w:val="00A414E7"/>
    <w:rsid w:val="00A415A8"/>
    <w:rsid w:val="00A416B2"/>
    <w:rsid w:val="00A416BF"/>
    <w:rsid w:val="00A416F9"/>
    <w:rsid w:val="00A41908"/>
    <w:rsid w:val="00A4194C"/>
    <w:rsid w:val="00A419AA"/>
    <w:rsid w:val="00A419CD"/>
    <w:rsid w:val="00A41A42"/>
    <w:rsid w:val="00A41A83"/>
    <w:rsid w:val="00A41AAA"/>
    <w:rsid w:val="00A41C85"/>
    <w:rsid w:val="00A41D0C"/>
    <w:rsid w:val="00A41DCD"/>
    <w:rsid w:val="00A41EBF"/>
    <w:rsid w:val="00A41F35"/>
    <w:rsid w:val="00A421A5"/>
    <w:rsid w:val="00A421AA"/>
    <w:rsid w:val="00A42265"/>
    <w:rsid w:val="00A4238B"/>
    <w:rsid w:val="00A423E3"/>
    <w:rsid w:val="00A42418"/>
    <w:rsid w:val="00A424DF"/>
    <w:rsid w:val="00A425E4"/>
    <w:rsid w:val="00A42629"/>
    <w:rsid w:val="00A42647"/>
    <w:rsid w:val="00A426F5"/>
    <w:rsid w:val="00A427FD"/>
    <w:rsid w:val="00A42817"/>
    <w:rsid w:val="00A42867"/>
    <w:rsid w:val="00A428F6"/>
    <w:rsid w:val="00A429D4"/>
    <w:rsid w:val="00A42AC2"/>
    <w:rsid w:val="00A42B5D"/>
    <w:rsid w:val="00A42B5F"/>
    <w:rsid w:val="00A42BEB"/>
    <w:rsid w:val="00A42CD2"/>
    <w:rsid w:val="00A42D02"/>
    <w:rsid w:val="00A42D2D"/>
    <w:rsid w:val="00A42D34"/>
    <w:rsid w:val="00A42D36"/>
    <w:rsid w:val="00A42E37"/>
    <w:rsid w:val="00A42E72"/>
    <w:rsid w:val="00A42FAA"/>
    <w:rsid w:val="00A42FBD"/>
    <w:rsid w:val="00A42FCD"/>
    <w:rsid w:val="00A43119"/>
    <w:rsid w:val="00A4311B"/>
    <w:rsid w:val="00A431AD"/>
    <w:rsid w:val="00A431E7"/>
    <w:rsid w:val="00A43253"/>
    <w:rsid w:val="00A43278"/>
    <w:rsid w:val="00A43300"/>
    <w:rsid w:val="00A4331A"/>
    <w:rsid w:val="00A43333"/>
    <w:rsid w:val="00A4339A"/>
    <w:rsid w:val="00A4346E"/>
    <w:rsid w:val="00A4347A"/>
    <w:rsid w:val="00A435E7"/>
    <w:rsid w:val="00A43623"/>
    <w:rsid w:val="00A436B1"/>
    <w:rsid w:val="00A4383E"/>
    <w:rsid w:val="00A4398F"/>
    <w:rsid w:val="00A43B2F"/>
    <w:rsid w:val="00A43B67"/>
    <w:rsid w:val="00A43C84"/>
    <w:rsid w:val="00A43CFF"/>
    <w:rsid w:val="00A43D76"/>
    <w:rsid w:val="00A43DA5"/>
    <w:rsid w:val="00A43E14"/>
    <w:rsid w:val="00A43E44"/>
    <w:rsid w:val="00A43F2E"/>
    <w:rsid w:val="00A43FAE"/>
    <w:rsid w:val="00A44024"/>
    <w:rsid w:val="00A4413E"/>
    <w:rsid w:val="00A4414F"/>
    <w:rsid w:val="00A44153"/>
    <w:rsid w:val="00A441AD"/>
    <w:rsid w:val="00A441B4"/>
    <w:rsid w:val="00A4439C"/>
    <w:rsid w:val="00A444DA"/>
    <w:rsid w:val="00A444EC"/>
    <w:rsid w:val="00A4452F"/>
    <w:rsid w:val="00A44552"/>
    <w:rsid w:val="00A4458A"/>
    <w:rsid w:val="00A445A5"/>
    <w:rsid w:val="00A44603"/>
    <w:rsid w:val="00A4466F"/>
    <w:rsid w:val="00A447D9"/>
    <w:rsid w:val="00A447F0"/>
    <w:rsid w:val="00A4481A"/>
    <w:rsid w:val="00A44847"/>
    <w:rsid w:val="00A44872"/>
    <w:rsid w:val="00A44898"/>
    <w:rsid w:val="00A449E3"/>
    <w:rsid w:val="00A44A21"/>
    <w:rsid w:val="00A44A8E"/>
    <w:rsid w:val="00A44B58"/>
    <w:rsid w:val="00A44B7C"/>
    <w:rsid w:val="00A44D79"/>
    <w:rsid w:val="00A44D99"/>
    <w:rsid w:val="00A44E14"/>
    <w:rsid w:val="00A44E35"/>
    <w:rsid w:val="00A44E44"/>
    <w:rsid w:val="00A44E4B"/>
    <w:rsid w:val="00A44F7D"/>
    <w:rsid w:val="00A44F98"/>
    <w:rsid w:val="00A44FFF"/>
    <w:rsid w:val="00A45117"/>
    <w:rsid w:val="00A4511C"/>
    <w:rsid w:val="00A451AA"/>
    <w:rsid w:val="00A451BE"/>
    <w:rsid w:val="00A4531C"/>
    <w:rsid w:val="00A45438"/>
    <w:rsid w:val="00A454C2"/>
    <w:rsid w:val="00A454CD"/>
    <w:rsid w:val="00A454E9"/>
    <w:rsid w:val="00A45522"/>
    <w:rsid w:val="00A4553E"/>
    <w:rsid w:val="00A455EE"/>
    <w:rsid w:val="00A456B9"/>
    <w:rsid w:val="00A456C9"/>
    <w:rsid w:val="00A4574E"/>
    <w:rsid w:val="00A4588A"/>
    <w:rsid w:val="00A4595E"/>
    <w:rsid w:val="00A459A2"/>
    <w:rsid w:val="00A45A43"/>
    <w:rsid w:val="00A45A9F"/>
    <w:rsid w:val="00A45AF5"/>
    <w:rsid w:val="00A45AFD"/>
    <w:rsid w:val="00A45B4D"/>
    <w:rsid w:val="00A45B65"/>
    <w:rsid w:val="00A45D0B"/>
    <w:rsid w:val="00A45DDC"/>
    <w:rsid w:val="00A45DFF"/>
    <w:rsid w:val="00A45E63"/>
    <w:rsid w:val="00A45E8A"/>
    <w:rsid w:val="00A4619E"/>
    <w:rsid w:val="00A461CE"/>
    <w:rsid w:val="00A4622D"/>
    <w:rsid w:val="00A46275"/>
    <w:rsid w:val="00A4630E"/>
    <w:rsid w:val="00A4638B"/>
    <w:rsid w:val="00A463E4"/>
    <w:rsid w:val="00A46451"/>
    <w:rsid w:val="00A465E2"/>
    <w:rsid w:val="00A465FA"/>
    <w:rsid w:val="00A4663D"/>
    <w:rsid w:val="00A46665"/>
    <w:rsid w:val="00A467CA"/>
    <w:rsid w:val="00A469B8"/>
    <w:rsid w:val="00A469F8"/>
    <w:rsid w:val="00A46A86"/>
    <w:rsid w:val="00A46A8C"/>
    <w:rsid w:val="00A46A8F"/>
    <w:rsid w:val="00A46B39"/>
    <w:rsid w:val="00A46BD8"/>
    <w:rsid w:val="00A46D16"/>
    <w:rsid w:val="00A46D2A"/>
    <w:rsid w:val="00A46D43"/>
    <w:rsid w:val="00A46DFF"/>
    <w:rsid w:val="00A46E29"/>
    <w:rsid w:val="00A46EAB"/>
    <w:rsid w:val="00A46F06"/>
    <w:rsid w:val="00A46F23"/>
    <w:rsid w:val="00A47010"/>
    <w:rsid w:val="00A47012"/>
    <w:rsid w:val="00A47044"/>
    <w:rsid w:val="00A47115"/>
    <w:rsid w:val="00A4721C"/>
    <w:rsid w:val="00A472A5"/>
    <w:rsid w:val="00A47361"/>
    <w:rsid w:val="00A47395"/>
    <w:rsid w:val="00A473FA"/>
    <w:rsid w:val="00A47454"/>
    <w:rsid w:val="00A4753D"/>
    <w:rsid w:val="00A47631"/>
    <w:rsid w:val="00A476A5"/>
    <w:rsid w:val="00A47713"/>
    <w:rsid w:val="00A4773C"/>
    <w:rsid w:val="00A4777A"/>
    <w:rsid w:val="00A477A3"/>
    <w:rsid w:val="00A47823"/>
    <w:rsid w:val="00A478E3"/>
    <w:rsid w:val="00A478F3"/>
    <w:rsid w:val="00A4793D"/>
    <w:rsid w:val="00A47971"/>
    <w:rsid w:val="00A47A72"/>
    <w:rsid w:val="00A47AF0"/>
    <w:rsid w:val="00A47B3F"/>
    <w:rsid w:val="00A47BDB"/>
    <w:rsid w:val="00A47C0E"/>
    <w:rsid w:val="00A47C53"/>
    <w:rsid w:val="00A47C78"/>
    <w:rsid w:val="00A47DE4"/>
    <w:rsid w:val="00A47FA8"/>
    <w:rsid w:val="00A500E6"/>
    <w:rsid w:val="00A50189"/>
    <w:rsid w:val="00A501A5"/>
    <w:rsid w:val="00A501CE"/>
    <w:rsid w:val="00A502F2"/>
    <w:rsid w:val="00A5032F"/>
    <w:rsid w:val="00A50407"/>
    <w:rsid w:val="00A50417"/>
    <w:rsid w:val="00A50514"/>
    <w:rsid w:val="00A50535"/>
    <w:rsid w:val="00A50568"/>
    <w:rsid w:val="00A506E2"/>
    <w:rsid w:val="00A506F5"/>
    <w:rsid w:val="00A506F8"/>
    <w:rsid w:val="00A5070D"/>
    <w:rsid w:val="00A50750"/>
    <w:rsid w:val="00A507CD"/>
    <w:rsid w:val="00A5085C"/>
    <w:rsid w:val="00A508FD"/>
    <w:rsid w:val="00A50A1A"/>
    <w:rsid w:val="00A50B77"/>
    <w:rsid w:val="00A50BB3"/>
    <w:rsid w:val="00A50BDB"/>
    <w:rsid w:val="00A50C0E"/>
    <w:rsid w:val="00A50C13"/>
    <w:rsid w:val="00A50C83"/>
    <w:rsid w:val="00A50CB7"/>
    <w:rsid w:val="00A50CC6"/>
    <w:rsid w:val="00A50CF5"/>
    <w:rsid w:val="00A50D90"/>
    <w:rsid w:val="00A50E63"/>
    <w:rsid w:val="00A50EA7"/>
    <w:rsid w:val="00A50EB7"/>
    <w:rsid w:val="00A50ED2"/>
    <w:rsid w:val="00A50F03"/>
    <w:rsid w:val="00A51016"/>
    <w:rsid w:val="00A510BB"/>
    <w:rsid w:val="00A511C3"/>
    <w:rsid w:val="00A511DD"/>
    <w:rsid w:val="00A51202"/>
    <w:rsid w:val="00A51241"/>
    <w:rsid w:val="00A5131C"/>
    <w:rsid w:val="00A5131D"/>
    <w:rsid w:val="00A51355"/>
    <w:rsid w:val="00A51361"/>
    <w:rsid w:val="00A5140C"/>
    <w:rsid w:val="00A5162D"/>
    <w:rsid w:val="00A517F3"/>
    <w:rsid w:val="00A519DF"/>
    <w:rsid w:val="00A519E3"/>
    <w:rsid w:val="00A51A80"/>
    <w:rsid w:val="00A51A97"/>
    <w:rsid w:val="00A51B45"/>
    <w:rsid w:val="00A51BDE"/>
    <w:rsid w:val="00A51C29"/>
    <w:rsid w:val="00A51CA9"/>
    <w:rsid w:val="00A51CBB"/>
    <w:rsid w:val="00A51D0F"/>
    <w:rsid w:val="00A51D4B"/>
    <w:rsid w:val="00A51E8D"/>
    <w:rsid w:val="00A51F84"/>
    <w:rsid w:val="00A51FC4"/>
    <w:rsid w:val="00A51FFE"/>
    <w:rsid w:val="00A520D5"/>
    <w:rsid w:val="00A52182"/>
    <w:rsid w:val="00A521D6"/>
    <w:rsid w:val="00A52389"/>
    <w:rsid w:val="00A5238A"/>
    <w:rsid w:val="00A523C4"/>
    <w:rsid w:val="00A523F8"/>
    <w:rsid w:val="00A52406"/>
    <w:rsid w:val="00A524BB"/>
    <w:rsid w:val="00A524F1"/>
    <w:rsid w:val="00A5255E"/>
    <w:rsid w:val="00A52589"/>
    <w:rsid w:val="00A5259D"/>
    <w:rsid w:val="00A526B6"/>
    <w:rsid w:val="00A526D2"/>
    <w:rsid w:val="00A52729"/>
    <w:rsid w:val="00A52779"/>
    <w:rsid w:val="00A5284D"/>
    <w:rsid w:val="00A528F3"/>
    <w:rsid w:val="00A52922"/>
    <w:rsid w:val="00A529BC"/>
    <w:rsid w:val="00A52AAB"/>
    <w:rsid w:val="00A52AD8"/>
    <w:rsid w:val="00A52AFA"/>
    <w:rsid w:val="00A52C07"/>
    <w:rsid w:val="00A52C18"/>
    <w:rsid w:val="00A52C32"/>
    <w:rsid w:val="00A52CA0"/>
    <w:rsid w:val="00A52CB7"/>
    <w:rsid w:val="00A52CCD"/>
    <w:rsid w:val="00A52DC2"/>
    <w:rsid w:val="00A52F80"/>
    <w:rsid w:val="00A5303B"/>
    <w:rsid w:val="00A532AB"/>
    <w:rsid w:val="00A533C3"/>
    <w:rsid w:val="00A533E6"/>
    <w:rsid w:val="00A535C2"/>
    <w:rsid w:val="00A535F1"/>
    <w:rsid w:val="00A535F9"/>
    <w:rsid w:val="00A53730"/>
    <w:rsid w:val="00A537EC"/>
    <w:rsid w:val="00A53832"/>
    <w:rsid w:val="00A53912"/>
    <w:rsid w:val="00A539C1"/>
    <w:rsid w:val="00A53A20"/>
    <w:rsid w:val="00A53AE8"/>
    <w:rsid w:val="00A53B42"/>
    <w:rsid w:val="00A53C7E"/>
    <w:rsid w:val="00A53CF0"/>
    <w:rsid w:val="00A53D0A"/>
    <w:rsid w:val="00A53E57"/>
    <w:rsid w:val="00A53E58"/>
    <w:rsid w:val="00A53EC1"/>
    <w:rsid w:val="00A53FFB"/>
    <w:rsid w:val="00A54060"/>
    <w:rsid w:val="00A540D0"/>
    <w:rsid w:val="00A540E3"/>
    <w:rsid w:val="00A540FC"/>
    <w:rsid w:val="00A54269"/>
    <w:rsid w:val="00A54302"/>
    <w:rsid w:val="00A543A7"/>
    <w:rsid w:val="00A54442"/>
    <w:rsid w:val="00A54490"/>
    <w:rsid w:val="00A54546"/>
    <w:rsid w:val="00A5455E"/>
    <w:rsid w:val="00A545EB"/>
    <w:rsid w:val="00A5467B"/>
    <w:rsid w:val="00A54690"/>
    <w:rsid w:val="00A546AD"/>
    <w:rsid w:val="00A547CD"/>
    <w:rsid w:val="00A548F3"/>
    <w:rsid w:val="00A54967"/>
    <w:rsid w:val="00A54A52"/>
    <w:rsid w:val="00A54B2E"/>
    <w:rsid w:val="00A54C14"/>
    <w:rsid w:val="00A54C27"/>
    <w:rsid w:val="00A54C5E"/>
    <w:rsid w:val="00A54CD6"/>
    <w:rsid w:val="00A54D1C"/>
    <w:rsid w:val="00A54D37"/>
    <w:rsid w:val="00A54D40"/>
    <w:rsid w:val="00A54D44"/>
    <w:rsid w:val="00A54DED"/>
    <w:rsid w:val="00A54EA3"/>
    <w:rsid w:val="00A54F12"/>
    <w:rsid w:val="00A54F90"/>
    <w:rsid w:val="00A5501C"/>
    <w:rsid w:val="00A55104"/>
    <w:rsid w:val="00A5526C"/>
    <w:rsid w:val="00A55434"/>
    <w:rsid w:val="00A5554C"/>
    <w:rsid w:val="00A555A3"/>
    <w:rsid w:val="00A55621"/>
    <w:rsid w:val="00A55679"/>
    <w:rsid w:val="00A55798"/>
    <w:rsid w:val="00A55819"/>
    <w:rsid w:val="00A55A09"/>
    <w:rsid w:val="00A55AD8"/>
    <w:rsid w:val="00A55ADF"/>
    <w:rsid w:val="00A55AEF"/>
    <w:rsid w:val="00A55B61"/>
    <w:rsid w:val="00A55B8E"/>
    <w:rsid w:val="00A55C02"/>
    <w:rsid w:val="00A55C08"/>
    <w:rsid w:val="00A55C42"/>
    <w:rsid w:val="00A55EA3"/>
    <w:rsid w:val="00A55F72"/>
    <w:rsid w:val="00A56077"/>
    <w:rsid w:val="00A560B0"/>
    <w:rsid w:val="00A56134"/>
    <w:rsid w:val="00A561A5"/>
    <w:rsid w:val="00A561D4"/>
    <w:rsid w:val="00A561DB"/>
    <w:rsid w:val="00A561E7"/>
    <w:rsid w:val="00A56302"/>
    <w:rsid w:val="00A563D1"/>
    <w:rsid w:val="00A56412"/>
    <w:rsid w:val="00A56457"/>
    <w:rsid w:val="00A564B5"/>
    <w:rsid w:val="00A564FB"/>
    <w:rsid w:val="00A56567"/>
    <w:rsid w:val="00A565EF"/>
    <w:rsid w:val="00A5667C"/>
    <w:rsid w:val="00A566AD"/>
    <w:rsid w:val="00A566B6"/>
    <w:rsid w:val="00A56754"/>
    <w:rsid w:val="00A5687B"/>
    <w:rsid w:val="00A56888"/>
    <w:rsid w:val="00A5689F"/>
    <w:rsid w:val="00A569CD"/>
    <w:rsid w:val="00A569DC"/>
    <w:rsid w:val="00A56A1D"/>
    <w:rsid w:val="00A56A9F"/>
    <w:rsid w:val="00A56B20"/>
    <w:rsid w:val="00A56B45"/>
    <w:rsid w:val="00A56C14"/>
    <w:rsid w:val="00A56C18"/>
    <w:rsid w:val="00A56C94"/>
    <w:rsid w:val="00A56CE0"/>
    <w:rsid w:val="00A56D5D"/>
    <w:rsid w:val="00A56DA9"/>
    <w:rsid w:val="00A56DE1"/>
    <w:rsid w:val="00A56E81"/>
    <w:rsid w:val="00A5712F"/>
    <w:rsid w:val="00A57312"/>
    <w:rsid w:val="00A57399"/>
    <w:rsid w:val="00A5748A"/>
    <w:rsid w:val="00A574C3"/>
    <w:rsid w:val="00A574F6"/>
    <w:rsid w:val="00A575C3"/>
    <w:rsid w:val="00A575FF"/>
    <w:rsid w:val="00A5760F"/>
    <w:rsid w:val="00A576E7"/>
    <w:rsid w:val="00A576F3"/>
    <w:rsid w:val="00A57726"/>
    <w:rsid w:val="00A57791"/>
    <w:rsid w:val="00A577A0"/>
    <w:rsid w:val="00A57827"/>
    <w:rsid w:val="00A57876"/>
    <w:rsid w:val="00A578E4"/>
    <w:rsid w:val="00A57901"/>
    <w:rsid w:val="00A5793A"/>
    <w:rsid w:val="00A57A00"/>
    <w:rsid w:val="00A57A1A"/>
    <w:rsid w:val="00A57A30"/>
    <w:rsid w:val="00A57A65"/>
    <w:rsid w:val="00A57ADD"/>
    <w:rsid w:val="00A57AE5"/>
    <w:rsid w:val="00A57BB7"/>
    <w:rsid w:val="00A57BE9"/>
    <w:rsid w:val="00A57C85"/>
    <w:rsid w:val="00A57D29"/>
    <w:rsid w:val="00A57DFC"/>
    <w:rsid w:val="00A57E6D"/>
    <w:rsid w:val="00A57EF7"/>
    <w:rsid w:val="00A57F80"/>
    <w:rsid w:val="00A57FB5"/>
    <w:rsid w:val="00A57FD3"/>
    <w:rsid w:val="00A60050"/>
    <w:rsid w:val="00A600E4"/>
    <w:rsid w:val="00A6010C"/>
    <w:rsid w:val="00A60130"/>
    <w:rsid w:val="00A60134"/>
    <w:rsid w:val="00A60259"/>
    <w:rsid w:val="00A60361"/>
    <w:rsid w:val="00A604DD"/>
    <w:rsid w:val="00A60548"/>
    <w:rsid w:val="00A605B5"/>
    <w:rsid w:val="00A60633"/>
    <w:rsid w:val="00A6064F"/>
    <w:rsid w:val="00A6065F"/>
    <w:rsid w:val="00A6069C"/>
    <w:rsid w:val="00A606AD"/>
    <w:rsid w:val="00A60849"/>
    <w:rsid w:val="00A6084F"/>
    <w:rsid w:val="00A608C2"/>
    <w:rsid w:val="00A608CA"/>
    <w:rsid w:val="00A60AA6"/>
    <w:rsid w:val="00A60B59"/>
    <w:rsid w:val="00A60B7C"/>
    <w:rsid w:val="00A60BCF"/>
    <w:rsid w:val="00A60C15"/>
    <w:rsid w:val="00A60C70"/>
    <w:rsid w:val="00A60CDE"/>
    <w:rsid w:val="00A60D21"/>
    <w:rsid w:val="00A60D8B"/>
    <w:rsid w:val="00A60DD1"/>
    <w:rsid w:val="00A60E49"/>
    <w:rsid w:val="00A60EA0"/>
    <w:rsid w:val="00A60F7B"/>
    <w:rsid w:val="00A610B5"/>
    <w:rsid w:val="00A610B9"/>
    <w:rsid w:val="00A610CF"/>
    <w:rsid w:val="00A6137F"/>
    <w:rsid w:val="00A61421"/>
    <w:rsid w:val="00A614E2"/>
    <w:rsid w:val="00A61590"/>
    <w:rsid w:val="00A615BC"/>
    <w:rsid w:val="00A615D0"/>
    <w:rsid w:val="00A61600"/>
    <w:rsid w:val="00A61679"/>
    <w:rsid w:val="00A616B5"/>
    <w:rsid w:val="00A616E5"/>
    <w:rsid w:val="00A6176B"/>
    <w:rsid w:val="00A617F9"/>
    <w:rsid w:val="00A61822"/>
    <w:rsid w:val="00A61843"/>
    <w:rsid w:val="00A61903"/>
    <w:rsid w:val="00A619F1"/>
    <w:rsid w:val="00A61A44"/>
    <w:rsid w:val="00A61AED"/>
    <w:rsid w:val="00A61B66"/>
    <w:rsid w:val="00A61BEF"/>
    <w:rsid w:val="00A61D28"/>
    <w:rsid w:val="00A61D7D"/>
    <w:rsid w:val="00A61D8C"/>
    <w:rsid w:val="00A61DC3"/>
    <w:rsid w:val="00A61E12"/>
    <w:rsid w:val="00A61EE5"/>
    <w:rsid w:val="00A61EFF"/>
    <w:rsid w:val="00A61F58"/>
    <w:rsid w:val="00A61F9E"/>
    <w:rsid w:val="00A62160"/>
    <w:rsid w:val="00A621CF"/>
    <w:rsid w:val="00A6228B"/>
    <w:rsid w:val="00A62338"/>
    <w:rsid w:val="00A62535"/>
    <w:rsid w:val="00A62591"/>
    <w:rsid w:val="00A62661"/>
    <w:rsid w:val="00A6268E"/>
    <w:rsid w:val="00A628BF"/>
    <w:rsid w:val="00A628C2"/>
    <w:rsid w:val="00A62925"/>
    <w:rsid w:val="00A6292C"/>
    <w:rsid w:val="00A62967"/>
    <w:rsid w:val="00A629D4"/>
    <w:rsid w:val="00A62A14"/>
    <w:rsid w:val="00A62A26"/>
    <w:rsid w:val="00A62AB1"/>
    <w:rsid w:val="00A62AFA"/>
    <w:rsid w:val="00A62B47"/>
    <w:rsid w:val="00A62B54"/>
    <w:rsid w:val="00A62BA3"/>
    <w:rsid w:val="00A62BBA"/>
    <w:rsid w:val="00A62C39"/>
    <w:rsid w:val="00A62C80"/>
    <w:rsid w:val="00A62CA1"/>
    <w:rsid w:val="00A62CAD"/>
    <w:rsid w:val="00A62CD7"/>
    <w:rsid w:val="00A62CEB"/>
    <w:rsid w:val="00A62D0A"/>
    <w:rsid w:val="00A62E18"/>
    <w:rsid w:val="00A62ED2"/>
    <w:rsid w:val="00A62EDA"/>
    <w:rsid w:val="00A62EE4"/>
    <w:rsid w:val="00A62EED"/>
    <w:rsid w:val="00A63149"/>
    <w:rsid w:val="00A631B9"/>
    <w:rsid w:val="00A63252"/>
    <w:rsid w:val="00A6343C"/>
    <w:rsid w:val="00A634AF"/>
    <w:rsid w:val="00A6354A"/>
    <w:rsid w:val="00A63633"/>
    <w:rsid w:val="00A63683"/>
    <w:rsid w:val="00A6379A"/>
    <w:rsid w:val="00A6384B"/>
    <w:rsid w:val="00A63901"/>
    <w:rsid w:val="00A63B05"/>
    <w:rsid w:val="00A63B3D"/>
    <w:rsid w:val="00A63B79"/>
    <w:rsid w:val="00A63CA9"/>
    <w:rsid w:val="00A63CDB"/>
    <w:rsid w:val="00A63D2D"/>
    <w:rsid w:val="00A63D84"/>
    <w:rsid w:val="00A63DA8"/>
    <w:rsid w:val="00A63DCB"/>
    <w:rsid w:val="00A63E01"/>
    <w:rsid w:val="00A63E67"/>
    <w:rsid w:val="00A63F1D"/>
    <w:rsid w:val="00A63FA9"/>
    <w:rsid w:val="00A63FCA"/>
    <w:rsid w:val="00A64032"/>
    <w:rsid w:val="00A640CC"/>
    <w:rsid w:val="00A6416D"/>
    <w:rsid w:val="00A64259"/>
    <w:rsid w:val="00A642F5"/>
    <w:rsid w:val="00A644FA"/>
    <w:rsid w:val="00A6457C"/>
    <w:rsid w:val="00A6458A"/>
    <w:rsid w:val="00A6472C"/>
    <w:rsid w:val="00A647D4"/>
    <w:rsid w:val="00A6487D"/>
    <w:rsid w:val="00A648A0"/>
    <w:rsid w:val="00A648AA"/>
    <w:rsid w:val="00A64911"/>
    <w:rsid w:val="00A6498B"/>
    <w:rsid w:val="00A649B7"/>
    <w:rsid w:val="00A64A6B"/>
    <w:rsid w:val="00A64B53"/>
    <w:rsid w:val="00A64B61"/>
    <w:rsid w:val="00A64BBB"/>
    <w:rsid w:val="00A64BC0"/>
    <w:rsid w:val="00A64BF3"/>
    <w:rsid w:val="00A64D0A"/>
    <w:rsid w:val="00A64D91"/>
    <w:rsid w:val="00A64DBB"/>
    <w:rsid w:val="00A64E18"/>
    <w:rsid w:val="00A64ECA"/>
    <w:rsid w:val="00A64FC0"/>
    <w:rsid w:val="00A64FF7"/>
    <w:rsid w:val="00A6502D"/>
    <w:rsid w:val="00A6503F"/>
    <w:rsid w:val="00A6509B"/>
    <w:rsid w:val="00A650CF"/>
    <w:rsid w:val="00A650E4"/>
    <w:rsid w:val="00A651ED"/>
    <w:rsid w:val="00A652ED"/>
    <w:rsid w:val="00A65398"/>
    <w:rsid w:val="00A653D2"/>
    <w:rsid w:val="00A65421"/>
    <w:rsid w:val="00A6542F"/>
    <w:rsid w:val="00A654CB"/>
    <w:rsid w:val="00A65513"/>
    <w:rsid w:val="00A6557C"/>
    <w:rsid w:val="00A65625"/>
    <w:rsid w:val="00A65642"/>
    <w:rsid w:val="00A6567D"/>
    <w:rsid w:val="00A656FE"/>
    <w:rsid w:val="00A657DE"/>
    <w:rsid w:val="00A657FB"/>
    <w:rsid w:val="00A6580A"/>
    <w:rsid w:val="00A65890"/>
    <w:rsid w:val="00A658F4"/>
    <w:rsid w:val="00A65950"/>
    <w:rsid w:val="00A65A56"/>
    <w:rsid w:val="00A65AF1"/>
    <w:rsid w:val="00A65B30"/>
    <w:rsid w:val="00A65B39"/>
    <w:rsid w:val="00A65C00"/>
    <w:rsid w:val="00A65D60"/>
    <w:rsid w:val="00A65DF0"/>
    <w:rsid w:val="00A65E10"/>
    <w:rsid w:val="00A65E20"/>
    <w:rsid w:val="00A65EC4"/>
    <w:rsid w:val="00A65EF1"/>
    <w:rsid w:val="00A65FC1"/>
    <w:rsid w:val="00A66176"/>
    <w:rsid w:val="00A66183"/>
    <w:rsid w:val="00A6618E"/>
    <w:rsid w:val="00A662AF"/>
    <w:rsid w:val="00A66378"/>
    <w:rsid w:val="00A6640D"/>
    <w:rsid w:val="00A66483"/>
    <w:rsid w:val="00A664C2"/>
    <w:rsid w:val="00A665DB"/>
    <w:rsid w:val="00A66631"/>
    <w:rsid w:val="00A666E4"/>
    <w:rsid w:val="00A666E8"/>
    <w:rsid w:val="00A666F2"/>
    <w:rsid w:val="00A66725"/>
    <w:rsid w:val="00A6678A"/>
    <w:rsid w:val="00A667A7"/>
    <w:rsid w:val="00A66838"/>
    <w:rsid w:val="00A6689A"/>
    <w:rsid w:val="00A66954"/>
    <w:rsid w:val="00A66980"/>
    <w:rsid w:val="00A669B6"/>
    <w:rsid w:val="00A669E9"/>
    <w:rsid w:val="00A66BE1"/>
    <w:rsid w:val="00A66D3B"/>
    <w:rsid w:val="00A66D6E"/>
    <w:rsid w:val="00A66DAE"/>
    <w:rsid w:val="00A66E08"/>
    <w:rsid w:val="00A66E97"/>
    <w:rsid w:val="00A66EB3"/>
    <w:rsid w:val="00A66EEC"/>
    <w:rsid w:val="00A66EF3"/>
    <w:rsid w:val="00A67000"/>
    <w:rsid w:val="00A67030"/>
    <w:rsid w:val="00A6713B"/>
    <w:rsid w:val="00A67303"/>
    <w:rsid w:val="00A67332"/>
    <w:rsid w:val="00A67366"/>
    <w:rsid w:val="00A67367"/>
    <w:rsid w:val="00A673E3"/>
    <w:rsid w:val="00A676B3"/>
    <w:rsid w:val="00A676B7"/>
    <w:rsid w:val="00A676D7"/>
    <w:rsid w:val="00A676F4"/>
    <w:rsid w:val="00A6775F"/>
    <w:rsid w:val="00A677A1"/>
    <w:rsid w:val="00A677FC"/>
    <w:rsid w:val="00A6790B"/>
    <w:rsid w:val="00A67923"/>
    <w:rsid w:val="00A6793C"/>
    <w:rsid w:val="00A67992"/>
    <w:rsid w:val="00A679E9"/>
    <w:rsid w:val="00A679EE"/>
    <w:rsid w:val="00A67A1B"/>
    <w:rsid w:val="00A67A3D"/>
    <w:rsid w:val="00A67B7C"/>
    <w:rsid w:val="00A67C75"/>
    <w:rsid w:val="00A67CC3"/>
    <w:rsid w:val="00A67D58"/>
    <w:rsid w:val="00A67D90"/>
    <w:rsid w:val="00A67DEB"/>
    <w:rsid w:val="00A67E53"/>
    <w:rsid w:val="00A67F2B"/>
    <w:rsid w:val="00A7004C"/>
    <w:rsid w:val="00A700E0"/>
    <w:rsid w:val="00A700E7"/>
    <w:rsid w:val="00A70121"/>
    <w:rsid w:val="00A70132"/>
    <w:rsid w:val="00A7014A"/>
    <w:rsid w:val="00A70186"/>
    <w:rsid w:val="00A701FF"/>
    <w:rsid w:val="00A702BD"/>
    <w:rsid w:val="00A7034A"/>
    <w:rsid w:val="00A70386"/>
    <w:rsid w:val="00A703F7"/>
    <w:rsid w:val="00A70447"/>
    <w:rsid w:val="00A70469"/>
    <w:rsid w:val="00A70561"/>
    <w:rsid w:val="00A705B4"/>
    <w:rsid w:val="00A70632"/>
    <w:rsid w:val="00A70676"/>
    <w:rsid w:val="00A706DD"/>
    <w:rsid w:val="00A708F9"/>
    <w:rsid w:val="00A70930"/>
    <w:rsid w:val="00A70A61"/>
    <w:rsid w:val="00A70A7B"/>
    <w:rsid w:val="00A70AB4"/>
    <w:rsid w:val="00A70AFD"/>
    <w:rsid w:val="00A70B0F"/>
    <w:rsid w:val="00A70BA3"/>
    <w:rsid w:val="00A70CD4"/>
    <w:rsid w:val="00A70D1E"/>
    <w:rsid w:val="00A70DE8"/>
    <w:rsid w:val="00A70E90"/>
    <w:rsid w:val="00A70EFE"/>
    <w:rsid w:val="00A70F16"/>
    <w:rsid w:val="00A70FEA"/>
    <w:rsid w:val="00A71004"/>
    <w:rsid w:val="00A71041"/>
    <w:rsid w:val="00A7109F"/>
    <w:rsid w:val="00A71114"/>
    <w:rsid w:val="00A71161"/>
    <w:rsid w:val="00A7121B"/>
    <w:rsid w:val="00A71227"/>
    <w:rsid w:val="00A71484"/>
    <w:rsid w:val="00A71552"/>
    <w:rsid w:val="00A7158A"/>
    <w:rsid w:val="00A715FE"/>
    <w:rsid w:val="00A71722"/>
    <w:rsid w:val="00A7180C"/>
    <w:rsid w:val="00A71878"/>
    <w:rsid w:val="00A71939"/>
    <w:rsid w:val="00A71961"/>
    <w:rsid w:val="00A7199D"/>
    <w:rsid w:val="00A71A07"/>
    <w:rsid w:val="00A71AE1"/>
    <w:rsid w:val="00A71B5A"/>
    <w:rsid w:val="00A71BE0"/>
    <w:rsid w:val="00A71C20"/>
    <w:rsid w:val="00A71C30"/>
    <w:rsid w:val="00A71C3F"/>
    <w:rsid w:val="00A71C93"/>
    <w:rsid w:val="00A71D83"/>
    <w:rsid w:val="00A71DA9"/>
    <w:rsid w:val="00A71F39"/>
    <w:rsid w:val="00A72022"/>
    <w:rsid w:val="00A72097"/>
    <w:rsid w:val="00A72126"/>
    <w:rsid w:val="00A72328"/>
    <w:rsid w:val="00A723B5"/>
    <w:rsid w:val="00A723CE"/>
    <w:rsid w:val="00A7244F"/>
    <w:rsid w:val="00A72481"/>
    <w:rsid w:val="00A7259D"/>
    <w:rsid w:val="00A725D1"/>
    <w:rsid w:val="00A72616"/>
    <w:rsid w:val="00A72623"/>
    <w:rsid w:val="00A7267E"/>
    <w:rsid w:val="00A726FF"/>
    <w:rsid w:val="00A7272E"/>
    <w:rsid w:val="00A727CA"/>
    <w:rsid w:val="00A72810"/>
    <w:rsid w:val="00A7282C"/>
    <w:rsid w:val="00A72887"/>
    <w:rsid w:val="00A728D5"/>
    <w:rsid w:val="00A7295D"/>
    <w:rsid w:val="00A72A84"/>
    <w:rsid w:val="00A72ADB"/>
    <w:rsid w:val="00A72AF1"/>
    <w:rsid w:val="00A72B5A"/>
    <w:rsid w:val="00A72BB3"/>
    <w:rsid w:val="00A72BF9"/>
    <w:rsid w:val="00A72CF6"/>
    <w:rsid w:val="00A72D22"/>
    <w:rsid w:val="00A72D41"/>
    <w:rsid w:val="00A72D69"/>
    <w:rsid w:val="00A72D72"/>
    <w:rsid w:val="00A72EA9"/>
    <w:rsid w:val="00A72F13"/>
    <w:rsid w:val="00A72F37"/>
    <w:rsid w:val="00A72F9B"/>
    <w:rsid w:val="00A72FE2"/>
    <w:rsid w:val="00A73108"/>
    <w:rsid w:val="00A731A0"/>
    <w:rsid w:val="00A732BD"/>
    <w:rsid w:val="00A73338"/>
    <w:rsid w:val="00A73355"/>
    <w:rsid w:val="00A73373"/>
    <w:rsid w:val="00A73377"/>
    <w:rsid w:val="00A733D1"/>
    <w:rsid w:val="00A7340B"/>
    <w:rsid w:val="00A7342C"/>
    <w:rsid w:val="00A7357A"/>
    <w:rsid w:val="00A7363E"/>
    <w:rsid w:val="00A7366B"/>
    <w:rsid w:val="00A7369C"/>
    <w:rsid w:val="00A736A6"/>
    <w:rsid w:val="00A738C1"/>
    <w:rsid w:val="00A738EF"/>
    <w:rsid w:val="00A73985"/>
    <w:rsid w:val="00A739BE"/>
    <w:rsid w:val="00A73A25"/>
    <w:rsid w:val="00A73A29"/>
    <w:rsid w:val="00A73A7D"/>
    <w:rsid w:val="00A73A97"/>
    <w:rsid w:val="00A73A9C"/>
    <w:rsid w:val="00A73AF5"/>
    <w:rsid w:val="00A73B11"/>
    <w:rsid w:val="00A73B49"/>
    <w:rsid w:val="00A73B92"/>
    <w:rsid w:val="00A73CF5"/>
    <w:rsid w:val="00A73D3E"/>
    <w:rsid w:val="00A73DF4"/>
    <w:rsid w:val="00A73E42"/>
    <w:rsid w:val="00A73E5C"/>
    <w:rsid w:val="00A73E5F"/>
    <w:rsid w:val="00A73EA1"/>
    <w:rsid w:val="00A73F24"/>
    <w:rsid w:val="00A74106"/>
    <w:rsid w:val="00A741F9"/>
    <w:rsid w:val="00A741FC"/>
    <w:rsid w:val="00A74238"/>
    <w:rsid w:val="00A74341"/>
    <w:rsid w:val="00A743FB"/>
    <w:rsid w:val="00A74430"/>
    <w:rsid w:val="00A7444C"/>
    <w:rsid w:val="00A74461"/>
    <w:rsid w:val="00A744E2"/>
    <w:rsid w:val="00A746BF"/>
    <w:rsid w:val="00A74725"/>
    <w:rsid w:val="00A747DB"/>
    <w:rsid w:val="00A747DD"/>
    <w:rsid w:val="00A74833"/>
    <w:rsid w:val="00A74888"/>
    <w:rsid w:val="00A74932"/>
    <w:rsid w:val="00A74981"/>
    <w:rsid w:val="00A74ACB"/>
    <w:rsid w:val="00A74B80"/>
    <w:rsid w:val="00A74BD7"/>
    <w:rsid w:val="00A74C60"/>
    <w:rsid w:val="00A74CD7"/>
    <w:rsid w:val="00A74DB6"/>
    <w:rsid w:val="00A74E1E"/>
    <w:rsid w:val="00A74EF5"/>
    <w:rsid w:val="00A74F27"/>
    <w:rsid w:val="00A74F9F"/>
    <w:rsid w:val="00A750C7"/>
    <w:rsid w:val="00A7510F"/>
    <w:rsid w:val="00A75135"/>
    <w:rsid w:val="00A752A8"/>
    <w:rsid w:val="00A752B6"/>
    <w:rsid w:val="00A752ED"/>
    <w:rsid w:val="00A75369"/>
    <w:rsid w:val="00A7539D"/>
    <w:rsid w:val="00A753FE"/>
    <w:rsid w:val="00A754D5"/>
    <w:rsid w:val="00A756E3"/>
    <w:rsid w:val="00A7570F"/>
    <w:rsid w:val="00A75798"/>
    <w:rsid w:val="00A75876"/>
    <w:rsid w:val="00A7589A"/>
    <w:rsid w:val="00A758A2"/>
    <w:rsid w:val="00A758D1"/>
    <w:rsid w:val="00A7591B"/>
    <w:rsid w:val="00A759EA"/>
    <w:rsid w:val="00A75A40"/>
    <w:rsid w:val="00A75AEC"/>
    <w:rsid w:val="00A75B33"/>
    <w:rsid w:val="00A75BE7"/>
    <w:rsid w:val="00A75C3A"/>
    <w:rsid w:val="00A75CE3"/>
    <w:rsid w:val="00A75D17"/>
    <w:rsid w:val="00A75D57"/>
    <w:rsid w:val="00A75D5F"/>
    <w:rsid w:val="00A75D8E"/>
    <w:rsid w:val="00A75E6A"/>
    <w:rsid w:val="00A75ED4"/>
    <w:rsid w:val="00A75F5D"/>
    <w:rsid w:val="00A76007"/>
    <w:rsid w:val="00A7601B"/>
    <w:rsid w:val="00A7603D"/>
    <w:rsid w:val="00A760F9"/>
    <w:rsid w:val="00A76133"/>
    <w:rsid w:val="00A76181"/>
    <w:rsid w:val="00A761D9"/>
    <w:rsid w:val="00A76201"/>
    <w:rsid w:val="00A76225"/>
    <w:rsid w:val="00A76294"/>
    <w:rsid w:val="00A7629B"/>
    <w:rsid w:val="00A762CF"/>
    <w:rsid w:val="00A76348"/>
    <w:rsid w:val="00A76372"/>
    <w:rsid w:val="00A763DB"/>
    <w:rsid w:val="00A765CA"/>
    <w:rsid w:val="00A765F5"/>
    <w:rsid w:val="00A76630"/>
    <w:rsid w:val="00A76645"/>
    <w:rsid w:val="00A76671"/>
    <w:rsid w:val="00A766AB"/>
    <w:rsid w:val="00A7670A"/>
    <w:rsid w:val="00A76741"/>
    <w:rsid w:val="00A76797"/>
    <w:rsid w:val="00A767A5"/>
    <w:rsid w:val="00A767EC"/>
    <w:rsid w:val="00A76811"/>
    <w:rsid w:val="00A76903"/>
    <w:rsid w:val="00A769B1"/>
    <w:rsid w:val="00A76A7E"/>
    <w:rsid w:val="00A76B18"/>
    <w:rsid w:val="00A76BCA"/>
    <w:rsid w:val="00A76BF9"/>
    <w:rsid w:val="00A76C21"/>
    <w:rsid w:val="00A76C47"/>
    <w:rsid w:val="00A76D15"/>
    <w:rsid w:val="00A76D79"/>
    <w:rsid w:val="00A76E33"/>
    <w:rsid w:val="00A76E51"/>
    <w:rsid w:val="00A76E89"/>
    <w:rsid w:val="00A76EAB"/>
    <w:rsid w:val="00A76F35"/>
    <w:rsid w:val="00A76F3A"/>
    <w:rsid w:val="00A76F5E"/>
    <w:rsid w:val="00A76F7A"/>
    <w:rsid w:val="00A77036"/>
    <w:rsid w:val="00A7719E"/>
    <w:rsid w:val="00A772D1"/>
    <w:rsid w:val="00A772E0"/>
    <w:rsid w:val="00A7738F"/>
    <w:rsid w:val="00A77425"/>
    <w:rsid w:val="00A77446"/>
    <w:rsid w:val="00A7752F"/>
    <w:rsid w:val="00A77544"/>
    <w:rsid w:val="00A7754D"/>
    <w:rsid w:val="00A775B7"/>
    <w:rsid w:val="00A775C6"/>
    <w:rsid w:val="00A775D5"/>
    <w:rsid w:val="00A77778"/>
    <w:rsid w:val="00A7777D"/>
    <w:rsid w:val="00A77856"/>
    <w:rsid w:val="00A7790C"/>
    <w:rsid w:val="00A77929"/>
    <w:rsid w:val="00A77991"/>
    <w:rsid w:val="00A779B5"/>
    <w:rsid w:val="00A779E0"/>
    <w:rsid w:val="00A77A13"/>
    <w:rsid w:val="00A77AA0"/>
    <w:rsid w:val="00A77BB2"/>
    <w:rsid w:val="00A77C07"/>
    <w:rsid w:val="00A77C27"/>
    <w:rsid w:val="00A77C64"/>
    <w:rsid w:val="00A77C74"/>
    <w:rsid w:val="00A77CE4"/>
    <w:rsid w:val="00A77DC9"/>
    <w:rsid w:val="00A77DE1"/>
    <w:rsid w:val="00A77EAB"/>
    <w:rsid w:val="00A77EB0"/>
    <w:rsid w:val="00A77F58"/>
    <w:rsid w:val="00A77F74"/>
    <w:rsid w:val="00A77FC0"/>
    <w:rsid w:val="00A77FE1"/>
    <w:rsid w:val="00A77FEC"/>
    <w:rsid w:val="00A800B0"/>
    <w:rsid w:val="00A80120"/>
    <w:rsid w:val="00A80163"/>
    <w:rsid w:val="00A80184"/>
    <w:rsid w:val="00A801E0"/>
    <w:rsid w:val="00A8042E"/>
    <w:rsid w:val="00A80435"/>
    <w:rsid w:val="00A804C0"/>
    <w:rsid w:val="00A80529"/>
    <w:rsid w:val="00A8057D"/>
    <w:rsid w:val="00A80684"/>
    <w:rsid w:val="00A8069A"/>
    <w:rsid w:val="00A806B7"/>
    <w:rsid w:val="00A806EC"/>
    <w:rsid w:val="00A80747"/>
    <w:rsid w:val="00A80755"/>
    <w:rsid w:val="00A8077D"/>
    <w:rsid w:val="00A80831"/>
    <w:rsid w:val="00A8088D"/>
    <w:rsid w:val="00A80978"/>
    <w:rsid w:val="00A80B09"/>
    <w:rsid w:val="00A80BE8"/>
    <w:rsid w:val="00A80BF7"/>
    <w:rsid w:val="00A80D6C"/>
    <w:rsid w:val="00A80D78"/>
    <w:rsid w:val="00A80E35"/>
    <w:rsid w:val="00A80EB8"/>
    <w:rsid w:val="00A80F59"/>
    <w:rsid w:val="00A80F74"/>
    <w:rsid w:val="00A80FBB"/>
    <w:rsid w:val="00A8100F"/>
    <w:rsid w:val="00A810E2"/>
    <w:rsid w:val="00A810E3"/>
    <w:rsid w:val="00A810F6"/>
    <w:rsid w:val="00A8114C"/>
    <w:rsid w:val="00A8116B"/>
    <w:rsid w:val="00A81293"/>
    <w:rsid w:val="00A812AB"/>
    <w:rsid w:val="00A812FA"/>
    <w:rsid w:val="00A814B7"/>
    <w:rsid w:val="00A81521"/>
    <w:rsid w:val="00A8159C"/>
    <w:rsid w:val="00A815AA"/>
    <w:rsid w:val="00A8188F"/>
    <w:rsid w:val="00A818BF"/>
    <w:rsid w:val="00A8197A"/>
    <w:rsid w:val="00A81981"/>
    <w:rsid w:val="00A8198B"/>
    <w:rsid w:val="00A819BF"/>
    <w:rsid w:val="00A81A0D"/>
    <w:rsid w:val="00A81B61"/>
    <w:rsid w:val="00A81C3D"/>
    <w:rsid w:val="00A81C4B"/>
    <w:rsid w:val="00A81C56"/>
    <w:rsid w:val="00A81C79"/>
    <w:rsid w:val="00A81D44"/>
    <w:rsid w:val="00A81DB4"/>
    <w:rsid w:val="00A81E3D"/>
    <w:rsid w:val="00A81ECA"/>
    <w:rsid w:val="00A82008"/>
    <w:rsid w:val="00A8200C"/>
    <w:rsid w:val="00A82024"/>
    <w:rsid w:val="00A82027"/>
    <w:rsid w:val="00A82029"/>
    <w:rsid w:val="00A820ED"/>
    <w:rsid w:val="00A822C0"/>
    <w:rsid w:val="00A82419"/>
    <w:rsid w:val="00A8244F"/>
    <w:rsid w:val="00A824C9"/>
    <w:rsid w:val="00A824F3"/>
    <w:rsid w:val="00A8251A"/>
    <w:rsid w:val="00A825E4"/>
    <w:rsid w:val="00A8264E"/>
    <w:rsid w:val="00A82667"/>
    <w:rsid w:val="00A82686"/>
    <w:rsid w:val="00A8271F"/>
    <w:rsid w:val="00A82939"/>
    <w:rsid w:val="00A8298A"/>
    <w:rsid w:val="00A82B83"/>
    <w:rsid w:val="00A82B89"/>
    <w:rsid w:val="00A82C17"/>
    <w:rsid w:val="00A82C2B"/>
    <w:rsid w:val="00A82C41"/>
    <w:rsid w:val="00A82D0B"/>
    <w:rsid w:val="00A82D39"/>
    <w:rsid w:val="00A82DD1"/>
    <w:rsid w:val="00A82DED"/>
    <w:rsid w:val="00A82E1A"/>
    <w:rsid w:val="00A82E7D"/>
    <w:rsid w:val="00A82EAE"/>
    <w:rsid w:val="00A82EB2"/>
    <w:rsid w:val="00A82F03"/>
    <w:rsid w:val="00A82F9C"/>
    <w:rsid w:val="00A82FE2"/>
    <w:rsid w:val="00A83003"/>
    <w:rsid w:val="00A83078"/>
    <w:rsid w:val="00A830C8"/>
    <w:rsid w:val="00A830E2"/>
    <w:rsid w:val="00A830FF"/>
    <w:rsid w:val="00A83223"/>
    <w:rsid w:val="00A8323E"/>
    <w:rsid w:val="00A83249"/>
    <w:rsid w:val="00A8338F"/>
    <w:rsid w:val="00A833BB"/>
    <w:rsid w:val="00A8340E"/>
    <w:rsid w:val="00A83467"/>
    <w:rsid w:val="00A834A7"/>
    <w:rsid w:val="00A834B8"/>
    <w:rsid w:val="00A834F3"/>
    <w:rsid w:val="00A8368C"/>
    <w:rsid w:val="00A836C2"/>
    <w:rsid w:val="00A836CD"/>
    <w:rsid w:val="00A836ED"/>
    <w:rsid w:val="00A837B6"/>
    <w:rsid w:val="00A837D9"/>
    <w:rsid w:val="00A8388A"/>
    <w:rsid w:val="00A8389C"/>
    <w:rsid w:val="00A83974"/>
    <w:rsid w:val="00A839CA"/>
    <w:rsid w:val="00A839CC"/>
    <w:rsid w:val="00A839E7"/>
    <w:rsid w:val="00A83A08"/>
    <w:rsid w:val="00A83A4D"/>
    <w:rsid w:val="00A83AB4"/>
    <w:rsid w:val="00A83B14"/>
    <w:rsid w:val="00A83B2A"/>
    <w:rsid w:val="00A83B30"/>
    <w:rsid w:val="00A83B74"/>
    <w:rsid w:val="00A83BAC"/>
    <w:rsid w:val="00A83BBD"/>
    <w:rsid w:val="00A83BC9"/>
    <w:rsid w:val="00A83C95"/>
    <w:rsid w:val="00A83E1C"/>
    <w:rsid w:val="00A83F37"/>
    <w:rsid w:val="00A83F48"/>
    <w:rsid w:val="00A83F74"/>
    <w:rsid w:val="00A83FB2"/>
    <w:rsid w:val="00A840BB"/>
    <w:rsid w:val="00A84196"/>
    <w:rsid w:val="00A8425B"/>
    <w:rsid w:val="00A8427E"/>
    <w:rsid w:val="00A842B2"/>
    <w:rsid w:val="00A842CA"/>
    <w:rsid w:val="00A842D2"/>
    <w:rsid w:val="00A844B6"/>
    <w:rsid w:val="00A844DB"/>
    <w:rsid w:val="00A84572"/>
    <w:rsid w:val="00A845BD"/>
    <w:rsid w:val="00A846D1"/>
    <w:rsid w:val="00A84798"/>
    <w:rsid w:val="00A84891"/>
    <w:rsid w:val="00A848A5"/>
    <w:rsid w:val="00A848B9"/>
    <w:rsid w:val="00A848E6"/>
    <w:rsid w:val="00A8494D"/>
    <w:rsid w:val="00A84A2A"/>
    <w:rsid w:val="00A84B0F"/>
    <w:rsid w:val="00A84B48"/>
    <w:rsid w:val="00A84C75"/>
    <w:rsid w:val="00A84CBC"/>
    <w:rsid w:val="00A84D1B"/>
    <w:rsid w:val="00A84D6F"/>
    <w:rsid w:val="00A84D8A"/>
    <w:rsid w:val="00A84D8D"/>
    <w:rsid w:val="00A84E64"/>
    <w:rsid w:val="00A84F43"/>
    <w:rsid w:val="00A84F54"/>
    <w:rsid w:val="00A84F84"/>
    <w:rsid w:val="00A85031"/>
    <w:rsid w:val="00A850ED"/>
    <w:rsid w:val="00A8519E"/>
    <w:rsid w:val="00A851ED"/>
    <w:rsid w:val="00A8520C"/>
    <w:rsid w:val="00A85245"/>
    <w:rsid w:val="00A8524E"/>
    <w:rsid w:val="00A853A3"/>
    <w:rsid w:val="00A853C5"/>
    <w:rsid w:val="00A853FF"/>
    <w:rsid w:val="00A855FF"/>
    <w:rsid w:val="00A85647"/>
    <w:rsid w:val="00A85687"/>
    <w:rsid w:val="00A8573B"/>
    <w:rsid w:val="00A85797"/>
    <w:rsid w:val="00A857C5"/>
    <w:rsid w:val="00A85845"/>
    <w:rsid w:val="00A85898"/>
    <w:rsid w:val="00A8594B"/>
    <w:rsid w:val="00A859BD"/>
    <w:rsid w:val="00A85AB4"/>
    <w:rsid w:val="00A85ACF"/>
    <w:rsid w:val="00A85B46"/>
    <w:rsid w:val="00A85B88"/>
    <w:rsid w:val="00A85BBD"/>
    <w:rsid w:val="00A85C06"/>
    <w:rsid w:val="00A85C20"/>
    <w:rsid w:val="00A85CD6"/>
    <w:rsid w:val="00A85D22"/>
    <w:rsid w:val="00A85D72"/>
    <w:rsid w:val="00A85EA5"/>
    <w:rsid w:val="00A8603E"/>
    <w:rsid w:val="00A8606D"/>
    <w:rsid w:val="00A86107"/>
    <w:rsid w:val="00A861DF"/>
    <w:rsid w:val="00A862C0"/>
    <w:rsid w:val="00A862FF"/>
    <w:rsid w:val="00A86391"/>
    <w:rsid w:val="00A8655D"/>
    <w:rsid w:val="00A8659A"/>
    <w:rsid w:val="00A866CD"/>
    <w:rsid w:val="00A866F2"/>
    <w:rsid w:val="00A86798"/>
    <w:rsid w:val="00A86A41"/>
    <w:rsid w:val="00A86A5D"/>
    <w:rsid w:val="00A86BA9"/>
    <w:rsid w:val="00A86D5D"/>
    <w:rsid w:val="00A86D65"/>
    <w:rsid w:val="00A86ED9"/>
    <w:rsid w:val="00A86EFA"/>
    <w:rsid w:val="00A86F07"/>
    <w:rsid w:val="00A86F11"/>
    <w:rsid w:val="00A86F62"/>
    <w:rsid w:val="00A87003"/>
    <w:rsid w:val="00A8706D"/>
    <w:rsid w:val="00A87151"/>
    <w:rsid w:val="00A87194"/>
    <w:rsid w:val="00A8720A"/>
    <w:rsid w:val="00A8720B"/>
    <w:rsid w:val="00A87251"/>
    <w:rsid w:val="00A872E2"/>
    <w:rsid w:val="00A87335"/>
    <w:rsid w:val="00A873FB"/>
    <w:rsid w:val="00A8740E"/>
    <w:rsid w:val="00A8743F"/>
    <w:rsid w:val="00A87490"/>
    <w:rsid w:val="00A874F3"/>
    <w:rsid w:val="00A87621"/>
    <w:rsid w:val="00A876C5"/>
    <w:rsid w:val="00A8771D"/>
    <w:rsid w:val="00A87759"/>
    <w:rsid w:val="00A877EC"/>
    <w:rsid w:val="00A87B0E"/>
    <w:rsid w:val="00A87B37"/>
    <w:rsid w:val="00A87B45"/>
    <w:rsid w:val="00A87BAD"/>
    <w:rsid w:val="00A87D59"/>
    <w:rsid w:val="00A87D8E"/>
    <w:rsid w:val="00A87D9A"/>
    <w:rsid w:val="00A87DB5"/>
    <w:rsid w:val="00A87DC9"/>
    <w:rsid w:val="00A87E87"/>
    <w:rsid w:val="00A87EA1"/>
    <w:rsid w:val="00A87F5D"/>
    <w:rsid w:val="00A901F8"/>
    <w:rsid w:val="00A90255"/>
    <w:rsid w:val="00A902E2"/>
    <w:rsid w:val="00A90334"/>
    <w:rsid w:val="00A903DC"/>
    <w:rsid w:val="00A9048D"/>
    <w:rsid w:val="00A90704"/>
    <w:rsid w:val="00A907D5"/>
    <w:rsid w:val="00A90881"/>
    <w:rsid w:val="00A909A5"/>
    <w:rsid w:val="00A909AC"/>
    <w:rsid w:val="00A90A2D"/>
    <w:rsid w:val="00A90A51"/>
    <w:rsid w:val="00A90A52"/>
    <w:rsid w:val="00A90A85"/>
    <w:rsid w:val="00A90A9F"/>
    <w:rsid w:val="00A90AA1"/>
    <w:rsid w:val="00A90AD2"/>
    <w:rsid w:val="00A90B7B"/>
    <w:rsid w:val="00A90BB9"/>
    <w:rsid w:val="00A90C2D"/>
    <w:rsid w:val="00A90C6C"/>
    <w:rsid w:val="00A90CE9"/>
    <w:rsid w:val="00A90D09"/>
    <w:rsid w:val="00A90D82"/>
    <w:rsid w:val="00A90DC1"/>
    <w:rsid w:val="00A90DFC"/>
    <w:rsid w:val="00A90E00"/>
    <w:rsid w:val="00A90E22"/>
    <w:rsid w:val="00A90E41"/>
    <w:rsid w:val="00A90F2E"/>
    <w:rsid w:val="00A90F9D"/>
    <w:rsid w:val="00A910AB"/>
    <w:rsid w:val="00A91175"/>
    <w:rsid w:val="00A911FE"/>
    <w:rsid w:val="00A9120E"/>
    <w:rsid w:val="00A9134D"/>
    <w:rsid w:val="00A913A3"/>
    <w:rsid w:val="00A91460"/>
    <w:rsid w:val="00A91538"/>
    <w:rsid w:val="00A9156C"/>
    <w:rsid w:val="00A9167B"/>
    <w:rsid w:val="00A917D2"/>
    <w:rsid w:val="00A918BA"/>
    <w:rsid w:val="00A91974"/>
    <w:rsid w:val="00A91A49"/>
    <w:rsid w:val="00A91AE2"/>
    <w:rsid w:val="00A91B70"/>
    <w:rsid w:val="00A91DA5"/>
    <w:rsid w:val="00A91E34"/>
    <w:rsid w:val="00A91F66"/>
    <w:rsid w:val="00A92021"/>
    <w:rsid w:val="00A9205C"/>
    <w:rsid w:val="00A920D7"/>
    <w:rsid w:val="00A92122"/>
    <w:rsid w:val="00A92130"/>
    <w:rsid w:val="00A92178"/>
    <w:rsid w:val="00A921B4"/>
    <w:rsid w:val="00A9227A"/>
    <w:rsid w:val="00A922BC"/>
    <w:rsid w:val="00A9238A"/>
    <w:rsid w:val="00A923A9"/>
    <w:rsid w:val="00A92487"/>
    <w:rsid w:val="00A924A8"/>
    <w:rsid w:val="00A924C8"/>
    <w:rsid w:val="00A925CA"/>
    <w:rsid w:val="00A925E6"/>
    <w:rsid w:val="00A92672"/>
    <w:rsid w:val="00A92799"/>
    <w:rsid w:val="00A92833"/>
    <w:rsid w:val="00A928A2"/>
    <w:rsid w:val="00A929F1"/>
    <w:rsid w:val="00A92A02"/>
    <w:rsid w:val="00A92A2A"/>
    <w:rsid w:val="00A92A5A"/>
    <w:rsid w:val="00A92AF4"/>
    <w:rsid w:val="00A92BDA"/>
    <w:rsid w:val="00A92C05"/>
    <w:rsid w:val="00A92DA9"/>
    <w:rsid w:val="00A92E3A"/>
    <w:rsid w:val="00A92F6D"/>
    <w:rsid w:val="00A92FCC"/>
    <w:rsid w:val="00A9308D"/>
    <w:rsid w:val="00A9310C"/>
    <w:rsid w:val="00A9317B"/>
    <w:rsid w:val="00A931ED"/>
    <w:rsid w:val="00A93339"/>
    <w:rsid w:val="00A933E3"/>
    <w:rsid w:val="00A93461"/>
    <w:rsid w:val="00A934AD"/>
    <w:rsid w:val="00A93531"/>
    <w:rsid w:val="00A93578"/>
    <w:rsid w:val="00A93693"/>
    <w:rsid w:val="00A936C3"/>
    <w:rsid w:val="00A93712"/>
    <w:rsid w:val="00A937B7"/>
    <w:rsid w:val="00A939B0"/>
    <w:rsid w:val="00A93A8B"/>
    <w:rsid w:val="00A93B0B"/>
    <w:rsid w:val="00A93C15"/>
    <w:rsid w:val="00A93CC4"/>
    <w:rsid w:val="00A93CCB"/>
    <w:rsid w:val="00A93CEA"/>
    <w:rsid w:val="00A93D8A"/>
    <w:rsid w:val="00A93DEF"/>
    <w:rsid w:val="00A93DF1"/>
    <w:rsid w:val="00A93E6D"/>
    <w:rsid w:val="00A93E78"/>
    <w:rsid w:val="00A93EC8"/>
    <w:rsid w:val="00A93EE1"/>
    <w:rsid w:val="00A93EFC"/>
    <w:rsid w:val="00A93F62"/>
    <w:rsid w:val="00A940B0"/>
    <w:rsid w:val="00A940D6"/>
    <w:rsid w:val="00A940F7"/>
    <w:rsid w:val="00A94225"/>
    <w:rsid w:val="00A9424D"/>
    <w:rsid w:val="00A942D4"/>
    <w:rsid w:val="00A9437D"/>
    <w:rsid w:val="00A94381"/>
    <w:rsid w:val="00A945A1"/>
    <w:rsid w:val="00A945D6"/>
    <w:rsid w:val="00A94623"/>
    <w:rsid w:val="00A94689"/>
    <w:rsid w:val="00A946BF"/>
    <w:rsid w:val="00A94727"/>
    <w:rsid w:val="00A94743"/>
    <w:rsid w:val="00A94745"/>
    <w:rsid w:val="00A94757"/>
    <w:rsid w:val="00A94759"/>
    <w:rsid w:val="00A94770"/>
    <w:rsid w:val="00A94787"/>
    <w:rsid w:val="00A94797"/>
    <w:rsid w:val="00A9488A"/>
    <w:rsid w:val="00A948EC"/>
    <w:rsid w:val="00A94901"/>
    <w:rsid w:val="00A9490B"/>
    <w:rsid w:val="00A94951"/>
    <w:rsid w:val="00A949C8"/>
    <w:rsid w:val="00A94A17"/>
    <w:rsid w:val="00A94A81"/>
    <w:rsid w:val="00A94AE0"/>
    <w:rsid w:val="00A94B29"/>
    <w:rsid w:val="00A94C2B"/>
    <w:rsid w:val="00A94C32"/>
    <w:rsid w:val="00A94DC2"/>
    <w:rsid w:val="00A94F63"/>
    <w:rsid w:val="00A9514D"/>
    <w:rsid w:val="00A95234"/>
    <w:rsid w:val="00A952D0"/>
    <w:rsid w:val="00A952E4"/>
    <w:rsid w:val="00A9535A"/>
    <w:rsid w:val="00A95508"/>
    <w:rsid w:val="00A9553A"/>
    <w:rsid w:val="00A9554C"/>
    <w:rsid w:val="00A9558B"/>
    <w:rsid w:val="00A955AA"/>
    <w:rsid w:val="00A955C0"/>
    <w:rsid w:val="00A955F6"/>
    <w:rsid w:val="00A95745"/>
    <w:rsid w:val="00A957CD"/>
    <w:rsid w:val="00A9582F"/>
    <w:rsid w:val="00A95876"/>
    <w:rsid w:val="00A9587B"/>
    <w:rsid w:val="00A9591A"/>
    <w:rsid w:val="00A9596B"/>
    <w:rsid w:val="00A95973"/>
    <w:rsid w:val="00A95977"/>
    <w:rsid w:val="00A95AC0"/>
    <w:rsid w:val="00A95B7F"/>
    <w:rsid w:val="00A95B96"/>
    <w:rsid w:val="00A95DAF"/>
    <w:rsid w:val="00A95E9C"/>
    <w:rsid w:val="00A95E9E"/>
    <w:rsid w:val="00A95EAA"/>
    <w:rsid w:val="00A95FD5"/>
    <w:rsid w:val="00A95FE8"/>
    <w:rsid w:val="00A9602F"/>
    <w:rsid w:val="00A96152"/>
    <w:rsid w:val="00A961A8"/>
    <w:rsid w:val="00A961B1"/>
    <w:rsid w:val="00A961D5"/>
    <w:rsid w:val="00A962B4"/>
    <w:rsid w:val="00A9633F"/>
    <w:rsid w:val="00A9653E"/>
    <w:rsid w:val="00A9668D"/>
    <w:rsid w:val="00A966C4"/>
    <w:rsid w:val="00A96718"/>
    <w:rsid w:val="00A96847"/>
    <w:rsid w:val="00A9685F"/>
    <w:rsid w:val="00A969BC"/>
    <w:rsid w:val="00A96B08"/>
    <w:rsid w:val="00A96B13"/>
    <w:rsid w:val="00A96D42"/>
    <w:rsid w:val="00A96DB4"/>
    <w:rsid w:val="00A96DC8"/>
    <w:rsid w:val="00A96EA7"/>
    <w:rsid w:val="00A96FA1"/>
    <w:rsid w:val="00A96FD2"/>
    <w:rsid w:val="00A970AE"/>
    <w:rsid w:val="00A970E8"/>
    <w:rsid w:val="00A9715D"/>
    <w:rsid w:val="00A97237"/>
    <w:rsid w:val="00A97280"/>
    <w:rsid w:val="00A972A3"/>
    <w:rsid w:val="00A972B3"/>
    <w:rsid w:val="00A97364"/>
    <w:rsid w:val="00A9742C"/>
    <w:rsid w:val="00A97437"/>
    <w:rsid w:val="00A974C3"/>
    <w:rsid w:val="00A974EA"/>
    <w:rsid w:val="00A97563"/>
    <w:rsid w:val="00A97566"/>
    <w:rsid w:val="00A975E6"/>
    <w:rsid w:val="00A97606"/>
    <w:rsid w:val="00A97607"/>
    <w:rsid w:val="00A97696"/>
    <w:rsid w:val="00A976B0"/>
    <w:rsid w:val="00A97783"/>
    <w:rsid w:val="00A977E9"/>
    <w:rsid w:val="00A9780E"/>
    <w:rsid w:val="00A9786D"/>
    <w:rsid w:val="00A978C6"/>
    <w:rsid w:val="00A97931"/>
    <w:rsid w:val="00A979AA"/>
    <w:rsid w:val="00A979B2"/>
    <w:rsid w:val="00A97B1C"/>
    <w:rsid w:val="00A97C6A"/>
    <w:rsid w:val="00A97D60"/>
    <w:rsid w:val="00A97D82"/>
    <w:rsid w:val="00A97DA8"/>
    <w:rsid w:val="00A97E0D"/>
    <w:rsid w:val="00A97EB1"/>
    <w:rsid w:val="00A97F1B"/>
    <w:rsid w:val="00AA000E"/>
    <w:rsid w:val="00AA005C"/>
    <w:rsid w:val="00AA0070"/>
    <w:rsid w:val="00AA0084"/>
    <w:rsid w:val="00AA011C"/>
    <w:rsid w:val="00AA01DA"/>
    <w:rsid w:val="00AA045D"/>
    <w:rsid w:val="00AA04C7"/>
    <w:rsid w:val="00AA0558"/>
    <w:rsid w:val="00AA057F"/>
    <w:rsid w:val="00AA0592"/>
    <w:rsid w:val="00AA05B9"/>
    <w:rsid w:val="00AA05C2"/>
    <w:rsid w:val="00AA0759"/>
    <w:rsid w:val="00AA081E"/>
    <w:rsid w:val="00AA08AE"/>
    <w:rsid w:val="00AA09C0"/>
    <w:rsid w:val="00AA0A20"/>
    <w:rsid w:val="00AA0AAF"/>
    <w:rsid w:val="00AA0BAB"/>
    <w:rsid w:val="00AA0BCC"/>
    <w:rsid w:val="00AA0BF3"/>
    <w:rsid w:val="00AA0C47"/>
    <w:rsid w:val="00AA0C61"/>
    <w:rsid w:val="00AA0D51"/>
    <w:rsid w:val="00AA0DCB"/>
    <w:rsid w:val="00AA0E21"/>
    <w:rsid w:val="00AA0E40"/>
    <w:rsid w:val="00AA0E8C"/>
    <w:rsid w:val="00AA1055"/>
    <w:rsid w:val="00AA10A6"/>
    <w:rsid w:val="00AA1132"/>
    <w:rsid w:val="00AA1433"/>
    <w:rsid w:val="00AA1451"/>
    <w:rsid w:val="00AA14F1"/>
    <w:rsid w:val="00AA15BB"/>
    <w:rsid w:val="00AA15C7"/>
    <w:rsid w:val="00AA1704"/>
    <w:rsid w:val="00AA1733"/>
    <w:rsid w:val="00AA1944"/>
    <w:rsid w:val="00AA19A1"/>
    <w:rsid w:val="00AA19FA"/>
    <w:rsid w:val="00AA1A72"/>
    <w:rsid w:val="00AA1B7B"/>
    <w:rsid w:val="00AA1BF7"/>
    <w:rsid w:val="00AA1D44"/>
    <w:rsid w:val="00AA1DF7"/>
    <w:rsid w:val="00AA1E39"/>
    <w:rsid w:val="00AA2076"/>
    <w:rsid w:val="00AA218D"/>
    <w:rsid w:val="00AA2199"/>
    <w:rsid w:val="00AA21EA"/>
    <w:rsid w:val="00AA2205"/>
    <w:rsid w:val="00AA2237"/>
    <w:rsid w:val="00AA231B"/>
    <w:rsid w:val="00AA2336"/>
    <w:rsid w:val="00AA23D0"/>
    <w:rsid w:val="00AA24DC"/>
    <w:rsid w:val="00AA2574"/>
    <w:rsid w:val="00AA25B4"/>
    <w:rsid w:val="00AA260D"/>
    <w:rsid w:val="00AA2643"/>
    <w:rsid w:val="00AA2660"/>
    <w:rsid w:val="00AA2689"/>
    <w:rsid w:val="00AA26F3"/>
    <w:rsid w:val="00AA2722"/>
    <w:rsid w:val="00AA272C"/>
    <w:rsid w:val="00AA27A4"/>
    <w:rsid w:val="00AA28C6"/>
    <w:rsid w:val="00AA295E"/>
    <w:rsid w:val="00AA29F0"/>
    <w:rsid w:val="00AA2A5A"/>
    <w:rsid w:val="00AA2A9F"/>
    <w:rsid w:val="00AA2ABD"/>
    <w:rsid w:val="00AA2AC5"/>
    <w:rsid w:val="00AA2AF5"/>
    <w:rsid w:val="00AA2B7C"/>
    <w:rsid w:val="00AA2C6B"/>
    <w:rsid w:val="00AA2C6C"/>
    <w:rsid w:val="00AA2C70"/>
    <w:rsid w:val="00AA2C8A"/>
    <w:rsid w:val="00AA2CB4"/>
    <w:rsid w:val="00AA2EF2"/>
    <w:rsid w:val="00AA2F3F"/>
    <w:rsid w:val="00AA2FAD"/>
    <w:rsid w:val="00AA3012"/>
    <w:rsid w:val="00AA3066"/>
    <w:rsid w:val="00AA318E"/>
    <w:rsid w:val="00AA31D9"/>
    <w:rsid w:val="00AA3472"/>
    <w:rsid w:val="00AA34F2"/>
    <w:rsid w:val="00AA3564"/>
    <w:rsid w:val="00AA35EF"/>
    <w:rsid w:val="00AA3780"/>
    <w:rsid w:val="00AA3898"/>
    <w:rsid w:val="00AA3971"/>
    <w:rsid w:val="00AA3986"/>
    <w:rsid w:val="00AA39B5"/>
    <w:rsid w:val="00AA3AA2"/>
    <w:rsid w:val="00AA3AA6"/>
    <w:rsid w:val="00AA3AEB"/>
    <w:rsid w:val="00AA3B19"/>
    <w:rsid w:val="00AA3B53"/>
    <w:rsid w:val="00AA3B56"/>
    <w:rsid w:val="00AA3BCE"/>
    <w:rsid w:val="00AA3BDB"/>
    <w:rsid w:val="00AA3C2A"/>
    <w:rsid w:val="00AA3C67"/>
    <w:rsid w:val="00AA3C74"/>
    <w:rsid w:val="00AA3C99"/>
    <w:rsid w:val="00AA3D92"/>
    <w:rsid w:val="00AA3E34"/>
    <w:rsid w:val="00AA3ECF"/>
    <w:rsid w:val="00AA4088"/>
    <w:rsid w:val="00AA42C3"/>
    <w:rsid w:val="00AA434E"/>
    <w:rsid w:val="00AA4434"/>
    <w:rsid w:val="00AA445C"/>
    <w:rsid w:val="00AA4497"/>
    <w:rsid w:val="00AA4516"/>
    <w:rsid w:val="00AA4597"/>
    <w:rsid w:val="00AA45CF"/>
    <w:rsid w:val="00AA465E"/>
    <w:rsid w:val="00AA46C7"/>
    <w:rsid w:val="00AA4724"/>
    <w:rsid w:val="00AA4734"/>
    <w:rsid w:val="00AA4766"/>
    <w:rsid w:val="00AA47A7"/>
    <w:rsid w:val="00AA47C1"/>
    <w:rsid w:val="00AA4875"/>
    <w:rsid w:val="00AA487C"/>
    <w:rsid w:val="00AA4893"/>
    <w:rsid w:val="00AA4944"/>
    <w:rsid w:val="00AA49B0"/>
    <w:rsid w:val="00AA4A53"/>
    <w:rsid w:val="00AA4A88"/>
    <w:rsid w:val="00AA4AAC"/>
    <w:rsid w:val="00AA4AF0"/>
    <w:rsid w:val="00AA4B17"/>
    <w:rsid w:val="00AA4B59"/>
    <w:rsid w:val="00AA4B71"/>
    <w:rsid w:val="00AA4BCE"/>
    <w:rsid w:val="00AA4C3E"/>
    <w:rsid w:val="00AA4C54"/>
    <w:rsid w:val="00AA4C60"/>
    <w:rsid w:val="00AA4C8A"/>
    <w:rsid w:val="00AA4CCD"/>
    <w:rsid w:val="00AA4DAC"/>
    <w:rsid w:val="00AA4DC0"/>
    <w:rsid w:val="00AA4E61"/>
    <w:rsid w:val="00AA4EAA"/>
    <w:rsid w:val="00AA4EEA"/>
    <w:rsid w:val="00AA50D4"/>
    <w:rsid w:val="00AA5146"/>
    <w:rsid w:val="00AA51D1"/>
    <w:rsid w:val="00AA533A"/>
    <w:rsid w:val="00AA53AC"/>
    <w:rsid w:val="00AA5439"/>
    <w:rsid w:val="00AA5480"/>
    <w:rsid w:val="00AA54A4"/>
    <w:rsid w:val="00AA5575"/>
    <w:rsid w:val="00AA55EF"/>
    <w:rsid w:val="00AA56DC"/>
    <w:rsid w:val="00AA56FB"/>
    <w:rsid w:val="00AA5828"/>
    <w:rsid w:val="00AA5941"/>
    <w:rsid w:val="00AA5944"/>
    <w:rsid w:val="00AA59E8"/>
    <w:rsid w:val="00AA5A77"/>
    <w:rsid w:val="00AA5ADF"/>
    <w:rsid w:val="00AA5B95"/>
    <w:rsid w:val="00AA5BD4"/>
    <w:rsid w:val="00AA5BFE"/>
    <w:rsid w:val="00AA5CD0"/>
    <w:rsid w:val="00AA5D6E"/>
    <w:rsid w:val="00AA5DC2"/>
    <w:rsid w:val="00AA5E42"/>
    <w:rsid w:val="00AA5E85"/>
    <w:rsid w:val="00AA5F6C"/>
    <w:rsid w:val="00AA6006"/>
    <w:rsid w:val="00AA6173"/>
    <w:rsid w:val="00AA620E"/>
    <w:rsid w:val="00AA624A"/>
    <w:rsid w:val="00AA62E1"/>
    <w:rsid w:val="00AA6330"/>
    <w:rsid w:val="00AA63B2"/>
    <w:rsid w:val="00AA6489"/>
    <w:rsid w:val="00AA64BE"/>
    <w:rsid w:val="00AA64E1"/>
    <w:rsid w:val="00AA6564"/>
    <w:rsid w:val="00AA6572"/>
    <w:rsid w:val="00AA659D"/>
    <w:rsid w:val="00AA667B"/>
    <w:rsid w:val="00AA66E2"/>
    <w:rsid w:val="00AA675A"/>
    <w:rsid w:val="00AA6839"/>
    <w:rsid w:val="00AA6878"/>
    <w:rsid w:val="00AA689B"/>
    <w:rsid w:val="00AA6938"/>
    <w:rsid w:val="00AA69CA"/>
    <w:rsid w:val="00AA69EA"/>
    <w:rsid w:val="00AA6A6C"/>
    <w:rsid w:val="00AA6BA3"/>
    <w:rsid w:val="00AA6BC0"/>
    <w:rsid w:val="00AA6CB0"/>
    <w:rsid w:val="00AA6CB7"/>
    <w:rsid w:val="00AA6D1F"/>
    <w:rsid w:val="00AA6DDA"/>
    <w:rsid w:val="00AA6EC2"/>
    <w:rsid w:val="00AA6EE4"/>
    <w:rsid w:val="00AA6EF9"/>
    <w:rsid w:val="00AA6F98"/>
    <w:rsid w:val="00AA7020"/>
    <w:rsid w:val="00AA702C"/>
    <w:rsid w:val="00AA704A"/>
    <w:rsid w:val="00AA710E"/>
    <w:rsid w:val="00AA71F1"/>
    <w:rsid w:val="00AA7283"/>
    <w:rsid w:val="00AA72AC"/>
    <w:rsid w:val="00AA73A6"/>
    <w:rsid w:val="00AA7412"/>
    <w:rsid w:val="00AA744D"/>
    <w:rsid w:val="00AA7558"/>
    <w:rsid w:val="00AA765C"/>
    <w:rsid w:val="00AA7736"/>
    <w:rsid w:val="00AA7777"/>
    <w:rsid w:val="00AA777D"/>
    <w:rsid w:val="00AA7871"/>
    <w:rsid w:val="00AA78EC"/>
    <w:rsid w:val="00AA7928"/>
    <w:rsid w:val="00AA7A54"/>
    <w:rsid w:val="00AA7B10"/>
    <w:rsid w:val="00AA7B48"/>
    <w:rsid w:val="00AA7CF4"/>
    <w:rsid w:val="00AA7D26"/>
    <w:rsid w:val="00AA7DBD"/>
    <w:rsid w:val="00AA7DC9"/>
    <w:rsid w:val="00AA7E85"/>
    <w:rsid w:val="00AA7EBE"/>
    <w:rsid w:val="00AB002D"/>
    <w:rsid w:val="00AB0032"/>
    <w:rsid w:val="00AB0049"/>
    <w:rsid w:val="00AB00D2"/>
    <w:rsid w:val="00AB00E6"/>
    <w:rsid w:val="00AB0181"/>
    <w:rsid w:val="00AB0284"/>
    <w:rsid w:val="00AB0332"/>
    <w:rsid w:val="00AB037F"/>
    <w:rsid w:val="00AB0396"/>
    <w:rsid w:val="00AB0629"/>
    <w:rsid w:val="00AB068D"/>
    <w:rsid w:val="00AB07AF"/>
    <w:rsid w:val="00AB07B3"/>
    <w:rsid w:val="00AB081C"/>
    <w:rsid w:val="00AB084A"/>
    <w:rsid w:val="00AB0972"/>
    <w:rsid w:val="00AB0977"/>
    <w:rsid w:val="00AB0A6A"/>
    <w:rsid w:val="00AB0B1D"/>
    <w:rsid w:val="00AB0B73"/>
    <w:rsid w:val="00AB0BE5"/>
    <w:rsid w:val="00AB0C23"/>
    <w:rsid w:val="00AB0C74"/>
    <w:rsid w:val="00AB0E0C"/>
    <w:rsid w:val="00AB0E65"/>
    <w:rsid w:val="00AB0F34"/>
    <w:rsid w:val="00AB0F8C"/>
    <w:rsid w:val="00AB0FF9"/>
    <w:rsid w:val="00AB1025"/>
    <w:rsid w:val="00AB105B"/>
    <w:rsid w:val="00AB10C1"/>
    <w:rsid w:val="00AB10D7"/>
    <w:rsid w:val="00AB10E9"/>
    <w:rsid w:val="00AB117B"/>
    <w:rsid w:val="00AB11CC"/>
    <w:rsid w:val="00AB12AF"/>
    <w:rsid w:val="00AB12D7"/>
    <w:rsid w:val="00AB1370"/>
    <w:rsid w:val="00AB144F"/>
    <w:rsid w:val="00AB1693"/>
    <w:rsid w:val="00AB1742"/>
    <w:rsid w:val="00AB174A"/>
    <w:rsid w:val="00AB1759"/>
    <w:rsid w:val="00AB186A"/>
    <w:rsid w:val="00AB19B5"/>
    <w:rsid w:val="00AB1B6B"/>
    <w:rsid w:val="00AB1C73"/>
    <w:rsid w:val="00AB1C8F"/>
    <w:rsid w:val="00AB1C97"/>
    <w:rsid w:val="00AB1DA7"/>
    <w:rsid w:val="00AB1E0A"/>
    <w:rsid w:val="00AB1E5A"/>
    <w:rsid w:val="00AB1F85"/>
    <w:rsid w:val="00AB2008"/>
    <w:rsid w:val="00AB2060"/>
    <w:rsid w:val="00AB20B2"/>
    <w:rsid w:val="00AB2168"/>
    <w:rsid w:val="00AB2183"/>
    <w:rsid w:val="00AB2186"/>
    <w:rsid w:val="00AB22CF"/>
    <w:rsid w:val="00AB230E"/>
    <w:rsid w:val="00AB2465"/>
    <w:rsid w:val="00AB24B8"/>
    <w:rsid w:val="00AB2586"/>
    <w:rsid w:val="00AB263C"/>
    <w:rsid w:val="00AB263F"/>
    <w:rsid w:val="00AB2677"/>
    <w:rsid w:val="00AB268B"/>
    <w:rsid w:val="00AB27C2"/>
    <w:rsid w:val="00AB27DB"/>
    <w:rsid w:val="00AB287A"/>
    <w:rsid w:val="00AB28ED"/>
    <w:rsid w:val="00AB290B"/>
    <w:rsid w:val="00AB2951"/>
    <w:rsid w:val="00AB2A29"/>
    <w:rsid w:val="00AB2B22"/>
    <w:rsid w:val="00AB2BB2"/>
    <w:rsid w:val="00AB2CBB"/>
    <w:rsid w:val="00AB2D68"/>
    <w:rsid w:val="00AB2DC5"/>
    <w:rsid w:val="00AB2E25"/>
    <w:rsid w:val="00AB2F1B"/>
    <w:rsid w:val="00AB2F43"/>
    <w:rsid w:val="00AB3046"/>
    <w:rsid w:val="00AB305C"/>
    <w:rsid w:val="00AB3077"/>
    <w:rsid w:val="00AB30A9"/>
    <w:rsid w:val="00AB30DC"/>
    <w:rsid w:val="00AB3124"/>
    <w:rsid w:val="00AB328D"/>
    <w:rsid w:val="00AB338E"/>
    <w:rsid w:val="00AB35AF"/>
    <w:rsid w:val="00AB35D1"/>
    <w:rsid w:val="00AB3642"/>
    <w:rsid w:val="00AB3646"/>
    <w:rsid w:val="00AB3764"/>
    <w:rsid w:val="00AB3815"/>
    <w:rsid w:val="00AB38C3"/>
    <w:rsid w:val="00AB394A"/>
    <w:rsid w:val="00AB3A12"/>
    <w:rsid w:val="00AB3AB6"/>
    <w:rsid w:val="00AB3AE3"/>
    <w:rsid w:val="00AB3B5A"/>
    <w:rsid w:val="00AB3BCC"/>
    <w:rsid w:val="00AB3BED"/>
    <w:rsid w:val="00AB3D73"/>
    <w:rsid w:val="00AB3DA5"/>
    <w:rsid w:val="00AB3DEF"/>
    <w:rsid w:val="00AB3E40"/>
    <w:rsid w:val="00AB3F73"/>
    <w:rsid w:val="00AB40B8"/>
    <w:rsid w:val="00AB4140"/>
    <w:rsid w:val="00AB4196"/>
    <w:rsid w:val="00AB4234"/>
    <w:rsid w:val="00AB438D"/>
    <w:rsid w:val="00AB4457"/>
    <w:rsid w:val="00AB44C5"/>
    <w:rsid w:val="00AB45EE"/>
    <w:rsid w:val="00AB4684"/>
    <w:rsid w:val="00AB477F"/>
    <w:rsid w:val="00AB489E"/>
    <w:rsid w:val="00AB491D"/>
    <w:rsid w:val="00AB4A13"/>
    <w:rsid w:val="00AB4A6B"/>
    <w:rsid w:val="00AB4A6E"/>
    <w:rsid w:val="00AB4A80"/>
    <w:rsid w:val="00AB4AC6"/>
    <w:rsid w:val="00AB4AF8"/>
    <w:rsid w:val="00AB4B6B"/>
    <w:rsid w:val="00AB4BAE"/>
    <w:rsid w:val="00AB4BDC"/>
    <w:rsid w:val="00AB4C3F"/>
    <w:rsid w:val="00AB4C74"/>
    <w:rsid w:val="00AB4CCC"/>
    <w:rsid w:val="00AB4D24"/>
    <w:rsid w:val="00AB4D95"/>
    <w:rsid w:val="00AB4D9A"/>
    <w:rsid w:val="00AB4DBC"/>
    <w:rsid w:val="00AB4E22"/>
    <w:rsid w:val="00AB4F1B"/>
    <w:rsid w:val="00AB4FFC"/>
    <w:rsid w:val="00AB51CA"/>
    <w:rsid w:val="00AB5248"/>
    <w:rsid w:val="00AB5251"/>
    <w:rsid w:val="00AB534B"/>
    <w:rsid w:val="00AB53FC"/>
    <w:rsid w:val="00AB54DB"/>
    <w:rsid w:val="00AB54E7"/>
    <w:rsid w:val="00AB54FB"/>
    <w:rsid w:val="00AB55A0"/>
    <w:rsid w:val="00AB55C0"/>
    <w:rsid w:val="00AB55DD"/>
    <w:rsid w:val="00AB55FF"/>
    <w:rsid w:val="00AB5664"/>
    <w:rsid w:val="00AB56F8"/>
    <w:rsid w:val="00AB57D9"/>
    <w:rsid w:val="00AB582E"/>
    <w:rsid w:val="00AB5894"/>
    <w:rsid w:val="00AB58D1"/>
    <w:rsid w:val="00AB5906"/>
    <w:rsid w:val="00AB5969"/>
    <w:rsid w:val="00AB5975"/>
    <w:rsid w:val="00AB59E5"/>
    <w:rsid w:val="00AB5A27"/>
    <w:rsid w:val="00AB5A2B"/>
    <w:rsid w:val="00AB5A69"/>
    <w:rsid w:val="00AB5B41"/>
    <w:rsid w:val="00AB5C86"/>
    <w:rsid w:val="00AB5D31"/>
    <w:rsid w:val="00AB5DCD"/>
    <w:rsid w:val="00AB5DEF"/>
    <w:rsid w:val="00AB5E51"/>
    <w:rsid w:val="00AB5ECE"/>
    <w:rsid w:val="00AB5ED5"/>
    <w:rsid w:val="00AB5FF0"/>
    <w:rsid w:val="00AB6061"/>
    <w:rsid w:val="00AB60B6"/>
    <w:rsid w:val="00AB6102"/>
    <w:rsid w:val="00AB6129"/>
    <w:rsid w:val="00AB6224"/>
    <w:rsid w:val="00AB62B7"/>
    <w:rsid w:val="00AB63A9"/>
    <w:rsid w:val="00AB63D7"/>
    <w:rsid w:val="00AB63E5"/>
    <w:rsid w:val="00AB6410"/>
    <w:rsid w:val="00AB6495"/>
    <w:rsid w:val="00AB64A0"/>
    <w:rsid w:val="00AB64D2"/>
    <w:rsid w:val="00AB64E8"/>
    <w:rsid w:val="00AB652D"/>
    <w:rsid w:val="00AB6658"/>
    <w:rsid w:val="00AB6669"/>
    <w:rsid w:val="00AB6719"/>
    <w:rsid w:val="00AB67C0"/>
    <w:rsid w:val="00AB6818"/>
    <w:rsid w:val="00AB6878"/>
    <w:rsid w:val="00AB6886"/>
    <w:rsid w:val="00AB688C"/>
    <w:rsid w:val="00AB68A3"/>
    <w:rsid w:val="00AB6969"/>
    <w:rsid w:val="00AB6A46"/>
    <w:rsid w:val="00AB6BCE"/>
    <w:rsid w:val="00AB6C0E"/>
    <w:rsid w:val="00AB6CC1"/>
    <w:rsid w:val="00AB6EFE"/>
    <w:rsid w:val="00AB6F26"/>
    <w:rsid w:val="00AB6F39"/>
    <w:rsid w:val="00AB6F48"/>
    <w:rsid w:val="00AB6F4D"/>
    <w:rsid w:val="00AB7028"/>
    <w:rsid w:val="00AB70A4"/>
    <w:rsid w:val="00AB70C2"/>
    <w:rsid w:val="00AB70F7"/>
    <w:rsid w:val="00AB7176"/>
    <w:rsid w:val="00AB71EA"/>
    <w:rsid w:val="00AB729F"/>
    <w:rsid w:val="00AB72C5"/>
    <w:rsid w:val="00AB72FF"/>
    <w:rsid w:val="00AB737E"/>
    <w:rsid w:val="00AB73EB"/>
    <w:rsid w:val="00AB7581"/>
    <w:rsid w:val="00AB7645"/>
    <w:rsid w:val="00AB7776"/>
    <w:rsid w:val="00AB7790"/>
    <w:rsid w:val="00AB77A4"/>
    <w:rsid w:val="00AB77E1"/>
    <w:rsid w:val="00AB7826"/>
    <w:rsid w:val="00AB78E6"/>
    <w:rsid w:val="00AB78E8"/>
    <w:rsid w:val="00AB7962"/>
    <w:rsid w:val="00AB7A94"/>
    <w:rsid w:val="00AB7B57"/>
    <w:rsid w:val="00AB7B71"/>
    <w:rsid w:val="00AB7CA4"/>
    <w:rsid w:val="00AB7E73"/>
    <w:rsid w:val="00AB7EF9"/>
    <w:rsid w:val="00AB7F85"/>
    <w:rsid w:val="00AC00BC"/>
    <w:rsid w:val="00AC00CF"/>
    <w:rsid w:val="00AC0110"/>
    <w:rsid w:val="00AC01AB"/>
    <w:rsid w:val="00AC02A4"/>
    <w:rsid w:val="00AC02D2"/>
    <w:rsid w:val="00AC037F"/>
    <w:rsid w:val="00AC0394"/>
    <w:rsid w:val="00AC03C3"/>
    <w:rsid w:val="00AC03F7"/>
    <w:rsid w:val="00AC04B9"/>
    <w:rsid w:val="00AC04BB"/>
    <w:rsid w:val="00AC04C4"/>
    <w:rsid w:val="00AC0518"/>
    <w:rsid w:val="00AC0558"/>
    <w:rsid w:val="00AC0561"/>
    <w:rsid w:val="00AC05D2"/>
    <w:rsid w:val="00AC063C"/>
    <w:rsid w:val="00AC06D5"/>
    <w:rsid w:val="00AC06D7"/>
    <w:rsid w:val="00AC06F7"/>
    <w:rsid w:val="00AC0712"/>
    <w:rsid w:val="00AC073C"/>
    <w:rsid w:val="00AC074E"/>
    <w:rsid w:val="00AC076D"/>
    <w:rsid w:val="00AC07D9"/>
    <w:rsid w:val="00AC0916"/>
    <w:rsid w:val="00AC0943"/>
    <w:rsid w:val="00AC0952"/>
    <w:rsid w:val="00AC09E0"/>
    <w:rsid w:val="00AC0AB7"/>
    <w:rsid w:val="00AC0ACF"/>
    <w:rsid w:val="00AC0B2F"/>
    <w:rsid w:val="00AC0C70"/>
    <w:rsid w:val="00AC0D48"/>
    <w:rsid w:val="00AC0DE7"/>
    <w:rsid w:val="00AC0E49"/>
    <w:rsid w:val="00AC0E6C"/>
    <w:rsid w:val="00AC0E79"/>
    <w:rsid w:val="00AC0EFF"/>
    <w:rsid w:val="00AC0F4D"/>
    <w:rsid w:val="00AC0F8F"/>
    <w:rsid w:val="00AC102D"/>
    <w:rsid w:val="00AC1064"/>
    <w:rsid w:val="00AC10C2"/>
    <w:rsid w:val="00AC1126"/>
    <w:rsid w:val="00AC11B0"/>
    <w:rsid w:val="00AC121B"/>
    <w:rsid w:val="00AC12A4"/>
    <w:rsid w:val="00AC12A7"/>
    <w:rsid w:val="00AC1378"/>
    <w:rsid w:val="00AC1457"/>
    <w:rsid w:val="00AC160D"/>
    <w:rsid w:val="00AC1633"/>
    <w:rsid w:val="00AC17ED"/>
    <w:rsid w:val="00AC1848"/>
    <w:rsid w:val="00AC185A"/>
    <w:rsid w:val="00AC199B"/>
    <w:rsid w:val="00AC1A41"/>
    <w:rsid w:val="00AC1ACD"/>
    <w:rsid w:val="00AC1AFD"/>
    <w:rsid w:val="00AC1CCF"/>
    <w:rsid w:val="00AC1D0E"/>
    <w:rsid w:val="00AC1D15"/>
    <w:rsid w:val="00AC1D48"/>
    <w:rsid w:val="00AC1DBD"/>
    <w:rsid w:val="00AC1DCB"/>
    <w:rsid w:val="00AC1DFB"/>
    <w:rsid w:val="00AC1E16"/>
    <w:rsid w:val="00AC1E6D"/>
    <w:rsid w:val="00AC1ED5"/>
    <w:rsid w:val="00AC1F2D"/>
    <w:rsid w:val="00AC1F65"/>
    <w:rsid w:val="00AC1F9E"/>
    <w:rsid w:val="00AC1FF1"/>
    <w:rsid w:val="00AC20A6"/>
    <w:rsid w:val="00AC2111"/>
    <w:rsid w:val="00AC2219"/>
    <w:rsid w:val="00AC224D"/>
    <w:rsid w:val="00AC2254"/>
    <w:rsid w:val="00AC22AA"/>
    <w:rsid w:val="00AC235A"/>
    <w:rsid w:val="00AC2375"/>
    <w:rsid w:val="00AC240C"/>
    <w:rsid w:val="00AC24BE"/>
    <w:rsid w:val="00AC24D8"/>
    <w:rsid w:val="00AC24F1"/>
    <w:rsid w:val="00AC2536"/>
    <w:rsid w:val="00AC2595"/>
    <w:rsid w:val="00AC25DC"/>
    <w:rsid w:val="00AC2605"/>
    <w:rsid w:val="00AC2631"/>
    <w:rsid w:val="00AC26FA"/>
    <w:rsid w:val="00AC2777"/>
    <w:rsid w:val="00AC28D9"/>
    <w:rsid w:val="00AC28DE"/>
    <w:rsid w:val="00AC2914"/>
    <w:rsid w:val="00AC295C"/>
    <w:rsid w:val="00AC29B9"/>
    <w:rsid w:val="00AC2A93"/>
    <w:rsid w:val="00AC2B79"/>
    <w:rsid w:val="00AC2B8F"/>
    <w:rsid w:val="00AC2BDA"/>
    <w:rsid w:val="00AC2C37"/>
    <w:rsid w:val="00AC2D0B"/>
    <w:rsid w:val="00AC2D86"/>
    <w:rsid w:val="00AC2E71"/>
    <w:rsid w:val="00AC2F17"/>
    <w:rsid w:val="00AC2FED"/>
    <w:rsid w:val="00AC2FF3"/>
    <w:rsid w:val="00AC3050"/>
    <w:rsid w:val="00AC3077"/>
    <w:rsid w:val="00AC31D9"/>
    <w:rsid w:val="00AC3217"/>
    <w:rsid w:val="00AC322F"/>
    <w:rsid w:val="00AC3242"/>
    <w:rsid w:val="00AC324C"/>
    <w:rsid w:val="00AC3541"/>
    <w:rsid w:val="00AC35EB"/>
    <w:rsid w:val="00AC3641"/>
    <w:rsid w:val="00AC36C2"/>
    <w:rsid w:val="00AC374B"/>
    <w:rsid w:val="00AC375A"/>
    <w:rsid w:val="00AC37A8"/>
    <w:rsid w:val="00AC37B9"/>
    <w:rsid w:val="00AC37C3"/>
    <w:rsid w:val="00AC39C4"/>
    <w:rsid w:val="00AC3A3B"/>
    <w:rsid w:val="00AC3A8B"/>
    <w:rsid w:val="00AC3C61"/>
    <w:rsid w:val="00AC3CA0"/>
    <w:rsid w:val="00AC3DE2"/>
    <w:rsid w:val="00AC3E6B"/>
    <w:rsid w:val="00AC3F1E"/>
    <w:rsid w:val="00AC3F27"/>
    <w:rsid w:val="00AC3FA0"/>
    <w:rsid w:val="00AC4049"/>
    <w:rsid w:val="00AC406A"/>
    <w:rsid w:val="00AC4102"/>
    <w:rsid w:val="00AC4131"/>
    <w:rsid w:val="00AC4145"/>
    <w:rsid w:val="00AC4149"/>
    <w:rsid w:val="00AC4241"/>
    <w:rsid w:val="00AC4255"/>
    <w:rsid w:val="00AC4315"/>
    <w:rsid w:val="00AC43CF"/>
    <w:rsid w:val="00AC43EE"/>
    <w:rsid w:val="00AC4479"/>
    <w:rsid w:val="00AC4589"/>
    <w:rsid w:val="00AC465A"/>
    <w:rsid w:val="00AC4726"/>
    <w:rsid w:val="00AC4738"/>
    <w:rsid w:val="00AC47A5"/>
    <w:rsid w:val="00AC4810"/>
    <w:rsid w:val="00AC483B"/>
    <w:rsid w:val="00AC484D"/>
    <w:rsid w:val="00AC4874"/>
    <w:rsid w:val="00AC4929"/>
    <w:rsid w:val="00AC4940"/>
    <w:rsid w:val="00AC494F"/>
    <w:rsid w:val="00AC49F3"/>
    <w:rsid w:val="00AC4A10"/>
    <w:rsid w:val="00AC4B34"/>
    <w:rsid w:val="00AC4DF1"/>
    <w:rsid w:val="00AC4E27"/>
    <w:rsid w:val="00AC4EAB"/>
    <w:rsid w:val="00AC4F37"/>
    <w:rsid w:val="00AC4FC3"/>
    <w:rsid w:val="00AC5059"/>
    <w:rsid w:val="00AC50E3"/>
    <w:rsid w:val="00AC518B"/>
    <w:rsid w:val="00AC51E5"/>
    <w:rsid w:val="00AC52D9"/>
    <w:rsid w:val="00AC52FD"/>
    <w:rsid w:val="00AC5316"/>
    <w:rsid w:val="00AC534F"/>
    <w:rsid w:val="00AC53DE"/>
    <w:rsid w:val="00AC544A"/>
    <w:rsid w:val="00AC55D8"/>
    <w:rsid w:val="00AC5786"/>
    <w:rsid w:val="00AC57A9"/>
    <w:rsid w:val="00AC57AE"/>
    <w:rsid w:val="00AC57B0"/>
    <w:rsid w:val="00AC59D7"/>
    <w:rsid w:val="00AC5A66"/>
    <w:rsid w:val="00AC5A86"/>
    <w:rsid w:val="00AC5B7D"/>
    <w:rsid w:val="00AC5BBC"/>
    <w:rsid w:val="00AC5BBF"/>
    <w:rsid w:val="00AC5D0B"/>
    <w:rsid w:val="00AC5DEF"/>
    <w:rsid w:val="00AC5E2F"/>
    <w:rsid w:val="00AC5E8A"/>
    <w:rsid w:val="00AC5F6D"/>
    <w:rsid w:val="00AC5F90"/>
    <w:rsid w:val="00AC5FC0"/>
    <w:rsid w:val="00AC600D"/>
    <w:rsid w:val="00AC6138"/>
    <w:rsid w:val="00AC6156"/>
    <w:rsid w:val="00AC61F9"/>
    <w:rsid w:val="00AC624F"/>
    <w:rsid w:val="00AC62C4"/>
    <w:rsid w:val="00AC62D6"/>
    <w:rsid w:val="00AC645C"/>
    <w:rsid w:val="00AC64B1"/>
    <w:rsid w:val="00AC6500"/>
    <w:rsid w:val="00AC6591"/>
    <w:rsid w:val="00AC65EA"/>
    <w:rsid w:val="00AC664D"/>
    <w:rsid w:val="00AC667B"/>
    <w:rsid w:val="00AC6685"/>
    <w:rsid w:val="00AC66F4"/>
    <w:rsid w:val="00AC67CE"/>
    <w:rsid w:val="00AC6808"/>
    <w:rsid w:val="00AC6869"/>
    <w:rsid w:val="00AC6937"/>
    <w:rsid w:val="00AC695C"/>
    <w:rsid w:val="00AC69CE"/>
    <w:rsid w:val="00AC6A5E"/>
    <w:rsid w:val="00AC6AAA"/>
    <w:rsid w:val="00AC6B52"/>
    <w:rsid w:val="00AC6D54"/>
    <w:rsid w:val="00AC6D58"/>
    <w:rsid w:val="00AC6E06"/>
    <w:rsid w:val="00AC6E63"/>
    <w:rsid w:val="00AC6F71"/>
    <w:rsid w:val="00AC6F98"/>
    <w:rsid w:val="00AC6FB4"/>
    <w:rsid w:val="00AC6FDA"/>
    <w:rsid w:val="00AC718C"/>
    <w:rsid w:val="00AC7268"/>
    <w:rsid w:val="00AC726A"/>
    <w:rsid w:val="00AC7283"/>
    <w:rsid w:val="00AC73D1"/>
    <w:rsid w:val="00AC73DD"/>
    <w:rsid w:val="00AC741C"/>
    <w:rsid w:val="00AC744B"/>
    <w:rsid w:val="00AC754E"/>
    <w:rsid w:val="00AC75E7"/>
    <w:rsid w:val="00AC7621"/>
    <w:rsid w:val="00AC7695"/>
    <w:rsid w:val="00AC772B"/>
    <w:rsid w:val="00AC791C"/>
    <w:rsid w:val="00AC7955"/>
    <w:rsid w:val="00AC7983"/>
    <w:rsid w:val="00AC7A27"/>
    <w:rsid w:val="00AC7B01"/>
    <w:rsid w:val="00AC7B7F"/>
    <w:rsid w:val="00AC7B9D"/>
    <w:rsid w:val="00AC7C4A"/>
    <w:rsid w:val="00AC7CD0"/>
    <w:rsid w:val="00AC7CED"/>
    <w:rsid w:val="00AC7CEE"/>
    <w:rsid w:val="00AC7D9E"/>
    <w:rsid w:val="00AC7DAC"/>
    <w:rsid w:val="00AC7DBB"/>
    <w:rsid w:val="00AC7DD4"/>
    <w:rsid w:val="00AC7E30"/>
    <w:rsid w:val="00AC7ED2"/>
    <w:rsid w:val="00AC7F41"/>
    <w:rsid w:val="00AD0016"/>
    <w:rsid w:val="00AD001C"/>
    <w:rsid w:val="00AD001D"/>
    <w:rsid w:val="00AD0066"/>
    <w:rsid w:val="00AD00DA"/>
    <w:rsid w:val="00AD00F2"/>
    <w:rsid w:val="00AD01FA"/>
    <w:rsid w:val="00AD02C7"/>
    <w:rsid w:val="00AD0354"/>
    <w:rsid w:val="00AD0360"/>
    <w:rsid w:val="00AD039E"/>
    <w:rsid w:val="00AD03C4"/>
    <w:rsid w:val="00AD04C5"/>
    <w:rsid w:val="00AD04EF"/>
    <w:rsid w:val="00AD074A"/>
    <w:rsid w:val="00AD07EC"/>
    <w:rsid w:val="00AD0897"/>
    <w:rsid w:val="00AD08BA"/>
    <w:rsid w:val="00AD09F9"/>
    <w:rsid w:val="00AD0A1C"/>
    <w:rsid w:val="00AD0A5F"/>
    <w:rsid w:val="00AD0A90"/>
    <w:rsid w:val="00AD0AAC"/>
    <w:rsid w:val="00AD0B05"/>
    <w:rsid w:val="00AD0C04"/>
    <w:rsid w:val="00AD0CCF"/>
    <w:rsid w:val="00AD0CF8"/>
    <w:rsid w:val="00AD0D47"/>
    <w:rsid w:val="00AD0D5E"/>
    <w:rsid w:val="00AD0DA5"/>
    <w:rsid w:val="00AD0DC4"/>
    <w:rsid w:val="00AD0EEF"/>
    <w:rsid w:val="00AD0EFD"/>
    <w:rsid w:val="00AD0F23"/>
    <w:rsid w:val="00AD0F28"/>
    <w:rsid w:val="00AD0F9E"/>
    <w:rsid w:val="00AD0FAF"/>
    <w:rsid w:val="00AD0FC5"/>
    <w:rsid w:val="00AD1015"/>
    <w:rsid w:val="00AD11B2"/>
    <w:rsid w:val="00AD1203"/>
    <w:rsid w:val="00AD12D0"/>
    <w:rsid w:val="00AD12D4"/>
    <w:rsid w:val="00AD12DB"/>
    <w:rsid w:val="00AD12DF"/>
    <w:rsid w:val="00AD12F6"/>
    <w:rsid w:val="00AD1334"/>
    <w:rsid w:val="00AD13EB"/>
    <w:rsid w:val="00AD141F"/>
    <w:rsid w:val="00AD147A"/>
    <w:rsid w:val="00AD1559"/>
    <w:rsid w:val="00AD15AA"/>
    <w:rsid w:val="00AD1604"/>
    <w:rsid w:val="00AD1674"/>
    <w:rsid w:val="00AD180A"/>
    <w:rsid w:val="00AD1823"/>
    <w:rsid w:val="00AD18CA"/>
    <w:rsid w:val="00AD18DC"/>
    <w:rsid w:val="00AD18FD"/>
    <w:rsid w:val="00AD191F"/>
    <w:rsid w:val="00AD19D4"/>
    <w:rsid w:val="00AD1AA5"/>
    <w:rsid w:val="00AD1B7A"/>
    <w:rsid w:val="00AD1C6F"/>
    <w:rsid w:val="00AD1D1B"/>
    <w:rsid w:val="00AD1DF4"/>
    <w:rsid w:val="00AD1E7A"/>
    <w:rsid w:val="00AD1F89"/>
    <w:rsid w:val="00AD1FD4"/>
    <w:rsid w:val="00AD2144"/>
    <w:rsid w:val="00AD21DE"/>
    <w:rsid w:val="00AD21FD"/>
    <w:rsid w:val="00AD2219"/>
    <w:rsid w:val="00AD229C"/>
    <w:rsid w:val="00AD22F9"/>
    <w:rsid w:val="00AD230C"/>
    <w:rsid w:val="00AD2392"/>
    <w:rsid w:val="00AD23C3"/>
    <w:rsid w:val="00AD23C4"/>
    <w:rsid w:val="00AD23C8"/>
    <w:rsid w:val="00AD2484"/>
    <w:rsid w:val="00AD2490"/>
    <w:rsid w:val="00AD24FC"/>
    <w:rsid w:val="00AD250F"/>
    <w:rsid w:val="00AD25F6"/>
    <w:rsid w:val="00AD265C"/>
    <w:rsid w:val="00AD275A"/>
    <w:rsid w:val="00AD278E"/>
    <w:rsid w:val="00AD27AA"/>
    <w:rsid w:val="00AD2858"/>
    <w:rsid w:val="00AD28F5"/>
    <w:rsid w:val="00AD2966"/>
    <w:rsid w:val="00AD299E"/>
    <w:rsid w:val="00AD29E9"/>
    <w:rsid w:val="00AD2A15"/>
    <w:rsid w:val="00AD2A37"/>
    <w:rsid w:val="00AD2C8F"/>
    <w:rsid w:val="00AD2D53"/>
    <w:rsid w:val="00AD2D6E"/>
    <w:rsid w:val="00AD2E6E"/>
    <w:rsid w:val="00AD2ECA"/>
    <w:rsid w:val="00AD2F6E"/>
    <w:rsid w:val="00AD2FD1"/>
    <w:rsid w:val="00AD30C4"/>
    <w:rsid w:val="00AD31BE"/>
    <w:rsid w:val="00AD326C"/>
    <w:rsid w:val="00AD3353"/>
    <w:rsid w:val="00AD33CD"/>
    <w:rsid w:val="00AD34B0"/>
    <w:rsid w:val="00AD35AD"/>
    <w:rsid w:val="00AD36C7"/>
    <w:rsid w:val="00AD37E2"/>
    <w:rsid w:val="00AD3801"/>
    <w:rsid w:val="00AD3822"/>
    <w:rsid w:val="00AD3826"/>
    <w:rsid w:val="00AD3A03"/>
    <w:rsid w:val="00AD3A44"/>
    <w:rsid w:val="00AD3BAA"/>
    <w:rsid w:val="00AD3BF2"/>
    <w:rsid w:val="00AD3CB0"/>
    <w:rsid w:val="00AD3CC1"/>
    <w:rsid w:val="00AD3E5E"/>
    <w:rsid w:val="00AD3F46"/>
    <w:rsid w:val="00AD3F88"/>
    <w:rsid w:val="00AD3FBF"/>
    <w:rsid w:val="00AD405E"/>
    <w:rsid w:val="00AD40C1"/>
    <w:rsid w:val="00AD41A6"/>
    <w:rsid w:val="00AD41C5"/>
    <w:rsid w:val="00AD4223"/>
    <w:rsid w:val="00AD422C"/>
    <w:rsid w:val="00AD4379"/>
    <w:rsid w:val="00AD43C3"/>
    <w:rsid w:val="00AD4424"/>
    <w:rsid w:val="00AD4482"/>
    <w:rsid w:val="00AD44C3"/>
    <w:rsid w:val="00AD44C8"/>
    <w:rsid w:val="00AD4524"/>
    <w:rsid w:val="00AD4594"/>
    <w:rsid w:val="00AD45BD"/>
    <w:rsid w:val="00AD45D6"/>
    <w:rsid w:val="00AD464C"/>
    <w:rsid w:val="00AD4697"/>
    <w:rsid w:val="00AD469B"/>
    <w:rsid w:val="00AD471C"/>
    <w:rsid w:val="00AD4745"/>
    <w:rsid w:val="00AD491A"/>
    <w:rsid w:val="00AD4945"/>
    <w:rsid w:val="00AD4A66"/>
    <w:rsid w:val="00AD4CB9"/>
    <w:rsid w:val="00AD4D3E"/>
    <w:rsid w:val="00AD4D8C"/>
    <w:rsid w:val="00AD4DCF"/>
    <w:rsid w:val="00AD4DEB"/>
    <w:rsid w:val="00AD4E19"/>
    <w:rsid w:val="00AD501B"/>
    <w:rsid w:val="00AD50A6"/>
    <w:rsid w:val="00AD5103"/>
    <w:rsid w:val="00AD51BC"/>
    <w:rsid w:val="00AD52A3"/>
    <w:rsid w:val="00AD531E"/>
    <w:rsid w:val="00AD535D"/>
    <w:rsid w:val="00AD536F"/>
    <w:rsid w:val="00AD54A0"/>
    <w:rsid w:val="00AD550D"/>
    <w:rsid w:val="00AD5563"/>
    <w:rsid w:val="00AD5578"/>
    <w:rsid w:val="00AD55C4"/>
    <w:rsid w:val="00AD55C9"/>
    <w:rsid w:val="00AD5634"/>
    <w:rsid w:val="00AD5673"/>
    <w:rsid w:val="00AD5805"/>
    <w:rsid w:val="00AD5824"/>
    <w:rsid w:val="00AD5A1D"/>
    <w:rsid w:val="00AD5A6C"/>
    <w:rsid w:val="00AD5A83"/>
    <w:rsid w:val="00AD5AAD"/>
    <w:rsid w:val="00AD5B0B"/>
    <w:rsid w:val="00AD5B64"/>
    <w:rsid w:val="00AD5BE8"/>
    <w:rsid w:val="00AD5C06"/>
    <w:rsid w:val="00AD5C78"/>
    <w:rsid w:val="00AD5CFE"/>
    <w:rsid w:val="00AD5D3A"/>
    <w:rsid w:val="00AD5D87"/>
    <w:rsid w:val="00AD5DAD"/>
    <w:rsid w:val="00AD5E13"/>
    <w:rsid w:val="00AD5F27"/>
    <w:rsid w:val="00AD5F31"/>
    <w:rsid w:val="00AD5F3B"/>
    <w:rsid w:val="00AD601D"/>
    <w:rsid w:val="00AD6102"/>
    <w:rsid w:val="00AD61AA"/>
    <w:rsid w:val="00AD61FB"/>
    <w:rsid w:val="00AD63DB"/>
    <w:rsid w:val="00AD645A"/>
    <w:rsid w:val="00AD64A7"/>
    <w:rsid w:val="00AD64B4"/>
    <w:rsid w:val="00AD663A"/>
    <w:rsid w:val="00AD6679"/>
    <w:rsid w:val="00AD6736"/>
    <w:rsid w:val="00AD6775"/>
    <w:rsid w:val="00AD6778"/>
    <w:rsid w:val="00AD67BE"/>
    <w:rsid w:val="00AD67E1"/>
    <w:rsid w:val="00AD6811"/>
    <w:rsid w:val="00AD681B"/>
    <w:rsid w:val="00AD68DA"/>
    <w:rsid w:val="00AD69AB"/>
    <w:rsid w:val="00AD69E9"/>
    <w:rsid w:val="00AD69F2"/>
    <w:rsid w:val="00AD6B23"/>
    <w:rsid w:val="00AD6B37"/>
    <w:rsid w:val="00AD6BAA"/>
    <w:rsid w:val="00AD6BB1"/>
    <w:rsid w:val="00AD6C4E"/>
    <w:rsid w:val="00AD6C69"/>
    <w:rsid w:val="00AD6C7D"/>
    <w:rsid w:val="00AD6D5A"/>
    <w:rsid w:val="00AD6D70"/>
    <w:rsid w:val="00AD6DCA"/>
    <w:rsid w:val="00AD6DE4"/>
    <w:rsid w:val="00AD6E4B"/>
    <w:rsid w:val="00AD6ED4"/>
    <w:rsid w:val="00AD710B"/>
    <w:rsid w:val="00AD717F"/>
    <w:rsid w:val="00AD71AA"/>
    <w:rsid w:val="00AD71D5"/>
    <w:rsid w:val="00AD723B"/>
    <w:rsid w:val="00AD727D"/>
    <w:rsid w:val="00AD739D"/>
    <w:rsid w:val="00AD73B4"/>
    <w:rsid w:val="00AD73EC"/>
    <w:rsid w:val="00AD73F8"/>
    <w:rsid w:val="00AD747B"/>
    <w:rsid w:val="00AD74CC"/>
    <w:rsid w:val="00AD7576"/>
    <w:rsid w:val="00AD75F4"/>
    <w:rsid w:val="00AD777B"/>
    <w:rsid w:val="00AD77B1"/>
    <w:rsid w:val="00AD78F7"/>
    <w:rsid w:val="00AD790B"/>
    <w:rsid w:val="00AD79A4"/>
    <w:rsid w:val="00AD7AE1"/>
    <w:rsid w:val="00AD7B44"/>
    <w:rsid w:val="00AD7C22"/>
    <w:rsid w:val="00AD7C52"/>
    <w:rsid w:val="00AD7C69"/>
    <w:rsid w:val="00AD7CE1"/>
    <w:rsid w:val="00AD7D5F"/>
    <w:rsid w:val="00AD7E41"/>
    <w:rsid w:val="00AD7E47"/>
    <w:rsid w:val="00AD7E70"/>
    <w:rsid w:val="00AD7E73"/>
    <w:rsid w:val="00AE0008"/>
    <w:rsid w:val="00AE0015"/>
    <w:rsid w:val="00AE0075"/>
    <w:rsid w:val="00AE00A6"/>
    <w:rsid w:val="00AE00C6"/>
    <w:rsid w:val="00AE00DF"/>
    <w:rsid w:val="00AE02FD"/>
    <w:rsid w:val="00AE036B"/>
    <w:rsid w:val="00AE0495"/>
    <w:rsid w:val="00AE04A1"/>
    <w:rsid w:val="00AE052B"/>
    <w:rsid w:val="00AE0608"/>
    <w:rsid w:val="00AE0686"/>
    <w:rsid w:val="00AE0771"/>
    <w:rsid w:val="00AE078D"/>
    <w:rsid w:val="00AE07F1"/>
    <w:rsid w:val="00AE0861"/>
    <w:rsid w:val="00AE0898"/>
    <w:rsid w:val="00AE0938"/>
    <w:rsid w:val="00AE0967"/>
    <w:rsid w:val="00AE0A9E"/>
    <w:rsid w:val="00AE0BDD"/>
    <w:rsid w:val="00AE0D2D"/>
    <w:rsid w:val="00AE0D77"/>
    <w:rsid w:val="00AE0D99"/>
    <w:rsid w:val="00AE0D9E"/>
    <w:rsid w:val="00AE0E06"/>
    <w:rsid w:val="00AE0EDC"/>
    <w:rsid w:val="00AE0EF3"/>
    <w:rsid w:val="00AE0F01"/>
    <w:rsid w:val="00AE0FC9"/>
    <w:rsid w:val="00AE0FDF"/>
    <w:rsid w:val="00AE0FF9"/>
    <w:rsid w:val="00AE1094"/>
    <w:rsid w:val="00AE1156"/>
    <w:rsid w:val="00AE11A4"/>
    <w:rsid w:val="00AE121F"/>
    <w:rsid w:val="00AE1367"/>
    <w:rsid w:val="00AE139B"/>
    <w:rsid w:val="00AE13A2"/>
    <w:rsid w:val="00AE141B"/>
    <w:rsid w:val="00AE14EC"/>
    <w:rsid w:val="00AE1517"/>
    <w:rsid w:val="00AE15AE"/>
    <w:rsid w:val="00AE15E3"/>
    <w:rsid w:val="00AE1609"/>
    <w:rsid w:val="00AE161D"/>
    <w:rsid w:val="00AE162E"/>
    <w:rsid w:val="00AE168E"/>
    <w:rsid w:val="00AE16B3"/>
    <w:rsid w:val="00AE174E"/>
    <w:rsid w:val="00AE17DB"/>
    <w:rsid w:val="00AE1839"/>
    <w:rsid w:val="00AE194F"/>
    <w:rsid w:val="00AE1A39"/>
    <w:rsid w:val="00AE1A3C"/>
    <w:rsid w:val="00AE1B01"/>
    <w:rsid w:val="00AE1B67"/>
    <w:rsid w:val="00AE1C94"/>
    <w:rsid w:val="00AE1D36"/>
    <w:rsid w:val="00AE1EF6"/>
    <w:rsid w:val="00AE1F3D"/>
    <w:rsid w:val="00AE1FF5"/>
    <w:rsid w:val="00AE2042"/>
    <w:rsid w:val="00AE2049"/>
    <w:rsid w:val="00AE20A0"/>
    <w:rsid w:val="00AE21B7"/>
    <w:rsid w:val="00AE21F0"/>
    <w:rsid w:val="00AE21F1"/>
    <w:rsid w:val="00AE231C"/>
    <w:rsid w:val="00AE233B"/>
    <w:rsid w:val="00AE23A3"/>
    <w:rsid w:val="00AE244B"/>
    <w:rsid w:val="00AE2454"/>
    <w:rsid w:val="00AE2459"/>
    <w:rsid w:val="00AE2489"/>
    <w:rsid w:val="00AE24A3"/>
    <w:rsid w:val="00AE24D4"/>
    <w:rsid w:val="00AE2513"/>
    <w:rsid w:val="00AE2566"/>
    <w:rsid w:val="00AE25C1"/>
    <w:rsid w:val="00AE2630"/>
    <w:rsid w:val="00AE267E"/>
    <w:rsid w:val="00AE2695"/>
    <w:rsid w:val="00AE26B7"/>
    <w:rsid w:val="00AE2750"/>
    <w:rsid w:val="00AE281D"/>
    <w:rsid w:val="00AE297A"/>
    <w:rsid w:val="00AE298F"/>
    <w:rsid w:val="00AE299C"/>
    <w:rsid w:val="00AE29D5"/>
    <w:rsid w:val="00AE2A97"/>
    <w:rsid w:val="00AE2AAA"/>
    <w:rsid w:val="00AE2AE4"/>
    <w:rsid w:val="00AE2B0A"/>
    <w:rsid w:val="00AE2C41"/>
    <w:rsid w:val="00AE2C4B"/>
    <w:rsid w:val="00AE2CBE"/>
    <w:rsid w:val="00AE2D0C"/>
    <w:rsid w:val="00AE2D4D"/>
    <w:rsid w:val="00AE2E70"/>
    <w:rsid w:val="00AE2E71"/>
    <w:rsid w:val="00AE2E7D"/>
    <w:rsid w:val="00AE2EAB"/>
    <w:rsid w:val="00AE2F07"/>
    <w:rsid w:val="00AE2F0C"/>
    <w:rsid w:val="00AE2FC6"/>
    <w:rsid w:val="00AE30C9"/>
    <w:rsid w:val="00AE30D8"/>
    <w:rsid w:val="00AE30FB"/>
    <w:rsid w:val="00AE3139"/>
    <w:rsid w:val="00AE318B"/>
    <w:rsid w:val="00AE31E7"/>
    <w:rsid w:val="00AE3207"/>
    <w:rsid w:val="00AE3222"/>
    <w:rsid w:val="00AE32A2"/>
    <w:rsid w:val="00AE330A"/>
    <w:rsid w:val="00AE3340"/>
    <w:rsid w:val="00AE3352"/>
    <w:rsid w:val="00AE33A8"/>
    <w:rsid w:val="00AE34F9"/>
    <w:rsid w:val="00AE3508"/>
    <w:rsid w:val="00AE353B"/>
    <w:rsid w:val="00AE35AC"/>
    <w:rsid w:val="00AE3660"/>
    <w:rsid w:val="00AE3777"/>
    <w:rsid w:val="00AE37BF"/>
    <w:rsid w:val="00AE389B"/>
    <w:rsid w:val="00AE3952"/>
    <w:rsid w:val="00AE39B6"/>
    <w:rsid w:val="00AE39BC"/>
    <w:rsid w:val="00AE39FD"/>
    <w:rsid w:val="00AE3A40"/>
    <w:rsid w:val="00AE3AA5"/>
    <w:rsid w:val="00AE3AEB"/>
    <w:rsid w:val="00AE3AF5"/>
    <w:rsid w:val="00AE3BE9"/>
    <w:rsid w:val="00AE3C7B"/>
    <w:rsid w:val="00AE3CFD"/>
    <w:rsid w:val="00AE3DC7"/>
    <w:rsid w:val="00AE3E16"/>
    <w:rsid w:val="00AE3E2B"/>
    <w:rsid w:val="00AE402B"/>
    <w:rsid w:val="00AE406D"/>
    <w:rsid w:val="00AE40E2"/>
    <w:rsid w:val="00AE40FC"/>
    <w:rsid w:val="00AE413A"/>
    <w:rsid w:val="00AE421E"/>
    <w:rsid w:val="00AE4226"/>
    <w:rsid w:val="00AE426C"/>
    <w:rsid w:val="00AE42C5"/>
    <w:rsid w:val="00AE439A"/>
    <w:rsid w:val="00AE4416"/>
    <w:rsid w:val="00AE4447"/>
    <w:rsid w:val="00AE444E"/>
    <w:rsid w:val="00AE44FE"/>
    <w:rsid w:val="00AE454F"/>
    <w:rsid w:val="00AE45AA"/>
    <w:rsid w:val="00AE45F1"/>
    <w:rsid w:val="00AE467D"/>
    <w:rsid w:val="00AE468C"/>
    <w:rsid w:val="00AE48BB"/>
    <w:rsid w:val="00AE48D3"/>
    <w:rsid w:val="00AE49E4"/>
    <w:rsid w:val="00AE4AD5"/>
    <w:rsid w:val="00AE4B3D"/>
    <w:rsid w:val="00AE4B54"/>
    <w:rsid w:val="00AE4BC4"/>
    <w:rsid w:val="00AE4C13"/>
    <w:rsid w:val="00AE4C5A"/>
    <w:rsid w:val="00AE4C93"/>
    <w:rsid w:val="00AE4CFF"/>
    <w:rsid w:val="00AE4D73"/>
    <w:rsid w:val="00AE4E23"/>
    <w:rsid w:val="00AE4E33"/>
    <w:rsid w:val="00AE4E71"/>
    <w:rsid w:val="00AE4EAB"/>
    <w:rsid w:val="00AE4EE1"/>
    <w:rsid w:val="00AE4F08"/>
    <w:rsid w:val="00AE51AA"/>
    <w:rsid w:val="00AE5346"/>
    <w:rsid w:val="00AE53F3"/>
    <w:rsid w:val="00AE5482"/>
    <w:rsid w:val="00AE54D6"/>
    <w:rsid w:val="00AE5589"/>
    <w:rsid w:val="00AE55B5"/>
    <w:rsid w:val="00AE55E8"/>
    <w:rsid w:val="00AE5734"/>
    <w:rsid w:val="00AE57E4"/>
    <w:rsid w:val="00AE5881"/>
    <w:rsid w:val="00AE58B5"/>
    <w:rsid w:val="00AE58FC"/>
    <w:rsid w:val="00AE5957"/>
    <w:rsid w:val="00AE59D9"/>
    <w:rsid w:val="00AE5A23"/>
    <w:rsid w:val="00AE5B03"/>
    <w:rsid w:val="00AE5B3A"/>
    <w:rsid w:val="00AE5B3B"/>
    <w:rsid w:val="00AE5B8C"/>
    <w:rsid w:val="00AE5BAA"/>
    <w:rsid w:val="00AE5BCE"/>
    <w:rsid w:val="00AE5C65"/>
    <w:rsid w:val="00AE5CF0"/>
    <w:rsid w:val="00AE5D5E"/>
    <w:rsid w:val="00AE5DBB"/>
    <w:rsid w:val="00AE5DE0"/>
    <w:rsid w:val="00AE5EBB"/>
    <w:rsid w:val="00AE5FAF"/>
    <w:rsid w:val="00AE5FD9"/>
    <w:rsid w:val="00AE60AE"/>
    <w:rsid w:val="00AE617B"/>
    <w:rsid w:val="00AE61BD"/>
    <w:rsid w:val="00AE6217"/>
    <w:rsid w:val="00AE6224"/>
    <w:rsid w:val="00AE624F"/>
    <w:rsid w:val="00AE6293"/>
    <w:rsid w:val="00AE634A"/>
    <w:rsid w:val="00AE635F"/>
    <w:rsid w:val="00AE63EF"/>
    <w:rsid w:val="00AE6478"/>
    <w:rsid w:val="00AE6481"/>
    <w:rsid w:val="00AE6495"/>
    <w:rsid w:val="00AE649F"/>
    <w:rsid w:val="00AE64CE"/>
    <w:rsid w:val="00AE64FE"/>
    <w:rsid w:val="00AE651C"/>
    <w:rsid w:val="00AE6523"/>
    <w:rsid w:val="00AE66E9"/>
    <w:rsid w:val="00AE67A7"/>
    <w:rsid w:val="00AE6803"/>
    <w:rsid w:val="00AE6806"/>
    <w:rsid w:val="00AE686B"/>
    <w:rsid w:val="00AE693A"/>
    <w:rsid w:val="00AE6982"/>
    <w:rsid w:val="00AE6991"/>
    <w:rsid w:val="00AE69A9"/>
    <w:rsid w:val="00AE6AA6"/>
    <w:rsid w:val="00AE6AEE"/>
    <w:rsid w:val="00AE6C17"/>
    <w:rsid w:val="00AE6C18"/>
    <w:rsid w:val="00AE6DB6"/>
    <w:rsid w:val="00AE6E36"/>
    <w:rsid w:val="00AE6E81"/>
    <w:rsid w:val="00AE6EF3"/>
    <w:rsid w:val="00AE6FF1"/>
    <w:rsid w:val="00AE712F"/>
    <w:rsid w:val="00AE71F1"/>
    <w:rsid w:val="00AE7288"/>
    <w:rsid w:val="00AE7301"/>
    <w:rsid w:val="00AE7372"/>
    <w:rsid w:val="00AE7397"/>
    <w:rsid w:val="00AE7451"/>
    <w:rsid w:val="00AE747B"/>
    <w:rsid w:val="00AE74EA"/>
    <w:rsid w:val="00AE752A"/>
    <w:rsid w:val="00AE7554"/>
    <w:rsid w:val="00AE75C0"/>
    <w:rsid w:val="00AE7638"/>
    <w:rsid w:val="00AE7742"/>
    <w:rsid w:val="00AE7768"/>
    <w:rsid w:val="00AE782D"/>
    <w:rsid w:val="00AE7862"/>
    <w:rsid w:val="00AE7885"/>
    <w:rsid w:val="00AE7961"/>
    <w:rsid w:val="00AE79DA"/>
    <w:rsid w:val="00AE79E6"/>
    <w:rsid w:val="00AE7A17"/>
    <w:rsid w:val="00AE7A1F"/>
    <w:rsid w:val="00AE7AC9"/>
    <w:rsid w:val="00AE7D64"/>
    <w:rsid w:val="00AE7D7C"/>
    <w:rsid w:val="00AE7DE0"/>
    <w:rsid w:val="00AE7F89"/>
    <w:rsid w:val="00AF0006"/>
    <w:rsid w:val="00AF001D"/>
    <w:rsid w:val="00AF00E9"/>
    <w:rsid w:val="00AF00EF"/>
    <w:rsid w:val="00AF02EC"/>
    <w:rsid w:val="00AF02EF"/>
    <w:rsid w:val="00AF0356"/>
    <w:rsid w:val="00AF0399"/>
    <w:rsid w:val="00AF03CA"/>
    <w:rsid w:val="00AF051C"/>
    <w:rsid w:val="00AF0537"/>
    <w:rsid w:val="00AF0585"/>
    <w:rsid w:val="00AF0724"/>
    <w:rsid w:val="00AF07EA"/>
    <w:rsid w:val="00AF07EF"/>
    <w:rsid w:val="00AF0809"/>
    <w:rsid w:val="00AF0895"/>
    <w:rsid w:val="00AF08B4"/>
    <w:rsid w:val="00AF096B"/>
    <w:rsid w:val="00AF0AAA"/>
    <w:rsid w:val="00AF0AD0"/>
    <w:rsid w:val="00AF0B68"/>
    <w:rsid w:val="00AF0B88"/>
    <w:rsid w:val="00AF0C66"/>
    <w:rsid w:val="00AF0D5A"/>
    <w:rsid w:val="00AF0DEA"/>
    <w:rsid w:val="00AF0DF7"/>
    <w:rsid w:val="00AF0E04"/>
    <w:rsid w:val="00AF104D"/>
    <w:rsid w:val="00AF10D2"/>
    <w:rsid w:val="00AF1103"/>
    <w:rsid w:val="00AF11A6"/>
    <w:rsid w:val="00AF11B7"/>
    <w:rsid w:val="00AF125F"/>
    <w:rsid w:val="00AF1267"/>
    <w:rsid w:val="00AF1269"/>
    <w:rsid w:val="00AF1282"/>
    <w:rsid w:val="00AF134C"/>
    <w:rsid w:val="00AF1360"/>
    <w:rsid w:val="00AF137A"/>
    <w:rsid w:val="00AF143E"/>
    <w:rsid w:val="00AF1503"/>
    <w:rsid w:val="00AF1568"/>
    <w:rsid w:val="00AF15CF"/>
    <w:rsid w:val="00AF15F7"/>
    <w:rsid w:val="00AF173C"/>
    <w:rsid w:val="00AF17A7"/>
    <w:rsid w:val="00AF1804"/>
    <w:rsid w:val="00AF184A"/>
    <w:rsid w:val="00AF1872"/>
    <w:rsid w:val="00AF189A"/>
    <w:rsid w:val="00AF1A14"/>
    <w:rsid w:val="00AF1B05"/>
    <w:rsid w:val="00AF1B20"/>
    <w:rsid w:val="00AF1CB7"/>
    <w:rsid w:val="00AF1DAC"/>
    <w:rsid w:val="00AF1E78"/>
    <w:rsid w:val="00AF1F1D"/>
    <w:rsid w:val="00AF1FA2"/>
    <w:rsid w:val="00AF2071"/>
    <w:rsid w:val="00AF2098"/>
    <w:rsid w:val="00AF210F"/>
    <w:rsid w:val="00AF213A"/>
    <w:rsid w:val="00AF216D"/>
    <w:rsid w:val="00AF21C8"/>
    <w:rsid w:val="00AF222B"/>
    <w:rsid w:val="00AF22F8"/>
    <w:rsid w:val="00AF2317"/>
    <w:rsid w:val="00AF232A"/>
    <w:rsid w:val="00AF2357"/>
    <w:rsid w:val="00AF2388"/>
    <w:rsid w:val="00AF23E2"/>
    <w:rsid w:val="00AF2531"/>
    <w:rsid w:val="00AF2612"/>
    <w:rsid w:val="00AF2695"/>
    <w:rsid w:val="00AF26D6"/>
    <w:rsid w:val="00AF283E"/>
    <w:rsid w:val="00AF2849"/>
    <w:rsid w:val="00AF290C"/>
    <w:rsid w:val="00AF2978"/>
    <w:rsid w:val="00AF2991"/>
    <w:rsid w:val="00AF2A33"/>
    <w:rsid w:val="00AF2AC1"/>
    <w:rsid w:val="00AF2B4D"/>
    <w:rsid w:val="00AF2B64"/>
    <w:rsid w:val="00AF2BF5"/>
    <w:rsid w:val="00AF2BFB"/>
    <w:rsid w:val="00AF2CE7"/>
    <w:rsid w:val="00AF2CE8"/>
    <w:rsid w:val="00AF2FC3"/>
    <w:rsid w:val="00AF3004"/>
    <w:rsid w:val="00AF3037"/>
    <w:rsid w:val="00AF315B"/>
    <w:rsid w:val="00AF31DE"/>
    <w:rsid w:val="00AF3239"/>
    <w:rsid w:val="00AF32A4"/>
    <w:rsid w:val="00AF32CA"/>
    <w:rsid w:val="00AF3303"/>
    <w:rsid w:val="00AF333D"/>
    <w:rsid w:val="00AF3379"/>
    <w:rsid w:val="00AF33FB"/>
    <w:rsid w:val="00AF3509"/>
    <w:rsid w:val="00AF3514"/>
    <w:rsid w:val="00AF35C7"/>
    <w:rsid w:val="00AF364B"/>
    <w:rsid w:val="00AF36A1"/>
    <w:rsid w:val="00AF3704"/>
    <w:rsid w:val="00AF371B"/>
    <w:rsid w:val="00AF372C"/>
    <w:rsid w:val="00AF373A"/>
    <w:rsid w:val="00AF37F3"/>
    <w:rsid w:val="00AF3802"/>
    <w:rsid w:val="00AF3833"/>
    <w:rsid w:val="00AF3859"/>
    <w:rsid w:val="00AF389A"/>
    <w:rsid w:val="00AF38D3"/>
    <w:rsid w:val="00AF38D7"/>
    <w:rsid w:val="00AF3930"/>
    <w:rsid w:val="00AF397A"/>
    <w:rsid w:val="00AF399B"/>
    <w:rsid w:val="00AF39BE"/>
    <w:rsid w:val="00AF39D4"/>
    <w:rsid w:val="00AF3A53"/>
    <w:rsid w:val="00AF3AAE"/>
    <w:rsid w:val="00AF3CBC"/>
    <w:rsid w:val="00AF3D9B"/>
    <w:rsid w:val="00AF3E0C"/>
    <w:rsid w:val="00AF3E56"/>
    <w:rsid w:val="00AF3E97"/>
    <w:rsid w:val="00AF3F51"/>
    <w:rsid w:val="00AF3F64"/>
    <w:rsid w:val="00AF408A"/>
    <w:rsid w:val="00AF40F5"/>
    <w:rsid w:val="00AF4121"/>
    <w:rsid w:val="00AF4177"/>
    <w:rsid w:val="00AF41F6"/>
    <w:rsid w:val="00AF4217"/>
    <w:rsid w:val="00AF42A6"/>
    <w:rsid w:val="00AF42B8"/>
    <w:rsid w:val="00AF42FB"/>
    <w:rsid w:val="00AF431F"/>
    <w:rsid w:val="00AF43CB"/>
    <w:rsid w:val="00AF447D"/>
    <w:rsid w:val="00AF45E8"/>
    <w:rsid w:val="00AF460E"/>
    <w:rsid w:val="00AF4692"/>
    <w:rsid w:val="00AF4699"/>
    <w:rsid w:val="00AF4769"/>
    <w:rsid w:val="00AF47D4"/>
    <w:rsid w:val="00AF4929"/>
    <w:rsid w:val="00AF4934"/>
    <w:rsid w:val="00AF497F"/>
    <w:rsid w:val="00AF4982"/>
    <w:rsid w:val="00AF4994"/>
    <w:rsid w:val="00AF4995"/>
    <w:rsid w:val="00AF49B9"/>
    <w:rsid w:val="00AF4A69"/>
    <w:rsid w:val="00AF4B65"/>
    <w:rsid w:val="00AF4C8B"/>
    <w:rsid w:val="00AF4CA3"/>
    <w:rsid w:val="00AF4D09"/>
    <w:rsid w:val="00AF4D29"/>
    <w:rsid w:val="00AF4DE1"/>
    <w:rsid w:val="00AF4DEA"/>
    <w:rsid w:val="00AF4DF6"/>
    <w:rsid w:val="00AF4E80"/>
    <w:rsid w:val="00AF4F09"/>
    <w:rsid w:val="00AF4F3F"/>
    <w:rsid w:val="00AF4F9F"/>
    <w:rsid w:val="00AF4FE9"/>
    <w:rsid w:val="00AF502E"/>
    <w:rsid w:val="00AF5037"/>
    <w:rsid w:val="00AF5165"/>
    <w:rsid w:val="00AF52C1"/>
    <w:rsid w:val="00AF53B4"/>
    <w:rsid w:val="00AF54FD"/>
    <w:rsid w:val="00AF553D"/>
    <w:rsid w:val="00AF56D1"/>
    <w:rsid w:val="00AF5776"/>
    <w:rsid w:val="00AF5797"/>
    <w:rsid w:val="00AF57C3"/>
    <w:rsid w:val="00AF5820"/>
    <w:rsid w:val="00AF58A9"/>
    <w:rsid w:val="00AF58F9"/>
    <w:rsid w:val="00AF591F"/>
    <w:rsid w:val="00AF59B7"/>
    <w:rsid w:val="00AF59C3"/>
    <w:rsid w:val="00AF5A23"/>
    <w:rsid w:val="00AF5B07"/>
    <w:rsid w:val="00AF5B7D"/>
    <w:rsid w:val="00AF5C04"/>
    <w:rsid w:val="00AF5C15"/>
    <w:rsid w:val="00AF5C6B"/>
    <w:rsid w:val="00AF5CAE"/>
    <w:rsid w:val="00AF5D0B"/>
    <w:rsid w:val="00AF5D33"/>
    <w:rsid w:val="00AF5D41"/>
    <w:rsid w:val="00AF5D90"/>
    <w:rsid w:val="00AF5D92"/>
    <w:rsid w:val="00AF5E66"/>
    <w:rsid w:val="00AF5F2A"/>
    <w:rsid w:val="00AF5FB6"/>
    <w:rsid w:val="00AF6012"/>
    <w:rsid w:val="00AF6048"/>
    <w:rsid w:val="00AF60A1"/>
    <w:rsid w:val="00AF6114"/>
    <w:rsid w:val="00AF612B"/>
    <w:rsid w:val="00AF6145"/>
    <w:rsid w:val="00AF6244"/>
    <w:rsid w:val="00AF62B5"/>
    <w:rsid w:val="00AF62C9"/>
    <w:rsid w:val="00AF6433"/>
    <w:rsid w:val="00AF64DE"/>
    <w:rsid w:val="00AF6514"/>
    <w:rsid w:val="00AF6683"/>
    <w:rsid w:val="00AF66F3"/>
    <w:rsid w:val="00AF6799"/>
    <w:rsid w:val="00AF68C9"/>
    <w:rsid w:val="00AF68E6"/>
    <w:rsid w:val="00AF699F"/>
    <w:rsid w:val="00AF6A8D"/>
    <w:rsid w:val="00AF6B02"/>
    <w:rsid w:val="00AF6B99"/>
    <w:rsid w:val="00AF6BEA"/>
    <w:rsid w:val="00AF6C34"/>
    <w:rsid w:val="00AF6CF3"/>
    <w:rsid w:val="00AF6DD2"/>
    <w:rsid w:val="00AF6DD3"/>
    <w:rsid w:val="00AF6E15"/>
    <w:rsid w:val="00AF6EF9"/>
    <w:rsid w:val="00AF7085"/>
    <w:rsid w:val="00AF70C7"/>
    <w:rsid w:val="00AF7121"/>
    <w:rsid w:val="00AF7127"/>
    <w:rsid w:val="00AF7151"/>
    <w:rsid w:val="00AF726B"/>
    <w:rsid w:val="00AF7655"/>
    <w:rsid w:val="00AF766B"/>
    <w:rsid w:val="00AF76BB"/>
    <w:rsid w:val="00AF772E"/>
    <w:rsid w:val="00AF7790"/>
    <w:rsid w:val="00AF77E2"/>
    <w:rsid w:val="00AF79DB"/>
    <w:rsid w:val="00AF7A3B"/>
    <w:rsid w:val="00AF7C05"/>
    <w:rsid w:val="00AF7D76"/>
    <w:rsid w:val="00AF7E6F"/>
    <w:rsid w:val="00AF7F75"/>
    <w:rsid w:val="00B00018"/>
    <w:rsid w:val="00B0006D"/>
    <w:rsid w:val="00B00146"/>
    <w:rsid w:val="00B001C1"/>
    <w:rsid w:val="00B002E2"/>
    <w:rsid w:val="00B002EA"/>
    <w:rsid w:val="00B00321"/>
    <w:rsid w:val="00B00330"/>
    <w:rsid w:val="00B003CE"/>
    <w:rsid w:val="00B00423"/>
    <w:rsid w:val="00B0056D"/>
    <w:rsid w:val="00B0058B"/>
    <w:rsid w:val="00B005AB"/>
    <w:rsid w:val="00B005CA"/>
    <w:rsid w:val="00B0063C"/>
    <w:rsid w:val="00B0072B"/>
    <w:rsid w:val="00B00740"/>
    <w:rsid w:val="00B00841"/>
    <w:rsid w:val="00B00914"/>
    <w:rsid w:val="00B00977"/>
    <w:rsid w:val="00B009DB"/>
    <w:rsid w:val="00B00A1B"/>
    <w:rsid w:val="00B00AFE"/>
    <w:rsid w:val="00B00B38"/>
    <w:rsid w:val="00B00B3C"/>
    <w:rsid w:val="00B00B65"/>
    <w:rsid w:val="00B00B7F"/>
    <w:rsid w:val="00B00CEE"/>
    <w:rsid w:val="00B00D36"/>
    <w:rsid w:val="00B00DD8"/>
    <w:rsid w:val="00B00E4E"/>
    <w:rsid w:val="00B00F54"/>
    <w:rsid w:val="00B00F90"/>
    <w:rsid w:val="00B00FC7"/>
    <w:rsid w:val="00B01068"/>
    <w:rsid w:val="00B0106E"/>
    <w:rsid w:val="00B010B2"/>
    <w:rsid w:val="00B0114E"/>
    <w:rsid w:val="00B012BA"/>
    <w:rsid w:val="00B01390"/>
    <w:rsid w:val="00B0139B"/>
    <w:rsid w:val="00B01502"/>
    <w:rsid w:val="00B01554"/>
    <w:rsid w:val="00B015C3"/>
    <w:rsid w:val="00B015E0"/>
    <w:rsid w:val="00B01657"/>
    <w:rsid w:val="00B016A5"/>
    <w:rsid w:val="00B01831"/>
    <w:rsid w:val="00B01841"/>
    <w:rsid w:val="00B018E6"/>
    <w:rsid w:val="00B01956"/>
    <w:rsid w:val="00B01A0A"/>
    <w:rsid w:val="00B01B5C"/>
    <w:rsid w:val="00B01B73"/>
    <w:rsid w:val="00B01B74"/>
    <w:rsid w:val="00B01BE9"/>
    <w:rsid w:val="00B01C71"/>
    <w:rsid w:val="00B01C76"/>
    <w:rsid w:val="00B01E2C"/>
    <w:rsid w:val="00B01E45"/>
    <w:rsid w:val="00B01E63"/>
    <w:rsid w:val="00B01E7F"/>
    <w:rsid w:val="00B01E8E"/>
    <w:rsid w:val="00B01F1A"/>
    <w:rsid w:val="00B01FF9"/>
    <w:rsid w:val="00B020C2"/>
    <w:rsid w:val="00B02119"/>
    <w:rsid w:val="00B0239F"/>
    <w:rsid w:val="00B02455"/>
    <w:rsid w:val="00B024A4"/>
    <w:rsid w:val="00B0256E"/>
    <w:rsid w:val="00B025E7"/>
    <w:rsid w:val="00B02650"/>
    <w:rsid w:val="00B02699"/>
    <w:rsid w:val="00B0295C"/>
    <w:rsid w:val="00B029B9"/>
    <w:rsid w:val="00B029E4"/>
    <w:rsid w:val="00B02A5F"/>
    <w:rsid w:val="00B02B2D"/>
    <w:rsid w:val="00B02B59"/>
    <w:rsid w:val="00B02C89"/>
    <w:rsid w:val="00B02C9E"/>
    <w:rsid w:val="00B02D10"/>
    <w:rsid w:val="00B02D58"/>
    <w:rsid w:val="00B02E20"/>
    <w:rsid w:val="00B02E51"/>
    <w:rsid w:val="00B02E79"/>
    <w:rsid w:val="00B02EB3"/>
    <w:rsid w:val="00B02F14"/>
    <w:rsid w:val="00B0306A"/>
    <w:rsid w:val="00B0308E"/>
    <w:rsid w:val="00B0334A"/>
    <w:rsid w:val="00B0338C"/>
    <w:rsid w:val="00B034BA"/>
    <w:rsid w:val="00B03546"/>
    <w:rsid w:val="00B0354C"/>
    <w:rsid w:val="00B035C5"/>
    <w:rsid w:val="00B036B8"/>
    <w:rsid w:val="00B036D7"/>
    <w:rsid w:val="00B0380B"/>
    <w:rsid w:val="00B0380D"/>
    <w:rsid w:val="00B03855"/>
    <w:rsid w:val="00B03894"/>
    <w:rsid w:val="00B038D5"/>
    <w:rsid w:val="00B038E9"/>
    <w:rsid w:val="00B038FF"/>
    <w:rsid w:val="00B03A02"/>
    <w:rsid w:val="00B03A98"/>
    <w:rsid w:val="00B03C1E"/>
    <w:rsid w:val="00B03C3C"/>
    <w:rsid w:val="00B03CD9"/>
    <w:rsid w:val="00B03D3E"/>
    <w:rsid w:val="00B03D69"/>
    <w:rsid w:val="00B03E9A"/>
    <w:rsid w:val="00B03EAB"/>
    <w:rsid w:val="00B03F99"/>
    <w:rsid w:val="00B03FB5"/>
    <w:rsid w:val="00B0406F"/>
    <w:rsid w:val="00B04279"/>
    <w:rsid w:val="00B042B3"/>
    <w:rsid w:val="00B042D2"/>
    <w:rsid w:val="00B0445B"/>
    <w:rsid w:val="00B04471"/>
    <w:rsid w:val="00B045C3"/>
    <w:rsid w:val="00B045ED"/>
    <w:rsid w:val="00B04636"/>
    <w:rsid w:val="00B0467D"/>
    <w:rsid w:val="00B04699"/>
    <w:rsid w:val="00B04816"/>
    <w:rsid w:val="00B04826"/>
    <w:rsid w:val="00B04840"/>
    <w:rsid w:val="00B04899"/>
    <w:rsid w:val="00B048B9"/>
    <w:rsid w:val="00B048D9"/>
    <w:rsid w:val="00B04A0F"/>
    <w:rsid w:val="00B04A8E"/>
    <w:rsid w:val="00B04B25"/>
    <w:rsid w:val="00B04B51"/>
    <w:rsid w:val="00B04B91"/>
    <w:rsid w:val="00B04C03"/>
    <w:rsid w:val="00B04CA0"/>
    <w:rsid w:val="00B04CBA"/>
    <w:rsid w:val="00B04DAF"/>
    <w:rsid w:val="00B04E2A"/>
    <w:rsid w:val="00B04ED8"/>
    <w:rsid w:val="00B04EDA"/>
    <w:rsid w:val="00B04EF3"/>
    <w:rsid w:val="00B04F15"/>
    <w:rsid w:val="00B04F1E"/>
    <w:rsid w:val="00B04F49"/>
    <w:rsid w:val="00B05028"/>
    <w:rsid w:val="00B050D7"/>
    <w:rsid w:val="00B050FD"/>
    <w:rsid w:val="00B05114"/>
    <w:rsid w:val="00B051A6"/>
    <w:rsid w:val="00B05337"/>
    <w:rsid w:val="00B05474"/>
    <w:rsid w:val="00B05488"/>
    <w:rsid w:val="00B0548E"/>
    <w:rsid w:val="00B054FE"/>
    <w:rsid w:val="00B05515"/>
    <w:rsid w:val="00B05525"/>
    <w:rsid w:val="00B0557C"/>
    <w:rsid w:val="00B056AC"/>
    <w:rsid w:val="00B056C8"/>
    <w:rsid w:val="00B0574F"/>
    <w:rsid w:val="00B05762"/>
    <w:rsid w:val="00B05788"/>
    <w:rsid w:val="00B059B0"/>
    <w:rsid w:val="00B05AF4"/>
    <w:rsid w:val="00B05B73"/>
    <w:rsid w:val="00B05B78"/>
    <w:rsid w:val="00B05B81"/>
    <w:rsid w:val="00B05CBE"/>
    <w:rsid w:val="00B05D1B"/>
    <w:rsid w:val="00B05D98"/>
    <w:rsid w:val="00B05DAF"/>
    <w:rsid w:val="00B05DD0"/>
    <w:rsid w:val="00B05DD5"/>
    <w:rsid w:val="00B05DE2"/>
    <w:rsid w:val="00B05E1E"/>
    <w:rsid w:val="00B05E22"/>
    <w:rsid w:val="00B05E27"/>
    <w:rsid w:val="00B05E64"/>
    <w:rsid w:val="00B05E7F"/>
    <w:rsid w:val="00B05EE9"/>
    <w:rsid w:val="00B05F62"/>
    <w:rsid w:val="00B06033"/>
    <w:rsid w:val="00B060D1"/>
    <w:rsid w:val="00B060DD"/>
    <w:rsid w:val="00B060FC"/>
    <w:rsid w:val="00B06124"/>
    <w:rsid w:val="00B062EF"/>
    <w:rsid w:val="00B062FE"/>
    <w:rsid w:val="00B063A9"/>
    <w:rsid w:val="00B0644D"/>
    <w:rsid w:val="00B0646F"/>
    <w:rsid w:val="00B064D8"/>
    <w:rsid w:val="00B06543"/>
    <w:rsid w:val="00B0668C"/>
    <w:rsid w:val="00B066BF"/>
    <w:rsid w:val="00B066E1"/>
    <w:rsid w:val="00B066F4"/>
    <w:rsid w:val="00B06814"/>
    <w:rsid w:val="00B0688C"/>
    <w:rsid w:val="00B068AF"/>
    <w:rsid w:val="00B0693C"/>
    <w:rsid w:val="00B06998"/>
    <w:rsid w:val="00B069D0"/>
    <w:rsid w:val="00B069D6"/>
    <w:rsid w:val="00B06A3B"/>
    <w:rsid w:val="00B06A6E"/>
    <w:rsid w:val="00B06A99"/>
    <w:rsid w:val="00B06AB9"/>
    <w:rsid w:val="00B06B39"/>
    <w:rsid w:val="00B06B8A"/>
    <w:rsid w:val="00B06C3E"/>
    <w:rsid w:val="00B06C8C"/>
    <w:rsid w:val="00B06CDC"/>
    <w:rsid w:val="00B06CF7"/>
    <w:rsid w:val="00B06D31"/>
    <w:rsid w:val="00B06F1A"/>
    <w:rsid w:val="00B06F47"/>
    <w:rsid w:val="00B06F9D"/>
    <w:rsid w:val="00B070C0"/>
    <w:rsid w:val="00B0712A"/>
    <w:rsid w:val="00B0714A"/>
    <w:rsid w:val="00B07205"/>
    <w:rsid w:val="00B07207"/>
    <w:rsid w:val="00B0730F"/>
    <w:rsid w:val="00B07356"/>
    <w:rsid w:val="00B073D3"/>
    <w:rsid w:val="00B0746C"/>
    <w:rsid w:val="00B0757B"/>
    <w:rsid w:val="00B075B2"/>
    <w:rsid w:val="00B075BE"/>
    <w:rsid w:val="00B075C3"/>
    <w:rsid w:val="00B07610"/>
    <w:rsid w:val="00B07729"/>
    <w:rsid w:val="00B077FB"/>
    <w:rsid w:val="00B07905"/>
    <w:rsid w:val="00B0798C"/>
    <w:rsid w:val="00B079D8"/>
    <w:rsid w:val="00B07AFE"/>
    <w:rsid w:val="00B07B08"/>
    <w:rsid w:val="00B07B74"/>
    <w:rsid w:val="00B07B95"/>
    <w:rsid w:val="00B07BA1"/>
    <w:rsid w:val="00B07C47"/>
    <w:rsid w:val="00B07C6C"/>
    <w:rsid w:val="00B07CD7"/>
    <w:rsid w:val="00B07D8E"/>
    <w:rsid w:val="00B07DAA"/>
    <w:rsid w:val="00B07E2A"/>
    <w:rsid w:val="00B07E6D"/>
    <w:rsid w:val="00B07FF6"/>
    <w:rsid w:val="00B1004D"/>
    <w:rsid w:val="00B100C6"/>
    <w:rsid w:val="00B100F6"/>
    <w:rsid w:val="00B101A7"/>
    <w:rsid w:val="00B10332"/>
    <w:rsid w:val="00B1037F"/>
    <w:rsid w:val="00B103B9"/>
    <w:rsid w:val="00B103D1"/>
    <w:rsid w:val="00B10419"/>
    <w:rsid w:val="00B10426"/>
    <w:rsid w:val="00B104F9"/>
    <w:rsid w:val="00B105C5"/>
    <w:rsid w:val="00B105EE"/>
    <w:rsid w:val="00B106FD"/>
    <w:rsid w:val="00B107F5"/>
    <w:rsid w:val="00B1080F"/>
    <w:rsid w:val="00B10858"/>
    <w:rsid w:val="00B108C9"/>
    <w:rsid w:val="00B10986"/>
    <w:rsid w:val="00B109E4"/>
    <w:rsid w:val="00B10A58"/>
    <w:rsid w:val="00B10AF5"/>
    <w:rsid w:val="00B10B29"/>
    <w:rsid w:val="00B10B87"/>
    <w:rsid w:val="00B10BFB"/>
    <w:rsid w:val="00B10D40"/>
    <w:rsid w:val="00B10D85"/>
    <w:rsid w:val="00B10E1D"/>
    <w:rsid w:val="00B10ED6"/>
    <w:rsid w:val="00B10F88"/>
    <w:rsid w:val="00B11036"/>
    <w:rsid w:val="00B11068"/>
    <w:rsid w:val="00B1114A"/>
    <w:rsid w:val="00B11182"/>
    <w:rsid w:val="00B111D4"/>
    <w:rsid w:val="00B111F4"/>
    <w:rsid w:val="00B111FC"/>
    <w:rsid w:val="00B11239"/>
    <w:rsid w:val="00B113C3"/>
    <w:rsid w:val="00B113FA"/>
    <w:rsid w:val="00B1148C"/>
    <w:rsid w:val="00B114B7"/>
    <w:rsid w:val="00B11703"/>
    <w:rsid w:val="00B1171F"/>
    <w:rsid w:val="00B1172A"/>
    <w:rsid w:val="00B11772"/>
    <w:rsid w:val="00B117C0"/>
    <w:rsid w:val="00B11806"/>
    <w:rsid w:val="00B11873"/>
    <w:rsid w:val="00B11903"/>
    <w:rsid w:val="00B119A0"/>
    <w:rsid w:val="00B11B16"/>
    <w:rsid w:val="00B11C67"/>
    <w:rsid w:val="00B11CA0"/>
    <w:rsid w:val="00B11CD7"/>
    <w:rsid w:val="00B11E87"/>
    <w:rsid w:val="00B11EFB"/>
    <w:rsid w:val="00B11F6A"/>
    <w:rsid w:val="00B11F7B"/>
    <w:rsid w:val="00B11FA8"/>
    <w:rsid w:val="00B12033"/>
    <w:rsid w:val="00B120E3"/>
    <w:rsid w:val="00B120F1"/>
    <w:rsid w:val="00B121BD"/>
    <w:rsid w:val="00B121ED"/>
    <w:rsid w:val="00B1221A"/>
    <w:rsid w:val="00B1221B"/>
    <w:rsid w:val="00B12298"/>
    <w:rsid w:val="00B122B7"/>
    <w:rsid w:val="00B122DD"/>
    <w:rsid w:val="00B12487"/>
    <w:rsid w:val="00B1249C"/>
    <w:rsid w:val="00B124D0"/>
    <w:rsid w:val="00B125A6"/>
    <w:rsid w:val="00B1265A"/>
    <w:rsid w:val="00B12707"/>
    <w:rsid w:val="00B12709"/>
    <w:rsid w:val="00B1281D"/>
    <w:rsid w:val="00B12821"/>
    <w:rsid w:val="00B129BF"/>
    <w:rsid w:val="00B12A91"/>
    <w:rsid w:val="00B12B77"/>
    <w:rsid w:val="00B12BC3"/>
    <w:rsid w:val="00B12C0A"/>
    <w:rsid w:val="00B12DA5"/>
    <w:rsid w:val="00B12E0E"/>
    <w:rsid w:val="00B12E12"/>
    <w:rsid w:val="00B12E26"/>
    <w:rsid w:val="00B12F02"/>
    <w:rsid w:val="00B130E2"/>
    <w:rsid w:val="00B13144"/>
    <w:rsid w:val="00B13148"/>
    <w:rsid w:val="00B13231"/>
    <w:rsid w:val="00B13294"/>
    <w:rsid w:val="00B13366"/>
    <w:rsid w:val="00B133CB"/>
    <w:rsid w:val="00B13414"/>
    <w:rsid w:val="00B13439"/>
    <w:rsid w:val="00B13459"/>
    <w:rsid w:val="00B134FA"/>
    <w:rsid w:val="00B13523"/>
    <w:rsid w:val="00B1353C"/>
    <w:rsid w:val="00B1357C"/>
    <w:rsid w:val="00B13592"/>
    <w:rsid w:val="00B1359A"/>
    <w:rsid w:val="00B135FE"/>
    <w:rsid w:val="00B1369A"/>
    <w:rsid w:val="00B1369D"/>
    <w:rsid w:val="00B136F6"/>
    <w:rsid w:val="00B1371D"/>
    <w:rsid w:val="00B13869"/>
    <w:rsid w:val="00B138A7"/>
    <w:rsid w:val="00B13934"/>
    <w:rsid w:val="00B13A7F"/>
    <w:rsid w:val="00B13B6A"/>
    <w:rsid w:val="00B13C38"/>
    <w:rsid w:val="00B13C78"/>
    <w:rsid w:val="00B13C7C"/>
    <w:rsid w:val="00B13CCE"/>
    <w:rsid w:val="00B13D01"/>
    <w:rsid w:val="00B13D14"/>
    <w:rsid w:val="00B13D20"/>
    <w:rsid w:val="00B13D5A"/>
    <w:rsid w:val="00B13D76"/>
    <w:rsid w:val="00B13E1B"/>
    <w:rsid w:val="00B13E6C"/>
    <w:rsid w:val="00B13EB9"/>
    <w:rsid w:val="00B13ED9"/>
    <w:rsid w:val="00B13F12"/>
    <w:rsid w:val="00B13F81"/>
    <w:rsid w:val="00B13FDB"/>
    <w:rsid w:val="00B13FFA"/>
    <w:rsid w:val="00B14014"/>
    <w:rsid w:val="00B14091"/>
    <w:rsid w:val="00B14130"/>
    <w:rsid w:val="00B1415F"/>
    <w:rsid w:val="00B141C0"/>
    <w:rsid w:val="00B14204"/>
    <w:rsid w:val="00B1431F"/>
    <w:rsid w:val="00B14356"/>
    <w:rsid w:val="00B14472"/>
    <w:rsid w:val="00B144DE"/>
    <w:rsid w:val="00B1457B"/>
    <w:rsid w:val="00B146A6"/>
    <w:rsid w:val="00B146EB"/>
    <w:rsid w:val="00B14731"/>
    <w:rsid w:val="00B14759"/>
    <w:rsid w:val="00B147BF"/>
    <w:rsid w:val="00B147D1"/>
    <w:rsid w:val="00B14A14"/>
    <w:rsid w:val="00B14A27"/>
    <w:rsid w:val="00B14A83"/>
    <w:rsid w:val="00B14C1E"/>
    <w:rsid w:val="00B14C39"/>
    <w:rsid w:val="00B14CE3"/>
    <w:rsid w:val="00B14D2E"/>
    <w:rsid w:val="00B14DC8"/>
    <w:rsid w:val="00B14DFA"/>
    <w:rsid w:val="00B14F8A"/>
    <w:rsid w:val="00B14FAE"/>
    <w:rsid w:val="00B14FBC"/>
    <w:rsid w:val="00B14FBF"/>
    <w:rsid w:val="00B1506E"/>
    <w:rsid w:val="00B150BF"/>
    <w:rsid w:val="00B150DF"/>
    <w:rsid w:val="00B150EF"/>
    <w:rsid w:val="00B1530A"/>
    <w:rsid w:val="00B15390"/>
    <w:rsid w:val="00B153F4"/>
    <w:rsid w:val="00B15406"/>
    <w:rsid w:val="00B15508"/>
    <w:rsid w:val="00B1557F"/>
    <w:rsid w:val="00B1558E"/>
    <w:rsid w:val="00B155E4"/>
    <w:rsid w:val="00B1580A"/>
    <w:rsid w:val="00B1589D"/>
    <w:rsid w:val="00B158B6"/>
    <w:rsid w:val="00B158BF"/>
    <w:rsid w:val="00B15959"/>
    <w:rsid w:val="00B15A35"/>
    <w:rsid w:val="00B15AB9"/>
    <w:rsid w:val="00B15ABB"/>
    <w:rsid w:val="00B15B04"/>
    <w:rsid w:val="00B15B64"/>
    <w:rsid w:val="00B15BC4"/>
    <w:rsid w:val="00B15D73"/>
    <w:rsid w:val="00B15E04"/>
    <w:rsid w:val="00B15E11"/>
    <w:rsid w:val="00B15E49"/>
    <w:rsid w:val="00B15EA8"/>
    <w:rsid w:val="00B15EC6"/>
    <w:rsid w:val="00B15F2A"/>
    <w:rsid w:val="00B16179"/>
    <w:rsid w:val="00B161A9"/>
    <w:rsid w:val="00B1627C"/>
    <w:rsid w:val="00B16293"/>
    <w:rsid w:val="00B16309"/>
    <w:rsid w:val="00B16354"/>
    <w:rsid w:val="00B16439"/>
    <w:rsid w:val="00B164E3"/>
    <w:rsid w:val="00B1656C"/>
    <w:rsid w:val="00B165A8"/>
    <w:rsid w:val="00B166BB"/>
    <w:rsid w:val="00B1671E"/>
    <w:rsid w:val="00B16739"/>
    <w:rsid w:val="00B1677F"/>
    <w:rsid w:val="00B1682C"/>
    <w:rsid w:val="00B168A8"/>
    <w:rsid w:val="00B168CF"/>
    <w:rsid w:val="00B168D5"/>
    <w:rsid w:val="00B16994"/>
    <w:rsid w:val="00B169FF"/>
    <w:rsid w:val="00B16AD2"/>
    <w:rsid w:val="00B16C40"/>
    <w:rsid w:val="00B16DBB"/>
    <w:rsid w:val="00B170AC"/>
    <w:rsid w:val="00B170E7"/>
    <w:rsid w:val="00B17157"/>
    <w:rsid w:val="00B1722B"/>
    <w:rsid w:val="00B1746C"/>
    <w:rsid w:val="00B174C2"/>
    <w:rsid w:val="00B17515"/>
    <w:rsid w:val="00B175A6"/>
    <w:rsid w:val="00B17688"/>
    <w:rsid w:val="00B17729"/>
    <w:rsid w:val="00B17731"/>
    <w:rsid w:val="00B17862"/>
    <w:rsid w:val="00B1796D"/>
    <w:rsid w:val="00B17990"/>
    <w:rsid w:val="00B17A21"/>
    <w:rsid w:val="00B17AB1"/>
    <w:rsid w:val="00B17C28"/>
    <w:rsid w:val="00B17DEA"/>
    <w:rsid w:val="00B17E1E"/>
    <w:rsid w:val="00B17E5F"/>
    <w:rsid w:val="00B17E6A"/>
    <w:rsid w:val="00B17E88"/>
    <w:rsid w:val="00B17EFB"/>
    <w:rsid w:val="00B17F7D"/>
    <w:rsid w:val="00B17FB5"/>
    <w:rsid w:val="00B200B5"/>
    <w:rsid w:val="00B200F0"/>
    <w:rsid w:val="00B2015F"/>
    <w:rsid w:val="00B20183"/>
    <w:rsid w:val="00B201EB"/>
    <w:rsid w:val="00B201F3"/>
    <w:rsid w:val="00B2028B"/>
    <w:rsid w:val="00B20312"/>
    <w:rsid w:val="00B2037B"/>
    <w:rsid w:val="00B203BF"/>
    <w:rsid w:val="00B20428"/>
    <w:rsid w:val="00B20447"/>
    <w:rsid w:val="00B20473"/>
    <w:rsid w:val="00B20476"/>
    <w:rsid w:val="00B20550"/>
    <w:rsid w:val="00B20553"/>
    <w:rsid w:val="00B20556"/>
    <w:rsid w:val="00B20585"/>
    <w:rsid w:val="00B20590"/>
    <w:rsid w:val="00B205B8"/>
    <w:rsid w:val="00B205BD"/>
    <w:rsid w:val="00B2060B"/>
    <w:rsid w:val="00B20651"/>
    <w:rsid w:val="00B207D5"/>
    <w:rsid w:val="00B20957"/>
    <w:rsid w:val="00B20A99"/>
    <w:rsid w:val="00B20B43"/>
    <w:rsid w:val="00B20B84"/>
    <w:rsid w:val="00B20BBC"/>
    <w:rsid w:val="00B20C05"/>
    <w:rsid w:val="00B20C36"/>
    <w:rsid w:val="00B20D17"/>
    <w:rsid w:val="00B20D5F"/>
    <w:rsid w:val="00B20DF9"/>
    <w:rsid w:val="00B20F6F"/>
    <w:rsid w:val="00B20F72"/>
    <w:rsid w:val="00B2102E"/>
    <w:rsid w:val="00B21118"/>
    <w:rsid w:val="00B2123F"/>
    <w:rsid w:val="00B21336"/>
    <w:rsid w:val="00B21342"/>
    <w:rsid w:val="00B213B5"/>
    <w:rsid w:val="00B214A8"/>
    <w:rsid w:val="00B21507"/>
    <w:rsid w:val="00B21545"/>
    <w:rsid w:val="00B21578"/>
    <w:rsid w:val="00B21685"/>
    <w:rsid w:val="00B21739"/>
    <w:rsid w:val="00B2174C"/>
    <w:rsid w:val="00B2180F"/>
    <w:rsid w:val="00B21819"/>
    <w:rsid w:val="00B2199A"/>
    <w:rsid w:val="00B219AC"/>
    <w:rsid w:val="00B219D6"/>
    <w:rsid w:val="00B21B06"/>
    <w:rsid w:val="00B21B78"/>
    <w:rsid w:val="00B21CA0"/>
    <w:rsid w:val="00B21CA1"/>
    <w:rsid w:val="00B21DAE"/>
    <w:rsid w:val="00B21EB0"/>
    <w:rsid w:val="00B21EFF"/>
    <w:rsid w:val="00B22074"/>
    <w:rsid w:val="00B22103"/>
    <w:rsid w:val="00B2214F"/>
    <w:rsid w:val="00B221B6"/>
    <w:rsid w:val="00B22202"/>
    <w:rsid w:val="00B2225B"/>
    <w:rsid w:val="00B22282"/>
    <w:rsid w:val="00B22296"/>
    <w:rsid w:val="00B22303"/>
    <w:rsid w:val="00B2236D"/>
    <w:rsid w:val="00B224CF"/>
    <w:rsid w:val="00B225D5"/>
    <w:rsid w:val="00B22625"/>
    <w:rsid w:val="00B226A5"/>
    <w:rsid w:val="00B22837"/>
    <w:rsid w:val="00B228EC"/>
    <w:rsid w:val="00B22958"/>
    <w:rsid w:val="00B22976"/>
    <w:rsid w:val="00B229B5"/>
    <w:rsid w:val="00B229D1"/>
    <w:rsid w:val="00B229E7"/>
    <w:rsid w:val="00B22A7E"/>
    <w:rsid w:val="00B22AAA"/>
    <w:rsid w:val="00B22B03"/>
    <w:rsid w:val="00B22B07"/>
    <w:rsid w:val="00B22B74"/>
    <w:rsid w:val="00B22B85"/>
    <w:rsid w:val="00B22D1A"/>
    <w:rsid w:val="00B22D3E"/>
    <w:rsid w:val="00B22E14"/>
    <w:rsid w:val="00B22E60"/>
    <w:rsid w:val="00B22E67"/>
    <w:rsid w:val="00B22EE5"/>
    <w:rsid w:val="00B22F46"/>
    <w:rsid w:val="00B2306B"/>
    <w:rsid w:val="00B231B1"/>
    <w:rsid w:val="00B23207"/>
    <w:rsid w:val="00B23254"/>
    <w:rsid w:val="00B23262"/>
    <w:rsid w:val="00B232D3"/>
    <w:rsid w:val="00B233DF"/>
    <w:rsid w:val="00B23450"/>
    <w:rsid w:val="00B234E7"/>
    <w:rsid w:val="00B236C8"/>
    <w:rsid w:val="00B236D6"/>
    <w:rsid w:val="00B23832"/>
    <w:rsid w:val="00B239BB"/>
    <w:rsid w:val="00B23A19"/>
    <w:rsid w:val="00B23ABD"/>
    <w:rsid w:val="00B23AD0"/>
    <w:rsid w:val="00B23B3E"/>
    <w:rsid w:val="00B23B6E"/>
    <w:rsid w:val="00B23BE5"/>
    <w:rsid w:val="00B23BEA"/>
    <w:rsid w:val="00B23C35"/>
    <w:rsid w:val="00B23C37"/>
    <w:rsid w:val="00B23C7F"/>
    <w:rsid w:val="00B23C9F"/>
    <w:rsid w:val="00B23CFA"/>
    <w:rsid w:val="00B23D1C"/>
    <w:rsid w:val="00B23D47"/>
    <w:rsid w:val="00B23DDD"/>
    <w:rsid w:val="00B23E77"/>
    <w:rsid w:val="00B23ED3"/>
    <w:rsid w:val="00B23EFA"/>
    <w:rsid w:val="00B23F04"/>
    <w:rsid w:val="00B24052"/>
    <w:rsid w:val="00B2405B"/>
    <w:rsid w:val="00B24077"/>
    <w:rsid w:val="00B240D1"/>
    <w:rsid w:val="00B241A9"/>
    <w:rsid w:val="00B241D9"/>
    <w:rsid w:val="00B24231"/>
    <w:rsid w:val="00B2426E"/>
    <w:rsid w:val="00B242D3"/>
    <w:rsid w:val="00B242D8"/>
    <w:rsid w:val="00B2433C"/>
    <w:rsid w:val="00B243DA"/>
    <w:rsid w:val="00B24445"/>
    <w:rsid w:val="00B244D6"/>
    <w:rsid w:val="00B24541"/>
    <w:rsid w:val="00B245A0"/>
    <w:rsid w:val="00B2466D"/>
    <w:rsid w:val="00B246C0"/>
    <w:rsid w:val="00B2473B"/>
    <w:rsid w:val="00B247AB"/>
    <w:rsid w:val="00B247B0"/>
    <w:rsid w:val="00B24909"/>
    <w:rsid w:val="00B249C3"/>
    <w:rsid w:val="00B24A0D"/>
    <w:rsid w:val="00B24AD1"/>
    <w:rsid w:val="00B24B75"/>
    <w:rsid w:val="00B24BA6"/>
    <w:rsid w:val="00B24C0E"/>
    <w:rsid w:val="00B24D0B"/>
    <w:rsid w:val="00B24D42"/>
    <w:rsid w:val="00B24E10"/>
    <w:rsid w:val="00B24E22"/>
    <w:rsid w:val="00B24ED3"/>
    <w:rsid w:val="00B251C9"/>
    <w:rsid w:val="00B25251"/>
    <w:rsid w:val="00B25281"/>
    <w:rsid w:val="00B25288"/>
    <w:rsid w:val="00B25292"/>
    <w:rsid w:val="00B2530D"/>
    <w:rsid w:val="00B25322"/>
    <w:rsid w:val="00B253BC"/>
    <w:rsid w:val="00B25407"/>
    <w:rsid w:val="00B25437"/>
    <w:rsid w:val="00B254C5"/>
    <w:rsid w:val="00B25530"/>
    <w:rsid w:val="00B2556B"/>
    <w:rsid w:val="00B2558F"/>
    <w:rsid w:val="00B255AE"/>
    <w:rsid w:val="00B255D3"/>
    <w:rsid w:val="00B2575C"/>
    <w:rsid w:val="00B257DA"/>
    <w:rsid w:val="00B2586E"/>
    <w:rsid w:val="00B25968"/>
    <w:rsid w:val="00B259B4"/>
    <w:rsid w:val="00B25A93"/>
    <w:rsid w:val="00B25BCF"/>
    <w:rsid w:val="00B25C1A"/>
    <w:rsid w:val="00B25C79"/>
    <w:rsid w:val="00B25CB2"/>
    <w:rsid w:val="00B25DB8"/>
    <w:rsid w:val="00B25DFA"/>
    <w:rsid w:val="00B25E54"/>
    <w:rsid w:val="00B25F6A"/>
    <w:rsid w:val="00B26024"/>
    <w:rsid w:val="00B2615C"/>
    <w:rsid w:val="00B261B4"/>
    <w:rsid w:val="00B2626F"/>
    <w:rsid w:val="00B262CE"/>
    <w:rsid w:val="00B262EF"/>
    <w:rsid w:val="00B2638B"/>
    <w:rsid w:val="00B2639B"/>
    <w:rsid w:val="00B263F6"/>
    <w:rsid w:val="00B2647E"/>
    <w:rsid w:val="00B264BD"/>
    <w:rsid w:val="00B264E4"/>
    <w:rsid w:val="00B26535"/>
    <w:rsid w:val="00B265C2"/>
    <w:rsid w:val="00B265D8"/>
    <w:rsid w:val="00B26608"/>
    <w:rsid w:val="00B26654"/>
    <w:rsid w:val="00B26662"/>
    <w:rsid w:val="00B26684"/>
    <w:rsid w:val="00B266CD"/>
    <w:rsid w:val="00B266DD"/>
    <w:rsid w:val="00B2670B"/>
    <w:rsid w:val="00B267A0"/>
    <w:rsid w:val="00B267AF"/>
    <w:rsid w:val="00B267B0"/>
    <w:rsid w:val="00B267B9"/>
    <w:rsid w:val="00B267F4"/>
    <w:rsid w:val="00B26849"/>
    <w:rsid w:val="00B26865"/>
    <w:rsid w:val="00B268D2"/>
    <w:rsid w:val="00B26931"/>
    <w:rsid w:val="00B26962"/>
    <w:rsid w:val="00B26999"/>
    <w:rsid w:val="00B269A1"/>
    <w:rsid w:val="00B26A09"/>
    <w:rsid w:val="00B26A3C"/>
    <w:rsid w:val="00B26AB8"/>
    <w:rsid w:val="00B26C0C"/>
    <w:rsid w:val="00B26D03"/>
    <w:rsid w:val="00B26D0D"/>
    <w:rsid w:val="00B26D47"/>
    <w:rsid w:val="00B26D95"/>
    <w:rsid w:val="00B26DCD"/>
    <w:rsid w:val="00B26DF7"/>
    <w:rsid w:val="00B26E6C"/>
    <w:rsid w:val="00B26F79"/>
    <w:rsid w:val="00B2710A"/>
    <w:rsid w:val="00B27189"/>
    <w:rsid w:val="00B27248"/>
    <w:rsid w:val="00B272C6"/>
    <w:rsid w:val="00B27316"/>
    <w:rsid w:val="00B27433"/>
    <w:rsid w:val="00B274AE"/>
    <w:rsid w:val="00B275A2"/>
    <w:rsid w:val="00B27600"/>
    <w:rsid w:val="00B27623"/>
    <w:rsid w:val="00B27685"/>
    <w:rsid w:val="00B2768C"/>
    <w:rsid w:val="00B277E8"/>
    <w:rsid w:val="00B277F1"/>
    <w:rsid w:val="00B27835"/>
    <w:rsid w:val="00B278A1"/>
    <w:rsid w:val="00B278D4"/>
    <w:rsid w:val="00B27949"/>
    <w:rsid w:val="00B2794C"/>
    <w:rsid w:val="00B279AB"/>
    <w:rsid w:val="00B27A1B"/>
    <w:rsid w:val="00B27A9D"/>
    <w:rsid w:val="00B27C58"/>
    <w:rsid w:val="00B27CE8"/>
    <w:rsid w:val="00B27DE7"/>
    <w:rsid w:val="00B27F85"/>
    <w:rsid w:val="00B27F93"/>
    <w:rsid w:val="00B27FFA"/>
    <w:rsid w:val="00B30030"/>
    <w:rsid w:val="00B300AE"/>
    <w:rsid w:val="00B300FF"/>
    <w:rsid w:val="00B301CE"/>
    <w:rsid w:val="00B3037B"/>
    <w:rsid w:val="00B3039A"/>
    <w:rsid w:val="00B303C4"/>
    <w:rsid w:val="00B3041E"/>
    <w:rsid w:val="00B3044F"/>
    <w:rsid w:val="00B3062F"/>
    <w:rsid w:val="00B3068F"/>
    <w:rsid w:val="00B306EB"/>
    <w:rsid w:val="00B3073A"/>
    <w:rsid w:val="00B307C8"/>
    <w:rsid w:val="00B307E2"/>
    <w:rsid w:val="00B307E9"/>
    <w:rsid w:val="00B30863"/>
    <w:rsid w:val="00B30879"/>
    <w:rsid w:val="00B3088B"/>
    <w:rsid w:val="00B308AE"/>
    <w:rsid w:val="00B3094F"/>
    <w:rsid w:val="00B30981"/>
    <w:rsid w:val="00B30A18"/>
    <w:rsid w:val="00B30A61"/>
    <w:rsid w:val="00B30A6C"/>
    <w:rsid w:val="00B30AB0"/>
    <w:rsid w:val="00B30AF8"/>
    <w:rsid w:val="00B30B3A"/>
    <w:rsid w:val="00B30B76"/>
    <w:rsid w:val="00B30C87"/>
    <w:rsid w:val="00B30CEA"/>
    <w:rsid w:val="00B30CF0"/>
    <w:rsid w:val="00B30D17"/>
    <w:rsid w:val="00B30D57"/>
    <w:rsid w:val="00B30DA7"/>
    <w:rsid w:val="00B30DBA"/>
    <w:rsid w:val="00B30DBB"/>
    <w:rsid w:val="00B30DDD"/>
    <w:rsid w:val="00B30E3A"/>
    <w:rsid w:val="00B30E4C"/>
    <w:rsid w:val="00B30E6D"/>
    <w:rsid w:val="00B30EC2"/>
    <w:rsid w:val="00B30EF7"/>
    <w:rsid w:val="00B30F28"/>
    <w:rsid w:val="00B30FB5"/>
    <w:rsid w:val="00B30FF7"/>
    <w:rsid w:val="00B31192"/>
    <w:rsid w:val="00B311AE"/>
    <w:rsid w:val="00B311C9"/>
    <w:rsid w:val="00B311D8"/>
    <w:rsid w:val="00B312CD"/>
    <w:rsid w:val="00B3130D"/>
    <w:rsid w:val="00B3138E"/>
    <w:rsid w:val="00B313B0"/>
    <w:rsid w:val="00B31454"/>
    <w:rsid w:val="00B3147A"/>
    <w:rsid w:val="00B314B1"/>
    <w:rsid w:val="00B315CA"/>
    <w:rsid w:val="00B315DA"/>
    <w:rsid w:val="00B315F5"/>
    <w:rsid w:val="00B31601"/>
    <w:rsid w:val="00B3162B"/>
    <w:rsid w:val="00B31696"/>
    <w:rsid w:val="00B317A4"/>
    <w:rsid w:val="00B317D1"/>
    <w:rsid w:val="00B31809"/>
    <w:rsid w:val="00B31813"/>
    <w:rsid w:val="00B318B0"/>
    <w:rsid w:val="00B31AB5"/>
    <w:rsid w:val="00B31B37"/>
    <w:rsid w:val="00B31BAC"/>
    <w:rsid w:val="00B31C52"/>
    <w:rsid w:val="00B31C62"/>
    <w:rsid w:val="00B31C66"/>
    <w:rsid w:val="00B31CF1"/>
    <w:rsid w:val="00B31E4D"/>
    <w:rsid w:val="00B31EA7"/>
    <w:rsid w:val="00B31EB2"/>
    <w:rsid w:val="00B31ED8"/>
    <w:rsid w:val="00B31EF3"/>
    <w:rsid w:val="00B31F42"/>
    <w:rsid w:val="00B31FF6"/>
    <w:rsid w:val="00B3205B"/>
    <w:rsid w:val="00B3219F"/>
    <w:rsid w:val="00B321CC"/>
    <w:rsid w:val="00B32299"/>
    <w:rsid w:val="00B32408"/>
    <w:rsid w:val="00B32438"/>
    <w:rsid w:val="00B32464"/>
    <w:rsid w:val="00B324E0"/>
    <w:rsid w:val="00B32532"/>
    <w:rsid w:val="00B32555"/>
    <w:rsid w:val="00B32582"/>
    <w:rsid w:val="00B325D4"/>
    <w:rsid w:val="00B32640"/>
    <w:rsid w:val="00B3275F"/>
    <w:rsid w:val="00B32760"/>
    <w:rsid w:val="00B32764"/>
    <w:rsid w:val="00B3276C"/>
    <w:rsid w:val="00B328BD"/>
    <w:rsid w:val="00B328E6"/>
    <w:rsid w:val="00B329CE"/>
    <w:rsid w:val="00B329EA"/>
    <w:rsid w:val="00B329F1"/>
    <w:rsid w:val="00B32A74"/>
    <w:rsid w:val="00B32AF4"/>
    <w:rsid w:val="00B32B4E"/>
    <w:rsid w:val="00B32BDD"/>
    <w:rsid w:val="00B32C66"/>
    <w:rsid w:val="00B32C69"/>
    <w:rsid w:val="00B32CA1"/>
    <w:rsid w:val="00B32D0B"/>
    <w:rsid w:val="00B32D5C"/>
    <w:rsid w:val="00B32D99"/>
    <w:rsid w:val="00B32DFA"/>
    <w:rsid w:val="00B32E8B"/>
    <w:rsid w:val="00B32F8D"/>
    <w:rsid w:val="00B32FF2"/>
    <w:rsid w:val="00B330F9"/>
    <w:rsid w:val="00B331A9"/>
    <w:rsid w:val="00B331D8"/>
    <w:rsid w:val="00B33233"/>
    <w:rsid w:val="00B33237"/>
    <w:rsid w:val="00B332FE"/>
    <w:rsid w:val="00B33309"/>
    <w:rsid w:val="00B335CE"/>
    <w:rsid w:val="00B336EC"/>
    <w:rsid w:val="00B33786"/>
    <w:rsid w:val="00B337BF"/>
    <w:rsid w:val="00B33863"/>
    <w:rsid w:val="00B338BA"/>
    <w:rsid w:val="00B338CB"/>
    <w:rsid w:val="00B33A19"/>
    <w:rsid w:val="00B33C29"/>
    <w:rsid w:val="00B33D05"/>
    <w:rsid w:val="00B33D1C"/>
    <w:rsid w:val="00B33D4B"/>
    <w:rsid w:val="00B33E57"/>
    <w:rsid w:val="00B33ED8"/>
    <w:rsid w:val="00B340B2"/>
    <w:rsid w:val="00B3412B"/>
    <w:rsid w:val="00B341DC"/>
    <w:rsid w:val="00B342E3"/>
    <w:rsid w:val="00B34301"/>
    <w:rsid w:val="00B3434E"/>
    <w:rsid w:val="00B34621"/>
    <w:rsid w:val="00B346A2"/>
    <w:rsid w:val="00B346F2"/>
    <w:rsid w:val="00B347DA"/>
    <w:rsid w:val="00B34893"/>
    <w:rsid w:val="00B349CA"/>
    <w:rsid w:val="00B349D4"/>
    <w:rsid w:val="00B34BC4"/>
    <w:rsid w:val="00B34CDA"/>
    <w:rsid w:val="00B34E6C"/>
    <w:rsid w:val="00B34EEE"/>
    <w:rsid w:val="00B34F0A"/>
    <w:rsid w:val="00B34F4C"/>
    <w:rsid w:val="00B35028"/>
    <w:rsid w:val="00B35066"/>
    <w:rsid w:val="00B3508C"/>
    <w:rsid w:val="00B35119"/>
    <w:rsid w:val="00B3513A"/>
    <w:rsid w:val="00B35156"/>
    <w:rsid w:val="00B3516F"/>
    <w:rsid w:val="00B351BE"/>
    <w:rsid w:val="00B35247"/>
    <w:rsid w:val="00B3526E"/>
    <w:rsid w:val="00B352F5"/>
    <w:rsid w:val="00B352FF"/>
    <w:rsid w:val="00B35305"/>
    <w:rsid w:val="00B353AC"/>
    <w:rsid w:val="00B353D6"/>
    <w:rsid w:val="00B354AF"/>
    <w:rsid w:val="00B354B3"/>
    <w:rsid w:val="00B3551D"/>
    <w:rsid w:val="00B3568C"/>
    <w:rsid w:val="00B3584A"/>
    <w:rsid w:val="00B3584F"/>
    <w:rsid w:val="00B35888"/>
    <w:rsid w:val="00B359C5"/>
    <w:rsid w:val="00B359CB"/>
    <w:rsid w:val="00B359CF"/>
    <w:rsid w:val="00B359D8"/>
    <w:rsid w:val="00B35BF9"/>
    <w:rsid w:val="00B35D11"/>
    <w:rsid w:val="00B35D2E"/>
    <w:rsid w:val="00B35D38"/>
    <w:rsid w:val="00B35D4E"/>
    <w:rsid w:val="00B35D5E"/>
    <w:rsid w:val="00B35F82"/>
    <w:rsid w:val="00B35F92"/>
    <w:rsid w:val="00B35FCB"/>
    <w:rsid w:val="00B36079"/>
    <w:rsid w:val="00B36103"/>
    <w:rsid w:val="00B3615A"/>
    <w:rsid w:val="00B361FF"/>
    <w:rsid w:val="00B36238"/>
    <w:rsid w:val="00B3628B"/>
    <w:rsid w:val="00B3639D"/>
    <w:rsid w:val="00B36405"/>
    <w:rsid w:val="00B36427"/>
    <w:rsid w:val="00B364A5"/>
    <w:rsid w:val="00B364BA"/>
    <w:rsid w:val="00B364F4"/>
    <w:rsid w:val="00B365B8"/>
    <w:rsid w:val="00B365C4"/>
    <w:rsid w:val="00B365ED"/>
    <w:rsid w:val="00B3666D"/>
    <w:rsid w:val="00B36696"/>
    <w:rsid w:val="00B366B6"/>
    <w:rsid w:val="00B36798"/>
    <w:rsid w:val="00B368C9"/>
    <w:rsid w:val="00B368ED"/>
    <w:rsid w:val="00B36976"/>
    <w:rsid w:val="00B3697B"/>
    <w:rsid w:val="00B369A2"/>
    <w:rsid w:val="00B369A6"/>
    <w:rsid w:val="00B36ABA"/>
    <w:rsid w:val="00B36B6C"/>
    <w:rsid w:val="00B36B9F"/>
    <w:rsid w:val="00B36BEA"/>
    <w:rsid w:val="00B36C00"/>
    <w:rsid w:val="00B36C34"/>
    <w:rsid w:val="00B36CDC"/>
    <w:rsid w:val="00B36D03"/>
    <w:rsid w:val="00B36D3D"/>
    <w:rsid w:val="00B36DC2"/>
    <w:rsid w:val="00B36E71"/>
    <w:rsid w:val="00B36E83"/>
    <w:rsid w:val="00B36ED4"/>
    <w:rsid w:val="00B36F56"/>
    <w:rsid w:val="00B37016"/>
    <w:rsid w:val="00B3702E"/>
    <w:rsid w:val="00B3704F"/>
    <w:rsid w:val="00B3706C"/>
    <w:rsid w:val="00B37077"/>
    <w:rsid w:val="00B372E8"/>
    <w:rsid w:val="00B37338"/>
    <w:rsid w:val="00B3741F"/>
    <w:rsid w:val="00B37432"/>
    <w:rsid w:val="00B374E9"/>
    <w:rsid w:val="00B3750B"/>
    <w:rsid w:val="00B375B8"/>
    <w:rsid w:val="00B375EC"/>
    <w:rsid w:val="00B37779"/>
    <w:rsid w:val="00B37802"/>
    <w:rsid w:val="00B3782D"/>
    <w:rsid w:val="00B378F1"/>
    <w:rsid w:val="00B378FB"/>
    <w:rsid w:val="00B37962"/>
    <w:rsid w:val="00B3799F"/>
    <w:rsid w:val="00B379BB"/>
    <w:rsid w:val="00B379EA"/>
    <w:rsid w:val="00B37A6C"/>
    <w:rsid w:val="00B37ADA"/>
    <w:rsid w:val="00B37AE5"/>
    <w:rsid w:val="00B37BCB"/>
    <w:rsid w:val="00B37BF1"/>
    <w:rsid w:val="00B37C45"/>
    <w:rsid w:val="00B37C7E"/>
    <w:rsid w:val="00B37C90"/>
    <w:rsid w:val="00B37CB9"/>
    <w:rsid w:val="00B37E55"/>
    <w:rsid w:val="00B37F91"/>
    <w:rsid w:val="00B37FF6"/>
    <w:rsid w:val="00B40279"/>
    <w:rsid w:val="00B4027F"/>
    <w:rsid w:val="00B402C9"/>
    <w:rsid w:val="00B403D0"/>
    <w:rsid w:val="00B404EF"/>
    <w:rsid w:val="00B404FD"/>
    <w:rsid w:val="00B40572"/>
    <w:rsid w:val="00B405D2"/>
    <w:rsid w:val="00B406B9"/>
    <w:rsid w:val="00B406D2"/>
    <w:rsid w:val="00B40744"/>
    <w:rsid w:val="00B40812"/>
    <w:rsid w:val="00B408DE"/>
    <w:rsid w:val="00B40942"/>
    <w:rsid w:val="00B40A85"/>
    <w:rsid w:val="00B40AF7"/>
    <w:rsid w:val="00B40B56"/>
    <w:rsid w:val="00B40BE4"/>
    <w:rsid w:val="00B40CFC"/>
    <w:rsid w:val="00B40DCB"/>
    <w:rsid w:val="00B40DD6"/>
    <w:rsid w:val="00B41128"/>
    <w:rsid w:val="00B4114A"/>
    <w:rsid w:val="00B411C4"/>
    <w:rsid w:val="00B411ED"/>
    <w:rsid w:val="00B4127B"/>
    <w:rsid w:val="00B4144B"/>
    <w:rsid w:val="00B41458"/>
    <w:rsid w:val="00B41541"/>
    <w:rsid w:val="00B41551"/>
    <w:rsid w:val="00B41558"/>
    <w:rsid w:val="00B4155B"/>
    <w:rsid w:val="00B41597"/>
    <w:rsid w:val="00B41674"/>
    <w:rsid w:val="00B41732"/>
    <w:rsid w:val="00B417FC"/>
    <w:rsid w:val="00B41832"/>
    <w:rsid w:val="00B41841"/>
    <w:rsid w:val="00B41960"/>
    <w:rsid w:val="00B419C7"/>
    <w:rsid w:val="00B41A62"/>
    <w:rsid w:val="00B41A6C"/>
    <w:rsid w:val="00B41A72"/>
    <w:rsid w:val="00B41BB2"/>
    <w:rsid w:val="00B41BBC"/>
    <w:rsid w:val="00B41BFD"/>
    <w:rsid w:val="00B41C3C"/>
    <w:rsid w:val="00B41D16"/>
    <w:rsid w:val="00B41DAC"/>
    <w:rsid w:val="00B41E0A"/>
    <w:rsid w:val="00B41E2D"/>
    <w:rsid w:val="00B41E57"/>
    <w:rsid w:val="00B41E8A"/>
    <w:rsid w:val="00B41F60"/>
    <w:rsid w:val="00B4203B"/>
    <w:rsid w:val="00B4204F"/>
    <w:rsid w:val="00B42078"/>
    <w:rsid w:val="00B420E1"/>
    <w:rsid w:val="00B42109"/>
    <w:rsid w:val="00B421C4"/>
    <w:rsid w:val="00B4235E"/>
    <w:rsid w:val="00B424A1"/>
    <w:rsid w:val="00B42539"/>
    <w:rsid w:val="00B4255E"/>
    <w:rsid w:val="00B425AF"/>
    <w:rsid w:val="00B425E6"/>
    <w:rsid w:val="00B42616"/>
    <w:rsid w:val="00B42723"/>
    <w:rsid w:val="00B42866"/>
    <w:rsid w:val="00B42985"/>
    <w:rsid w:val="00B42A4D"/>
    <w:rsid w:val="00B42A86"/>
    <w:rsid w:val="00B42ADC"/>
    <w:rsid w:val="00B42B52"/>
    <w:rsid w:val="00B42B80"/>
    <w:rsid w:val="00B42BBB"/>
    <w:rsid w:val="00B42BF8"/>
    <w:rsid w:val="00B42CC9"/>
    <w:rsid w:val="00B42CEC"/>
    <w:rsid w:val="00B42E66"/>
    <w:rsid w:val="00B42EBC"/>
    <w:rsid w:val="00B42F1B"/>
    <w:rsid w:val="00B42F30"/>
    <w:rsid w:val="00B42FD2"/>
    <w:rsid w:val="00B43093"/>
    <w:rsid w:val="00B4310A"/>
    <w:rsid w:val="00B4324E"/>
    <w:rsid w:val="00B432E1"/>
    <w:rsid w:val="00B433B7"/>
    <w:rsid w:val="00B433F5"/>
    <w:rsid w:val="00B43516"/>
    <w:rsid w:val="00B435C8"/>
    <w:rsid w:val="00B4363F"/>
    <w:rsid w:val="00B4365E"/>
    <w:rsid w:val="00B43795"/>
    <w:rsid w:val="00B4390F"/>
    <w:rsid w:val="00B43B0B"/>
    <w:rsid w:val="00B43BA4"/>
    <w:rsid w:val="00B43C32"/>
    <w:rsid w:val="00B43C73"/>
    <w:rsid w:val="00B43CFF"/>
    <w:rsid w:val="00B43D2F"/>
    <w:rsid w:val="00B43D4B"/>
    <w:rsid w:val="00B43D53"/>
    <w:rsid w:val="00B43DA5"/>
    <w:rsid w:val="00B43E43"/>
    <w:rsid w:val="00B43E6D"/>
    <w:rsid w:val="00B43E8A"/>
    <w:rsid w:val="00B43EBC"/>
    <w:rsid w:val="00B43F02"/>
    <w:rsid w:val="00B43F05"/>
    <w:rsid w:val="00B43F1B"/>
    <w:rsid w:val="00B43F27"/>
    <w:rsid w:val="00B43F5A"/>
    <w:rsid w:val="00B43FF3"/>
    <w:rsid w:val="00B4400E"/>
    <w:rsid w:val="00B4401A"/>
    <w:rsid w:val="00B44030"/>
    <w:rsid w:val="00B44058"/>
    <w:rsid w:val="00B4415F"/>
    <w:rsid w:val="00B441B1"/>
    <w:rsid w:val="00B44203"/>
    <w:rsid w:val="00B4430A"/>
    <w:rsid w:val="00B4434B"/>
    <w:rsid w:val="00B4434C"/>
    <w:rsid w:val="00B44363"/>
    <w:rsid w:val="00B4439A"/>
    <w:rsid w:val="00B44447"/>
    <w:rsid w:val="00B4452C"/>
    <w:rsid w:val="00B4454C"/>
    <w:rsid w:val="00B445CA"/>
    <w:rsid w:val="00B445E6"/>
    <w:rsid w:val="00B44660"/>
    <w:rsid w:val="00B446D3"/>
    <w:rsid w:val="00B44715"/>
    <w:rsid w:val="00B4471C"/>
    <w:rsid w:val="00B4472B"/>
    <w:rsid w:val="00B44796"/>
    <w:rsid w:val="00B447DE"/>
    <w:rsid w:val="00B44867"/>
    <w:rsid w:val="00B44883"/>
    <w:rsid w:val="00B449B8"/>
    <w:rsid w:val="00B44A61"/>
    <w:rsid w:val="00B44AA3"/>
    <w:rsid w:val="00B44AB2"/>
    <w:rsid w:val="00B44BF6"/>
    <w:rsid w:val="00B44C59"/>
    <w:rsid w:val="00B44C93"/>
    <w:rsid w:val="00B44CEC"/>
    <w:rsid w:val="00B44D5F"/>
    <w:rsid w:val="00B44D68"/>
    <w:rsid w:val="00B44D77"/>
    <w:rsid w:val="00B44E31"/>
    <w:rsid w:val="00B44E86"/>
    <w:rsid w:val="00B4509B"/>
    <w:rsid w:val="00B4511D"/>
    <w:rsid w:val="00B452E8"/>
    <w:rsid w:val="00B4536F"/>
    <w:rsid w:val="00B454A2"/>
    <w:rsid w:val="00B454CA"/>
    <w:rsid w:val="00B455AA"/>
    <w:rsid w:val="00B457CA"/>
    <w:rsid w:val="00B457CC"/>
    <w:rsid w:val="00B4580F"/>
    <w:rsid w:val="00B4584F"/>
    <w:rsid w:val="00B458CB"/>
    <w:rsid w:val="00B458F3"/>
    <w:rsid w:val="00B45954"/>
    <w:rsid w:val="00B45A9D"/>
    <w:rsid w:val="00B45BC8"/>
    <w:rsid w:val="00B45C1A"/>
    <w:rsid w:val="00B45C27"/>
    <w:rsid w:val="00B45DD9"/>
    <w:rsid w:val="00B45F06"/>
    <w:rsid w:val="00B45F54"/>
    <w:rsid w:val="00B4600D"/>
    <w:rsid w:val="00B460BB"/>
    <w:rsid w:val="00B4622B"/>
    <w:rsid w:val="00B462BD"/>
    <w:rsid w:val="00B462CE"/>
    <w:rsid w:val="00B46372"/>
    <w:rsid w:val="00B463D5"/>
    <w:rsid w:val="00B4647D"/>
    <w:rsid w:val="00B464DB"/>
    <w:rsid w:val="00B465BF"/>
    <w:rsid w:val="00B465C3"/>
    <w:rsid w:val="00B46601"/>
    <w:rsid w:val="00B46612"/>
    <w:rsid w:val="00B4666B"/>
    <w:rsid w:val="00B46685"/>
    <w:rsid w:val="00B467AC"/>
    <w:rsid w:val="00B467DE"/>
    <w:rsid w:val="00B46805"/>
    <w:rsid w:val="00B468C3"/>
    <w:rsid w:val="00B468C5"/>
    <w:rsid w:val="00B469D7"/>
    <w:rsid w:val="00B46A1B"/>
    <w:rsid w:val="00B46A42"/>
    <w:rsid w:val="00B46A83"/>
    <w:rsid w:val="00B46B84"/>
    <w:rsid w:val="00B46B96"/>
    <w:rsid w:val="00B46BB6"/>
    <w:rsid w:val="00B46C45"/>
    <w:rsid w:val="00B46C47"/>
    <w:rsid w:val="00B46C59"/>
    <w:rsid w:val="00B46D20"/>
    <w:rsid w:val="00B46E0B"/>
    <w:rsid w:val="00B46E0F"/>
    <w:rsid w:val="00B46E2B"/>
    <w:rsid w:val="00B46EB7"/>
    <w:rsid w:val="00B46F7C"/>
    <w:rsid w:val="00B46FD4"/>
    <w:rsid w:val="00B4700B"/>
    <w:rsid w:val="00B47137"/>
    <w:rsid w:val="00B47226"/>
    <w:rsid w:val="00B4728D"/>
    <w:rsid w:val="00B47323"/>
    <w:rsid w:val="00B4733B"/>
    <w:rsid w:val="00B4739B"/>
    <w:rsid w:val="00B473AB"/>
    <w:rsid w:val="00B474A0"/>
    <w:rsid w:val="00B474EE"/>
    <w:rsid w:val="00B47504"/>
    <w:rsid w:val="00B4758A"/>
    <w:rsid w:val="00B4769A"/>
    <w:rsid w:val="00B47771"/>
    <w:rsid w:val="00B47782"/>
    <w:rsid w:val="00B477A0"/>
    <w:rsid w:val="00B477F8"/>
    <w:rsid w:val="00B478E2"/>
    <w:rsid w:val="00B4795C"/>
    <w:rsid w:val="00B479C7"/>
    <w:rsid w:val="00B479DA"/>
    <w:rsid w:val="00B47ACA"/>
    <w:rsid w:val="00B47AEC"/>
    <w:rsid w:val="00B47AF2"/>
    <w:rsid w:val="00B47B1E"/>
    <w:rsid w:val="00B47C39"/>
    <w:rsid w:val="00B47C58"/>
    <w:rsid w:val="00B47CBC"/>
    <w:rsid w:val="00B47D2E"/>
    <w:rsid w:val="00B47EE3"/>
    <w:rsid w:val="00B50014"/>
    <w:rsid w:val="00B50051"/>
    <w:rsid w:val="00B500AE"/>
    <w:rsid w:val="00B500F8"/>
    <w:rsid w:val="00B500FD"/>
    <w:rsid w:val="00B50124"/>
    <w:rsid w:val="00B5013D"/>
    <w:rsid w:val="00B5018A"/>
    <w:rsid w:val="00B50268"/>
    <w:rsid w:val="00B502E2"/>
    <w:rsid w:val="00B50335"/>
    <w:rsid w:val="00B50389"/>
    <w:rsid w:val="00B503D3"/>
    <w:rsid w:val="00B503FE"/>
    <w:rsid w:val="00B50401"/>
    <w:rsid w:val="00B50409"/>
    <w:rsid w:val="00B50447"/>
    <w:rsid w:val="00B50553"/>
    <w:rsid w:val="00B505DA"/>
    <w:rsid w:val="00B50741"/>
    <w:rsid w:val="00B507BE"/>
    <w:rsid w:val="00B507DC"/>
    <w:rsid w:val="00B508EF"/>
    <w:rsid w:val="00B5090F"/>
    <w:rsid w:val="00B50959"/>
    <w:rsid w:val="00B5098A"/>
    <w:rsid w:val="00B50A07"/>
    <w:rsid w:val="00B50A48"/>
    <w:rsid w:val="00B50ADE"/>
    <w:rsid w:val="00B50AF8"/>
    <w:rsid w:val="00B50C2F"/>
    <w:rsid w:val="00B50CB1"/>
    <w:rsid w:val="00B50CD2"/>
    <w:rsid w:val="00B50D1F"/>
    <w:rsid w:val="00B50D37"/>
    <w:rsid w:val="00B50F1C"/>
    <w:rsid w:val="00B5111F"/>
    <w:rsid w:val="00B511D1"/>
    <w:rsid w:val="00B5135F"/>
    <w:rsid w:val="00B5137E"/>
    <w:rsid w:val="00B51385"/>
    <w:rsid w:val="00B5142C"/>
    <w:rsid w:val="00B51471"/>
    <w:rsid w:val="00B514D2"/>
    <w:rsid w:val="00B51519"/>
    <w:rsid w:val="00B51588"/>
    <w:rsid w:val="00B515C9"/>
    <w:rsid w:val="00B515D4"/>
    <w:rsid w:val="00B5161D"/>
    <w:rsid w:val="00B51672"/>
    <w:rsid w:val="00B516A4"/>
    <w:rsid w:val="00B516E7"/>
    <w:rsid w:val="00B51705"/>
    <w:rsid w:val="00B51780"/>
    <w:rsid w:val="00B518FA"/>
    <w:rsid w:val="00B51976"/>
    <w:rsid w:val="00B51980"/>
    <w:rsid w:val="00B519FB"/>
    <w:rsid w:val="00B51A13"/>
    <w:rsid w:val="00B51ADF"/>
    <w:rsid w:val="00B51BC5"/>
    <w:rsid w:val="00B51BF6"/>
    <w:rsid w:val="00B51C26"/>
    <w:rsid w:val="00B51C90"/>
    <w:rsid w:val="00B51CA2"/>
    <w:rsid w:val="00B51CB3"/>
    <w:rsid w:val="00B51CD3"/>
    <w:rsid w:val="00B51EC2"/>
    <w:rsid w:val="00B51F55"/>
    <w:rsid w:val="00B5206F"/>
    <w:rsid w:val="00B52091"/>
    <w:rsid w:val="00B52204"/>
    <w:rsid w:val="00B5221A"/>
    <w:rsid w:val="00B52258"/>
    <w:rsid w:val="00B5228F"/>
    <w:rsid w:val="00B52376"/>
    <w:rsid w:val="00B5237C"/>
    <w:rsid w:val="00B523C3"/>
    <w:rsid w:val="00B523FA"/>
    <w:rsid w:val="00B52423"/>
    <w:rsid w:val="00B524E3"/>
    <w:rsid w:val="00B525E4"/>
    <w:rsid w:val="00B525E5"/>
    <w:rsid w:val="00B525F5"/>
    <w:rsid w:val="00B52642"/>
    <w:rsid w:val="00B52689"/>
    <w:rsid w:val="00B52710"/>
    <w:rsid w:val="00B52775"/>
    <w:rsid w:val="00B52869"/>
    <w:rsid w:val="00B528F2"/>
    <w:rsid w:val="00B52916"/>
    <w:rsid w:val="00B5291E"/>
    <w:rsid w:val="00B5294E"/>
    <w:rsid w:val="00B52A2D"/>
    <w:rsid w:val="00B52B2A"/>
    <w:rsid w:val="00B52B55"/>
    <w:rsid w:val="00B52C03"/>
    <w:rsid w:val="00B52C23"/>
    <w:rsid w:val="00B52C49"/>
    <w:rsid w:val="00B52C86"/>
    <w:rsid w:val="00B52CA1"/>
    <w:rsid w:val="00B52E73"/>
    <w:rsid w:val="00B52F56"/>
    <w:rsid w:val="00B53075"/>
    <w:rsid w:val="00B530D8"/>
    <w:rsid w:val="00B5310A"/>
    <w:rsid w:val="00B53147"/>
    <w:rsid w:val="00B531B4"/>
    <w:rsid w:val="00B531DB"/>
    <w:rsid w:val="00B53236"/>
    <w:rsid w:val="00B53265"/>
    <w:rsid w:val="00B532CF"/>
    <w:rsid w:val="00B532ED"/>
    <w:rsid w:val="00B53364"/>
    <w:rsid w:val="00B5361F"/>
    <w:rsid w:val="00B536D3"/>
    <w:rsid w:val="00B53709"/>
    <w:rsid w:val="00B53763"/>
    <w:rsid w:val="00B5377D"/>
    <w:rsid w:val="00B538B4"/>
    <w:rsid w:val="00B53935"/>
    <w:rsid w:val="00B539A8"/>
    <w:rsid w:val="00B53B14"/>
    <w:rsid w:val="00B53B34"/>
    <w:rsid w:val="00B53B7A"/>
    <w:rsid w:val="00B53C4E"/>
    <w:rsid w:val="00B53C7B"/>
    <w:rsid w:val="00B53C88"/>
    <w:rsid w:val="00B53CDB"/>
    <w:rsid w:val="00B53D8B"/>
    <w:rsid w:val="00B53E14"/>
    <w:rsid w:val="00B53E1E"/>
    <w:rsid w:val="00B53EF5"/>
    <w:rsid w:val="00B53F0B"/>
    <w:rsid w:val="00B53FB8"/>
    <w:rsid w:val="00B54079"/>
    <w:rsid w:val="00B541B1"/>
    <w:rsid w:val="00B541F3"/>
    <w:rsid w:val="00B54223"/>
    <w:rsid w:val="00B54236"/>
    <w:rsid w:val="00B542C3"/>
    <w:rsid w:val="00B54312"/>
    <w:rsid w:val="00B5448A"/>
    <w:rsid w:val="00B544D7"/>
    <w:rsid w:val="00B544F4"/>
    <w:rsid w:val="00B54510"/>
    <w:rsid w:val="00B54582"/>
    <w:rsid w:val="00B54598"/>
    <w:rsid w:val="00B545F3"/>
    <w:rsid w:val="00B5466C"/>
    <w:rsid w:val="00B5470C"/>
    <w:rsid w:val="00B548A5"/>
    <w:rsid w:val="00B548B7"/>
    <w:rsid w:val="00B548EE"/>
    <w:rsid w:val="00B548FA"/>
    <w:rsid w:val="00B54916"/>
    <w:rsid w:val="00B549A6"/>
    <w:rsid w:val="00B54A05"/>
    <w:rsid w:val="00B54AD5"/>
    <w:rsid w:val="00B54BF2"/>
    <w:rsid w:val="00B54C97"/>
    <w:rsid w:val="00B54CEE"/>
    <w:rsid w:val="00B54D38"/>
    <w:rsid w:val="00B54D6E"/>
    <w:rsid w:val="00B54DB4"/>
    <w:rsid w:val="00B54DEC"/>
    <w:rsid w:val="00B54E94"/>
    <w:rsid w:val="00B54E9E"/>
    <w:rsid w:val="00B54F13"/>
    <w:rsid w:val="00B55070"/>
    <w:rsid w:val="00B55233"/>
    <w:rsid w:val="00B5527C"/>
    <w:rsid w:val="00B552F9"/>
    <w:rsid w:val="00B55311"/>
    <w:rsid w:val="00B55354"/>
    <w:rsid w:val="00B5542C"/>
    <w:rsid w:val="00B554F0"/>
    <w:rsid w:val="00B5556E"/>
    <w:rsid w:val="00B55590"/>
    <w:rsid w:val="00B55650"/>
    <w:rsid w:val="00B55674"/>
    <w:rsid w:val="00B556D7"/>
    <w:rsid w:val="00B55703"/>
    <w:rsid w:val="00B55777"/>
    <w:rsid w:val="00B55868"/>
    <w:rsid w:val="00B5588B"/>
    <w:rsid w:val="00B5589C"/>
    <w:rsid w:val="00B558F6"/>
    <w:rsid w:val="00B55953"/>
    <w:rsid w:val="00B5595D"/>
    <w:rsid w:val="00B55974"/>
    <w:rsid w:val="00B55A77"/>
    <w:rsid w:val="00B55B08"/>
    <w:rsid w:val="00B55B10"/>
    <w:rsid w:val="00B55B42"/>
    <w:rsid w:val="00B55BA6"/>
    <w:rsid w:val="00B55C76"/>
    <w:rsid w:val="00B55D40"/>
    <w:rsid w:val="00B55DC5"/>
    <w:rsid w:val="00B55E6E"/>
    <w:rsid w:val="00B55E7C"/>
    <w:rsid w:val="00B55EF1"/>
    <w:rsid w:val="00B55FFF"/>
    <w:rsid w:val="00B56022"/>
    <w:rsid w:val="00B560BD"/>
    <w:rsid w:val="00B560D1"/>
    <w:rsid w:val="00B560E5"/>
    <w:rsid w:val="00B561CC"/>
    <w:rsid w:val="00B561F3"/>
    <w:rsid w:val="00B562A9"/>
    <w:rsid w:val="00B56410"/>
    <w:rsid w:val="00B56464"/>
    <w:rsid w:val="00B56466"/>
    <w:rsid w:val="00B56471"/>
    <w:rsid w:val="00B564C3"/>
    <w:rsid w:val="00B564DF"/>
    <w:rsid w:val="00B564E7"/>
    <w:rsid w:val="00B56582"/>
    <w:rsid w:val="00B565DF"/>
    <w:rsid w:val="00B56658"/>
    <w:rsid w:val="00B566CB"/>
    <w:rsid w:val="00B5684A"/>
    <w:rsid w:val="00B568AC"/>
    <w:rsid w:val="00B569E2"/>
    <w:rsid w:val="00B56A44"/>
    <w:rsid w:val="00B56A73"/>
    <w:rsid w:val="00B56B05"/>
    <w:rsid w:val="00B56BF5"/>
    <w:rsid w:val="00B56CC0"/>
    <w:rsid w:val="00B56D01"/>
    <w:rsid w:val="00B56D11"/>
    <w:rsid w:val="00B56D1B"/>
    <w:rsid w:val="00B56DAE"/>
    <w:rsid w:val="00B56EC0"/>
    <w:rsid w:val="00B56F41"/>
    <w:rsid w:val="00B56F74"/>
    <w:rsid w:val="00B56F8F"/>
    <w:rsid w:val="00B570AB"/>
    <w:rsid w:val="00B570EA"/>
    <w:rsid w:val="00B57240"/>
    <w:rsid w:val="00B5728A"/>
    <w:rsid w:val="00B572A6"/>
    <w:rsid w:val="00B57326"/>
    <w:rsid w:val="00B573B4"/>
    <w:rsid w:val="00B574B0"/>
    <w:rsid w:val="00B574ED"/>
    <w:rsid w:val="00B57646"/>
    <w:rsid w:val="00B576DD"/>
    <w:rsid w:val="00B57759"/>
    <w:rsid w:val="00B577F2"/>
    <w:rsid w:val="00B5783C"/>
    <w:rsid w:val="00B578C6"/>
    <w:rsid w:val="00B57991"/>
    <w:rsid w:val="00B579C7"/>
    <w:rsid w:val="00B57AE7"/>
    <w:rsid w:val="00B57BB6"/>
    <w:rsid w:val="00B57BE5"/>
    <w:rsid w:val="00B57BF4"/>
    <w:rsid w:val="00B57CEA"/>
    <w:rsid w:val="00B57D0F"/>
    <w:rsid w:val="00B57DC5"/>
    <w:rsid w:val="00B57EDF"/>
    <w:rsid w:val="00B57F81"/>
    <w:rsid w:val="00B57FC5"/>
    <w:rsid w:val="00B600A8"/>
    <w:rsid w:val="00B600C8"/>
    <w:rsid w:val="00B6013D"/>
    <w:rsid w:val="00B60223"/>
    <w:rsid w:val="00B60283"/>
    <w:rsid w:val="00B6029E"/>
    <w:rsid w:val="00B60347"/>
    <w:rsid w:val="00B603A8"/>
    <w:rsid w:val="00B603CF"/>
    <w:rsid w:val="00B60401"/>
    <w:rsid w:val="00B6041D"/>
    <w:rsid w:val="00B60453"/>
    <w:rsid w:val="00B6049E"/>
    <w:rsid w:val="00B604D9"/>
    <w:rsid w:val="00B60722"/>
    <w:rsid w:val="00B607F9"/>
    <w:rsid w:val="00B6086F"/>
    <w:rsid w:val="00B609BC"/>
    <w:rsid w:val="00B60AAC"/>
    <w:rsid w:val="00B60ABA"/>
    <w:rsid w:val="00B60C27"/>
    <w:rsid w:val="00B60C29"/>
    <w:rsid w:val="00B60CBD"/>
    <w:rsid w:val="00B60CF6"/>
    <w:rsid w:val="00B60D6D"/>
    <w:rsid w:val="00B60DAB"/>
    <w:rsid w:val="00B60DC4"/>
    <w:rsid w:val="00B6100D"/>
    <w:rsid w:val="00B6106D"/>
    <w:rsid w:val="00B610D3"/>
    <w:rsid w:val="00B612BF"/>
    <w:rsid w:val="00B61316"/>
    <w:rsid w:val="00B6139C"/>
    <w:rsid w:val="00B6139E"/>
    <w:rsid w:val="00B613CB"/>
    <w:rsid w:val="00B613E1"/>
    <w:rsid w:val="00B61406"/>
    <w:rsid w:val="00B6155E"/>
    <w:rsid w:val="00B6157F"/>
    <w:rsid w:val="00B61594"/>
    <w:rsid w:val="00B616FB"/>
    <w:rsid w:val="00B61726"/>
    <w:rsid w:val="00B61767"/>
    <w:rsid w:val="00B61770"/>
    <w:rsid w:val="00B6177E"/>
    <w:rsid w:val="00B61851"/>
    <w:rsid w:val="00B61864"/>
    <w:rsid w:val="00B618AE"/>
    <w:rsid w:val="00B6192E"/>
    <w:rsid w:val="00B61946"/>
    <w:rsid w:val="00B619D8"/>
    <w:rsid w:val="00B61A51"/>
    <w:rsid w:val="00B61B15"/>
    <w:rsid w:val="00B61BA8"/>
    <w:rsid w:val="00B61C1D"/>
    <w:rsid w:val="00B61C9E"/>
    <w:rsid w:val="00B61F0F"/>
    <w:rsid w:val="00B61F79"/>
    <w:rsid w:val="00B61FFD"/>
    <w:rsid w:val="00B62011"/>
    <w:rsid w:val="00B62090"/>
    <w:rsid w:val="00B62142"/>
    <w:rsid w:val="00B621B0"/>
    <w:rsid w:val="00B62252"/>
    <w:rsid w:val="00B6251D"/>
    <w:rsid w:val="00B62561"/>
    <w:rsid w:val="00B626DF"/>
    <w:rsid w:val="00B6278F"/>
    <w:rsid w:val="00B628FD"/>
    <w:rsid w:val="00B62A28"/>
    <w:rsid w:val="00B62A6D"/>
    <w:rsid w:val="00B62A94"/>
    <w:rsid w:val="00B62A96"/>
    <w:rsid w:val="00B62AAA"/>
    <w:rsid w:val="00B62AF6"/>
    <w:rsid w:val="00B62B36"/>
    <w:rsid w:val="00B62B5F"/>
    <w:rsid w:val="00B62BC3"/>
    <w:rsid w:val="00B62BD5"/>
    <w:rsid w:val="00B62C54"/>
    <w:rsid w:val="00B62C83"/>
    <w:rsid w:val="00B62CE5"/>
    <w:rsid w:val="00B62DAF"/>
    <w:rsid w:val="00B62DD1"/>
    <w:rsid w:val="00B62E23"/>
    <w:rsid w:val="00B62E7D"/>
    <w:rsid w:val="00B62ED2"/>
    <w:rsid w:val="00B62EF4"/>
    <w:rsid w:val="00B62F59"/>
    <w:rsid w:val="00B63025"/>
    <w:rsid w:val="00B63033"/>
    <w:rsid w:val="00B630EA"/>
    <w:rsid w:val="00B63194"/>
    <w:rsid w:val="00B633C9"/>
    <w:rsid w:val="00B63419"/>
    <w:rsid w:val="00B6341D"/>
    <w:rsid w:val="00B6341F"/>
    <w:rsid w:val="00B63447"/>
    <w:rsid w:val="00B63567"/>
    <w:rsid w:val="00B63571"/>
    <w:rsid w:val="00B635F6"/>
    <w:rsid w:val="00B63773"/>
    <w:rsid w:val="00B63800"/>
    <w:rsid w:val="00B6385B"/>
    <w:rsid w:val="00B63860"/>
    <w:rsid w:val="00B63876"/>
    <w:rsid w:val="00B638B1"/>
    <w:rsid w:val="00B638F4"/>
    <w:rsid w:val="00B6390A"/>
    <w:rsid w:val="00B63936"/>
    <w:rsid w:val="00B639CE"/>
    <w:rsid w:val="00B63B73"/>
    <w:rsid w:val="00B63B78"/>
    <w:rsid w:val="00B63B99"/>
    <w:rsid w:val="00B63C06"/>
    <w:rsid w:val="00B63C13"/>
    <w:rsid w:val="00B63CA0"/>
    <w:rsid w:val="00B63D26"/>
    <w:rsid w:val="00B63DA7"/>
    <w:rsid w:val="00B63E42"/>
    <w:rsid w:val="00B63E5E"/>
    <w:rsid w:val="00B63E95"/>
    <w:rsid w:val="00B63FFC"/>
    <w:rsid w:val="00B64056"/>
    <w:rsid w:val="00B6406A"/>
    <w:rsid w:val="00B640B0"/>
    <w:rsid w:val="00B640B2"/>
    <w:rsid w:val="00B640C4"/>
    <w:rsid w:val="00B64309"/>
    <w:rsid w:val="00B6433F"/>
    <w:rsid w:val="00B64401"/>
    <w:rsid w:val="00B64517"/>
    <w:rsid w:val="00B6457B"/>
    <w:rsid w:val="00B64724"/>
    <w:rsid w:val="00B64750"/>
    <w:rsid w:val="00B647AF"/>
    <w:rsid w:val="00B647B1"/>
    <w:rsid w:val="00B647F3"/>
    <w:rsid w:val="00B64991"/>
    <w:rsid w:val="00B649E3"/>
    <w:rsid w:val="00B64AB4"/>
    <w:rsid w:val="00B64B36"/>
    <w:rsid w:val="00B64B85"/>
    <w:rsid w:val="00B64BC6"/>
    <w:rsid w:val="00B64C22"/>
    <w:rsid w:val="00B64D4E"/>
    <w:rsid w:val="00B64D77"/>
    <w:rsid w:val="00B64D7B"/>
    <w:rsid w:val="00B64E1D"/>
    <w:rsid w:val="00B64E2E"/>
    <w:rsid w:val="00B64EE4"/>
    <w:rsid w:val="00B64EED"/>
    <w:rsid w:val="00B64FAE"/>
    <w:rsid w:val="00B65043"/>
    <w:rsid w:val="00B6517E"/>
    <w:rsid w:val="00B65284"/>
    <w:rsid w:val="00B652B5"/>
    <w:rsid w:val="00B6534B"/>
    <w:rsid w:val="00B653C4"/>
    <w:rsid w:val="00B65508"/>
    <w:rsid w:val="00B6551F"/>
    <w:rsid w:val="00B655DF"/>
    <w:rsid w:val="00B65606"/>
    <w:rsid w:val="00B6568B"/>
    <w:rsid w:val="00B657DA"/>
    <w:rsid w:val="00B658E0"/>
    <w:rsid w:val="00B6590A"/>
    <w:rsid w:val="00B65966"/>
    <w:rsid w:val="00B659DF"/>
    <w:rsid w:val="00B659F8"/>
    <w:rsid w:val="00B65A1A"/>
    <w:rsid w:val="00B65BB4"/>
    <w:rsid w:val="00B65BED"/>
    <w:rsid w:val="00B65BF8"/>
    <w:rsid w:val="00B65CD7"/>
    <w:rsid w:val="00B65D71"/>
    <w:rsid w:val="00B65D80"/>
    <w:rsid w:val="00B65D99"/>
    <w:rsid w:val="00B65DA6"/>
    <w:rsid w:val="00B65DFB"/>
    <w:rsid w:val="00B65E86"/>
    <w:rsid w:val="00B65E9F"/>
    <w:rsid w:val="00B6601F"/>
    <w:rsid w:val="00B660DB"/>
    <w:rsid w:val="00B660FE"/>
    <w:rsid w:val="00B66168"/>
    <w:rsid w:val="00B661A3"/>
    <w:rsid w:val="00B6628C"/>
    <w:rsid w:val="00B662A5"/>
    <w:rsid w:val="00B662A6"/>
    <w:rsid w:val="00B66318"/>
    <w:rsid w:val="00B663B1"/>
    <w:rsid w:val="00B663E6"/>
    <w:rsid w:val="00B66495"/>
    <w:rsid w:val="00B665A2"/>
    <w:rsid w:val="00B665D4"/>
    <w:rsid w:val="00B6666F"/>
    <w:rsid w:val="00B6680A"/>
    <w:rsid w:val="00B668B0"/>
    <w:rsid w:val="00B66983"/>
    <w:rsid w:val="00B669DF"/>
    <w:rsid w:val="00B669E2"/>
    <w:rsid w:val="00B669E6"/>
    <w:rsid w:val="00B669F8"/>
    <w:rsid w:val="00B66B81"/>
    <w:rsid w:val="00B66BA2"/>
    <w:rsid w:val="00B66C2F"/>
    <w:rsid w:val="00B66C74"/>
    <w:rsid w:val="00B66D7F"/>
    <w:rsid w:val="00B66E96"/>
    <w:rsid w:val="00B66EA2"/>
    <w:rsid w:val="00B66EFC"/>
    <w:rsid w:val="00B66EFD"/>
    <w:rsid w:val="00B66F6A"/>
    <w:rsid w:val="00B66F9D"/>
    <w:rsid w:val="00B66FB1"/>
    <w:rsid w:val="00B66FDA"/>
    <w:rsid w:val="00B67012"/>
    <w:rsid w:val="00B670AF"/>
    <w:rsid w:val="00B670CD"/>
    <w:rsid w:val="00B670E4"/>
    <w:rsid w:val="00B671A9"/>
    <w:rsid w:val="00B671E9"/>
    <w:rsid w:val="00B6734D"/>
    <w:rsid w:val="00B6743F"/>
    <w:rsid w:val="00B674D6"/>
    <w:rsid w:val="00B674E3"/>
    <w:rsid w:val="00B6758C"/>
    <w:rsid w:val="00B6759C"/>
    <w:rsid w:val="00B675E3"/>
    <w:rsid w:val="00B675FC"/>
    <w:rsid w:val="00B6760F"/>
    <w:rsid w:val="00B6763C"/>
    <w:rsid w:val="00B676FA"/>
    <w:rsid w:val="00B677DF"/>
    <w:rsid w:val="00B67810"/>
    <w:rsid w:val="00B6796C"/>
    <w:rsid w:val="00B67975"/>
    <w:rsid w:val="00B67AAC"/>
    <w:rsid w:val="00B67ADC"/>
    <w:rsid w:val="00B67C38"/>
    <w:rsid w:val="00B67CB4"/>
    <w:rsid w:val="00B67CE5"/>
    <w:rsid w:val="00B67CE8"/>
    <w:rsid w:val="00B67E13"/>
    <w:rsid w:val="00B67E49"/>
    <w:rsid w:val="00B67EC3"/>
    <w:rsid w:val="00B67ECD"/>
    <w:rsid w:val="00B67EF2"/>
    <w:rsid w:val="00B67EFD"/>
    <w:rsid w:val="00B67F92"/>
    <w:rsid w:val="00B67F96"/>
    <w:rsid w:val="00B67FA9"/>
    <w:rsid w:val="00B700F1"/>
    <w:rsid w:val="00B7012E"/>
    <w:rsid w:val="00B70196"/>
    <w:rsid w:val="00B70212"/>
    <w:rsid w:val="00B70230"/>
    <w:rsid w:val="00B7024E"/>
    <w:rsid w:val="00B7039A"/>
    <w:rsid w:val="00B70411"/>
    <w:rsid w:val="00B70434"/>
    <w:rsid w:val="00B70489"/>
    <w:rsid w:val="00B704F0"/>
    <w:rsid w:val="00B70553"/>
    <w:rsid w:val="00B70628"/>
    <w:rsid w:val="00B70635"/>
    <w:rsid w:val="00B70641"/>
    <w:rsid w:val="00B7070B"/>
    <w:rsid w:val="00B7078B"/>
    <w:rsid w:val="00B70796"/>
    <w:rsid w:val="00B708E5"/>
    <w:rsid w:val="00B708F9"/>
    <w:rsid w:val="00B70A68"/>
    <w:rsid w:val="00B70B47"/>
    <w:rsid w:val="00B70B66"/>
    <w:rsid w:val="00B70BC4"/>
    <w:rsid w:val="00B70BD4"/>
    <w:rsid w:val="00B70C89"/>
    <w:rsid w:val="00B70CA3"/>
    <w:rsid w:val="00B70CFF"/>
    <w:rsid w:val="00B70D5E"/>
    <w:rsid w:val="00B70E06"/>
    <w:rsid w:val="00B70E18"/>
    <w:rsid w:val="00B70E49"/>
    <w:rsid w:val="00B70E6E"/>
    <w:rsid w:val="00B70E93"/>
    <w:rsid w:val="00B70ED0"/>
    <w:rsid w:val="00B70EE6"/>
    <w:rsid w:val="00B70EEA"/>
    <w:rsid w:val="00B70FD3"/>
    <w:rsid w:val="00B71019"/>
    <w:rsid w:val="00B71031"/>
    <w:rsid w:val="00B71067"/>
    <w:rsid w:val="00B7107A"/>
    <w:rsid w:val="00B7110F"/>
    <w:rsid w:val="00B7112E"/>
    <w:rsid w:val="00B71150"/>
    <w:rsid w:val="00B71157"/>
    <w:rsid w:val="00B71186"/>
    <w:rsid w:val="00B711F4"/>
    <w:rsid w:val="00B7130C"/>
    <w:rsid w:val="00B713EB"/>
    <w:rsid w:val="00B71400"/>
    <w:rsid w:val="00B71514"/>
    <w:rsid w:val="00B71527"/>
    <w:rsid w:val="00B71586"/>
    <w:rsid w:val="00B715F0"/>
    <w:rsid w:val="00B71603"/>
    <w:rsid w:val="00B71608"/>
    <w:rsid w:val="00B716E4"/>
    <w:rsid w:val="00B71773"/>
    <w:rsid w:val="00B717E9"/>
    <w:rsid w:val="00B717F7"/>
    <w:rsid w:val="00B7182A"/>
    <w:rsid w:val="00B7189A"/>
    <w:rsid w:val="00B718D5"/>
    <w:rsid w:val="00B718F4"/>
    <w:rsid w:val="00B7198F"/>
    <w:rsid w:val="00B71998"/>
    <w:rsid w:val="00B71ADE"/>
    <w:rsid w:val="00B71AFC"/>
    <w:rsid w:val="00B71C43"/>
    <w:rsid w:val="00B71C7F"/>
    <w:rsid w:val="00B71CE4"/>
    <w:rsid w:val="00B71D07"/>
    <w:rsid w:val="00B71D94"/>
    <w:rsid w:val="00B71D99"/>
    <w:rsid w:val="00B71EB5"/>
    <w:rsid w:val="00B71EE8"/>
    <w:rsid w:val="00B71F17"/>
    <w:rsid w:val="00B71FB4"/>
    <w:rsid w:val="00B72003"/>
    <w:rsid w:val="00B72205"/>
    <w:rsid w:val="00B72328"/>
    <w:rsid w:val="00B72349"/>
    <w:rsid w:val="00B723C1"/>
    <w:rsid w:val="00B72478"/>
    <w:rsid w:val="00B72491"/>
    <w:rsid w:val="00B72609"/>
    <w:rsid w:val="00B726A9"/>
    <w:rsid w:val="00B72707"/>
    <w:rsid w:val="00B727FE"/>
    <w:rsid w:val="00B72806"/>
    <w:rsid w:val="00B72829"/>
    <w:rsid w:val="00B728DF"/>
    <w:rsid w:val="00B72944"/>
    <w:rsid w:val="00B72983"/>
    <w:rsid w:val="00B729A1"/>
    <w:rsid w:val="00B72A24"/>
    <w:rsid w:val="00B72BB4"/>
    <w:rsid w:val="00B72BB7"/>
    <w:rsid w:val="00B72C30"/>
    <w:rsid w:val="00B72C6C"/>
    <w:rsid w:val="00B72CD7"/>
    <w:rsid w:val="00B72D7C"/>
    <w:rsid w:val="00B72D7D"/>
    <w:rsid w:val="00B72F3E"/>
    <w:rsid w:val="00B72FAF"/>
    <w:rsid w:val="00B73100"/>
    <w:rsid w:val="00B73152"/>
    <w:rsid w:val="00B731F6"/>
    <w:rsid w:val="00B73290"/>
    <w:rsid w:val="00B7334F"/>
    <w:rsid w:val="00B7341B"/>
    <w:rsid w:val="00B734A1"/>
    <w:rsid w:val="00B734BF"/>
    <w:rsid w:val="00B734F6"/>
    <w:rsid w:val="00B73525"/>
    <w:rsid w:val="00B7364F"/>
    <w:rsid w:val="00B73742"/>
    <w:rsid w:val="00B737D0"/>
    <w:rsid w:val="00B738B0"/>
    <w:rsid w:val="00B73990"/>
    <w:rsid w:val="00B739C0"/>
    <w:rsid w:val="00B73AAE"/>
    <w:rsid w:val="00B73AB5"/>
    <w:rsid w:val="00B73AD7"/>
    <w:rsid w:val="00B73B10"/>
    <w:rsid w:val="00B73C5C"/>
    <w:rsid w:val="00B73C73"/>
    <w:rsid w:val="00B73CA3"/>
    <w:rsid w:val="00B73CB3"/>
    <w:rsid w:val="00B73DC7"/>
    <w:rsid w:val="00B73E9E"/>
    <w:rsid w:val="00B73ED4"/>
    <w:rsid w:val="00B73EDF"/>
    <w:rsid w:val="00B73F37"/>
    <w:rsid w:val="00B73F66"/>
    <w:rsid w:val="00B73F77"/>
    <w:rsid w:val="00B73F7D"/>
    <w:rsid w:val="00B74014"/>
    <w:rsid w:val="00B7407B"/>
    <w:rsid w:val="00B74096"/>
    <w:rsid w:val="00B74155"/>
    <w:rsid w:val="00B741A2"/>
    <w:rsid w:val="00B741BA"/>
    <w:rsid w:val="00B742E3"/>
    <w:rsid w:val="00B74339"/>
    <w:rsid w:val="00B743F2"/>
    <w:rsid w:val="00B7444E"/>
    <w:rsid w:val="00B7448A"/>
    <w:rsid w:val="00B746FB"/>
    <w:rsid w:val="00B74719"/>
    <w:rsid w:val="00B74751"/>
    <w:rsid w:val="00B74875"/>
    <w:rsid w:val="00B748A1"/>
    <w:rsid w:val="00B748EA"/>
    <w:rsid w:val="00B749EF"/>
    <w:rsid w:val="00B74A68"/>
    <w:rsid w:val="00B74AB0"/>
    <w:rsid w:val="00B74C3D"/>
    <w:rsid w:val="00B74C4A"/>
    <w:rsid w:val="00B74DF5"/>
    <w:rsid w:val="00B74DFC"/>
    <w:rsid w:val="00B74EB0"/>
    <w:rsid w:val="00B7514C"/>
    <w:rsid w:val="00B7525B"/>
    <w:rsid w:val="00B7536D"/>
    <w:rsid w:val="00B75475"/>
    <w:rsid w:val="00B75529"/>
    <w:rsid w:val="00B7556E"/>
    <w:rsid w:val="00B755BE"/>
    <w:rsid w:val="00B7568E"/>
    <w:rsid w:val="00B7571E"/>
    <w:rsid w:val="00B75734"/>
    <w:rsid w:val="00B75873"/>
    <w:rsid w:val="00B75891"/>
    <w:rsid w:val="00B759B0"/>
    <w:rsid w:val="00B759F9"/>
    <w:rsid w:val="00B75A52"/>
    <w:rsid w:val="00B75C0A"/>
    <w:rsid w:val="00B75CB2"/>
    <w:rsid w:val="00B75DC4"/>
    <w:rsid w:val="00B75E11"/>
    <w:rsid w:val="00B75E72"/>
    <w:rsid w:val="00B75F24"/>
    <w:rsid w:val="00B75F2B"/>
    <w:rsid w:val="00B75FB9"/>
    <w:rsid w:val="00B75FD0"/>
    <w:rsid w:val="00B75FDE"/>
    <w:rsid w:val="00B76001"/>
    <w:rsid w:val="00B76168"/>
    <w:rsid w:val="00B761A6"/>
    <w:rsid w:val="00B76208"/>
    <w:rsid w:val="00B7622D"/>
    <w:rsid w:val="00B7630F"/>
    <w:rsid w:val="00B763A5"/>
    <w:rsid w:val="00B76456"/>
    <w:rsid w:val="00B76501"/>
    <w:rsid w:val="00B7653F"/>
    <w:rsid w:val="00B76636"/>
    <w:rsid w:val="00B76690"/>
    <w:rsid w:val="00B76793"/>
    <w:rsid w:val="00B76800"/>
    <w:rsid w:val="00B7687D"/>
    <w:rsid w:val="00B768C3"/>
    <w:rsid w:val="00B7692D"/>
    <w:rsid w:val="00B769CD"/>
    <w:rsid w:val="00B769D1"/>
    <w:rsid w:val="00B769F6"/>
    <w:rsid w:val="00B76B30"/>
    <w:rsid w:val="00B76B61"/>
    <w:rsid w:val="00B76BD4"/>
    <w:rsid w:val="00B76CA5"/>
    <w:rsid w:val="00B76CAE"/>
    <w:rsid w:val="00B76E16"/>
    <w:rsid w:val="00B76EE9"/>
    <w:rsid w:val="00B77008"/>
    <w:rsid w:val="00B771A4"/>
    <w:rsid w:val="00B771DF"/>
    <w:rsid w:val="00B77225"/>
    <w:rsid w:val="00B77278"/>
    <w:rsid w:val="00B772F8"/>
    <w:rsid w:val="00B77406"/>
    <w:rsid w:val="00B77410"/>
    <w:rsid w:val="00B7743E"/>
    <w:rsid w:val="00B77496"/>
    <w:rsid w:val="00B77565"/>
    <w:rsid w:val="00B775C2"/>
    <w:rsid w:val="00B775D6"/>
    <w:rsid w:val="00B77613"/>
    <w:rsid w:val="00B77677"/>
    <w:rsid w:val="00B77683"/>
    <w:rsid w:val="00B776A4"/>
    <w:rsid w:val="00B776D2"/>
    <w:rsid w:val="00B776D5"/>
    <w:rsid w:val="00B777B7"/>
    <w:rsid w:val="00B77849"/>
    <w:rsid w:val="00B77895"/>
    <w:rsid w:val="00B77905"/>
    <w:rsid w:val="00B77944"/>
    <w:rsid w:val="00B779CC"/>
    <w:rsid w:val="00B77A1C"/>
    <w:rsid w:val="00B77B4D"/>
    <w:rsid w:val="00B77C1A"/>
    <w:rsid w:val="00B77D81"/>
    <w:rsid w:val="00B77E34"/>
    <w:rsid w:val="00B77F71"/>
    <w:rsid w:val="00B77FAA"/>
    <w:rsid w:val="00B77FFB"/>
    <w:rsid w:val="00B8011D"/>
    <w:rsid w:val="00B80239"/>
    <w:rsid w:val="00B8040A"/>
    <w:rsid w:val="00B8048A"/>
    <w:rsid w:val="00B80492"/>
    <w:rsid w:val="00B804B2"/>
    <w:rsid w:val="00B805BD"/>
    <w:rsid w:val="00B805C9"/>
    <w:rsid w:val="00B80697"/>
    <w:rsid w:val="00B80880"/>
    <w:rsid w:val="00B8091F"/>
    <w:rsid w:val="00B809D9"/>
    <w:rsid w:val="00B809F7"/>
    <w:rsid w:val="00B80AE9"/>
    <w:rsid w:val="00B80B10"/>
    <w:rsid w:val="00B80B8E"/>
    <w:rsid w:val="00B80D0F"/>
    <w:rsid w:val="00B80D2A"/>
    <w:rsid w:val="00B80E2B"/>
    <w:rsid w:val="00B80FBC"/>
    <w:rsid w:val="00B80FC7"/>
    <w:rsid w:val="00B81124"/>
    <w:rsid w:val="00B81179"/>
    <w:rsid w:val="00B811C6"/>
    <w:rsid w:val="00B811E1"/>
    <w:rsid w:val="00B8123C"/>
    <w:rsid w:val="00B81433"/>
    <w:rsid w:val="00B8146D"/>
    <w:rsid w:val="00B8149F"/>
    <w:rsid w:val="00B8150A"/>
    <w:rsid w:val="00B815C3"/>
    <w:rsid w:val="00B81803"/>
    <w:rsid w:val="00B81806"/>
    <w:rsid w:val="00B818FB"/>
    <w:rsid w:val="00B8195D"/>
    <w:rsid w:val="00B819B4"/>
    <w:rsid w:val="00B819E7"/>
    <w:rsid w:val="00B81A14"/>
    <w:rsid w:val="00B81A23"/>
    <w:rsid w:val="00B81A55"/>
    <w:rsid w:val="00B81A63"/>
    <w:rsid w:val="00B81A6A"/>
    <w:rsid w:val="00B81AB0"/>
    <w:rsid w:val="00B81AC5"/>
    <w:rsid w:val="00B81AFE"/>
    <w:rsid w:val="00B81B0F"/>
    <w:rsid w:val="00B81B17"/>
    <w:rsid w:val="00B81BFA"/>
    <w:rsid w:val="00B81C1B"/>
    <w:rsid w:val="00B81CCC"/>
    <w:rsid w:val="00B81D60"/>
    <w:rsid w:val="00B81D97"/>
    <w:rsid w:val="00B81DA3"/>
    <w:rsid w:val="00B81DCC"/>
    <w:rsid w:val="00B81E8C"/>
    <w:rsid w:val="00B81EE6"/>
    <w:rsid w:val="00B81F35"/>
    <w:rsid w:val="00B81F3F"/>
    <w:rsid w:val="00B8200F"/>
    <w:rsid w:val="00B82042"/>
    <w:rsid w:val="00B82043"/>
    <w:rsid w:val="00B82145"/>
    <w:rsid w:val="00B82197"/>
    <w:rsid w:val="00B824B2"/>
    <w:rsid w:val="00B82524"/>
    <w:rsid w:val="00B825A9"/>
    <w:rsid w:val="00B826F2"/>
    <w:rsid w:val="00B8270B"/>
    <w:rsid w:val="00B8274A"/>
    <w:rsid w:val="00B82758"/>
    <w:rsid w:val="00B827A2"/>
    <w:rsid w:val="00B827AF"/>
    <w:rsid w:val="00B8288E"/>
    <w:rsid w:val="00B8294C"/>
    <w:rsid w:val="00B8296F"/>
    <w:rsid w:val="00B82A8D"/>
    <w:rsid w:val="00B82B11"/>
    <w:rsid w:val="00B82B23"/>
    <w:rsid w:val="00B82B2A"/>
    <w:rsid w:val="00B82B59"/>
    <w:rsid w:val="00B82C88"/>
    <w:rsid w:val="00B82CFE"/>
    <w:rsid w:val="00B82DD9"/>
    <w:rsid w:val="00B82E05"/>
    <w:rsid w:val="00B82E7D"/>
    <w:rsid w:val="00B82EC5"/>
    <w:rsid w:val="00B82F3E"/>
    <w:rsid w:val="00B82FAB"/>
    <w:rsid w:val="00B82FB1"/>
    <w:rsid w:val="00B82FC0"/>
    <w:rsid w:val="00B82FED"/>
    <w:rsid w:val="00B8300E"/>
    <w:rsid w:val="00B83049"/>
    <w:rsid w:val="00B83075"/>
    <w:rsid w:val="00B8308F"/>
    <w:rsid w:val="00B831AE"/>
    <w:rsid w:val="00B83290"/>
    <w:rsid w:val="00B832E7"/>
    <w:rsid w:val="00B83338"/>
    <w:rsid w:val="00B83353"/>
    <w:rsid w:val="00B83587"/>
    <w:rsid w:val="00B83628"/>
    <w:rsid w:val="00B837E3"/>
    <w:rsid w:val="00B83830"/>
    <w:rsid w:val="00B83846"/>
    <w:rsid w:val="00B838AC"/>
    <w:rsid w:val="00B8394F"/>
    <w:rsid w:val="00B83A1B"/>
    <w:rsid w:val="00B83B74"/>
    <w:rsid w:val="00B83BA1"/>
    <w:rsid w:val="00B83BF4"/>
    <w:rsid w:val="00B83C3A"/>
    <w:rsid w:val="00B83C5E"/>
    <w:rsid w:val="00B83C63"/>
    <w:rsid w:val="00B83C67"/>
    <w:rsid w:val="00B83C68"/>
    <w:rsid w:val="00B83C9E"/>
    <w:rsid w:val="00B83D06"/>
    <w:rsid w:val="00B83D2E"/>
    <w:rsid w:val="00B83EDC"/>
    <w:rsid w:val="00B8406D"/>
    <w:rsid w:val="00B840B3"/>
    <w:rsid w:val="00B8411E"/>
    <w:rsid w:val="00B8412B"/>
    <w:rsid w:val="00B841F7"/>
    <w:rsid w:val="00B843E3"/>
    <w:rsid w:val="00B84414"/>
    <w:rsid w:val="00B84418"/>
    <w:rsid w:val="00B84444"/>
    <w:rsid w:val="00B84452"/>
    <w:rsid w:val="00B84524"/>
    <w:rsid w:val="00B84718"/>
    <w:rsid w:val="00B847E7"/>
    <w:rsid w:val="00B84A26"/>
    <w:rsid w:val="00B84B0F"/>
    <w:rsid w:val="00B84B83"/>
    <w:rsid w:val="00B84C20"/>
    <w:rsid w:val="00B84C56"/>
    <w:rsid w:val="00B84CC0"/>
    <w:rsid w:val="00B84DB3"/>
    <w:rsid w:val="00B84E95"/>
    <w:rsid w:val="00B84EA5"/>
    <w:rsid w:val="00B84EBF"/>
    <w:rsid w:val="00B84F53"/>
    <w:rsid w:val="00B84FDD"/>
    <w:rsid w:val="00B8500F"/>
    <w:rsid w:val="00B85011"/>
    <w:rsid w:val="00B850D2"/>
    <w:rsid w:val="00B8512A"/>
    <w:rsid w:val="00B8513A"/>
    <w:rsid w:val="00B85163"/>
    <w:rsid w:val="00B851AA"/>
    <w:rsid w:val="00B851CF"/>
    <w:rsid w:val="00B853B3"/>
    <w:rsid w:val="00B85405"/>
    <w:rsid w:val="00B85438"/>
    <w:rsid w:val="00B85493"/>
    <w:rsid w:val="00B85520"/>
    <w:rsid w:val="00B85533"/>
    <w:rsid w:val="00B8575C"/>
    <w:rsid w:val="00B8579D"/>
    <w:rsid w:val="00B8580D"/>
    <w:rsid w:val="00B85840"/>
    <w:rsid w:val="00B858E2"/>
    <w:rsid w:val="00B85973"/>
    <w:rsid w:val="00B85A74"/>
    <w:rsid w:val="00B85B2A"/>
    <w:rsid w:val="00B85B3C"/>
    <w:rsid w:val="00B85C09"/>
    <w:rsid w:val="00B85C0C"/>
    <w:rsid w:val="00B85C1A"/>
    <w:rsid w:val="00B85C28"/>
    <w:rsid w:val="00B85CAE"/>
    <w:rsid w:val="00B85F48"/>
    <w:rsid w:val="00B85F7F"/>
    <w:rsid w:val="00B86033"/>
    <w:rsid w:val="00B86037"/>
    <w:rsid w:val="00B860B3"/>
    <w:rsid w:val="00B861B1"/>
    <w:rsid w:val="00B861F2"/>
    <w:rsid w:val="00B86214"/>
    <w:rsid w:val="00B862AA"/>
    <w:rsid w:val="00B86391"/>
    <w:rsid w:val="00B863F3"/>
    <w:rsid w:val="00B8646C"/>
    <w:rsid w:val="00B864DC"/>
    <w:rsid w:val="00B864E6"/>
    <w:rsid w:val="00B86515"/>
    <w:rsid w:val="00B86533"/>
    <w:rsid w:val="00B8653F"/>
    <w:rsid w:val="00B865C7"/>
    <w:rsid w:val="00B866CE"/>
    <w:rsid w:val="00B8673C"/>
    <w:rsid w:val="00B86778"/>
    <w:rsid w:val="00B8677D"/>
    <w:rsid w:val="00B867F7"/>
    <w:rsid w:val="00B86858"/>
    <w:rsid w:val="00B8689F"/>
    <w:rsid w:val="00B869D6"/>
    <w:rsid w:val="00B869DB"/>
    <w:rsid w:val="00B86AEF"/>
    <w:rsid w:val="00B86B1D"/>
    <w:rsid w:val="00B86B88"/>
    <w:rsid w:val="00B86C10"/>
    <w:rsid w:val="00B86C46"/>
    <w:rsid w:val="00B86D1B"/>
    <w:rsid w:val="00B86D45"/>
    <w:rsid w:val="00B86DCB"/>
    <w:rsid w:val="00B86E38"/>
    <w:rsid w:val="00B86EE5"/>
    <w:rsid w:val="00B86F56"/>
    <w:rsid w:val="00B86F59"/>
    <w:rsid w:val="00B86F77"/>
    <w:rsid w:val="00B86FD6"/>
    <w:rsid w:val="00B87192"/>
    <w:rsid w:val="00B871D9"/>
    <w:rsid w:val="00B8727B"/>
    <w:rsid w:val="00B87347"/>
    <w:rsid w:val="00B873D3"/>
    <w:rsid w:val="00B873EA"/>
    <w:rsid w:val="00B873F8"/>
    <w:rsid w:val="00B87415"/>
    <w:rsid w:val="00B8748C"/>
    <w:rsid w:val="00B87553"/>
    <w:rsid w:val="00B87573"/>
    <w:rsid w:val="00B876CA"/>
    <w:rsid w:val="00B87839"/>
    <w:rsid w:val="00B87877"/>
    <w:rsid w:val="00B87A7C"/>
    <w:rsid w:val="00B87A84"/>
    <w:rsid w:val="00B87A8D"/>
    <w:rsid w:val="00B87A99"/>
    <w:rsid w:val="00B87B26"/>
    <w:rsid w:val="00B87B91"/>
    <w:rsid w:val="00B87B99"/>
    <w:rsid w:val="00B87BE5"/>
    <w:rsid w:val="00B87C03"/>
    <w:rsid w:val="00B87D10"/>
    <w:rsid w:val="00B87DBD"/>
    <w:rsid w:val="00B87EF4"/>
    <w:rsid w:val="00B9000C"/>
    <w:rsid w:val="00B90066"/>
    <w:rsid w:val="00B900EE"/>
    <w:rsid w:val="00B90125"/>
    <w:rsid w:val="00B90219"/>
    <w:rsid w:val="00B90278"/>
    <w:rsid w:val="00B902FB"/>
    <w:rsid w:val="00B903F4"/>
    <w:rsid w:val="00B9042E"/>
    <w:rsid w:val="00B9060C"/>
    <w:rsid w:val="00B906AE"/>
    <w:rsid w:val="00B90716"/>
    <w:rsid w:val="00B90779"/>
    <w:rsid w:val="00B90819"/>
    <w:rsid w:val="00B90848"/>
    <w:rsid w:val="00B908EB"/>
    <w:rsid w:val="00B90B09"/>
    <w:rsid w:val="00B90B4C"/>
    <w:rsid w:val="00B90BF9"/>
    <w:rsid w:val="00B90C2F"/>
    <w:rsid w:val="00B90CA5"/>
    <w:rsid w:val="00B90EF1"/>
    <w:rsid w:val="00B90F4C"/>
    <w:rsid w:val="00B90FEE"/>
    <w:rsid w:val="00B910E8"/>
    <w:rsid w:val="00B91116"/>
    <w:rsid w:val="00B91175"/>
    <w:rsid w:val="00B911B2"/>
    <w:rsid w:val="00B91288"/>
    <w:rsid w:val="00B912DC"/>
    <w:rsid w:val="00B912ED"/>
    <w:rsid w:val="00B913B1"/>
    <w:rsid w:val="00B913EA"/>
    <w:rsid w:val="00B91440"/>
    <w:rsid w:val="00B915D1"/>
    <w:rsid w:val="00B91630"/>
    <w:rsid w:val="00B916F3"/>
    <w:rsid w:val="00B9185A"/>
    <w:rsid w:val="00B91942"/>
    <w:rsid w:val="00B91951"/>
    <w:rsid w:val="00B91A69"/>
    <w:rsid w:val="00B91A76"/>
    <w:rsid w:val="00B91AC1"/>
    <w:rsid w:val="00B91AED"/>
    <w:rsid w:val="00B91B21"/>
    <w:rsid w:val="00B91B31"/>
    <w:rsid w:val="00B91B46"/>
    <w:rsid w:val="00B91B49"/>
    <w:rsid w:val="00B91B8C"/>
    <w:rsid w:val="00B91B9C"/>
    <w:rsid w:val="00B91BBF"/>
    <w:rsid w:val="00B91D4A"/>
    <w:rsid w:val="00B91DC2"/>
    <w:rsid w:val="00B91E64"/>
    <w:rsid w:val="00B920B4"/>
    <w:rsid w:val="00B920EE"/>
    <w:rsid w:val="00B92113"/>
    <w:rsid w:val="00B9211A"/>
    <w:rsid w:val="00B92141"/>
    <w:rsid w:val="00B92285"/>
    <w:rsid w:val="00B923D0"/>
    <w:rsid w:val="00B92401"/>
    <w:rsid w:val="00B9240A"/>
    <w:rsid w:val="00B9249C"/>
    <w:rsid w:val="00B924D0"/>
    <w:rsid w:val="00B92509"/>
    <w:rsid w:val="00B92587"/>
    <w:rsid w:val="00B925D4"/>
    <w:rsid w:val="00B925DA"/>
    <w:rsid w:val="00B9260F"/>
    <w:rsid w:val="00B9265C"/>
    <w:rsid w:val="00B9274E"/>
    <w:rsid w:val="00B9292E"/>
    <w:rsid w:val="00B92989"/>
    <w:rsid w:val="00B92AAA"/>
    <w:rsid w:val="00B92B14"/>
    <w:rsid w:val="00B92B7F"/>
    <w:rsid w:val="00B92BD3"/>
    <w:rsid w:val="00B92C52"/>
    <w:rsid w:val="00B92CC8"/>
    <w:rsid w:val="00B92D78"/>
    <w:rsid w:val="00B92D9B"/>
    <w:rsid w:val="00B92DE7"/>
    <w:rsid w:val="00B92F93"/>
    <w:rsid w:val="00B93111"/>
    <w:rsid w:val="00B9315C"/>
    <w:rsid w:val="00B9316A"/>
    <w:rsid w:val="00B9318A"/>
    <w:rsid w:val="00B931D5"/>
    <w:rsid w:val="00B931EC"/>
    <w:rsid w:val="00B93234"/>
    <w:rsid w:val="00B9325A"/>
    <w:rsid w:val="00B9327C"/>
    <w:rsid w:val="00B932BC"/>
    <w:rsid w:val="00B93353"/>
    <w:rsid w:val="00B93378"/>
    <w:rsid w:val="00B935A9"/>
    <w:rsid w:val="00B93653"/>
    <w:rsid w:val="00B93672"/>
    <w:rsid w:val="00B93687"/>
    <w:rsid w:val="00B936B0"/>
    <w:rsid w:val="00B936D5"/>
    <w:rsid w:val="00B936F8"/>
    <w:rsid w:val="00B937B2"/>
    <w:rsid w:val="00B937E7"/>
    <w:rsid w:val="00B93892"/>
    <w:rsid w:val="00B93981"/>
    <w:rsid w:val="00B93A60"/>
    <w:rsid w:val="00B93A80"/>
    <w:rsid w:val="00B93A8F"/>
    <w:rsid w:val="00B93AE8"/>
    <w:rsid w:val="00B93CE7"/>
    <w:rsid w:val="00B93DFC"/>
    <w:rsid w:val="00B93ECB"/>
    <w:rsid w:val="00B9401A"/>
    <w:rsid w:val="00B9407D"/>
    <w:rsid w:val="00B94095"/>
    <w:rsid w:val="00B940E1"/>
    <w:rsid w:val="00B941E6"/>
    <w:rsid w:val="00B94386"/>
    <w:rsid w:val="00B943BF"/>
    <w:rsid w:val="00B943EB"/>
    <w:rsid w:val="00B94520"/>
    <w:rsid w:val="00B94523"/>
    <w:rsid w:val="00B9455C"/>
    <w:rsid w:val="00B94567"/>
    <w:rsid w:val="00B9459B"/>
    <w:rsid w:val="00B94682"/>
    <w:rsid w:val="00B9474B"/>
    <w:rsid w:val="00B9480F"/>
    <w:rsid w:val="00B9484A"/>
    <w:rsid w:val="00B948F6"/>
    <w:rsid w:val="00B94991"/>
    <w:rsid w:val="00B9499A"/>
    <w:rsid w:val="00B9499E"/>
    <w:rsid w:val="00B949BE"/>
    <w:rsid w:val="00B94A8A"/>
    <w:rsid w:val="00B94B00"/>
    <w:rsid w:val="00B94B21"/>
    <w:rsid w:val="00B94B59"/>
    <w:rsid w:val="00B94CC8"/>
    <w:rsid w:val="00B94D71"/>
    <w:rsid w:val="00B94DAD"/>
    <w:rsid w:val="00B94DFC"/>
    <w:rsid w:val="00B94E64"/>
    <w:rsid w:val="00B94E72"/>
    <w:rsid w:val="00B94E7A"/>
    <w:rsid w:val="00B94F26"/>
    <w:rsid w:val="00B94F55"/>
    <w:rsid w:val="00B94F6F"/>
    <w:rsid w:val="00B94FAE"/>
    <w:rsid w:val="00B95185"/>
    <w:rsid w:val="00B951C3"/>
    <w:rsid w:val="00B951DB"/>
    <w:rsid w:val="00B9524F"/>
    <w:rsid w:val="00B95334"/>
    <w:rsid w:val="00B95414"/>
    <w:rsid w:val="00B95442"/>
    <w:rsid w:val="00B955D9"/>
    <w:rsid w:val="00B95669"/>
    <w:rsid w:val="00B9566F"/>
    <w:rsid w:val="00B95673"/>
    <w:rsid w:val="00B9575D"/>
    <w:rsid w:val="00B95811"/>
    <w:rsid w:val="00B95823"/>
    <w:rsid w:val="00B95854"/>
    <w:rsid w:val="00B958D5"/>
    <w:rsid w:val="00B95930"/>
    <w:rsid w:val="00B9597D"/>
    <w:rsid w:val="00B9598B"/>
    <w:rsid w:val="00B95A2F"/>
    <w:rsid w:val="00B95A5E"/>
    <w:rsid w:val="00B95B5A"/>
    <w:rsid w:val="00B95B85"/>
    <w:rsid w:val="00B95C83"/>
    <w:rsid w:val="00B95CEC"/>
    <w:rsid w:val="00B95D01"/>
    <w:rsid w:val="00B95E2A"/>
    <w:rsid w:val="00B95F85"/>
    <w:rsid w:val="00B95FA3"/>
    <w:rsid w:val="00B9603F"/>
    <w:rsid w:val="00B96041"/>
    <w:rsid w:val="00B96075"/>
    <w:rsid w:val="00B960EE"/>
    <w:rsid w:val="00B9613F"/>
    <w:rsid w:val="00B9615D"/>
    <w:rsid w:val="00B96190"/>
    <w:rsid w:val="00B961D3"/>
    <w:rsid w:val="00B9627C"/>
    <w:rsid w:val="00B9628F"/>
    <w:rsid w:val="00B962D0"/>
    <w:rsid w:val="00B96368"/>
    <w:rsid w:val="00B963F4"/>
    <w:rsid w:val="00B96448"/>
    <w:rsid w:val="00B96535"/>
    <w:rsid w:val="00B96675"/>
    <w:rsid w:val="00B966DE"/>
    <w:rsid w:val="00B9675C"/>
    <w:rsid w:val="00B9686D"/>
    <w:rsid w:val="00B96929"/>
    <w:rsid w:val="00B969A1"/>
    <w:rsid w:val="00B969E5"/>
    <w:rsid w:val="00B96A23"/>
    <w:rsid w:val="00B96AA0"/>
    <w:rsid w:val="00B96AC2"/>
    <w:rsid w:val="00B96BE6"/>
    <w:rsid w:val="00B96BF3"/>
    <w:rsid w:val="00B96C13"/>
    <w:rsid w:val="00B96CE9"/>
    <w:rsid w:val="00B96D23"/>
    <w:rsid w:val="00B96D28"/>
    <w:rsid w:val="00B96E0B"/>
    <w:rsid w:val="00B96E12"/>
    <w:rsid w:val="00B96E4B"/>
    <w:rsid w:val="00B97067"/>
    <w:rsid w:val="00B970C7"/>
    <w:rsid w:val="00B970D9"/>
    <w:rsid w:val="00B9715F"/>
    <w:rsid w:val="00B97196"/>
    <w:rsid w:val="00B971CC"/>
    <w:rsid w:val="00B97204"/>
    <w:rsid w:val="00B972E0"/>
    <w:rsid w:val="00B97424"/>
    <w:rsid w:val="00B9743E"/>
    <w:rsid w:val="00B9748C"/>
    <w:rsid w:val="00B975BB"/>
    <w:rsid w:val="00B97637"/>
    <w:rsid w:val="00B976CB"/>
    <w:rsid w:val="00B97716"/>
    <w:rsid w:val="00B97756"/>
    <w:rsid w:val="00B977F7"/>
    <w:rsid w:val="00B9781B"/>
    <w:rsid w:val="00B97840"/>
    <w:rsid w:val="00B97878"/>
    <w:rsid w:val="00B979D2"/>
    <w:rsid w:val="00B97A03"/>
    <w:rsid w:val="00B97A3B"/>
    <w:rsid w:val="00B97B7C"/>
    <w:rsid w:val="00B97BBE"/>
    <w:rsid w:val="00B97C17"/>
    <w:rsid w:val="00B97C36"/>
    <w:rsid w:val="00B97CED"/>
    <w:rsid w:val="00B97EA9"/>
    <w:rsid w:val="00B97EDD"/>
    <w:rsid w:val="00B97EF2"/>
    <w:rsid w:val="00B97F3E"/>
    <w:rsid w:val="00BA0070"/>
    <w:rsid w:val="00BA00BF"/>
    <w:rsid w:val="00BA011C"/>
    <w:rsid w:val="00BA01F6"/>
    <w:rsid w:val="00BA03F6"/>
    <w:rsid w:val="00BA045A"/>
    <w:rsid w:val="00BA046F"/>
    <w:rsid w:val="00BA04F8"/>
    <w:rsid w:val="00BA0538"/>
    <w:rsid w:val="00BA0583"/>
    <w:rsid w:val="00BA077A"/>
    <w:rsid w:val="00BA07AF"/>
    <w:rsid w:val="00BA07CC"/>
    <w:rsid w:val="00BA0821"/>
    <w:rsid w:val="00BA0827"/>
    <w:rsid w:val="00BA085D"/>
    <w:rsid w:val="00BA096F"/>
    <w:rsid w:val="00BA0A01"/>
    <w:rsid w:val="00BA0A17"/>
    <w:rsid w:val="00BA0A3F"/>
    <w:rsid w:val="00BA0A44"/>
    <w:rsid w:val="00BA0A9C"/>
    <w:rsid w:val="00BA0AF4"/>
    <w:rsid w:val="00BA0B3D"/>
    <w:rsid w:val="00BA0BBC"/>
    <w:rsid w:val="00BA0BDC"/>
    <w:rsid w:val="00BA0D88"/>
    <w:rsid w:val="00BA0DC4"/>
    <w:rsid w:val="00BA0E59"/>
    <w:rsid w:val="00BA0EFB"/>
    <w:rsid w:val="00BA10BD"/>
    <w:rsid w:val="00BA10D5"/>
    <w:rsid w:val="00BA1104"/>
    <w:rsid w:val="00BA116F"/>
    <w:rsid w:val="00BA11A7"/>
    <w:rsid w:val="00BA11B8"/>
    <w:rsid w:val="00BA123E"/>
    <w:rsid w:val="00BA1399"/>
    <w:rsid w:val="00BA13CF"/>
    <w:rsid w:val="00BA14C5"/>
    <w:rsid w:val="00BA14DC"/>
    <w:rsid w:val="00BA1551"/>
    <w:rsid w:val="00BA1612"/>
    <w:rsid w:val="00BA1679"/>
    <w:rsid w:val="00BA1855"/>
    <w:rsid w:val="00BA18E4"/>
    <w:rsid w:val="00BA1954"/>
    <w:rsid w:val="00BA19AB"/>
    <w:rsid w:val="00BA1A34"/>
    <w:rsid w:val="00BA1B24"/>
    <w:rsid w:val="00BA1B40"/>
    <w:rsid w:val="00BA1C2A"/>
    <w:rsid w:val="00BA1C6D"/>
    <w:rsid w:val="00BA1C86"/>
    <w:rsid w:val="00BA1CBE"/>
    <w:rsid w:val="00BA1D43"/>
    <w:rsid w:val="00BA1DF4"/>
    <w:rsid w:val="00BA1F2A"/>
    <w:rsid w:val="00BA1F41"/>
    <w:rsid w:val="00BA2033"/>
    <w:rsid w:val="00BA2090"/>
    <w:rsid w:val="00BA2119"/>
    <w:rsid w:val="00BA222F"/>
    <w:rsid w:val="00BA223C"/>
    <w:rsid w:val="00BA2292"/>
    <w:rsid w:val="00BA22D2"/>
    <w:rsid w:val="00BA22F9"/>
    <w:rsid w:val="00BA237B"/>
    <w:rsid w:val="00BA239A"/>
    <w:rsid w:val="00BA23BE"/>
    <w:rsid w:val="00BA24C6"/>
    <w:rsid w:val="00BA250A"/>
    <w:rsid w:val="00BA25AB"/>
    <w:rsid w:val="00BA25BA"/>
    <w:rsid w:val="00BA26B8"/>
    <w:rsid w:val="00BA27F2"/>
    <w:rsid w:val="00BA282F"/>
    <w:rsid w:val="00BA2850"/>
    <w:rsid w:val="00BA2853"/>
    <w:rsid w:val="00BA2996"/>
    <w:rsid w:val="00BA2B0E"/>
    <w:rsid w:val="00BA2B29"/>
    <w:rsid w:val="00BA2BEA"/>
    <w:rsid w:val="00BA2D3C"/>
    <w:rsid w:val="00BA2E61"/>
    <w:rsid w:val="00BA2F09"/>
    <w:rsid w:val="00BA2FF5"/>
    <w:rsid w:val="00BA302D"/>
    <w:rsid w:val="00BA30B3"/>
    <w:rsid w:val="00BA30C6"/>
    <w:rsid w:val="00BA31AB"/>
    <w:rsid w:val="00BA31EA"/>
    <w:rsid w:val="00BA31EC"/>
    <w:rsid w:val="00BA32B2"/>
    <w:rsid w:val="00BA3390"/>
    <w:rsid w:val="00BA33D1"/>
    <w:rsid w:val="00BA33FC"/>
    <w:rsid w:val="00BA3407"/>
    <w:rsid w:val="00BA3428"/>
    <w:rsid w:val="00BA34A7"/>
    <w:rsid w:val="00BA34DF"/>
    <w:rsid w:val="00BA3539"/>
    <w:rsid w:val="00BA356C"/>
    <w:rsid w:val="00BA35FE"/>
    <w:rsid w:val="00BA3606"/>
    <w:rsid w:val="00BA36A0"/>
    <w:rsid w:val="00BA370F"/>
    <w:rsid w:val="00BA3720"/>
    <w:rsid w:val="00BA37E6"/>
    <w:rsid w:val="00BA3831"/>
    <w:rsid w:val="00BA38C8"/>
    <w:rsid w:val="00BA395C"/>
    <w:rsid w:val="00BA39D1"/>
    <w:rsid w:val="00BA3A84"/>
    <w:rsid w:val="00BA3C56"/>
    <w:rsid w:val="00BA3C70"/>
    <w:rsid w:val="00BA3CEE"/>
    <w:rsid w:val="00BA3DEA"/>
    <w:rsid w:val="00BA3E7B"/>
    <w:rsid w:val="00BA3F9B"/>
    <w:rsid w:val="00BA3FB3"/>
    <w:rsid w:val="00BA4005"/>
    <w:rsid w:val="00BA4025"/>
    <w:rsid w:val="00BA4085"/>
    <w:rsid w:val="00BA4108"/>
    <w:rsid w:val="00BA4149"/>
    <w:rsid w:val="00BA4230"/>
    <w:rsid w:val="00BA428D"/>
    <w:rsid w:val="00BA42D7"/>
    <w:rsid w:val="00BA42E2"/>
    <w:rsid w:val="00BA43AF"/>
    <w:rsid w:val="00BA4404"/>
    <w:rsid w:val="00BA4501"/>
    <w:rsid w:val="00BA4547"/>
    <w:rsid w:val="00BA4570"/>
    <w:rsid w:val="00BA4589"/>
    <w:rsid w:val="00BA45CC"/>
    <w:rsid w:val="00BA4668"/>
    <w:rsid w:val="00BA46A7"/>
    <w:rsid w:val="00BA484A"/>
    <w:rsid w:val="00BA48B8"/>
    <w:rsid w:val="00BA4AB0"/>
    <w:rsid w:val="00BA4ABA"/>
    <w:rsid w:val="00BA4AD4"/>
    <w:rsid w:val="00BA4B3D"/>
    <w:rsid w:val="00BA4B52"/>
    <w:rsid w:val="00BA4B53"/>
    <w:rsid w:val="00BA4BC1"/>
    <w:rsid w:val="00BA4C98"/>
    <w:rsid w:val="00BA4CD8"/>
    <w:rsid w:val="00BA4DA8"/>
    <w:rsid w:val="00BA4E31"/>
    <w:rsid w:val="00BA4E45"/>
    <w:rsid w:val="00BA4F8D"/>
    <w:rsid w:val="00BA4FA9"/>
    <w:rsid w:val="00BA50D8"/>
    <w:rsid w:val="00BA5185"/>
    <w:rsid w:val="00BA51A2"/>
    <w:rsid w:val="00BA5482"/>
    <w:rsid w:val="00BA5485"/>
    <w:rsid w:val="00BA5678"/>
    <w:rsid w:val="00BA5692"/>
    <w:rsid w:val="00BA58AF"/>
    <w:rsid w:val="00BA59FE"/>
    <w:rsid w:val="00BA5A2C"/>
    <w:rsid w:val="00BA5A5B"/>
    <w:rsid w:val="00BA5AA4"/>
    <w:rsid w:val="00BA5AEC"/>
    <w:rsid w:val="00BA5BB3"/>
    <w:rsid w:val="00BA5BC3"/>
    <w:rsid w:val="00BA5C7F"/>
    <w:rsid w:val="00BA5CD8"/>
    <w:rsid w:val="00BA5D28"/>
    <w:rsid w:val="00BA5D56"/>
    <w:rsid w:val="00BA5D6F"/>
    <w:rsid w:val="00BA5D70"/>
    <w:rsid w:val="00BA5D92"/>
    <w:rsid w:val="00BA5DE6"/>
    <w:rsid w:val="00BA5E29"/>
    <w:rsid w:val="00BA5E7B"/>
    <w:rsid w:val="00BA5ED3"/>
    <w:rsid w:val="00BA5F04"/>
    <w:rsid w:val="00BA5FA4"/>
    <w:rsid w:val="00BA6017"/>
    <w:rsid w:val="00BA613C"/>
    <w:rsid w:val="00BA613D"/>
    <w:rsid w:val="00BA6189"/>
    <w:rsid w:val="00BA61A8"/>
    <w:rsid w:val="00BA621B"/>
    <w:rsid w:val="00BA6371"/>
    <w:rsid w:val="00BA642F"/>
    <w:rsid w:val="00BA646C"/>
    <w:rsid w:val="00BA6524"/>
    <w:rsid w:val="00BA6533"/>
    <w:rsid w:val="00BA6537"/>
    <w:rsid w:val="00BA653B"/>
    <w:rsid w:val="00BA658D"/>
    <w:rsid w:val="00BA6590"/>
    <w:rsid w:val="00BA676E"/>
    <w:rsid w:val="00BA67F6"/>
    <w:rsid w:val="00BA682F"/>
    <w:rsid w:val="00BA6982"/>
    <w:rsid w:val="00BA69A3"/>
    <w:rsid w:val="00BA6B97"/>
    <w:rsid w:val="00BA6CB8"/>
    <w:rsid w:val="00BA6D6B"/>
    <w:rsid w:val="00BA6E64"/>
    <w:rsid w:val="00BA6E6B"/>
    <w:rsid w:val="00BA6F0B"/>
    <w:rsid w:val="00BA6F2B"/>
    <w:rsid w:val="00BA6F32"/>
    <w:rsid w:val="00BA6F52"/>
    <w:rsid w:val="00BA6F7B"/>
    <w:rsid w:val="00BA6FB9"/>
    <w:rsid w:val="00BA7071"/>
    <w:rsid w:val="00BA70A8"/>
    <w:rsid w:val="00BA7120"/>
    <w:rsid w:val="00BA716A"/>
    <w:rsid w:val="00BA7180"/>
    <w:rsid w:val="00BA7246"/>
    <w:rsid w:val="00BA72A0"/>
    <w:rsid w:val="00BA730A"/>
    <w:rsid w:val="00BA738E"/>
    <w:rsid w:val="00BA739F"/>
    <w:rsid w:val="00BA740A"/>
    <w:rsid w:val="00BA7486"/>
    <w:rsid w:val="00BA7579"/>
    <w:rsid w:val="00BA7601"/>
    <w:rsid w:val="00BA76BF"/>
    <w:rsid w:val="00BA76DE"/>
    <w:rsid w:val="00BA7705"/>
    <w:rsid w:val="00BA7796"/>
    <w:rsid w:val="00BA77BC"/>
    <w:rsid w:val="00BA77D9"/>
    <w:rsid w:val="00BA7808"/>
    <w:rsid w:val="00BA7812"/>
    <w:rsid w:val="00BA7853"/>
    <w:rsid w:val="00BA7949"/>
    <w:rsid w:val="00BA79EC"/>
    <w:rsid w:val="00BA7A6A"/>
    <w:rsid w:val="00BA7AD6"/>
    <w:rsid w:val="00BA7B18"/>
    <w:rsid w:val="00BA7BF1"/>
    <w:rsid w:val="00BA7DC5"/>
    <w:rsid w:val="00BA7DC9"/>
    <w:rsid w:val="00BA7DD2"/>
    <w:rsid w:val="00BA7E02"/>
    <w:rsid w:val="00BA7E11"/>
    <w:rsid w:val="00BA7E16"/>
    <w:rsid w:val="00BA7E28"/>
    <w:rsid w:val="00BA7F56"/>
    <w:rsid w:val="00BA7F5E"/>
    <w:rsid w:val="00BB00B9"/>
    <w:rsid w:val="00BB010F"/>
    <w:rsid w:val="00BB025D"/>
    <w:rsid w:val="00BB02D4"/>
    <w:rsid w:val="00BB02FA"/>
    <w:rsid w:val="00BB031E"/>
    <w:rsid w:val="00BB038F"/>
    <w:rsid w:val="00BB042F"/>
    <w:rsid w:val="00BB0512"/>
    <w:rsid w:val="00BB0522"/>
    <w:rsid w:val="00BB0578"/>
    <w:rsid w:val="00BB073C"/>
    <w:rsid w:val="00BB081C"/>
    <w:rsid w:val="00BB086A"/>
    <w:rsid w:val="00BB096E"/>
    <w:rsid w:val="00BB09B6"/>
    <w:rsid w:val="00BB0A80"/>
    <w:rsid w:val="00BB0AF7"/>
    <w:rsid w:val="00BB0B0E"/>
    <w:rsid w:val="00BB0BD7"/>
    <w:rsid w:val="00BB0BEF"/>
    <w:rsid w:val="00BB0C2A"/>
    <w:rsid w:val="00BB0C2B"/>
    <w:rsid w:val="00BB0C77"/>
    <w:rsid w:val="00BB0D45"/>
    <w:rsid w:val="00BB0E41"/>
    <w:rsid w:val="00BB0E75"/>
    <w:rsid w:val="00BB0EDB"/>
    <w:rsid w:val="00BB1091"/>
    <w:rsid w:val="00BB10A3"/>
    <w:rsid w:val="00BB10AE"/>
    <w:rsid w:val="00BB10CC"/>
    <w:rsid w:val="00BB1121"/>
    <w:rsid w:val="00BB1127"/>
    <w:rsid w:val="00BB1211"/>
    <w:rsid w:val="00BB136A"/>
    <w:rsid w:val="00BB1386"/>
    <w:rsid w:val="00BB138E"/>
    <w:rsid w:val="00BB13C2"/>
    <w:rsid w:val="00BB13E1"/>
    <w:rsid w:val="00BB1439"/>
    <w:rsid w:val="00BB1444"/>
    <w:rsid w:val="00BB1454"/>
    <w:rsid w:val="00BB14D2"/>
    <w:rsid w:val="00BB1589"/>
    <w:rsid w:val="00BB161A"/>
    <w:rsid w:val="00BB166D"/>
    <w:rsid w:val="00BB16A5"/>
    <w:rsid w:val="00BB16B6"/>
    <w:rsid w:val="00BB17A5"/>
    <w:rsid w:val="00BB1834"/>
    <w:rsid w:val="00BB1852"/>
    <w:rsid w:val="00BB1998"/>
    <w:rsid w:val="00BB1A4D"/>
    <w:rsid w:val="00BB1A8A"/>
    <w:rsid w:val="00BB1A95"/>
    <w:rsid w:val="00BB1B35"/>
    <w:rsid w:val="00BB1B9C"/>
    <w:rsid w:val="00BB1C4B"/>
    <w:rsid w:val="00BB1D2F"/>
    <w:rsid w:val="00BB1D3D"/>
    <w:rsid w:val="00BB1D5C"/>
    <w:rsid w:val="00BB1D97"/>
    <w:rsid w:val="00BB1DE2"/>
    <w:rsid w:val="00BB1EE0"/>
    <w:rsid w:val="00BB1F05"/>
    <w:rsid w:val="00BB2024"/>
    <w:rsid w:val="00BB207D"/>
    <w:rsid w:val="00BB2083"/>
    <w:rsid w:val="00BB2154"/>
    <w:rsid w:val="00BB217B"/>
    <w:rsid w:val="00BB2196"/>
    <w:rsid w:val="00BB21E7"/>
    <w:rsid w:val="00BB21ED"/>
    <w:rsid w:val="00BB22ED"/>
    <w:rsid w:val="00BB232F"/>
    <w:rsid w:val="00BB2364"/>
    <w:rsid w:val="00BB23EF"/>
    <w:rsid w:val="00BB248D"/>
    <w:rsid w:val="00BB2492"/>
    <w:rsid w:val="00BB24A9"/>
    <w:rsid w:val="00BB24E0"/>
    <w:rsid w:val="00BB2568"/>
    <w:rsid w:val="00BB2570"/>
    <w:rsid w:val="00BB2577"/>
    <w:rsid w:val="00BB274C"/>
    <w:rsid w:val="00BB279F"/>
    <w:rsid w:val="00BB2802"/>
    <w:rsid w:val="00BB2841"/>
    <w:rsid w:val="00BB28C9"/>
    <w:rsid w:val="00BB28E8"/>
    <w:rsid w:val="00BB2947"/>
    <w:rsid w:val="00BB2974"/>
    <w:rsid w:val="00BB29C5"/>
    <w:rsid w:val="00BB29F7"/>
    <w:rsid w:val="00BB2A57"/>
    <w:rsid w:val="00BB2AD6"/>
    <w:rsid w:val="00BB2B3A"/>
    <w:rsid w:val="00BB2B8C"/>
    <w:rsid w:val="00BB2BC9"/>
    <w:rsid w:val="00BB2CD9"/>
    <w:rsid w:val="00BB2CE2"/>
    <w:rsid w:val="00BB2D38"/>
    <w:rsid w:val="00BB2E3F"/>
    <w:rsid w:val="00BB2EE3"/>
    <w:rsid w:val="00BB2FB7"/>
    <w:rsid w:val="00BB2FCC"/>
    <w:rsid w:val="00BB3038"/>
    <w:rsid w:val="00BB3042"/>
    <w:rsid w:val="00BB31D7"/>
    <w:rsid w:val="00BB31FE"/>
    <w:rsid w:val="00BB321F"/>
    <w:rsid w:val="00BB32AB"/>
    <w:rsid w:val="00BB32F3"/>
    <w:rsid w:val="00BB333A"/>
    <w:rsid w:val="00BB33AA"/>
    <w:rsid w:val="00BB33C4"/>
    <w:rsid w:val="00BB33CC"/>
    <w:rsid w:val="00BB344E"/>
    <w:rsid w:val="00BB3468"/>
    <w:rsid w:val="00BB348E"/>
    <w:rsid w:val="00BB3501"/>
    <w:rsid w:val="00BB35C8"/>
    <w:rsid w:val="00BB35E0"/>
    <w:rsid w:val="00BB37E9"/>
    <w:rsid w:val="00BB386F"/>
    <w:rsid w:val="00BB38E2"/>
    <w:rsid w:val="00BB38EF"/>
    <w:rsid w:val="00BB3B50"/>
    <w:rsid w:val="00BB3B63"/>
    <w:rsid w:val="00BB3BD2"/>
    <w:rsid w:val="00BB3BEE"/>
    <w:rsid w:val="00BB3BFE"/>
    <w:rsid w:val="00BB3C21"/>
    <w:rsid w:val="00BB3C36"/>
    <w:rsid w:val="00BB3C44"/>
    <w:rsid w:val="00BB3CD4"/>
    <w:rsid w:val="00BB3D4F"/>
    <w:rsid w:val="00BB3D8F"/>
    <w:rsid w:val="00BB3D97"/>
    <w:rsid w:val="00BB3F7A"/>
    <w:rsid w:val="00BB3FF0"/>
    <w:rsid w:val="00BB40AF"/>
    <w:rsid w:val="00BB414E"/>
    <w:rsid w:val="00BB416C"/>
    <w:rsid w:val="00BB41C8"/>
    <w:rsid w:val="00BB4232"/>
    <w:rsid w:val="00BB4256"/>
    <w:rsid w:val="00BB4280"/>
    <w:rsid w:val="00BB430D"/>
    <w:rsid w:val="00BB4490"/>
    <w:rsid w:val="00BB4497"/>
    <w:rsid w:val="00BB44F9"/>
    <w:rsid w:val="00BB45CA"/>
    <w:rsid w:val="00BB45EC"/>
    <w:rsid w:val="00BB4632"/>
    <w:rsid w:val="00BB4691"/>
    <w:rsid w:val="00BB46A5"/>
    <w:rsid w:val="00BB476B"/>
    <w:rsid w:val="00BB47BD"/>
    <w:rsid w:val="00BB4810"/>
    <w:rsid w:val="00BB484A"/>
    <w:rsid w:val="00BB4A10"/>
    <w:rsid w:val="00BB4AD3"/>
    <w:rsid w:val="00BB4C95"/>
    <w:rsid w:val="00BB4D28"/>
    <w:rsid w:val="00BB4D6E"/>
    <w:rsid w:val="00BB4DD5"/>
    <w:rsid w:val="00BB4E34"/>
    <w:rsid w:val="00BB4E3B"/>
    <w:rsid w:val="00BB4E3C"/>
    <w:rsid w:val="00BB4E98"/>
    <w:rsid w:val="00BB4EB5"/>
    <w:rsid w:val="00BB4F57"/>
    <w:rsid w:val="00BB50EE"/>
    <w:rsid w:val="00BB5118"/>
    <w:rsid w:val="00BB5238"/>
    <w:rsid w:val="00BB52BF"/>
    <w:rsid w:val="00BB52EC"/>
    <w:rsid w:val="00BB5307"/>
    <w:rsid w:val="00BB542D"/>
    <w:rsid w:val="00BB55DC"/>
    <w:rsid w:val="00BB57C9"/>
    <w:rsid w:val="00BB57EB"/>
    <w:rsid w:val="00BB58FF"/>
    <w:rsid w:val="00BB5923"/>
    <w:rsid w:val="00BB5965"/>
    <w:rsid w:val="00BB5978"/>
    <w:rsid w:val="00BB5A57"/>
    <w:rsid w:val="00BB5AF7"/>
    <w:rsid w:val="00BB5BEA"/>
    <w:rsid w:val="00BB5C82"/>
    <w:rsid w:val="00BB5C84"/>
    <w:rsid w:val="00BB5C95"/>
    <w:rsid w:val="00BB5CB7"/>
    <w:rsid w:val="00BB5D55"/>
    <w:rsid w:val="00BB5ED4"/>
    <w:rsid w:val="00BB5F0C"/>
    <w:rsid w:val="00BB5FC6"/>
    <w:rsid w:val="00BB5FD8"/>
    <w:rsid w:val="00BB6037"/>
    <w:rsid w:val="00BB613A"/>
    <w:rsid w:val="00BB613F"/>
    <w:rsid w:val="00BB614B"/>
    <w:rsid w:val="00BB614D"/>
    <w:rsid w:val="00BB6185"/>
    <w:rsid w:val="00BB61AE"/>
    <w:rsid w:val="00BB61FD"/>
    <w:rsid w:val="00BB6291"/>
    <w:rsid w:val="00BB62AA"/>
    <w:rsid w:val="00BB6378"/>
    <w:rsid w:val="00BB641F"/>
    <w:rsid w:val="00BB6439"/>
    <w:rsid w:val="00BB6471"/>
    <w:rsid w:val="00BB64A9"/>
    <w:rsid w:val="00BB64F3"/>
    <w:rsid w:val="00BB6530"/>
    <w:rsid w:val="00BB6725"/>
    <w:rsid w:val="00BB6727"/>
    <w:rsid w:val="00BB67E7"/>
    <w:rsid w:val="00BB68D9"/>
    <w:rsid w:val="00BB697F"/>
    <w:rsid w:val="00BB6AD5"/>
    <w:rsid w:val="00BB6B84"/>
    <w:rsid w:val="00BB6B99"/>
    <w:rsid w:val="00BB6BBE"/>
    <w:rsid w:val="00BB6C0B"/>
    <w:rsid w:val="00BB6C4C"/>
    <w:rsid w:val="00BB6C6F"/>
    <w:rsid w:val="00BB6D07"/>
    <w:rsid w:val="00BB6D35"/>
    <w:rsid w:val="00BB6D54"/>
    <w:rsid w:val="00BB6DF4"/>
    <w:rsid w:val="00BB6E51"/>
    <w:rsid w:val="00BB6E66"/>
    <w:rsid w:val="00BB6FA7"/>
    <w:rsid w:val="00BB6FB6"/>
    <w:rsid w:val="00BB7244"/>
    <w:rsid w:val="00BB72D0"/>
    <w:rsid w:val="00BB72F6"/>
    <w:rsid w:val="00BB7414"/>
    <w:rsid w:val="00BB74E9"/>
    <w:rsid w:val="00BB7510"/>
    <w:rsid w:val="00BB7538"/>
    <w:rsid w:val="00BB7580"/>
    <w:rsid w:val="00BB75D3"/>
    <w:rsid w:val="00BB763D"/>
    <w:rsid w:val="00BB7693"/>
    <w:rsid w:val="00BB76E9"/>
    <w:rsid w:val="00BB7756"/>
    <w:rsid w:val="00BB7795"/>
    <w:rsid w:val="00BB77DB"/>
    <w:rsid w:val="00BB7817"/>
    <w:rsid w:val="00BB786F"/>
    <w:rsid w:val="00BB7913"/>
    <w:rsid w:val="00BB7A15"/>
    <w:rsid w:val="00BB7A32"/>
    <w:rsid w:val="00BB7A3B"/>
    <w:rsid w:val="00BB7A45"/>
    <w:rsid w:val="00BB7AA1"/>
    <w:rsid w:val="00BB7BCF"/>
    <w:rsid w:val="00BB7C3F"/>
    <w:rsid w:val="00BB7C9C"/>
    <w:rsid w:val="00BB7CF9"/>
    <w:rsid w:val="00BB7E13"/>
    <w:rsid w:val="00BB7F15"/>
    <w:rsid w:val="00BB7FFA"/>
    <w:rsid w:val="00BC0061"/>
    <w:rsid w:val="00BC0071"/>
    <w:rsid w:val="00BC0152"/>
    <w:rsid w:val="00BC018B"/>
    <w:rsid w:val="00BC021D"/>
    <w:rsid w:val="00BC02CA"/>
    <w:rsid w:val="00BC02DD"/>
    <w:rsid w:val="00BC0356"/>
    <w:rsid w:val="00BC0376"/>
    <w:rsid w:val="00BC0387"/>
    <w:rsid w:val="00BC03C4"/>
    <w:rsid w:val="00BC0513"/>
    <w:rsid w:val="00BC0548"/>
    <w:rsid w:val="00BC05AC"/>
    <w:rsid w:val="00BC05B1"/>
    <w:rsid w:val="00BC0644"/>
    <w:rsid w:val="00BC0712"/>
    <w:rsid w:val="00BC0793"/>
    <w:rsid w:val="00BC07B1"/>
    <w:rsid w:val="00BC07EF"/>
    <w:rsid w:val="00BC0803"/>
    <w:rsid w:val="00BC085F"/>
    <w:rsid w:val="00BC0862"/>
    <w:rsid w:val="00BC08AE"/>
    <w:rsid w:val="00BC09AF"/>
    <w:rsid w:val="00BC09E2"/>
    <w:rsid w:val="00BC0A7C"/>
    <w:rsid w:val="00BC0ABB"/>
    <w:rsid w:val="00BC0ADB"/>
    <w:rsid w:val="00BC0BD7"/>
    <w:rsid w:val="00BC0D07"/>
    <w:rsid w:val="00BC0D2B"/>
    <w:rsid w:val="00BC0D58"/>
    <w:rsid w:val="00BC0D7D"/>
    <w:rsid w:val="00BC0E0D"/>
    <w:rsid w:val="00BC0E48"/>
    <w:rsid w:val="00BC0E82"/>
    <w:rsid w:val="00BC0EA5"/>
    <w:rsid w:val="00BC0EE9"/>
    <w:rsid w:val="00BC0FAF"/>
    <w:rsid w:val="00BC1020"/>
    <w:rsid w:val="00BC1021"/>
    <w:rsid w:val="00BC1024"/>
    <w:rsid w:val="00BC10E8"/>
    <w:rsid w:val="00BC1132"/>
    <w:rsid w:val="00BC11AB"/>
    <w:rsid w:val="00BC127F"/>
    <w:rsid w:val="00BC130E"/>
    <w:rsid w:val="00BC137B"/>
    <w:rsid w:val="00BC13C5"/>
    <w:rsid w:val="00BC141A"/>
    <w:rsid w:val="00BC14D4"/>
    <w:rsid w:val="00BC1535"/>
    <w:rsid w:val="00BC1642"/>
    <w:rsid w:val="00BC1731"/>
    <w:rsid w:val="00BC179A"/>
    <w:rsid w:val="00BC185C"/>
    <w:rsid w:val="00BC1917"/>
    <w:rsid w:val="00BC1967"/>
    <w:rsid w:val="00BC1A1D"/>
    <w:rsid w:val="00BC1B51"/>
    <w:rsid w:val="00BC1B8F"/>
    <w:rsid w:val="00BC1CA2"/>
    <w:rsid w:val="00BC1D22"/>
    <w:rsid w:val="00BC1D5E"/>
    <w:rsid w:val="00BC1D7B"/>
    <w:rsid w:val="00BC1DB7"/>
    <w:rsid w:val="00BC1DBF"/>
    <w:rsid w:val="00BC1E03"/>
    <w:rsid w:val="00BC1E4D"/>
    <w:rsid w:val="00BC1EB1"/>
    <w:rsid w:val="00BC1EFC"/>
    <w:rsid w:val="00BC1F1C"/>
    <w:rsid w:val="00BC2098"/>
    <w:rsid w:val="00BC217B"/>
    <w:rsid w:val="00BC2219"/>
    <w:rsid w:val="00BC22AD"/>
    <w:rsid w:val="00BC22D6"/>
    <w:rsid w:val="00BC22E3"/>
    <w:rsid w:val="00BC237C"/>
    <w:rsid w:val="00BC23FD"/>
    <w:rsid w:val="00BC2401"/>
    <w:rsid w:val="00BC24E3"/>
    <w:rsid w:val="00BC2533"/>
    <w:rsid w:val="00BC25D7"/>
    <w:rsid w:val="00BC2703"/>
    <w:rsid w:val="00BC273B"/>
    <w:rsid w:val="00BC274A"/>
    <w:rsid w:val="00BC27B2"/>
    <w:rsid w:val="00BC2862"/>
    <w:rsid w:val="00BC293C"/>
    <w:rsid w:val="00BC29FB"/>
    <w:rsid w:val="00BC2A79"/>
    <w:rsid w:val="00BC2A7D"/>
    <w:rsid w:val="00BC2ABB"/>
    <w:rsid w:val="00BC2AD3"/>
    <w:rsid w:val="00BC2C86"/>
    <w:rsid w:val="00BC2D12"/>
    <w:rsid w:val="00BC2E22"/>
    <w:rsid w:val="00BC2F4B"/>
    <w:rsid w:val="00BC2F62"/>
    <w:rsid w:val="00BC2F94"/>
    <w:rsid w:val="00BC2FEE"/>
    <w:rsid w:val="00BC3020"/>
    <w:rsid w:val="00BC304F"/>
    <w:rsid w:val="00BC3064"/>
    <w:rsid w:val="00BC30F7"/>
    <w:rsid w:val="00BC3124"/>
    <w:rsid w:val="00BC31D3"/>
    <w:rsid w:val="00BC3288"/>
    <w:rsid w:val="00BC3300"/>
    <w:rsid w:val="00BC33AB"/>
    <w:rsid w:val="00BC33DB"/>
    <w:rsid w:val="00BC3412"/>
    <w:rsid w:val="00BC3413"/>
    <w:rsid w:val="00BC3419"/>
    <w:rsid w:val="00BC3525"/>
    <w:rsid w:val="00BC3592"/>
    <w:rsid w:val="00BC35A9"/>
    <w:rsid w:val="00BC35B8"/>
    <w:rsid w:val="00BC35CD"/>
    <w:rsid w:val="00BC35E9"/>
    <w:rsid w:val="00BC36CA"/>
    <w:rsid w:val="00BC36CD"/>
    <w:rsid w:val="00BC371A"/>
    <w:rsid w:val="00BC376C"/>
    <w:rsid w:val="00BC3838"/>
    <w:rsid w:val="00BC39A6"/>
    <w:rsid w:val="00BC3C25"/>
    <w:rsid w:val="00BC3C82"/>
    <w:rsid w:val="00BC3CBA"/>
    <w:rsid w:val="00BC3CF2"/>
    <w:rsid w:val="00BC3CF4"/>
    <w:rsid w:val="00BC3DA3"/>
    <w:rsid w:val="00BC3DE0"/>
    <w:rsid w:val="00BC3DED"/>
    <w:rsid w:val="00BC403B"/>
    <w:rsid w:val="00BC4082"/>
    <w:rsid w:val="00BC4089"/>
    <w:rsid w:val="00BC40AB"/>
    <w:rsid w:val="00BC4105"/>
    <w:rsid w:val="00BC4147"/>
    <w:rsid w:val="00BC421A"/>
    <w:rsid w:val="00BC4256"/>
    <w:rsid w:val="00BC42E1"/>
    <w:rsid w:val="00BC433B"/>
    <w:rsid w:val="00BC4475"/>
    <w:rsid w:val="00BC4504"/>
    <w:rsid w:val="00BC4530"/>
    <w:rsid w:val="00BC46AF"/>
    <w:rsid w:val="00BC478C"/>
    <w:rsid w:val="00BC47B7"/>
    <w:rsid w:val="00BC47F6"/>
    <w:rsid w:val="00BC4828"/>
    <w:rsid w:val="00BC48C3"/>
    <w:rsid w:val="00BC48CA"/>
    <w:rsid w:val="00BC49B7"/>
    <w:rsid w:val="00BC4A2F"/>
    <w:rsid w:val="00BC4B26"/>
    <w:rsid w:val="00BC4B8A"/>
    <w:rsid w:val="00BC4BF1"/>
    <w:rsid w:val="00BC4BFE"/>
    <w:rsid w:val="00BC4DAF"/>
    <w:rsid w:val="00BC4DD7"/>
    <w:rsid w:val="00BC4E72"/>
    <w:rsid w:val="00BC5012"/>
    <w:rsid w:val="00BC504D"/>
    <w:rsid w:val="00BC511E"/>
    <w:rsid w:val="00BC51AD"/>
    <w:rsid w:val="00BC51B1"/>
    <w:rsid w:val="00BC51FC"/>
    <w:rsid w:val="00BC5200"/>
    <w:rsid w:val="00BC5261"/>
    <w:rsid w:val="00BC52A3"/>
    <w:rsid w:val="00BC530A"/>
    <w:rsid w:val="00BC54E4"/>
    <w:rsid w:val="00BC5590"/>
    <w:rsid w:val="00BC562E"/>
    <w:rsid w:val="00BC5651"/>
    <w:rsid w:val="00BC5709"/>
    <w:rsid w:val="00BC5722"/>
    <w:rsid w:val="00BC5725"/>
    <w:rsid w:val="00BC5846"/>
    <w:rsid w:val="00BC5888"/>
    <w:rsid w:val="00BC58D5"/>
    <w:rsid w:val="00BC5905"/>
    <w:rsid w:val="00BC598D"/>
    <w:rsid w:val="00BC59D6"/>
    <w:rsid w:val="00BC59FA"/>
    <w:rsid w:val="00BC5A06"/>
    <w:rsid w:val="00BC5A4D"/>
    <w:rsid w:val="00BC5A61"/>
    <w:rsid w:val="00BC5A6B"/>
    <w:rsid w:val="00BC5AD0"/>
    <w:rsid w:val="00BC5AD9"/>
    <w:rsid w:val="00BC5AF5"/>
    <w:rsid w:val="00BC5B60"/>
    <w:rsid w:val="00BC5BC2"/>
    <w:rsid w:val="00BC5C94"/>
    <w:rsid w:val="00BC5C9D"/>
    <w:rsid w:val="00BC5D36"/>
    <w:rsid w:val="00BC5DFF"/>
    <w:rsid w:val="00BC5E39"/>
    <w:rsid w:val="00BC5E72"/>
    <w:rsid w:val="00BC5F16"/>
    <w:rsid w:val="00BC5F69"/>
    <w:rsid w:val="00BC5FA9"/>
    <w:rsid w:val="00BC5FD6"/>
    <w:rsid w:val="00BC6153"/>
    <w:rsid w:val="00BC61B2"/>
    <w:rsid w:val="00BC621A"/>
    <w:rsid w:val="00BC6288"/>
    <w:rsid w:val="00BC62A0"/>
    <w:rsid w:val="00BC62AB"/>
    <w:rsid w:val="00BC631F"/>
    <w:rsid w:val="00BC64A9"/>
    <w:rsid w:val="00BC64B8"/>
    <w:rsid w:val="00BC6530"/>
    <w:rsid w:val="00BC6546"/>
    <w:rsid w:val="00BC664A"/>
    <w:rsid w:val="00BC66B9"/>
    <w:rsid w:val="00BC6820"/>
    <w:rsid w:val="00BC68C0"/>
    <w:rsid w:val="00BC6AF3"/>
    <w:rsid w:val="00BC6B7C"/>
    <w:rsid w:val="00BC6BAB"/>
    <w:rsid w:val="00BC6C6E"/>
    <w:rsid w:val="00BC6C85"/>
    <w:rsid w:val="00BC6D81"/>
    <w:rsid w:val="00BC6E0D"/>
    <w:rsid w:val="00BC6E42"/>
    <w:rsid w:val="00BC6F09"/>
    <w:rsid w:val="00BC6F29"/>
    <w:rsid w:val="00BC6FB1"/>
    <w:rsid w:val="00BC7022"/>
    <w:rsid w:val="00BC703F"/>
    <w:rsid w:val="00BC70D0"/>
    <w:rsid w:val="00BC70DB"/>
    <w:rsid w:val="00BC718D"/>
    <w:rsid w:val="00BC71BC"/>
    <w:rsid w:val="00BC71EE"/>
    <w:rsid w:val="00BC72F3"/>
    <w:rsid w:val="00BC7315"/>
    <w:rsid w:val="00BC742C"/>
    <w:rsid w:val="00BC743A"/>
    <w:rsid w:val="00BC75D8"/>
    <w:rsid w:val="00BC763F"/>
    <w:rsid w:val="00BC76AA"/>
    <w:rsid w:val="00BC771F"/>
    <w:rsid w:val="00BC77B7"/>
    <w:rsid w:val="00BC77C1"/>
    <w:rsid w:val="00BC77D4"/>
    <w:rsid w:val="00BC77D6"/>
    <w:rsid w:val="00BC7801"/>
    <w:rsid w:val="00BC7858"/>
    <w:rsid w:val="00BC78D4"/>
    <w:rsid w:val="00BC78FD"/>
    <w:rsid w:val="00BC796B"/>
    <w:rsid w:val="00BC7A2A"/>
    <w:rsid w:val="00BC7A6D"/>
    <w:rsid w:val="00BC7AAC"/>
    <w:rsid w:val="00BC7AF5"/>
    <w:rsid w:val="00BC7D11"/>
    <w:rsid w:val="00BC7D37"/>
    <w:rsid w:val="00BC7D49"/>
    <w:rsid w:val="00BC7D76"/>
    <w:rsid w:val="00BC7D81"/>
    <w:rsid w:val="00BC7E42"/>
    <w:rsid w:val="00BC7EFB"/>
    <w:rsid w:val="00BC7F50"/>
    <w:rsid w:val="00BC7F6D"/>
    <w:rsid w:val="00BD0047"/>
    <w:rsid w:val="00BD0066"/>
    <w:rsid w:val="00BD00DE"/>
    <w:rsid w:val="00BD0106"/>
    <w:rsid w:val="00BD01AC"/>
    <w:rsid w:val="00BD0204"/>
    <w:rsid w:val="00BD0333"/>
    <w:rsid w:val="00BD0390"/>
    <w:rsid w:val="00BD03A6"/>
    <w:rsid w:val="00BD04C4"/>
    <w:rsid w:val="00BD04D2"/>
    <w:rsid w:val="00BD04EF"/>
    <w:rsid w:val="00BD0557"/>
    <w:rsid w:val="00BD05E4"/>
    <w:rsid w:val="00BD0616"/>
    <w:rsid w:val="00BD0635"/>
    <w:rsid w:val="00BD0665"/>
    <w:rsid w:val="00BD06C2"/>
    <w:rsid w:val="00BD06D9"/>
    <w:rsid w:val="00BD074A"/>
    <w:rsid w:val="00BD077E"/>
    <w:rsid w:val="00BD07AB"/>
    <w:rsid w:val="00BD08ED"/>
    <w:rsid w:val="00BD09F0"/>
    <w:rsid w:val="00BD0AE3"/>
    <w:rsid w:val="00BD0CA6"/>
    <w:rsid w:val="00BD0DD0"/>
    <w:rsid w:val="00BD0F1C"/>
    <w:rsid w:val="00BD0F34"/>
    <w:rsid w:val="00BD0FEE"/>
    <w:rsid w:val="00BD10AA"/>
    <w:rsid w:val="00BD10DA"/>
    <w:rsid w:val="00BD10F5"/>
    <w:rsid w:val="00BD1128"/>
    <w:rsid w:val="00BD11BB"/>
    <w:rsid w:val="00BD1248"/>
    <w:rsid w:val="00BD1291"/>
    <w:rsid w:val="00BD12FF"/>
    <w:rsid w:val="00BD130A"/>
    <w:rsid w:val="00BD1338"/>
    <w:rsid w:val="00BD134D"/>
    <w:rsid w:val="00BD138D"/>
    <w:rsid w:val="00BD13CF"/>
    <w:rsid w:val="00BD1428"/>
    <w:rsid w:val="00BD142D"/>
    <w:rsid w:val="00BD1574"/>
    <w:rsid w:val="00BD1593"/>
    <w:rsid w:val="00BD15EC"/>
    <w:rsid w:val="00BD1630"/>
    <w:rsid w:val="00BD16E4"/>
    <w:rsid w:val="00BD1737"/>
    <w:rsid w:val="00BD18A6"/>
    <w:rsid w:val="00BD18C7"/>
    <w:rsid w:val="00BD1A4F"/>
    <w:rsid w:val="00BD1AA2"/>
    <w:rsid w:val="00BD1ACF"/>
    <w:rsid w:val="00BD1D5D"/>
    <w:rsid w:val="00BD1DD3"/>
    <w:rsid w:val="00BD1F0D"/>
    <w:rsid w:val="00BD1F3E"/>
    <w:rsid w:val="00BD1F7E"/>
    <w:rsid w:val="00BD1F84"/>
    <w:rsid w:val="00BD200C"/>
    <w:rsid w:val="00BD2017"/>
    <w:rsid w:val="00BD206F"/>
    <w:rsid w:val="00BD2096"/>
    <w:rsid w:val="00BD2099"/>
    <w:rsid w:val="00BD210E"/>
    <w:rsid w:val="00BD211D"/>
    <w:rsid w:val="00BD221D"/>
    <w:rsid w:val="00BD2221"/>
    <w:rsid w:val="00BD22B8"/>
    <w:rsid w:val="00BD2354"/>
    <w:rsid w:val="00BD23B8"/>
    <w:rsid w:val="00BD23C8"/>
    <w:rsid w:val="00BD2555"/>
    <w:rsid w:val="00BD2586"/>
    <w:rsid w:val="00BD25AC"/>
    <w:rsid w:val="00BD2609"/>
    <w:rsid w:val="00BD2718"/>
    <w:rsid w:val="00BD2799"/>
    <w:rsid w:val="00BD2922"/>
    <w:rsid w:val="00BD292C"/>
    <w:rsid w:val="00BD29DA"/>
    <w:rsid w:val="00BD29DD"/>
    <w:rsid w:val="00BD2A90"/>
    <w:rsid w:val="00BD2B50"/>
    <w:rsid w:val="00BD2B75"/>
    <w:rsid w:val="00BD2C7C"/>
    <w:rsid w:val="00BD2D71"/>
    <w:rsid w:val="00BD2D81"/>
    <w:rsid w:val="00BD2DEC"/>
    <w:rsid w:val="00BD2E24"/>
    <w:rsid w:val="00BD2E3B"/>
    <w:rsid w:val="00BD2E68"/>
    <w:rsid w:val="00BD2E91"/>
    <w:rsid w:val="00BD2EF1"/>
    <w:rsid w:val="00BD2F15"/>
    <w:rsid w:val="00BD3095"/>
    <w:rsid w:val="00BD3190"/>
    <w:rsid w:val="00BD31AF"/>
    <w:rsid w:val="00BD31EC"/>
    <w:rsid w:val="00BD3212"/>
    <w:rsid w:val="00BD3237"/>
    <w:rsid w:val="00BD326B"/>
    <w:rsid w:val="00BD3287"/>
    <w:rsid w:val="00BD3307"/>
    <w:rsid w:val="00BD3330"/>
    <w:rsid w:val="00BD33AC"/>
    <w:rsid w:val="00BD341B"/>
    <w:rsid w:val="00BD34F6"/>
    <w:rsid w:val="00BD3531"/>
    <w:rsid w:val="00BD3581"/>
    <w:rsid w:val="00BD3593"/>
    <w:rsid w:val="00BD35B8"/>
    <w:rsid w:val="00BD35BF"/>
    <w:rsid w:val="00BD35EA"/>
    <w:rsid w:val="00BD3611"/>
    <w:rsid w:val="00BD3631"/>
    <w:rsid w:val="00BD3672"/>
    <w:rsid w:val="00BD367C"/>
    <w:rsid w:val="00BD3680"/>
    <w:rsid w:val="00BD37A5"/>
    <w:rsid w:val="00BD37E5"/>
    <w:rsid w:val="00BD3851"/>
    <w:rsid w:val="00BD39D4"/>
    <w:rsid w:val="00BD3A0C"/>
    <w:rsid w:val="00BD3A59"/>
    <w:rsid w:val="00BD3A68"/>
    <w:rsid w:val="00BD3A7C"/>
    <w:rsid w:val="00BD3AEF"/>
    <w:rsid w:val="00BD3BDE"/>
    <w:rsid w:val="00BD3C37"/>
    <w:rsid w:val="00BD3CD3"/>
    <w:rsid w:val="00BD3CF9"/>
    <w:rsid w:val="00BD3D5D"/>
    <w:rsid w:val="00BD3D7F"/>
    <w:rsid w:val="00BD3DB7"/>
    <w:rsid w:val="00BD3E98"/>
    <w:rsid w:val="00BD3F0B"/>
    <w:rsid w:val="00BD3F35"/>
    <w:rsid w:val="00BD3FDA"/>
    <w:rsid w:val="00BD4007"/>
    <w:rsid w:val="00BD4014"/>
    <w:rsid w:val="00BD429F"/>
    <w:rsid w:val="00BD42F7"/>
    <w:rsid w:val="00BD42F8"/>
    <w:rsid w:val="00BD433C"/>
    <w:rsid w:val="00BD444C"/>
    <w:rsid w:val="00BD44CD"/>
    <w:rsid w:val="00BD44EA"/>
    <w:rsid w:val="00BD455F"/>
    <w:rsid w:val="00BD45AA"/>
    <w:rsid w:val="00BD4609"/>
    <w:rsid w:val="00BD466B"/>
    <w:rsid w:val="00BD46C6"/>
    <w:rsid w:val="00BD4778"/>
    <w:rsid w:val="00BD489F"/>
    <w:rsid w:val="00BD48B1"/>
    <w:rsid w:val="00BD48E9"/>
    <w:rsid w:val="00BD48F4"/>
    <w:rsid w:val="00BD492E"/>
    <w:rsid w:val="00BD4970"/>
    <w:rsid w:val="00BD4A3F"/>
    <w:rsid w:val="00BD4ADA"/>
    <w:rsid w:val="00BD4B42"/>
    <w:rsid w:val="00BD4C1E"/>
    <w:rsid w:val="00BD4CA5"/>
    <w:rsid w:val="00BD4CDD"/>
    <w:rsid w:val="00BD4CE3"/>
    <w:rsid w:val="00BD4CF9"/>
    <w:rsid w:val="00BD4E3B"/>
    <w:rsid w:val="00BD4E41"/>
    <w:rsid w:val="00BD4EF8"/>
    <w:rsid w:val="00BD4F32"/>
    <w:rsid w:val="00BD4F4C"/>
    <w:rsid w:val="00BD4F9F"/>
    <w:rsid w:val="00BD509E"/>
    <w:rsid w:val="00BD50B4"/>
    <w:rsid w:val="00BD51B5"/>
    <w:rsid w:val="00BD529C"/>
    <w:rsid w:val="00BD52C7"/>
    <w:rsid w:val="00BD53AF"/>
    <w:rsid w:val="00BD5405"/>
    <w:rsid w:val="00BD541F"/>
    <w:rsid w:val="00BD54D5"/>
    <w:rsid w:val="00BD5545"/>
    <w:rsid w:val="00BD558E"/>
    <w:rsid w:val="00BD5604"/>
    <w:rsid w:val="00BD5622"/>
    <w:rsid w:val="00BD566A"/>
    <w:rsid w:val="00BD5796"/>
    <w:rsid w:val="00BD57B9"/>
    <w:rsid w:val="00BD58A1"/>
    <w:rsid w:val="00BD58B3"/>
    <w:rsid w:val="00BD58E6"/>
    <w:rsid w:val="00BD58FF"/>
    <w:rsid w:val="00BD5920"/>
    <w:rsid w:val="00BD5931"/>
    <w:rsid w:val="00BD5A2F"/>
    <w:rsid w:val="00BD5A9F"/>
    <w:rsid w:val="00BD5ABC"/>
    <w:rsid w:val="00BD5B51"/>
    <w:rsid w:val="00BD5B70"/>
    <w:rsid w:val="00BD5B9A"/>
    <w:rsid w:val="00BD5BDF"/>
    <w:rsid w:val="00BD5BE2"/>
    <w:rsid w:val="00BD5C1C"/>
    <w:rsid w:val="00BD5CAC"/>
    <w:rsid w:val="00BD5D03"/>
    <w:rsid w:val="00BD5D2F"/>
    <w:rsid w:val="00BD5D72"/>
    <w:rsid w:val="00BD5F92"/>
    <w:rsid w:val="00BD601A"/>
    <w:rsid w:val="00BD615F"/>
    <w:rsid w:val="00BD6183"/>
    <w:rsid w:val="00BD618F"/>
    <w:rsid w:val="00BD625C"/>
    <w:rsid w:val="00BD62F4"/>
    <w:rsid w:val="00BD62F5"/>
    <w:rsid w:val="00BD6321"/>
    <w:rsid w:val="00BD6497"/>
    <w:rsid w:val="00BD64D2"/>
    <w:rsid w:val="00BD6500"/>
    <w:rsid w:val="00BD65A2"/>
    <w:rsid w:val="00BD65D1"/>
    <w:rsid w:val="00BD65FF"/>
    <w:rsid w:val="00BD6679"/>
    <w:rsid w:val="00BD670F"/>
    <w:rsid w:val="00BD67E7"/>
    <w:rsid w:val="00BD6947"/>
    <w:rsid w:val="00BD69A0"/>
    <w:rsid w:val="00BD6A5C"/>
    <w:rsid w:val="00BD6ACF"/>
    <w:rsid w:val="00BD6B78"/>
    <w:rsid w:val="00BD6BD6"/>
    <w:rsid w:val="00BD6C0D"/>
    <w:rsid w:val="00BD6CDA"/>
    <w:rsid w:val="00BD6D27"/>
    <w:rsid w:val="00BD6DC9"/>
    <w:rsid w:val="00BD6E24"/>
    <w:rsid w:val="00BD6E37"/>
    <w:rsid w:val="00BD6E45"/>
    <w:rsid w:val="00BD6E76"/>
    <w:rsid w:val="00BD6EBD"/>
    <w:rsid w:val="00BD6EF0"/>
    <w:rsid w:val="00BD7099"/>
    <w:rsid w:val="00BD70B5"/>
    <w:rsid w:val="00BD726A"/>
    <w:rsid w:val="00BD7342"/>
    <w:rsid w:val="00BD7464"/>
    <w:rsid w:val="00BD74D5"/>
    <w:rsid w:val="00BD7508"/>
    <w:rsid w:val="00BD7547"/>
    <w:rsid w:val="00BD75D6"/>
    <w:rsid w:val="00BD7603"/>
    <w:rsid w:val="00BD762F"/>
    <w:rsid w:val="00BD7642"/>
    <w:rsid w:val="00BD7691"/>
    <w:rsid w:val="00BD7730"/>
    <w:rsid w:val="00BD7734"/>
    <w:rsid w:val="00BD78FF"/>
    <w:rsid w:val="00BD79E0"/>
    <w:rsid w:val="00BD7AFF"/>
    <w:rsid w:val="00BD7B6F"/>
    <w:rsid w:val="00BD7C21"/>
    <w:rsid w:val="00BD7CA4"/>
    <w:rsid w:val="00BD7CB4"/>
    <w:rsid w:val="00BD7D38"/>
    <w:rsid w:val="00BD7D3B"/>
    <w:rsid w:val="00BD7E2B"/>
    <w:rsid w:val="00BD7E2C"/>
    <w:rsid w:val="00BD7E4D"/>
    <w:rsid w:val="00BD7FAD"/>
    <w:rsid w:val="00BD7FC1"/>
    <w:rsid w:val="00BD7FC8"/>
    <w:rsid w:val="00BE001D"/>
    <w:rsid w:val="00BE00B1"/>
    <w:rsid w:val="00BE00CA"/>
    <w:rsid w:val="00BE00F1"/>
    <w:rsid w:val="00BE010B"/>
    <w:rsid w:val="00BE01B4"/>
    <w:rsid w:val="00BE0278"/>
    <w:rsid w:val="00BE03C6"/>
    <w:rsid w:val="00BE03F7"/>
    <w:rsid w:val="00BE0561"/>
    <w:rsid w:val="00BE05BB"/>
    <w:rsid w:val="00BE05C1"/>
    <w:rsid w:val="00BE05DB"/>
    <w:rsid w:val="00BE0616"/>
    <w:rsid w:val="00BE061B"/>
    <w:rsid w:val="00BE062A"/>
    <w:rsid w:val="00BE07D7"/>
    <w:rsid w:val="00BE07E1"/>
    <w:rsid w:val="00BE093E"/>
    <w:rsid w:val="00BE0A47"/>
    <w:rsid w:val="00BE0A87"/>
    <w:rsid w:val="00BE0AD7"/>
    <w:rsid w:val="00BE0AF2"/>
    <w:rsid w:val="00BE0AFA"/>
    <w:rsid w:val="00BE0CA7"/>
    <w:rsid w:val="00BE0CD6"/>
    <w:rsid w:val="00BE0D02"/>
    <w:rsid w:val="00BE0D37"/>
    <w:rsid w:val="00BE0D73"/>
    <w:rsid w:val="00BE0DF9"/>
    <w:rsid w:val="00BE0DFF"/>
    <w:rsid w:val="00BE0E90"/>
    <w:rsid w:val="00BE1003"/>
    <w:rsid w:val="00BE103C"/>
    <w:rsid w:val="00BE10E4"/>
    <w:rsid w:val="00BE119B"/>
    <w:rsid w:val="00BE1277"/>
    <w:rsid w:val="00BE1289"/>
    <w:rsid w:val="00BE12EF"/>
    <w:rsid w:val="00BE12FB"/>
    <w:rsid w:val="00BE1362"/>
    <w:rsid w:val="00BE1363"/>
    <w:rsid w:val="00BE1458"/>
    <w:rsid w:val="00BE14FB"/>
    <w:rsid w:val="00BE1559"/>
    <w:rsid w:val="00BE156E"/>
    <w:rsid w:val="00BE15F8"/>
    <w:rsid w:val="00BE1684"/>
    <w:rsid w:val="00BE16B6"/>
    <w:rsid w:val="00BE17BF"/>
    <w:rsid w:val="00BE17C8"/>
    <w:rsid w:val="00BE17F8"/>
    <w:rsid w:val="00BE1897"/>
    <w:rsid w:val="00BE18D7"/>
    <w:rsid w:val="00BE1982"/>
    <w:rsid w:val="00BE19F7"/>
    <w:rsid w:val="00BE1A19"/>
    <w:rsid w:val="00BE1A20"/>
    <w:rsid w:val="00BE1AAD"/>
    <w:rsid w:val="00BE1AE3"/>
    <w:rsid w:val="00BE1BD8"/>
    <w:rsid w:val="00BE1CEB"/>
    <w:rsid w:val="00BE1D06"/>
    <w:rsid w:val="00BE1D18"/>
    <w:rsid w:val="00BE1D2A"/>
    <w:rsid w:val="00BE1D34"/>
    <w:rsid w:val="00BE1DCB"/>
    <w:rsid w:val="00BE1E14"/>
    <w:rsid w:val="00BE1FDA"/>
    <w:rsid w:val="00BE21C3"/>
    <w:rsid w:val="00BE2420"/>
    <w:rsid w:val="00BE2457"/>
    <w:rsid w:val="00BE2499"/>
    <w:rsid w:val="00BE24E1"/>
    <w:rsid w:val="00BE2511"/>
    <w:rsid w:val="00BE2532"/>
    <w:rsid w:val="00BE256A"/>
    <w:rsid w:val="00BE25CA"/>
    <w:rsid w:val="00BE25DA"/>
    <w:rsid w:val="00BE26CB"/>
    <w:rsid w:val="00BE26D7"/>
    <w:rsid w:val="00BE2881"/>
    <w:rsid w:val="00BE2927"/>
    <w:rsid w:val="00BE29AB"/>
    <w:rsid w:val="00BE2A35"/>
    <w:rsid w:val="00BE2B18"/>
    <w:rsid w:val="00BE2B7C"/>
    <w:rsid w:val="00BE2C54"/>
    <w:rsid w:val="00BE2C82"/>
    <w:rsid w:val="00BE2DED"/>
    <w:rsid w:val="00BE2E43"/>
    <w:rsid w:val="00BE2E49"/>
    <w:rsid w:val="00BE2E97"/>
    <w:rsid w:val="00BE2F28"/>
    <w:rsid w:val="00BE2F52"/>
    <w:rsid w:val="00BE2F80"/>
    <w:rsid w:val="00BE2FC1"/>
    <w:rsid w:val="00BE2FC7"/>
    <w:rsid w:val="00BE302D"/>
    <w:rsid w:val="00BE315B"/>
    <w:rsid w:val="00BE319A"/>
    <w:rsid w:val="00BE31C1"/>
    <w:rsid w:val="00BE3201"/>
    <w:rsid w:val="00BE332C"/>
    <w:rsid w:val="00BE335C"/>
    <w:rsid w:val="00BE3415"/>
    <w:rsid w:val="00BE3424"/>
    <w:rsid w:val="00BE347C"/>
    <w:rsid w:val="00BE34A7"/>
    <w:rsid w:val="00BE3508"/>
    <w:rsid w:val="00BE35BF"/>
    <w:rsid w:val="00BE367B"/>
    <w:rsid w:val="00BE368D"/>
    <w:rsid w:val="00BE36B1"/>
    <w:rsid w:val="00BE36D4"/>
    <w:rsid w:val="00BE37FE"/>
    <w:rsid w:val="00BE3849"/>
    <w:rsid w:val="00BE399F"/>
    <w:rsid w:val="00BE3A80"/>
    <w:rsid w:val="00BE3A93"/>
    <w:rsid w:val="00BE3ACC"/>
    <w:rsid w:val="00BE3BD0"/>
    <w:rsid w:val="00BE3BEE"/>
    <w:rsid w:val="00BE3CA5"/>
    <w:rsid w:val="00BE3DA8"/>
    <w:rsid w:val="00BE3E19"/>
    <w:rsid w:val="00BE3F68"/>
    <w:rsid w:val="00BE3F7B"/>
    <w:rsid w:val="00BE4098"/>
    <w:rsid w:val="00BE4151"/>
    <w:rsid w:val="00BE4194"/>
    <w:rsid w:val="00BE41E4"/>
    <w:rsid w:val="00BE4272"/>
    <w:rsid w:val="00BE42FB"/>
    <w:rsid w:val="00BE4388"/>
    <w:rsid w:val="00BE43C5"/>
    <w:rsid w:val="00BE447F"/>
    <w:rsid w:val="00BE44ED"/>
    <w:rsid w:val="00BE4531"/>
    <w:rsid w:val="00BE455B"/>
    <w:rsid w:val="00BE458C"/>
    <w:rsid w:val="00BE45D4"/>
    <w:rsid w:val="00BE4631"/>
    <w:rsid w:val="00BE4688"/>
    <w:rsid w:val="00BE46EF"/>
    <w:rsid w:val="00BE46F5"/>
    <w:rsid w:val="00BE47B0"/>
    <w:rsid w:val="00BE47CF"/>
    <w:rsid w:val="00BE4813"/>
    <w:rsid w:val="00BE484A"/>
    <w:rsid w:val="00BE489E"/>
    <w:rsid w:val="00BE48D2"/>
    <w:rsid w:val="00BE4907"/>
    <w:rsid w:val="00BE494D"/>
    <w:rsid w:val="00BE499E"/>
    <w:rsid w:val="00BE4A0A"/>
    <w:rsid w:val="00BE4AF0"/>
    <w:rsid w:val="00BE4AF4"/>
    <w:rsid w:val="00BE4B1E"/>
    <w:rsid w:val="00BE4B71"/>
    <w:rsid w:val="00BE4BDB"/>
    <w:rsid w:val="00BE4DD4"/>
    <w:rsid w:val="00BE4F2F"/>
    <w:rsid w:val="00BE4F7F"/>
    <w:rsid w:val="00BE5146"/>
    <w:rsid w:val="00BE5198"/>
    <w:rsid w:val="00BE5295"/>
    <w:rsid w:val="00BE53F1"/>
    <w:rsid w:val="00BE5448"/>
    <w:rsid w:val="00BE5475"/>
    <w:rsid w:val="00BE5485"/>
    <w:rsid w:val="00BE5618"/>
    <w:rsid w:val="00BE5620"/>
    <w:rsid w:val="00BE5640"/>
    <w:rsid w:val="00BE5707"/>
    <w:rsid w:val="00BE572F"/>
    <w:rsid w:val="00BE5916"/>
    <w:rsid w:val="00BE592D"/>
    <w:rsid w:val="00BE5974"/>
    <w:rsid w:val="00BE5A0D"/>
    <w:rsid w:val="00BE5AB8"/>
    <w:rsid w:val="00BE5C3A"/>
    <w:rsid w:val="00BE5D10"/>
    <w:rsid w:val="00BE5D68"/>
    <w:rsid w:val="00BE5D97"/>
    <w:rsid w:val="00BE5DA3"/>
    <w:rsid w:val="00BE5DAC"/>
    <w:rsid w:val="00BE5DB1"/>
    <w:rsid w:val="00BE5E0F"/>
    <w:rsid w:val="00BE5E66"/>
    <w:rsid w:val="00BE5E81"/>
    <w:rsid w:val="00BE5F0D"/>
    <w:rsid w:val="00BE5F56"/>
    <w:rsid w:val="00BE6103"/>
    <w:rsid w:val="00BE6128"/>
    <w:rsid w:val="00BE616D"/>
    <w:rsid w:val="00BE6191"/>
    <w:rsid w:val="00BE61C3"/>
    <w:rsid w:val="00BE654E"/>
    <w:rsid w:val="00BE6627"/>
    <w:rsid w:val="00BE67DF"/>
    <w:rsid w:val="00BE6834"/>
    <w:rsid w:val="00BE6844"/>
    <w:rsid w:val="00BE685F"/>
    <w:rsid w:val="00BE68D6"/>
    <w:rsid w:val="00BE68FF"/>
    <w:rsid w:val="00BE6951"/>
    <w:rsid w:val="00BE6AD1"/>
    <w:rsid w:val="00BE6B98"/>
    <w:rsid w:val="00BE6C8F"/>
    <w:rsid w:val="00BE6CA9"/>
    <w:rsid w:val="00BE6CCB"/>
    <w:rsid w:val="00BE6CD6"/>
    <w:rsid w:val="00BE6CFA"/>
    <w:rsid w:val="00BE6D0B"/>
    <w:rsid w:val="00BE6D18"/>
    <w:rsid w:val="00BE6D6B"/>
    <w:rsid w:val="00BE6DA7"/>
    <w:rsid w:val="00BE6EAB"/>
    <w:rsid w:val="00BE6F14"/>
    <w:rsid w:val="00BE6F31"/>
    <w:rsid w:val="00BE6F92"/>
    <w:rsid w:val="00BE6FB7"/>
    <w:rsid w:val="00BE70EE"/>
    <w:rsid w:val="00BE712B"/>
    <w:rsid w:val="00BE71D2"/>
    <w:rsid w:val="00BE72AD"/>
    <w:rsid w:val="00BE72CD"/>
    <w:rsid w:val="00BE72E4"/>
    <w:rsid w:val="00BE7319"/>
    <w:rsid w:val="00BE7490"/>
    <w:rsid w:val="00BE74A8"/>
    <w:rsid w:val="00BE74B2"/>
    <w:rsid w:val="00BE753C"/>
    <w:rsid w:val="00BE75A4"/>
    <w:rsid w:val="00BE764F"/>
    <w:rsid w:val="00BE7693"/>
    <w:rsid w:val="00BE769A"/>
    <w:rsid w:val="00BE7763"/>
    <w:rsid w:val="00BE77D1"/>
    <w:rsid w:val="00BE7826"/>
    <w:rsid w:val="00BE7934"/>
    <w:rsid w:val="00BE794A"/>
    <w:rsid w:val="00BE7A60"/>
    <w:rsid w:val="00BE7B80"/>
    <w:rsid w:val="00BE7C14"/>
    <w:rsid w:val="00BE7C49"/>
    <w:rsid w:val="00BE7CEA"/>
    <w:rsid w:val="00BE7F95"/>
    <w:rsid w:val="00BE7FB5"/>
    <w:rsid w:val="00BF0019"/>
    <w:rsid w:val="00BF0054"/>
    <w:rsid w:val="00BF0293"/>
    <w:rsid w:val="00BF02E5"/>
    <w:rsid w:val="00BF038F"/>
    <w:rsid w:val="00BF0457"/>
    <w:rsid w:val="00BF0476"/>
    <w:rsid w:val="00BF0527"/>
    <w:rsid w:val="00BF0539"/>
    <w:rsid w:val="00BF05DF"/>
    <w:rsid w:val="00BF05FE"/>
    <w:rsid w:val="00BF073D"/>
    <w:rsid w:val="00BF0787"/>
    <w:rsid w:val="00BF079C"/>
    <w:rsid w:val="00BF0836"/>
    <w:rsid w:val="00BF08CD"/>
    <w:rsid w:val="00BF08ED"/>
    <w:rsid w:val="00BF08FE"/>
    <w:rsid w:val="00BF09A5"/>
    <w:rsid w:val="00BF09AA"/>
    <w:rsid w:val="00BF0A15"/>
    <w:rsid w:val="00BF0A3D"/>
    <w:rsid w:val="00BF0A48"/>
    <w:rsid w:val="00BF0AFD"/>
    <w:rsid w:val="00BF0CC6"/>
    <w:rsid w:val="00BF0D72"/>
    <w:rsid w:val="00BF0DC6"/>
    <w:rsid w:val="00BF0DF1"/>
    <w:rsid w:val="00BF0EA8"/>
    <w:rsid w:val="00BF0EB1"/>
    <w:rsid w:val="00BF0EBD"/>
    <w:rsid w:val="00BF0F5A"/>
    <w:rsid w:val="00BF1036"/>
    <w:rsid w:val="00BF1083"/>
    <w:rsid w:val="00BF1180"/>
    <w:rsid w:val="00BF13A6"/>
    <w:rsid w:val="00BF13A8"/>
    <w:rsid w:val="00BF14AB"/>
    <w:rsid w:val="00BF1521"/>
    <w:rsid w:val="00BF1528"/>
    <w:rsid w:val="00BF152D"/>
    <w:rsid w:val="00BF160E"/>
    <w:rsid w:val="00BF162F"/>
    <w:rsid w:val="00BF16C9"/>
    <w:rsid w:val="00BF173D"/>
    <w:rsid w:val="00BF179D"/>
    <w:rsid w:val="00BF17F9"/>
    <w:rsid w:val="00BF183E"/>
    <w:rsid w:val="00BF18CA"/>
    <w:rsid w:val="00BF1A15"/>
    <w:rsid w:val="00BF1A71"/>
    <w:rsid w:val="00BF1B14"/>
    <w:rsid w:val="00BF1B63"/>
    <w:rsid w:val="00BF1BB3"/>
    <w:rsid w:val="00BF1BBB"/>
    <w:rsid w:val="00BF1C01"/>
    <w:rsid w:val="00BF1C2E"/>
    <w:rsid w:val="00BF1CE4"/>
    <w:rsid w:val="00BF1D0D"/>
    <w:rsid w:val="00BF1EFE"/>
    <w:rsid w:val="00BF1F40"/>
    <w:rsid w:val="00BF1F8E"/>
    <w:rsid w:val="00BF1FAC"/>
    <w:rsid w:val="00BF2074"/>
    <w:rsid w:val="00BF2169"/>
    <w:rsid w:val="00BF21C6"/>
    <w:rsid w:val="00BF21DF"/>
    <w:rsid w:val="00BF235E"/>
    <w:rsid w:val="00BF23B9"/>
    <w:rsid w:val="00BF242C"/>
    <w:rsid w:val="00BF2512"/>
    <w:rsid w:val="00BF2597"/>
    <w:rsid w:val="00BF25BE"/>
    <w:rsid w:val="00BF25DC"/>
    <w:rsid w:val="00BF2673"/>
    <w:rsid w:val="00BF26C1"/>
    <w:rsid w:val="00BF26D9"/>
    <w:rsid w:val="00BF26E4"/>
    <w:rsid w:val="00BF270F"/>
    <w:rsid w:val="00BF2729"/>
    <w:rsid w:val="00BF272C"/>
    <w:rsid w:val="00BF27DD"/>
    <w:rsid w:val="00BF28AB"/>
    <w:rsid w:val="00BF2997"/>
    <w:rsid w:val="00BF29E4"/>
    <w:rsid w:val="00BF2A84"/>
    <w:rsid w:val="00BF2B71"/>
    <w:rsid w:val="00BF2BB0"/>
    <w:rsid w:val="00BF2DA3"/>
    <w:rsid w:val="00BF2DC2"/>
    <w:rsid w:val="00BF2DE9"/>
    <w:rsid w:val="00BF2E29"/>
    <w:rsid w:val="00BF2EA4"/>
    <w:rsid w:val="00BF2EB8"/>
    <w:rsid w:val="00BF2FA6"/>
    <w:rsid w:val="00BF3074"/>
    <w:rsid w:val="00BF30B8"/>
    <w:rsid w:val="00BF30C7"/>
    <w:rsid w:val="00BF30F0"/>
    <w:rsid w:val="00BF3201"/>
    <w:rsid w:val="00BF3254"/>
    <w:rsid w:val="00BF3293"/>
    <w:rsid w:val="00BF32A9"/>
    <w:rsid w:val="00BF32CF"/>
    <w:rsid w:val="00BF332C"/>
    <w:rsid w:val="00BF3437"/>
    <w:rsid w:val="00BF3499"/>
    <w:rsid w:val="00BF359D"/>
    <w:rsid w:val="00BF3644"/>
    <w:rsid w:val="00BF3646"/>
    <w:rsid w:val="00BF3709"/>
    <w:rsid w:val="00BF3769"/>
    <w:rsid w:val="00BF3820"/>
    <w:rsid w:val="00BF38BE"/>
    <w:rsid w:val="00BF38CC"/>
    <w:rsid w:val="00BF38E5"/>
    <w:rsid w:val="00BF38E7"/>
    <w:rsid w:val="00BF3930"/>
    <w:rsid w:val="00BF397E"/>
    <w:rsid w:val="00BF398A"/>
    <w:rsid w:val="00BF3996"/>
    <w:rsid w:val="00BF3A56"/>
    <w:rsid w:val="00BF3A9E"/>
    <w:rsid w:val="00BF3B41"/>
    <w:rsid w:val="00BF3BB1"/>
    <w:rsid w:val="00BF3C34"/>
    <w:rsid w:val="00BF3C53"/>
    <w:rsid w:val="00BF3CD6"/>
    <w:rsid w:val="00BF3D21"/>
    <w:rsid w:val="00BF3D4D"/>
    <w:rsid w:val="00BF3D93"/>
    <w:rsid w:val="00BF3DFF"/>
    <w:rsid w:val="00BF3E3F"/>
    <w:rsid w:val="00BF3EAD"/>
    <w:rsid w:val="00BF3FD8"/>
    <w:rsid w:val="00BF4021"/>
    <w:rsid w:val="00BF4105"/>
    <w:rsid w:val="00BF4246"/>
    <w:rsid w:val="00BF4285"/>
    <w:rsid w:val="00BF428F"/>
    <w:rsid w:val="00BF4457"/>
    <w:rsid w:val="00BF448E"/>
    <w:rsid w:val="00BF45E0"/>
    <w:rsid w:val="00BF4807"/>
    <w:rsid w:val="00BF490B"/>
    <w:rsid w:val="00BF4A61"/>
    <w:rsid w:val="00BF4A7F"/>
    <w:rsid w:val="00BF4ADA"/>
    <w:rsid w:val="00BF4B2E"/>
    <w:rsid w:val="00BF4B8F"/>
    <w:rsid w:val="00BF4B96"/>
    <w:rsid w:val="00BF4BC7"/>
    <w:rsid w:val="00BF4CAF"/>
    <w:rsid w:val="00BF4CF7"/>
    <w:rsid w:val="00BF4D35"/>
    <w:rsid w:val="00BF4D4D"/>
    <w:rsid w:val="00BF4E06"/>
    <w:rsid w:val="00BF4E1C"/>
    <w:rsid w:val="00BF4E62"/>
    <w:rsid w:val="00BF4E7E"/>
    <w:rsid w:val="00BF4EBD"/>
    <w:rsid w:val="00BF4EC6"/>
    <w:rsid w:val="00BF5108"/>
    <w:rsid w:val="00BF511D"/>
    <w:rsid w:val="00BF5223"/>
    <w:rsid w:val="00BF5235"/>
    <w:rsid w:val="00BF5258"/>
    <w:rsid w:val="00BF5269"/>
    <w:rsid w:val="00BF52BD"/>
    <w:rsid w:val="00BF5315"/>
    <w:rsid w:val="00BF5379"/>
    <w:rsid w:val="00BF5409"/>
    <w:rsid w:val="00BF541B"/>
    <w:rsid w:val="00BF5456"/>
    <w:rsid w:val="00BF54C2"/>
    <w:rsid w:val="00BF5546"/>
    <w:rsid w:val="00BF555E"/>
    <w:rsid w:val="00BF565A"/>
    <w:rsid w:val="00BF5688"/>
    <w:rsid w:val="00BF56A7"/>
    <w:rsid w:val="00BF56C8"/>
    <w:rsid w:val="00BF57A1"/>
    <w:rsid w:val="00BF5A14"/>
    <w:rsid w:val="00BF5A1B"/>
    <w:rsid w:val="00BF5A99"/>
    <w:rsid w:val="00BF5BC2"/>
    <w:rsid w:val="00BF5C43"/>
    <w:rsid w:val="00BF5C9F"/>
    <w:rsid w:val="00BF5CC2"/>
    <w:rsid w:val="00BF5CCA"/>
    <w:rsid w:val="00BF5D24"/>
    <w:rsid w:val="00BF5DF2"/>
    <w:rsid w:val="00BF5E88"/>
    <w:rsid w:val="00BF5EF4"/>
    <w:rsid w:val="00BF5FAB"/>
    <w:rsid w:val="00BF6005"/>
    <w:rsid w:val="00BF618C"/>
    <w:rsid w:val="00BF61B3"/>
    <w:rsid w:val="00BF62D6"/>
    <w:rsid w:val="00BF6307"/>
    <w:rsid w:val="00BF6354"/>
    <w:rsid w:val="00BF6363"/>
    <w:rsid w:val="00BF63E3"/>
    <w:rsid w:val="00BF641A"/>
    <w:rsid w:val="00BF6478"/>
    <w:rsid w:val="00BF64A5"/>
    <w:rsid w:val="00BF64A9"/>
    <w:rsid w:val="00BF64DF"/>
    <w:rsid w:val="00BF654F"/>
    <w:rsid w:val="00BF657C"/>
    <w:rsid w:val="00BF65CE"/>
    <w:rsid w:val="00BF65FE"/>
    <w:rsid w:val="00BF6650"/>
    <w:rsid w:val="00BF66CB"/>
    <w:rsid w:val="00BF66D1"/>
    <w:rsid w:val="00BF6706"/>
    <w:rsid w:val="00BF67CD"/>
    <w:rsid w:val="00BF688C"/>
    <w:rsid w:val="00BF696D"/>
    <w:rsid w:val="00BF6980"/>
    <w:rsid w:val="00BF6A6D"/>
    <w:rsid w:val="00BF6BAB"/>
    <w:rsid w:val="00BF6C37"/>
    <w:rsid w:val="00BF6C4B"/>
    <w:rsid w:val="00BF6C7E"/>
    <w:rsid w:val="00BF6DCC"/>
    <w:rsid w:val="00BF6E3D"/>
    <w:rsid w:val="00BF6FB3"/>
    <w:rsid w:val="00BF7081"/>
    <w:rsid w:val="00BF7082"/>
    <w:rsid w:val="00BF70CB"/>
    <w:rsid w:val="00BF7100"/>
    <w:rsid w:val="00BF7146"/>
    <w:rsid w:val="00BF7153"/>
    <w:rsid w:val="00BF719D"/>
    <w:rsid w:val="00BF71F7"/>
    <w:rsid w:val="00BF7203"/>
    <w:rsid w:val="00BF720C"/>
    <w:rsid w:val="00BF72BC"/>
    <w:rsid w:val="00BF7409"/>
    <w:rsid w:val="00BF74BF"/>
    <w:rsid w:val="00BF7552"/>
    <w:rsid w:val="00BF76C5"/>
    <w:rsid w:val="00BF76DE"/>
    <w:rsid w:val="00BF7762"/>
    <w:rsid w:val="00BF7772"/>
    <w:rsid w:val="00BF77A4"/>
    <w:rsid w:val="00BF77BA"/>
    <w:rsid w:val="00BF77E1"/>
    <w:rsid w:val="00BF77FF"/>
    <w:rsid w:val="00BF789B"/>
    <w:rsid w:val="00BF7AB7"/>
    <w:rsid w:val="00BF7AE0"/>
    <w:rsid w:val="00BF7C15"/>
    <w:rsid w:val="00BF7C51"/>
    <w:rsid w:val="00BF7C6E"/>
    <w:rsid w:val="00BF7D65"/>
    <w:rsid w:val="00BF7D77"/>
    <w:rsid w:val="00BF7E4C"/>
    <w:rsid w:val="00BF7EB3"/>
    <w:rsid w:val="00BF7FE1"/>
    <w:rsid w:val="00C00175"/>
    <w:rsid w:val="00C002B8"/>
    <w:rsid w:val="00C00330"/>
    <w:rsid w:val="00C00338"/>
    <w:rsid w:val="00C00384"/>
    <w:rsid w:val="00C004A7"/>
    <w:rsid w:val="00C00529"/>
    <w:rsid w:val="00C00553"/>
    <w:rsid w:val="00C0059C"/>
    <w:rsid w:val="00C005C1"/>
    <w:rsid w:val="00C005CE"/>
    <w:rsid w:val="00C005E9"/>
    <w:rsid w:val="00C0061F"/>
    <w:rsid w:val="00C0067A"/>
    <w:rsid w:val="00C00685"/>
    <w:rsid w:val="00C007B7"/>
    <w:rsid w:val="00C007DF"/>
    <w:rsid w:val="00C007F0"/>
    <w:rsid w:val="00C00814"/>
    <w:rsid w:val="00C008B6"/>
    <w:rsid w:val="00C0093D"/>
    <w:rsid w:val="00C00951"/>
    <w:rsid w:val="00C00960"/>
    <w:rsid w:val="00C0098C"/>
    <w:rsid w:val="00C00997"/>
    <w:rsid w:val="00C00A4C"/>
    <w:rsid w:val="00C00A7D"/>
    <w:rsid w:val="00C00AE4"/>
    <w:rsid w:val="00C00C72"/>
    <w:rsid w:val="00C00E18"/>
    <w:rsid w:val="00C00E7A"/>
    <w:rsid w:val="00C00F11"/>
    <w:rsid w:val="00C011CC"/>
    <w:rsid w:val="00C01225"/>
    <w:rsid w:val="00C0123C"/>
    <w:rsid w:val="00C0131F"/>
    <w:rsid w:val="00C0144B"/>
    <w:rsid w:val="00C0151F"/>
    <w:rsid w:val="00C015AC"/>
    <w:rsid w:val="00C01619"/>
    <w:rsid w:val="00C01655"/>
    <w:rsid w:val="00C0166B"/>
    <w:rsid w:val="00C01814"/>
    <w:rsid w:val="00C0186E"/>
    <w:rsid w:val="00C0196C"/>
    <w:rsid w:val="00C0198B"/>
    <w:rsid w:val="00C01A31"/>
    <w:rsid w:val="00C01AD1"/>
    <w:rsid w:val="00C01BC3"/>
    <w:rsid w:val="00C01BF5"/>
    <w:rsid w:val="00C01C22"/>
    <w:rsid w:val="00C01D4A"/>
    <w:rsid w:val="00C01D63"/>
    <w:rsid w:val="00C01E4C"/>
    <w:rsid w:val="00C01F33"/>
    <w:rsid w:val="00C01FB5"/>
    <w:rsid w:val="00C02001"/>
    <w:rsid w:val="00C02188"/>
    <w:rsid w:val="00C02189"/>
    <w:rsid w:val="00C021FF"/>
    <w:rsid w:val="00C0230A"/>
    <w:rsid w:val="00C0240F"/>
    <w:rsid w:val="00C02488"/>
    <w:rsid w:val="00C024EB"/>
    <w:rsid w:val="00C025AF"/>
    <w:rsid w:val="00C02646"/>
    <w:rsid w:val="00C0269F"/>
    <w:rsid w:val="00C026AC"/>
    <w:rsid w:val="00C026AF"/>
    <w:rsid w:val="00C026B5"/>
    <w:rsid w:val="00C02703"/>
    <w:rsid w:val="00C0271B"/>
    <w:rsid w:val="00C027FC"/>
    <w:rsid w:val="00C028BD"/>
    <w:rsid w:val="00C028EB"/>
    <w:rsid w:val="00C02902"/>
    <w:rsid w:val="00C0292D"/>
    <w:rsid w:val="00C029AF"/>
    <w:rsid w:val="00C029BB"/>
    <w:rsid w:val="00C029E1"/>
    <w:rsid w:val="00C029F9"/>
    <w:rsid w:val="00C02A5E"/>
    <w:rsid w:val="00C02AB9"/>
    <w:rsid w:val="00C02AC5"/>
    <w:rsid w:val="00C02B9B"/>
    <w:rsid w:val="00C02C0A"/>
    <w:rsid w:val="00C02D3D"/>
    <w:rsid w:val="00C02D89"/>
    <w:rsid w:val="00C02FA9"/>
    <w:rsid w:val="00C0303B"/>
    <w:rsid w:val="00C030E6"/>
    <w:rsid w:val="00C03205"/>
    <w:rsid w:val="00C03315"/>
    <w:rsid w:val="00C0331B"/>
    <w:rsid w:val="00C034DF"/>
    <w:rsid w:val="00C03518"/>
    <w:rsid w:val="00C0351A"/>
    <w:rsid w:val="00C0357C"/>
    <w:rsid w:val="00C03588"/>
    <w:rsid w:val="00C035AC"/>
    <w:rsid w:val="00C035E2"/>
    <w:rsid w:val="00C0369A"/>
    <w:rsid w:val="00C036D3"/>
    <w:rsid w:val="00C0379D"/>
    <w:rsid w:val="00C037F3"/>
    <w:rsid w:val="00C038A5"/>
    <w:rsid w:val="00C03907"/>
    <w:rsid w:val="00C03929"/>
    <w:rsid w:val="00C039D5"/>
    <w:rsid w:val="00C039F0"/>
    <w:rsid w:val="00C03B5D"/>
    <w:rsid w:val="00C03B6F"/>
    <w:rsid w:val="00C03D37"/>
    <w:rsid w:val="00C03DBE"/>
    <w:rsid w:val="00C03F1D"/>
    <w:rsid w:val="00C03F42"/>
    <w:rsid w:val="00C03F74"/>
    <w:rsid w:val="00C03FBC"/>
    <w:rsid w:val="00C04036"/>
    <w:rsid w:val="00C04065"/>
    <w:rsid w:val="00C04073"/>
    <w:rsid w:val="00C041B8"/>
    <w:rsid w:val="00C041F4"/>
    <w:rsid w:val="00C04256"/>
    <w:rsid w:val="00C0426E"/>
    <w:rsid w:val="00C042BF"/>
    <w:rsid w:val="00C043A7"/>
    <w:rsid w:val="00C043ED"/>
    <w:rsid w:val="00C0448B"/>
    <w:rsid w:val="00C044E0"/>
    <w:rsid w:val="00C04542"/>
    <w:rsid w:val="00C0470B"/>
    <w:rsid w:val="00C0475A"/>
    <w:rsid w:val="00C0487B"/>
    <w:rsid w:val="00C0489C"/>
    <w:rsid w:val="00C04A48"/>
    <w:rsid w:val="00C04A7F"/>
    <w:rsid w:val="00C04AA2"/>
    <w:rsid w:val="00C04AB8"/>
    <w:rsid w:val="00C04B23"/>
    <w:rsid w:val="00C04BDC"/>
    <w:rsid w:val="00C04BED"/>
    <w:rsid w:val="00C04CC4"/>
    <w:rsid w:val="00C04D49"/>
    <w:rsid w:val="00C04DA9"/>
    <w:rsid w:val="00C04DE6"/>
    <w:rsid w:val="00C04E26"/>
    <w:rsid w:val="00C04E8B"/>
    <w:rsid w:val="00C04F83"/>
    <w:rsid w:val="00C04FBC"/>
    <w:rsid w:val="00C04FDC"/>
    <w:rsid w:val="00C05025"/>
    <w:rsid w:val="00C0504A"/>
    <w:rsid w:val="00C050A9"/>
    <w:rsid w:val="00C05125"/>
    <w:rsid w:val="00C05155"/>
    <w:rsid w:val="00C051AC"/>
    <w:rsid w:val="00C05389"/>
    <w:rsid w:val="00C053D4"/>
    <w:rsid w:val="00C053F9"/>
    <w:rsid w:val="00C05410"/>
    <w:rsid w:val="00C0547A"/>
    <w:rsid w:val="00C054BE"/>
    <w:rsid w:val="00C054F9"/>
    <w:rsid w:val="00C055E5"/>
    <w:rsid w:val="00C0569D"/>
    <w:rsid w:val="00C056AC"/>
    <w:rsid w:val="00C056AE"/>
    <w:rsid w:val="00C057D5"/>
    <w:rsid w:val="00C057F8"/>
    <w:rsid w:val="00C05828"/>
    <w:rsid w:val="00C0587E"/>
    <w:rsid w:val="00C058D5"/>
    <w:rsid w:val="00C059DC"/>
    <w:rsid w:val="00C05A68"/>
    <w:rsid w:val="00C05A74"/>
    <w:rsid w:val="00C05AFC"/>
    <w:rsid w:val="00C05B45"/>
    <w:rsid w:val="00C05BB2"/>
    <w:rsid w:val="00C05BC7"/>
    <w:rsid w:val="00C05C24"/>
    <w:rsid w:val="00C05CED"/>
    <w:rsid w:val="00C05D27"/>
    <w:rsid w:val="00C05D57"/>
    <w:rsid w:val="00C05DC2"/>
    <w:rsid w:val="00C05DC4"/>
    <w:rsid w:val="00C05E86"/>
    <w:rsid w:val="00C05E8E"/>
    <w:rsid w:val="00C05E98"/>
    <w:rsid w:val="00C05F19"/>
    <w:rsid w:val="00C05F35"/>
    <w:rsid w:val="00C05F72"/>
    <w:rsid w:val="00C05FD0"/>
    <w:rsid w:val="00C06087"/>
    <w:rsid w:val="00C060D7"/>
    <w:rsid w:val="00C06152"/>
    <w:rsid w:val="00C061DE"/>
    <w:rsid w:val="00C062EE"/>
    <w:rsid w:val="00C062F0"/>
    <w:rsid w:val="00C06350"/>
    <w:rsid w:val="00C06392"/>
    <w:rsid w:val="00C0639C"/>
    <w:rsid w:val="00C063A7"/>
    <w:rsid w:val="00C06438"/>
    <w:rsid w:val="00C06449"/>
    <w:rsid w:val="00C06475"/>
    <w:rsid w:val="00C0650F"/>
    <w:rsid w:val="00C06554"/>
    <w:rsid w:val="00C065D6"/>
    <w:rsid w:val="00C06613"/>
    <w:rsid w:val="00C06643"/>
    <w:rsid w:val="00C06696"/>
    <w:rsid w:val="00C066D9"/>
    <w:rsid w:val="00C067BA"/>
    <w:rsid w:val="00C0686C"/>
    <w:rsid w:val="00C06897"/>
    <w:rsid w:val="00C06902"/>
    <w:rsid w:val="00C06920"/>
    <w:rsid w:val="00C0696B"/>
    <w:rsid w:val="00C06990"/>
    <w:rsid w:val="00C069C1"/>
    <w:rsid w:val="00C069C8"/>
    <w:rsid w:val="00C06AA6"/>
    <w:rsid w:val="00C06D71"/>
    <w:rsid w:val="00C06D82"/>
    <w:rsid w:val="00C06E1A"/>
    <w:rsid w:val="00C06E41"/>
    <w:rsid w:val="00C06F38"/>
    <w:rsid w:val="00C06FA8"/>
    <w:rsid w:val="00C07082"/>
    <w:rsid w:val="00C071B4"/>
    <w:rsid w:val="00C07312"/>
    <w:rsid w:val="00C07504"/>
    <w:rsid w:val="00C075F2"/>
    <w:rsid w:val="00C075F3"/>
    <w:rsid w:val="00C075FF"/>
    <w:rsid w:val="00C07690"/>
    <w:rsid w:val="00C078D9"/>
    <w:rsid w:val="00C078FB"/>
    <w:rsid w:val="00C07928"/>
    <w:rsid w:val="00C07989"/>
    <w:rsid w:val="00C07997"/>
    <w:rsid w:val="00C07A4D"/>
    <w:rsid w:val="00C07B0E"/>
    <w:rsid w:val="00C07B12"/>
    <w:rsid w:val="00C07CC6"/>
    <w:rsid w:val="00C07EAC"/>
    <w:rsid w:val="00C07F43"/>
    <w:rsid w:val="00C07FF4"/>
    <w:rsid w:val="00C1015B"/>
    <w:rsid w:val="00C101F0"/>
    <w:rsid w:val="00C10261"/>
    <w:rsid w:val="00C102AA"/>
    <w:rsid w:val="00C1037B"/>
    <w:rsid w:val="00C10554"/>
    <w:rsid w:val="00C10582"/>
    <w:rsid w:val="00C106F1"/>
    <w:rsid w:val="00C10798"/>
    <w:rsid w:val="00C107B0"/>
    <w:rsid w:val="00C1082C"/>
    <w:rsid w:val="00C10863"/>
    <w:rsid w:val="00C10881"/>
    <w:rsid w:val="00C108A5"/>
    <w:rsid w:val="00C108BB"/>
    <w:rsid w:val="00C1092A"/>
    <w:rsid w:val="00C10A54"/>
    <w:rsid w:val="00C10B9C"/>
    <w:rsid w:val="00C10C0A"/>
    <w:rsid w:val="00C10CCF"/>
    <w:rsid w:val="00C10CE6"/>
    <w:rsid w:val="00C10D53"/>
    <w:rsid w:val="00C10EF8"/>
    <w:rsid w:val="00C10F5F"/>
    <w:rsid w:val="00C10F7B"/>
    <w:rsid w:val="00C10F9A"/>
    <w:rsid w:val="00C1107C"/>
    <w:rsid w:val="00C11145"/>
    <w:rsid w:val="00C1128D"/>
    <w:rsid w:val="00C112DE"/>
    <w:rsid w:val="00C113DB"/>
    <w:rsid w:val="00C11508"/>
    <w:rsid w:val="00C11529"/>
    <w:rsid w:val="00C11617"/>
    <w:rsid w:val="00C11661"/>
    <w:rsid w:val="00C11681"/>
    <w:rsid w:val="00C1168E"/>
    <w:rsid w:val="00C1178E"/>
    <w:rsid w:val="00C11801"/>
    <w:rsid w:val="00C118B2"/>
    <w:rsid w:val="00C118FE"/>
    <w:rsid w:val="00C11990"/>
    <w:rsid w:val="00C11A00"/>
    <w:rsid w:val="00C11A4C"/>
    <w:rsid w:val="00C11AD0"/>
    <w:rsid w:val="00C11B79"/>
    <w:rsid w:val="00C11BCC"/>
    <w:rsid w:val="00C11CF3"/>
    <w:rsid w:val="00C11D28"/>
    <w:rsid w:val="00C11D2D"/>
    <w:rsid w:val="00C11D6D"/>
    <w:rsid w:val="00C11D75"/>
    <w:rsid w:val="00C11E55"/>
    <w:rsid w:val="00C11F24"/>
    <w:rsid w:val="00C11F92"/>
    <w:rsid w:val="00C121D9"/>
    <w:rsid w:val="00C12349"/>
    <w:rsid w:val="00C12406"/>
    <w:rsid w:val="00C1241B"/>
    <w:rsid w:val="00C12422"/>
    <w:rsid w:val="00C1246E"/>
    <w:rsid w:val="00C124C3"/>
    <w:rsid w:val="00C124E4"/>
    <w:rsid w:val="00C12542"/>
    <w:rsid w:val="00C125D1"/>
    <w:rsid w:val="00C125DD"/>
    <w:rsid w:val="00C1260B"/>
    <w:rsid w:val="00C12670"/>
    <w:rsid w:val="00C126D5"/>
    <w:rsid w:val="00C12736"/>
    <w:rsid w:val="00C12787"/>
    <w:rsid w:val="00C127C5"/>
    <w:rsid w:val="00C12849"/>
    <w:rsid w:val="00C1287B"/>
    <w:rsid w:val="00C1289C"/>
    <w:rsid w:val="00C128BE"/>
    <w:rsid w:val="00C12989"/>
    <w:rsid w:val="00C12A74"/>
    <w:rsid w:val="00C12A96"/>
    <w:rsid w:val="00C12AD0"/>
    <w:rsid w:val="00C12B84"/>
    <w:rsid w:val="00C12BBD"/>
    <w:rsid w:val="00C12BED"/>
    <w:rsid w:val="00C12CA4"/>
    <w:rsid w:val="00C12D37"/>
    <w:rsid w:val="00C12D89"/>
    <w:rsid w:val="00C12E41"/>
    <w:rsid w:val="00C12E51"/>
    <w:rsid w:val="00C12E67"/>
    <w:rsid w:val="00C12E7C"/>
    <w:rsid w:val="00C12F40"/>
    <w:rsid w:val="00C12F56"/>
    <w:rsid w:val="00C130C1"/>
    <w:rsid w:val="00C131AC"/>
    <w:rsid w:val="00C131AD"/>
    <w:rsid w:val="00C13220"/>
    <w:rsid w:val="00C13244"/>
    <w:rsid w:val="00C1330B"/>
    <w:rsid w:val="00C1334C"/>
    <w:rsid w:val="00C133B1"/>
    <w:rsid w:val="00C133B4"/>
    <w:rsid w:val="00C13400"/>
    <w:rsid w:val="00C13419"/>
    <w:rsid w:val="00C13496"/>
    <w:rsid w:val="00C134B8"/>
    <w:rsid w:val="00C13639"/>
    <w:rsid w:val="00C136ED"/>
    <w:rsid w:val="00C13770"/>
    <w:rsid w:val="00C138B4"/>
    <w:rsid w:val="00C139C1"/>
    <w:rsid w:val="00C139D3"/>
    <w:rsid w:val="00C13A5A"/>
    <w:rsid w:val="00C13A73"/>
    <w:rsid w:val="00C13AD8"/>
    <w:rsid w:val="00C13B31"/>
    <w:rsid w:val="00C13B3C"/>
    <w:rsid w:val="00C13B4E"/>
    <w:rsid w:val="00C13BA5"/>
    <w:rsid w:val="00C13BD0"/>
    <w:rsid w:val="00C13C01"/>
    <w:rsid w:val="00C13C2A"/>
    <w:rsid w:val="00C13C84"/>
    <w:rsid w:val="00C13CBC"/>
    <w:rsid w:val="00C13CDB"/>
    <w:rsid w:val="00C13D22"/>
    <w:rsid w:val="00C13DDE"/>
    <w:rsid w:val="00C13E68"/>
    <w:rsid w:val="00C13EA0"/>
    <w:rsid w:val="00C13F35"/>
    <w:rsid w:val="00C13F4C"/>
    <w:rsid w:val="00C13FAE"/>
    <w:rsid w:val="00C13FBF"/>
    <w:rsid w:val="00C13FFD"/>
    <w:rsid w:val="00C14019"/>
    <w:rsid w:val="00C14061"/>
    <w:rsid w:val="00C14088"/>
    <w:rsid w:val="00C14144"/>
    <w:rsid w:val="00C1414E"/>
    <w:rsid w:val="00C1417E"/>
    <w:rsid w:val="00C14260"/>
    <w:rsid w:val="00C142A6"/>
    <w:rsid w:val="00C142BB"/>
    <w:rsid w:val="00C14336"/>
    <w:rsid w:val="00C14399"/>
    <w:rsid w:val="00C14434"/>
    <w:rsid w:val="00C14542"/>
    <w:rsid w:val="00C14634"/>
    <w:rsid w:val="00C14811"/>
    <w:rsid w:val="00C14852"/>
    <w:rsid w:val="00C1489E"/>
    <w:rsid w:val="00C148B8"/>
    <w:rsid w:val="00C14975"/>
    <w:rsid w:val="00C14A32"/>
    <w:rsid w:val="00C14A57"/>
    <w:rsid w:val="00C14A8D"/>
    <w:rsid w:val="00C14A90"/>
    <w:rsid w:val="00C14B46"/>
    <w:rsid w:val="00C14B4D"/>
    <w:rsid w:val="00C14B90"/>
    <w:rsid w:val="00C14BCE"/>
    <w:rsid w:val="00C14C2A"/>
    <w:rsid w:val="00C14C4C"/>
    <w:rsid w:val="00C14C9D"/>
    <w:rsid w:val="00C15024"/>
    <w:rsid w:val="00C15153"/>
    <w:rsid w:val="00C151CA"/>
    <w:rsid w:val="00C152AC"/>
    <w:rsid w:val="00C15627"/>
    <w:rsid w:val="00C156A7"/>
    <w:rsid w:val="00C156AF"/>
    <w:rsid w:val="00C15752"/>
    <w:rsid w:val="00C15806"/>
    <w:rsid w:val="00C1582B"/>
    <w:rsid w:val="00C15976"/>
    <w:rsid w:val="00C159B6"/>
    <w:rsid w:val="00C159E5"/>
    <w:rsid w:val="00C15A22"/>
    <w:rsid w:val="00C15ADB"/>
    <w:rsid w:val="00C15B1D"/>
    <w:rsid w:val="00C15B4C"/>
    <w:rsid w:val="00C15C11"/>
    <w:rsid w:val="00C15E0B"/>
    <w:rsid w:val="00C15E46"/>
    <w:rsid w:val="00C15EB1"/>
    <w:rsid w:val="00C15F97"/>
    <w:rsid w:val="00C15FE9"/>
    <w:rsid w:val="00C1607B"/>
    <w:rsid w:val="00C161E7"/>
    <w:rsid w:val="00C16234"/>
    <w:rsid w:val="00C1623B"/>
    <w:rsid w:val="00C1637F"/>
    <w:rsid w:val="00C163DB"/>
    <w:rsid w:val="00C16527"/>
    <w:rsid w:val="00C16695"/>
    <w:rsid w:val="00C166C9"/>
    <w:rsid w:val="00C16704"/>
    <w:rsid w:val="00C16880"/>
    <w:rsid w:val="00C16898"/>
    <w:rsid w:val="00C16900"/>
    <w:rsid w:val="00C16903"/>
    <w:rsid w:val="00C1694D"/>
    <w:rsid w:val="00C16986"/>
    <w:rsid w:val="00C16987"/>
    <w:rsid w:val="00C1698B"/>
    <w:rsid w:val="00C169F6"/>
    <w:rsid w:val="00C16A4A"/>
    <w:rsid w:val="00C16A87"/>
    <w:rsid w:val="00C16A89"/>
    <w:rsid w:val="00C16BB0"/>
    <w:rsid w:val="00C16BC7"/>
    <w:rsid w:val="00C16C1D"/>
    <w:rsid w:val="00C16C63"/>
    <w:rsid w:val="00C16CA5"/>
    <w:rsid w:val="00C16D59"/>
    <w:rsid w:val="00C16D8D"/>
    <w:rsid w:val="00C16E67"/>
    <w:rsid w:val="00C16F01"/>
    <w:rsid w:val="00C16F87"/>
    <w:rsid w:val="00C16F94"/>
    <w:rsid w:val="00C16FC2"/>
    <w:rsid w:val="00C17022"/>
    <w:rsid w:val="00C1705B"/>
    <w:rsid w:val="00C172B5"/>
    <w:rsid w:val="00C17392"/>
    <w:rsid w:val="00C1743F"/>
    <w:rsid w:val="00C17461"/>
    <w:rsid w:val="00C174C0"/>
    <w:rsid w:val="00C174EB"/>
    <w:rsid w:val="00C175AD"/>
    <w:rsid w:val="00C17662"/>
    <w:rsid w:val="00C17720"/>
    <w:rsid w:val="00C17763"/>
    <w:rsid w:val="00C177E6"/>
    <w:rsid w:val="00C17864"/>
    <w:rsid w:val="00C178EE"/>
    <w:rsid w:val="00C179B8"/>
    <w:rsid w:val="00C17A35"/>
    <w:rsid w:val="00C17C08"/>
    <w:rsid w:val="00C17C3E"/>
    <w:rsid w:val="00C17C50"/>
    <w:rsid w:val="00C17CBC"/>
    <w:rsid w:val="00C17CDF"/>
    <w:rsid w:val="00C17CE9"/>
    <w:rsid w:val="00C17DA1"/>
    <w:rsid w:val="00C17DD8"/>
    <w:rsid w:val="00C17E3F"/>
    <w:rsid w:val="00C17EAB"/>
    <w:rsid w:val="00C17F65"/>
    <w:rsid w:val="00C17FAB"/>
    <w:rsid w:val="00C20150"/>
    <w:rsid w:val="00C20164"/>
    <w:rsid w:val="00C2016E"/>
    <w:rsid w:val="00C20294"/>
    <w:rsid w:val="00C20395"/>
    <w:rsid w:val="00C203F1"/>
    <w:rsid w:val="00C20446"/>
    <w:rsid w:val="00C204B9"/>
    <w:rsid w:val="00C204E5"/>
    <w:rsid w:val="00C20507"/>
    <w:rsid w:val="00C206B7"/>
    <w:rsid w:val="00C2071C"/>
    <w:rsid w:val="00C20766"/>
    <w:rsid w:val="00C20813"/>
    <w:rsid w:val="00C20864"/>
    <w:rsid w:val="00C208EB"/>
    <w:rsid w:val="00C2097E"/>
    <w:rsid w:val="00C20A5F"/>
    <w:rsid w:val="00C20AB3"/>
    <w:rsid w:val="00C20B70"/>
    <w:rsid w:val="00C20E67"/>
    <w:rsid w:val="00C20F53"/>
    <w:rsid w:val="00C20F96"/>
    <w:rsid w:val="00C20FC1"/>
    <w:rsid w:val="00C20FDF"/>
    <w:rsid w:val="00C21024"/>
    <w:rsid w:val="00C2105E"/>
    <w:rsid w:val="00C21061"/>
    <w:rsid w:val="00C210A9"/>
    <w:rsid w:val="00C21110"/>
    <w:rsid w:val="00C21166"/>
    <w:rsid w:val="00C211C2"/>
    <w:rsid w:val="00C2128A"/>
    <w:rsid w:val="00C2130B"/>
    <w:rsid w:val="00C2131F"/>
    <w:rsid w:val="00C213D7"/>
    <w:rsid w:val="00C21413"/>
    <w:rsid w:val="00C2141F"/>
    <w:rsid w:val="00C21464"/>
    <w:rsid w:val="00C21484"/>
    <w:rsid w:val="00C215A4"/>
    <w:rsid w:val="00C21669"/>
    <w:rsid w:val="00C216B1"/>
    <w:rsid w:val="00C216E3"/>
    <w:rsid w:val="00C21753"/>
    <w:rsid w:val="00C217C4"/>
    <w:rsid w:val="00C217FF"/>
    <w:rsid w:val="00C2188A"/>
    <w:rsid w:val="00C218FF"/>
    <w:rsid w:val="00C219B0"/>
    <w:rsid w:val="00C21B10"/>
    <w:rsid w:val="00C21C1A"/>
    <w:rsid w:val="00C21CB9"/>
    <w:rsid w:val="00C21D43"/>
    <w:rsid w:val="00C21D45"/>
    <w:rsid w:val="00C21D86"/>
    <w:rsid w:val="00C21DEB"/>
    <w:rsid w:val="00C21DFD"/>
    <w:rsid w:val="00C21E91"/>
    <w:rsid w:val="00C21EB3"/>
    <w:rsid w:val="00C21EC0"/>
    <w:rsid w:val="00C21F8A"/>
    <w:rsid w:val="00C21F95"/>
    <w:rsid w:val="00C21F9C"/>
    <w:rsid w:val="00C21FDA"/>
    <w:rsid w:val="00C220CE"/>
    <w:rsid w:val="00C220CF"/>
    <w:rsid w:val="00C22185"/>
    <w:rsid w:val="00C2219B"/>
    <w:rsid w:val="00C221B0"/>
    <w:rsid w:val="00C221C4"/>
    <w:rsid w:val="00C221E1"/>
    <w:rsid w:val="00C2232D"/>
    <w:rsid w:val="00C22339"/>
    <w:rsid w:val="00C22341"/>
    <w:rsid w:val="00C224E6"/>
    <w:rsid w:val="00C22551"/>
    <w:rsid w:val="00C22630"/>
    <w:rsid w:val="00C2278D"/>
    <w:rsid w:val="00C227AC"/>
    <w:rsid w:val="00C227AD"/>
    <w:rsid w:val="00C22885"/>
    <w:rsid w:val="00C228C8"/>
    <w:rsid w:val="00C228CC"/>
    <w:rsid w:val="00C22985"/>
    <w:rsid w:val="00C229B7"/>
    <w:rsid w:val="00C22A08"/>
    <w:rsid w:val="00C22AD4"/>
    <w:rsid w:val="00C22B7B"/>
    <w:rsid w:val="00C22D79"/>
    <w:rsid w:val="00C22E40"/>
    <w:rsid w:val="00C22ED4"/>
    <w:rsid w:val="00C22F71"/>
    <w:rsid w:val="00C2312D"/>
    <w:rsid w:val="00C231B1"/>
    <w:rsid w:val="00C231B8"/>
    <w:rsid w:val="00C23398"/>
    <w:rsid w:val="00C234D4"/>
    <w:rsid w:val="00C234E4"/>
    <w:rsid w:val="00C23668"/>
    <w:rsid w:val="00C236ED"/>
    <w:rsid w:val="00C2371F"/>
    <w:rsid w:val="00C23749"/>
    <w:rsid w:val="00C237C2"/>
    <w:rsid w:val="00C2380E"/>
    <w:rsid w:val="00C23919"/>
    <w:rsid w:val="00C2397C"/>
    <w:rsid w:val="00C23A6E"/>
    <w:rsid w:val="00C23A83"/>
    <w:rsid w:val="00C23AC3"/>
    <w:rsid w:val="00C23AEE"/>
    <w:rsid w:val="00C23CF5"/>
    <w:rsid w:val="00C23D14"/>
    <w:rsid w:val="00C23D28"/>
    <w:rsid w:val="00C23D70"/>
    <w:rsid w:val="00C23E00"/>
    <w:rsid w:val="00C23E21"/>
    <w:rsid w:val="00C23E27"/>
    <w:rsid w:val="00C23E2C"/>
    <w:rsid w:val="00C23ECB"/>
    <w:rsid w:val="00C23FBC"/>
    <w:rsid w:val="00C24080"/>
    <w:rsid w:val="00C240B6"/>
    <w:rsid w:val="00C24146"/>
    <w:rsid w:val="00C241A8"/>
    <w:rsid w:val="00C2426A"/>
    <w:rsid w:val="00C242A7"/>
    <w:rsid w:val="00C242DF"/>
    <w:rsid w:val="00C243AC"/>
    <w:rsid w:val="00C243D5"/>
    <w:rsid w:val="00C2443F"/>
    <w:rsid w:val="00C24601"/>
    <w:rsid w:val="00C24604"/>
    <w:rsid w:val="00C24703"/>
    <w:rsid w:val="00C24745"/>
    <w:rsid w:val="00C247EB"/>
    <w:rsid w:val="00C249B3"/>
    <w:rsid w:val="00C249CE"/>
    <w:rsid w:val="00C24A1C"/>
    <w:rsid w:val="00C24A5C"/>
    <w:rsid w:val="00C24A89"/>
    <w:rsid w:val="00C24B8B"/>
    <w:rsid w:val="00C24C25"/>
    <w:rsid w:val="00C24C41"/>
    <w:rsid w:val="00C24D5F"/>
    <w:rsid w:val="00C24DBC"/>
    <w:rsid w:val="00C24E1A"/>
    <w:rsid w:val="00C24E76"/>
    <w:rsid w:val="00C24E94"/>
    <w:rsid w:val="00C24EB0"/>
    <w:rsid w:val="00C24EF1"/>
    <w:rsid w:val="00C24F12"/>
    <w:rsid w:val="00C24F1D"/>
    <w:rsid w:val="00C25195"/>
    <w:rsid w:val="00C252FB"/>
    <w:rsid w:val="00C25303"/>
    <w:rsid w:val="00C25343"/>
    <w:rsid w:val="00C2537A"/>
    <w:rsid w:val="00C254ED"/>
    <w:rsid w:val="00C2551A"/>
    <w:rsid w:val="00C25554"/>
    <w:rsid w:val="00C255E6"/>
    <w:rsid w:val="00C255EE"/>
    <w:rsid w:val="00C256FB"/>
    <w:rsid w:val="00C25747"/>
    <w:rsid w:val="00C2574D"/>
    <w:rsid w:val="00C25771"/>
    <w:rsid w:val="00C257CC"/>
    <w:rsid w:val="00C25975"/>
    <w:rsid w:val="00C259FC"/>
    <w:rsid w:val="00C25A46"/>
    <w:rsid w:val="00C25AC2"/>
    <w:rsid w:val="00C25AC5"/>
    <w:rsid w:val="00C25AD4"/>
    <w:rsid w:val="00C25AFA"/>
    <w:rsid w:val="00C25B3C"/>
    <w:rsid w:val="00C25BCB"/>
    <w:rsid w:val="00C25C64"/>
    <w:rsid w:val="00C25C94"/>
    <w:rsid w:val="00C25CEC"/>
    <w:rsid w:val="00C25D27"/>
    <w:rsid w:val="00C25D46"/>
    <w:rsid w:val="00C25ED8"/>
    <w:rsid w:val="00C25EDF"/>
    <w:rsid w:val="00C25F0B"/>
    <w:rsid w:val="00C25F1B"/>
    <w:rsid w:val="00C25F21"/>
    <w:rsid w:val="00C25F44"/>
    <w:rsid w:val="00C25FA1"/>
    <w:rsid w:val="00C25FA6"/>
    <w:rsid w:val="00C25FC3"/>
    <w:rsid w:val="00C25FCA"/>
    <w:rsid w:val="00C25FD4"/>
    <w:rsid w:val="00C25FE6"/>
    <w:rsid w:val="00C26069"/>
    <w:rsid w:val="00C260F7"/>
    <w:rsid w:val="00C2611C"/>
    <w:rsid w:val="00C2622D"/>
    <w:rsid w:val="00C26268"/>
    <w:rsid w:val="00C263A2"/>
    <w:rsid w:val="00C264A1"/>
    <w:rsid w:val="00C264DC"/>
    <w:rsid w:val="00C26553"/>
    <w:rsid w:val="00C26701"/>
    <w:rsid w:val="00C267FA"/>
    <w:rsid w:val="00C268A0"/>
    <w:rsid w:val="00C268BD"/>
    <w:rsid w:val="00C2696C"/>
    <w:rsid w:val="00C269A7"/>
    <w:rsid w:val="00C269AE"/>
    <w:rsid w:val="00C26A10"/>
    <w:rsid w:val="00C26A56"/>
    <w:rsid w:val="00C26AA5"/>
    <w:rsid w:val="00C26B1F"/>
    <w:rsid w:val="00C26BD6"/>
    <w:rsid w:val="00C26C4C"/>
    <w:rsid w:val="00C26CA4"/>
    <w:rsid w:val="00C26D24"/>
    <w:rsid w:val="00C26D7D"/>
    <w:rsid w:val="00C26D89"/>
    <w:rsid w:val="00C26DED"/>
    <w:rsid w:val="00C26E2E"/>
    <w:rsid w:val="00C26EFC"/>
    <w:rsid w:val="00C27012"/>
    <w:rsid w:val="00C27016"/>
    <w:rsid w:val="00C2704C"/>
    <w:rsid w:val="00C27102"/>
    <w:rsid w:val="00C272EC"/>
    <w:rsid w:val="00C27408"/>
    <w:rsid w:val="00C275C9"/>
    <w:rsid w:val="00C2778D"/>
    <w:rsid w:val="00C27792"/>
    <w:rsid w:val="00C277A0"/>
    <w:rsid w:val="00C277DB"/>
    <w:rsid w:val="00C2782A"/>
    <w:rsid w:val="00C278A6"/>
    <w:rsid w:val="00C279CB"/>
    <w:rsid w:val="00C279E0"/>
    <w:rsid w:val="00C27A0A"/>
    <w:rsid w:val="00C27A83"/>
    <w:rsid w:val="00C27B0C"/>
    <w:rsid w:val="00C27B54"/>
    <w:rsid w:val="00C27BBB"/>
    <w:rsid w:val="00C27C0F"/>
    <w:rsid w:val="00C27CEC"/>
    <w:rsid w:val="00C27CFB"/>
    <w:rsid w:val="00C27D0D"/>
    <w:rsid w:val="00C27EC1"/>
    <w:rsid w:val="00C27F02"/>
    <w:rsid w:val="00C30027"/>
    <w:rsid w:val="00C30073"/>
    <w:rsid w:val="00C3009E"/>
    <w:rsid w:val="00C300C3"/>
    <w:rsid w:val="00C30108"/>
    <w:rsid w:val="00C302EA"/>
    <w:rsid w:val="00C30330"/>
    <w:rsid w:val="00C30367"/>
    <w:rsid w:val="00C304EF"/>
    <w:rsid w:val="00C30588"/>
    <w:rsid w:val="00C3058F"/>
    <w:rsid w:val="00C305D6"/>
    <w:rsid w:val="00C3067F"/>
    <w:rsid w:val="00C306A8"/>
    <w:rsid w:val="00C306CF"/>
    <w:rsid w:val="00C306F2"/>
    <w:rsid w:val="00C30767"/>
    <w:rsid w:val="00C3077E"/>
    <w:rsid w:val="00C3079A"/>
    <w:rsid w:val="00C307B8"/>
    <w:rsid w:val="00C3080B"/>
    <w:rsid w:val="00C3081C"/>
    <w:rsid w:val="00C30943"/>
    <w:rsid w:val="00C309A3"/>
    <w:rsid w:val="00C309D2"/>
    <w:rsid w:val="00C30ACE"/>
    <w:rsid w:val="00C30AFC"/>
    <w:rsid w:val="00C30B2E"/>
    <w:rsid w:val="00C30BB3"/>
    <w:rsid w:val="00C30C0C"/>
    <w:rsid w:val="00C30CB8"/>
    <w:rsid w:val="00C30CFC"/>
    <w:rsid w:val="00C30D60"/>
    <w:rsid w:val="00C30DDE"/>
    <w:rsid w:val="00C30E10"/>
    <w:rsid w:val="00C30E1F"/>
    <w:rsid w:val="00C30E53"/>
    <w:rsid w:val="00C30FE6"/>
    <w:rsid w:val="00C31050"/>
    <w:rsid w:val="00C31090"/>
    <w:rsid w:val="00C310BE"/>
    <w:rsid w:val="00C3118E"/>
    <w:rsid w:val="00C311C7"/>
    <w:rsid w:val="00C3124F"/>
    <w:rsid w:val="00C313EF"/>
    <w:rsid w:val="00C314AE"/>
    <w:rsid w:val="00C314B8"/>
    <w:rsid w:val="00C314EE"/>
    <w:rsid w:val="00C31693"/>
    <w:rsid w:val="00C316CC"/>
    <w:rsid w:val="00C3171C"/>
    <w:rsid w:val="00C31795"/>
    <w:rsid w:val="00C31820"/>
    <w:rsid w:val="00C31859"/>
    <w:rsid w:val="00C318A3"/>
    <w:rsid w:val="00C318C8"/>
    <w:rsid w:val="00C3198B"/>
    <w:rsid w:val="00C31A69"/>
    <w:rsid w:val="00C31AA7"/>
    <w:rsid w:val="00C31ACE"/>
    <w:rsid w:val="00C31C12"/>
    <w:rsid w:val="00C31CE0"/>
    <w:rsid w:val="00C31E51"/>
    <w:rsid w:val="00C31FB1"/>
    <w:rsid w:val="00C31FFF"/>
    <w:rsid w:val="00C3202C"/>
    <w:rsid w:val="00C32084"/>
    <w:rsid w:val="00C320F2"/>
    <w:rsid w:val="00C322BF"/>
    <w:rsid w:val="00C3236D"/>
    <w:rsid w:val="00C323BA"/>
    <w:rsid w:val="00C32482"/>
    <w:rsid w:val="00C3249B"/>
    <w:rsid w:val="00C324B1"/>
    <w:rsid w:val="00C3252F"/>
    <w:rsid w:val="00C325DA"/>
    <w:rsid w:val="00C325FF"/>
    <w:rsid w:val="00C32842"/>
    <w:rsid w:val="00C32AA0"/>
    <w:rsid w:val="00C32AAF"/>
    <w:rsid w:val="00C32B13"/>
    <w:rsid w:val="00C32B79"/>
    <w:rsid w:val="00C32B7B"/>
    <w:rsid w:val="00C32B84"/>
    <w:rsid w:val="00C32CC5"/>
    <w:rsid w:val="00C32DEC"/>
    <w:rsid w:val="00C32F09"/>
    <w:rsid w:val="00C32F48"/>
    <w:rsid w:val="00C32FCB"/>
    <w:rsid w:val="00C33076"/>
    <w:rsid w:val="00C33088"/>
    <w:rsid w:val="00C33128"/>
    <w:rsid w:val="00C33129"/>
    <w:rsid w:val="00C33142"/>
    <w:rsid w:val="00C3315F"/>
    <w:rsid w:val="00C3324C"/>
    <w:rsid w:val="00C33353"/>
    <w:rsid w:val="00C33379"/>
    <w:rsid w:val="00C3348A"/>
    <w:rsid w:val="00C33565"/>
    <w:rsid w:val="00C33589"/>
    <w:rsid w:val="00C335F1"/>
    <w:rsid w:val="00C3366A"/>
    <w:rsid w:val="00C33716"/>
    <w:rsid w:val="00C33925"/>
    <w:rsid w:val="00C33981"/>
    <w:rsid w:val="00C33A3A"/>
    <w:rsid w:val="00C33A4E"/>
    <w:rsid w:val="00C33A7E"/>
    <w:rsid w:val="00C33B34"/>
    <w:rsid w:val="00C33B48"/>
    <w:rsid w:val="00C33B6C"/>
    <w:rsid w:val="00C33CA0"/>
    <w:rsid w:val="00C33D99"/>
    <w:rsid w:val="00C33DC0"/>
    <w:rsid w:val="00C33DC2"/>
    <w:rsid w:val="00C33EC1"/>
    <w:rsid w:val="00C33F00"/>
    <w:rsid w:val="00C33F5A"/>
    <w:rsid w:val="00C33F94"/>
    <w:rsid w:val="00C3405A"/>
    <w:rsid w:val="00C340F4"/>
    <w:rsid w:val="00C3412F"/>
    <w:rsid w:val="00C34219"/>
    <w:rsid w:val="00C343CE"/>
    <w:rsid w:val="00C34456"/>
    <w:rsid w:val="00C34498"/>
    <w:rsid w:val="00C3453A"/>
    <w:rsid w:val="00C3467C"/>
    <w:rsid w:val="00C346B7"/>
    <w:rsid w:val="00C346F0"/>
    <w:rsid w:val="00C34719"/>
    <w:rsid w:val="00C34749"/>
    <w:rsid w:val="00C34796"/>
    <w:rsid w:val="00C347A5"/>
    <w:rsid w:val="00C347FA"/>
    <w:rsid w:val="00C34898"/>
    <w:rsid w:val="00C348C6"/>
    <w:rsid w:val="00C349D1"/>
    <w:rsid w:val="00C349D6"/>
    <w:rsid w:val="00C349D7"/>
    <w:rsid w:val="00C34A27"/>
    <w:rsid w:val="00C34A73"/>
    <w:rsid w:val="00C34A8D"/>
    <w:rsid w:val="00C34A9A"/>
    <w:rsid w:val="00C34ABE"/>
    <w:rsid w:val="00C34B4F"/>
    <w:rsid w:val="00C34C6F"/>
    <w:rsid w:val="00C34D49"/>
    <w:rsid w:val="00C34D93"/>
    <w:rsid w:val="00C34E22"/>
    <w:rsid w:val="00C34E6E"/>
    <w:rsid w:val="00C34E95"/>
    <w:rsid w:val="00C34EB1"/>
    <w:rsid w:val="00C34EDA"/>
    <w:rsid w:val="00C34EFC"/>
    <w:rsid w:val="00C34F96"/>
    <w:rsid w:val="00C350BA"/>
    <w:rsid w:val="00C35126"/>
    <w:rsid w:val="00C35146"/>
    <w:rsid w:val="00C3514A"/>
    <w:rsid w:val="00C351FB"/>
    <w:rsid w:val="00C35209"/>
    <w:rsid w:val="00C352C6"/>
    <w:rsid w:val="00C352C9"/>
    <w:rsid w:val="00C35331"/>
    <w:rsid w:val="00C353B8"/>
    <w:rsid w:val="00C3540A"/>
    <w:rsid w:val="00C35481"/>
    <w:rsid w:val="00C354A1"/>
    <w:rsid w:val="00C3551D"/>
    <w:rsid w:val="00C3553A"/>
    <w:rsid w:val="00C35543"/>
    <w:rsid w:val="00C35608"/>
    <w:rsid w:val="00C35639"/>
    <w:rsid w:val="00C35679"/>
    <w:rsid w:val="00C356D0"/>
    <w:rsid w:val="00C356F3"/>
    <w:rsid w:val="00C35720"/>
    <w:rsid w:val="00C3577E"/>
    <w:rsid w:val="00C3588C"/>
    <w:rsid w:val="00C358D6"/>
    <w:rsid w:val="00C358F7"/>
    <w:rsid w:val="00C358FE"/>
    <w:rsid w:val="00C3592A"/>
    <w:rsid w:val="00C3596C"/>
    <w:rsid w:val="00C35972"/>
    <w:rsid w:val="00C359CE"/>
    <w:rsid w:val="00C35A05"/>
    <w:rsid w:val="00C35A3A"/>
    <w:rsid w:val="00C35A76"/>
    <w:rsid w:val="00C35AEE"/>
    <w:rsid w:val="00C35B0D"/>
    <w:rsid w:val="00C35C5D"/>
    <w:rsid w:val="00C35C6D"/>
    <w:rsid w:val="00C35C95"/>
    <w:rsid w:val="00C35D2B"/>
    <w:rsid w:val="00C35D6A"/>
    <w:rsid w:val="00C35D95"/>
    <w:rsid w:val="00C35D96"/>
    <w:rsid w:val="00C35E1B"/>
    <w:rsid w:val="00C35E7A"/>
    <w:rsid w:val="00C35F77"/>
    <w:rsid w:val="00C35FBC"/>
    <w:rsid w:val="00C35FE0"/>
    <w:rsid w:val="00C3605A"/>
    <w:rsid w:val="00C361AC"/>
    <w:rsid w:val="00C361BA"/>
    <w:rsid w:val="00C361D7"/>
    <w:rsid w:val="00C36282"/>
    <w:rsid w:val="00C36312"/>
    <w:rsid w:val="00C36447"/>
    <w:rsid w:val="00C36467"/>
    <w:rsid w:val="00C364B6"/>
    <w:rsid w:val="00C364E4"/>
    <w:rsid w:val="00C36526"/>
    <w:rsid w:val="00C36551"/>
    <w:rsid w:val="00C3656D"/>
    <w:rsid w:val="00C36586"/>
    <w:rsid w:val="00C365B9"/>
    <w:rsid w:val="00C365FC"/>
    <w:rsid w:val="00C366BB"/>
    <w:rsid w:val="00C36716"/>
    <w:rsid w:val="00C36776"/>
    <w:rsid w:val="00C36797"/>
    <w:rsid w:val="00C367B8"/>
    <w:rsid w:val="00C36831"/>
    <w:rsid w:val="00C36867"/>
    <w:rsid w:val="00C36907"/>
    <w:rsid w:val="00C36CA9"/>
    <w:rsid w:val="00C36D69"/>
    <w:rsid w:val="00C36DD6"/>
    <w:rsid w:val="00C36DE9"/>
    <w:rsid w:val="00C36E4D"/>
    <w:rsid w:val="00C36F7A"/>
    <w:rsid w:val="00C37025"/>
    <w:rsid w:val="00C370DE"/>
    <w:rsid w:val="00C37240"/>
    <w:rsid w:val="00C37294"/>
    <w:rsid w:val="00C3736E"/>
    <w:rsid w:val="00C37394"/>
    <w:rsid w:val="00C3740F"/>
    <w:rsid w:val="00C3753E"/>
    <w:rsid w:val="00C3754E"/>
    <w:rsid w:val="00C375C7"/>
    <w:rsid w:val="00C3771D"/>
    <w:rsid w:val="00C377C2"/>
    <w:rsid w:val="00C377E1"/>
    <w:rsid w:val="00C37894"/>
    <w:rsid w:val="00C3789D"/>
    <w:rsid w:val="00C378F0"/>
    <w:rsid w:val="00C37C8D"/>
    <w:rsid w:val="00C37DAE"/>
    <w:rsid w:val="00C37DE5"/>
    <w:rsid w:val="00C37EC0"/>
    <w:rsid w:val="00C37F2E"/>
    <w:rsid w:val="00C37F91"/>
    <w:rsid w:val="00C37FA8"/>
    <w:rsid w:val="00C37FB7"/>
    <w:rsid w:val="00C40063"/>
    <w:rsid w:val="00C4008D"/>
    <w:rsid w:val="00C4017E"/>
    <w:rsid w:val="00C401B6"/>
    <w:rsid w:val="00C401D8"/>
    <w:rsid w:val="00C401FA"/>
    <w:rsid w:val="00C40482"/>
    <w:rsid w:val="00C4049A"/>
    <w:rsid w:val="00C404B1"/>
    <w:rsid w:val="00C40616"/>
    <w:rsid w:val="00C406F0"/>
    <w:rsid w:val="00C40822"/>
    <w:rsid w:val="00C40852"/>
    <w:rsid w:val="00C4085A"/>
    <w:rsid w:val="00C40A0A"/>
    <w:rsid w:val="00C40A67"/>
    <w:rsid w:val="00C40D17"/>
    <w:rsid w:val="00C40D58"/>
    <w:rsid w:val="00C40D5F"/>
    <w:rsid w:val="00C40D96"/>
    <w:rsid w:val="00C40DFB"/>
    <w:rsid w:val="00C40E61"/>
    <w:rsid w:val="00C40E9C"/>
    <w:rsid w:val="00C40F1F"/>
    <w:rsid w:val="00C40FA6"/>
    <w:rsid w:val="00C40FB4"/>
    <w:rsid w:val="00C4105A"/>
    <w:rsid w:val="00C4111A"/>
    <w:rsid w:val="00C41148"/>
    <w:rsid w:val="00C4118B"/>
    <w:rsid w:val="00C41358"/>
    <w:rsid w:val="00C4146D"/>
    <w:rsid w:val="00C4147B"/>
    <w:rsid w:val="00C41533"/>
    <w:rsid w:val="00C4162B"/>
    <w:rsid w:val="00C4163D"/>
    <w:rsid w:val="00C41664"/>
    <w:rsid w:val="00C416B2"/>
    <w:rsid w:val="00C4173E"/>
    <w:rsid w:val="00C4184B"/>
    <w:rsid w:val="00C4197A"/>
    <w:rsid w:val="00C41A0A"/>
    <w:rsid w:val="00C41A90"/>
    <w:rsid w:val="00C41B28"/>
    <w:rsid w:val="00C41B4F"/>
    <w:rsid w:val="00C41C17"/>
    <w:rsid w:val="00C41C2B"/>
    <w:rsid w:val="00C41C31"/>
    <w:rsid w:val="00C41C32"/>
    <w:rsid w:val="00C41D24"/>
    <w:rsid w:val="00C41E15"/>
    <w:rsid w:val="00C41E20"/>
    <w:rsid w:val="00C41E79"/>
    <w:rsid w:val="00C41EAF"/>
    <w:rsid w:val="00C41F1E"/>
    <w:rsid w:val="00C41F76"/>
    <w:rsid w:val="00C41FDC"/>
    <w:rsid w:val="00C42011"/>
    <w:rsid w:val="00C4205E"/>
    <w:rsid w:val="00C4206A"/>
    <w:rsid w:val="00C4214B"/>
    <w:rsid w:val="00C4219D"/>
    <w:rsid w:val="00C421D1"/>
    <w:rsid w:val="00C4226B"/>
    <w:rsid w:val="00C422B5"/>
    <w:rsid w:val="00C42313"/>
    <w:rsid w:val="00C4232D"/>
    <w:rsid w:val="00C42440"/>
    <w:rsid w:val="00C42560"/>
    <w:rsid w:val="00C425F0"/>
    <w:rsid w:val="00C4273F"/>
    <w:rsid w:val="00C42852"/>
    <w:rsid w:val="00C4293F"/>
    <w:rsid w:val="00C42940"/>
    <w:rsid w:val="00C42967"/>
    <w:rsid w:val="00C42A2F"/>
    <w:rsid w:val="00C42B81"/>
    <w:rsid w:val="00C42BA6"/>
    <w:rsid w:val="00C42BF0"/>
    <w:rsid w:val="00C42BF6"/>
    <w:rsid w:val="00C42C75"/>
    <w:rsid w:val="00C42E74"/>
    <w:rsid w:val="00C42EC2"/>
    <w:rsid w:val="00C42F58"/>
    <w:rsid w:val="00C43069"/>
    <w:rsid w:val="00C4306B"/>
    <w:rsid w:val="00C430CD"/>
    <w:rsid w:val="00C431AF"/>
    <w:rsid w:val="00C431D1"/>
    <w:rsid w:val="00C433DA"/>
    <w:rsid w:val="00C433E0"/>
    <w:rsid w:val="00C433E1"/>
    <w:rsid w:val="00C433E7"/>
    <w:rsid w:val="00C43436"/>
    <w:rsid w:val="00C43468"/>
    <w:rsid w:val="00C43517"/>
    <w:rsid w:val="00C4352B"/>
    <w:rsid w:val="00C4352F"/>
    <w:rsid w:val="00C43541"/>
    <w:rsid w:val="00C435C7"/>
    <w:rsid w:val="00C435D1"/>
    <w:rsid w:val="00C4360C"/>
    <w:rsid w:val="00C43702"/>
    <w:rsid w:val="00C4377B"/>
    <w:rsid w:val="00C437D2"/>
    <w:rsid w:val="00C43855"/>
    <w:rsid w:val="00C43890"/>
    <w:rsid w:val="00C438B0"/>
    <w:rsid w:val="00C438B9"/>
    <w:rsid w:val="00C43979"/>
    <w:rsid w:val="00C43AB0"/>
    <w:rsid w:val="00C43AFC"/>
    <w:rsid w:val="00C43B1E"/>
    <w:rsid w:val="00C43B28"/>
    <w:rsid w:val="00C43C1E"/>
    <w:rsid w:val="00C43C4F"/>
    <w:rsid w:val="00C43D56"/>
    <w:rsid w:val="00C43D67"/>
    <w:rsid w:val="00C43EC8"/>
    <w:rsid w:val="00C43ECA"/>
    <w:rsid w:val="00C43FAC"/>
    <w:rsid w:val="00C43FBF"/>
    <w:rsid w:val="00C4402B"/>
    <w:rsid w:val="00C440D7"/>
    <w:rsid w:val="00C44195"/>
    <w:rsid w:val="00C4433B"/>
    <w:rsid w:val="00C44344"/>
    <w:rsid w:val="00C444E2"/>
    <w:rsid w:val="00C44545"/>
    <w:rsid w:val="00C445E8"/>
    <w:rsid w:val="00C445F3"/>
    <w:rsid w:val="00C4475F"/>
    <w:rsid w:val="00C447B5"/>
    <w:rsid w:val="00C448BF"/>
    <w:rsid w:val="00C448C4"/>
    <w:rsid w:val="00C449EA"/>
    <w:rsid w:val="00C449EB"/>
    <w:rsid w:val="00C44A0D"/>
    <w:rsid w:val="00C44A0E"/>
    <w:rsid w:val="00C44A16"/>
    <w:rsid w:val="00C44B01"/>
    <w:rsid w:val="00C44B1F"/>
    <w:rsid w:val="00C44B85"/>
    <w:rsid w:val="00C44B88"/>
    <w:rsid w:val="00C44B91"/>
    <w:rsid w:val="00C44C9C"/>
    <w:rsid w:val="00C44CE7"/>
    <w:rsid w:val="00C44D80"/>
    <w:rsid w:val="00C44E0C"/>
    <w:rsid w:val="00C44E6F"/>
    <w:rsid w:val="00C44EFA"/>
    <w:rsid w:val="00C44F48"/>
    <w:rsid w:val="00C44F66"/>
    <w:rsid w:val="00C44FCF"/>
    <w:rsid w:val="00C45057"/>
    <w:rsid w:val="00C4505D"/>
    <w:rsid w:val="00C450A6"/>
    <w:rsid w:val="00C450F0"/>
    <w:rsid w:val="00C450FF"/>
    <w:rsid w:val="00C45122"/>
    <w:rsid w:val="00C4512A"/>
    <w:rsid w:val="00C45149"/>
    <w:rsid w:val="00C452B1"/>
    <w:rsid w:val="00C45367"/>
    <w:rsid w:val="00C453E3"/>
    <w:rsid w:val="00C45405"/>
    <w:rsid w:val="00C45583"/>
    <w:rsid w:val="00C455C7"/>
    <w:rsid w:val="00C45623"/>
    <w:rsid w:val="00C45638"/>
    <w:rsid w:val="00C45688"/>
    <w:rsid w:val="00C456CA"/>
    <w:rsid w:val="00C456E4"/>
    <w:rsid w:val="00C45789"/>
    <w:rsid w:val="00C4594F"/>
    <w:rsid w:val="00C459C1"/>
    <w:rsid w:val="00C45A1B"/>
    <w:rsid w:val="00C45A44"/>
    <w:rsid w:val="00C45A5D"/>
    <w:rsid w:val="00C45A99"/>
    <w:rsid w:val="00C45AA8"/>
    <w:rsid w:val="00C45AD1"/>
    <w:rsid w:val="00C45AF4"/>
    <w:rsid w:val="00C45BC9"/>
    <w:rsid w:val="00C45C18"/>
    <w:rsid w:val="00C45D7D"/>
    <w:rsid w:val="00C45DC7"/>
    <w:rsid w:val="00C45E5B"/>
    <w:rsid w:val="00C45E86"/>
    <w:rsid w:val="00C45F57"/>
    <w:rsid w:val="00C45FAE"/>
    <w:rsid w:val="00C46064"/>
    <w:rsid w:val="00C46133"/>
    <w:rsid w:val="00C461BE"/>
    <w:rsid w:val="00C46210"/>
    <w:rsid w:val="00C46237"/>
    <w:rsid w:val="00C46304"/>
    <w:rsid w:val="00C4631B"/>
    <w:rsid w:val="00C46330"/>
    <w:rsid w:val="00C46389"/>
    <w:rsid w:val="00C46538"/>
    <w:rsid w:val="00C465B0"/>
    <w:rsid w:val="00C4670E"/>
    <w:rsid w:val="00C46713"/>
    <w:rsid w:val="00C46789"/>
    <w:rsid w:val="00C467C9"/>
    <w:rsid w:val="00C467E5"/>
    <w:rsid w:val="00C46826"/>
    <w:rsid w:val="00C46869"/>
    <w:rsid w:val="00C468DF"/>
    <w:rsid w:val="00C4694F"/>
    <w:rsid w:val="00C46995"/>
    <w:rsid w:val="00C469C0"/>
    <w:rsid w:val="00C46AAD"/>
    <w:rsid w:val="00C46AED"/>
    <w:rsid w:val="00C46B1B"/>
    <w:rsid w:val="00C46B42"/>
    <w:rsid w:val="00C46D3E"/>
    <w:rsid w:val="00C46D8F"/>
    <w:rsid w:val="00C46DFF"/>
    <w:rsid w:val="00C46E1E"/>
    <w:rsid w:val="00C46FEF"/>
    <w:rsid w:val="00C4707B"/>
    <w:rsid w:val="00C470D9"/>
    <w:rsid w:val="00C47162"/>
    <w:rsid w:val="00C471A8"/>
    <w:rsid w:val="00C471B9"/>
    <w:rsid w:val="00C471D0"/>
    <w:rsid w:val="00C47229"/>
    <w:rsid w:val="00C47289"/>
    <w:rsid w:val="00C472B7"/>
    <w:rsid w:val="00C472C4"/>
    <w:rsid w:val="00C472D2"/>
    <w:rsid w:val="00C4731E"/>
    <w:rsid w:val="00C473ED"/>
    <w:rsid w:val="00C47432"/>
    <w:rsid w:val="00C47502"/>
    <w:rsid w:val="00C47654"/>
    <w:rsid w:val="00C476BE"/>
    <w:rsid w:val="00C476E3"/>
    <w:rsid w:val="00C47828"/>
    <w:rsid w:val="00C4782D"/>
    <w:rsid w:val="00C4786E"/>
    <w:rsid w:val="00C47908"/>
    <w:rsid w:val="00C47A81"/>
    <w:rsid w:val="00C47A94"/>
    <w:rsid w:val="00C47BEA"/>
    <w:rsid w:val="00C47C46"/>
    <w:rsid w:val="00C47CCF"/>
    <w:rsid w:val="00C47D2A"/>
    <w:rsid w:val="00C47D55"/>
    <w:rsid w:val="00C47DC8"/>
    <w:rsid w:val="00C47E5F"/>
    <w:rsid w:val="00C47FE0"/>
    <w:rsid w:val="00C47FE8"/>
    <w:rsid w:val="00C50044"/>
    <w:rsid w:val="00C5007A"/>
    <w:rsid w:val="00C500DF"/>
    <w:rsid w:val="00C50124"/>
    <w:rsid w:val="00C50233"/>
    <w:rsid w:val="00C50252"/>
    <w:rsid w:val="00C502B1"/>
    <w:rsid w:val="00C5034D"/>
    <w:rsid w:val="00C503C2"/>
    <w:rsid w:val="00C503F9"/>
    <w:rsid w:val="00C5042F"/>
    <w:rsid w:val="00C50461"/>
    <w:rsid w:val="00C504D1"/>
    <w:rsid w:val="00C50502"/>
    <w:rsid w:val="00C5050A"/>
    <w:rsid w:val="00C5050B"/>
    <w:rsid w:val="00C5055A"/>
    <w:rsid w:val="00C505C6"/>
    <w:rsid w:val="00C505D5"/>
    <w:rsid w:val="00C5064E"/>
    <w:rsid w:val="00C50695"/>
    <w:rsid w:val="00C50744"/>
    <w:rsid w:val="00C5079D"/>
    <w:rsid w:val="00C508DC"/>
    <w:rsid w:val="00C50974"/>
    <w:rsid w:val="00C50A01"/>
    <w:rsid w:val="00C50A98"/>
    <w:rsid w:val="00C50B11"/>
    <w:rsid w:val="00C50B5E"/>
    <w:rsid w:val="00C50BAB"/>
    <w:rsid w:val="00C50DC4"/>
    <w:rsid w:val="00C50EEA"/>
    <w:rsid w:val="00C50EF7"/>
    <w:rsid w:val="00C50F27"/>
    <w:rsid w:val="00C50F3D"/>
    <w:rsid w:val="00C50FAA"/>
    <w:rsid w:val="00C51146"/>
    <w:rsid w:val="00C5117A"/>
    <w:rsid w:val="00C51251"/>
    <w:rsid w:val="00C5126C"/>
    <w:rsid w:val="00C513C4"/>
    <w:rsid w:val="00C51413"/>
    <w:rsid w:val="00C51464"/>
    <w:rsid w:val="00C514F1"/>
    <w:rsid w:val="00C514F6"/>
    <w:rsid w:val="00C51587"/>
    <w:rsid w:val="00C515B8"/>
    <w:rsid w:val="00C51600"/>
    <w:rsid w:val="00C51645"/>
    <w:rsid w:val="00C5165D"/>
    <w:rsid w:val="00C516E9"/>
    <w:rsid w:val="00C5176A"/>
    <w:rsid w:val="00C5179B"/>
    <w:rsid w:val="00C517C8"/>
    <w:rsid w:val="00C51838"/>
    <w:rsid w:val="00C51881"/>
    <w:rsid w:val="00C51882"/>
    <w:rsid w:val="00C519FB"/>
    <w:rsid w:val="00C51B3C"/>
    <w:rsid w:val="00C51B8B"/>
    <w:rsid w:val="00C51BE1"/>
    <w:rsid w:val="00C51CA5"/>
    <w:rsid w:val="00C51CDC"/>
    <w:rsid w:val="00C51DDF"/>
    <w:rsid w:val="00C51EBB"/>
    <w:rsid w:val="00C51ED0"/>
    <w:rsid w:val="00C51EF3"/>
    <w:rsid w:val="00C51F5E"/>
    <w:rsid w:val="00C51F81"/>
    <w:rsid w:val="00C52115"/>
    <w:rsid w:val="00C521AA"/>
    <w:rsid w:val="00C521E6"/>
    <w:rsid w:val="00C5224C"/>
    <w:rsid w:val="00C522A5"/>
    <w:rsid w:val="00C52457"/>
    <w:rsid w:val="00C5245E"/>
    <w:rsid w:val="00C5258F"/>
    <w:rsid w:val="00C525E3"/>
    <w:rsid w:val="00C525F1"/>
    <w:rsid w:val="00C52707"/>
    <w:rsid w:val="00C5275E"/>
    <w:rsid w:val="00C527A7"/>
    <w:rsid w:val="00C527EC"/>
    <w:rsid w:val="00C527F8"/>
    <w:rsid w:val="00C52820"/>
    <w:rsid w:val="00C5282F"/>
    <w:rsid w:val="00C52831"/>
    <w:rsid w:val="00C528E6"/>
    <w:rsid w:val="00C52AA1"/>
    <w:rsid w:val="00C52AA4"/>
    <w:rsid w:val="00C52AE1"/>
    <w:rsid w:val="00C52AF7"/>
    <w:rsid w:val="00C52BD4"/>
    <w:rsid w:val="00C52D52"/>
    <w:rsid w:val="00C52E0E"/>
    <w:rsid w:val="00C52EB0"/>
    <w:rsid w:val="00C52F3C"/>
    <w:rsid w:val="00C53031"/>
    <w:rsid w:val="00C53051"/>
    <w:rsid w:val="00C53097"/>
    <w:rsid w:val="00C530F9"/>
    <w:rsid w:val="00C531CD"/>
    <w:rsid w:val="00C532A8"/>
    <w:rsid w:val="00C5332B"/>
    <w:rsid w:val="00C53470"/>
    <w:rsid w:val="00C53540"/>
    <w:rsid w:val="00C53556"/>
    <w:rsid w:val="00C535BF"/>
    <w:rsid w:val="00C5364C"/>
    <w:rsid w:val="00C536AC"/>
    <w:rsid w:val="00C53725"/>
    <w:rsid w:val="00C53808"/>
    <w:rsid w:val="00C53876"/>
    <w:rsid w:val="00C53959"/>
    <w:rsid w:val="00C53A1C"/>
    <w:rsid w:val="00C53AAE"/>
    <w:rsid w:val="00C53AB3"/>
    <w:rsid w:val="00C53B10"/>
    <w:rsid w:val="00C53BE5"/>
    <w:rsid w:val="00C53C83"/>
    <w:rsid w:val="00C53D51"/>
    <w:rsid w:val="00C53D73"/>
    <w:rsid w:val="00C53D9C"/>
    <w:rsid w:val="00C53F24"/>
    <w:rsid w:val="00C53F4C"/>
    <w:rsid w:val="00C53F8D"/>
    <w:rsid w:val="00C53FD1"/>
    <w:rsid w:val="00C54071"/>
    <w:rsid w:val="00C54134"/>
    <w:rsid w:val="00C54273"/>
    <w:rsid w:val="00C54276"/>
    <w:rsid w:val="00C542A6"/>
    <w:rsid w:val="00C542BC"/>
    <w:rsid w:val="00C5431D"/>
    <w:rsid w:val="00C5432D"/>
    <w:rsid w:val="00C54373"/>
    <w:rsid w:val="00C54378"/>
    <w:rsid w:val="00C543F9"/>
    <w:rsid w:val="00C544EE"/>
    <w:rsid w:val="00C5456E"/>
    <w:rsid w:val="00C546F4"/>
    <w:rsid w:val="00C5470B"/>
    <w:rsid w:val="00C54790"/>
    <w:rsid w:val="00C547D3"/>
    <w:rsid w:val="00C54860"/>
    <w:rsid w:val="00C548F5"/>
    <w:rsid w:val="00C5490B"/>
    <w:rsid w:val="00C54923"/>
    <w:rsid w:val="00C54A7F"/>
    <w:rsid w:val="00C54AC1"/>
    <w:rsid w:val="00C54B37"/>
    <w:rsid w:val="00C54B4B"/>
    <w:rsid w:val="00C54CC4"/>
    <w:rsid w:val="00C54CEE"/>
    <w:rsid w:val="00C54D58"/>
    <w:rsid w:val="00C54D65"/>
    <w:rsid w:val="00C54D94"/>
    <w:rsid w:val="00C54DA8"/>
    <w:rsid w:val="00C54EA6"/>
    <w:rsid w:val="00C54EE4"/>
    <w:rsid w:val="00C54F03"/>
    <w:rsid w:val="00C54F21"/>
    <w:rsid w:val="00C54F91"/>
    <w:rsid w:val="00C54FD0"/>
    <w:rsid w:val="00C54FFB"/>
    <w:rsid w:val="00C5504E"/>
    <w:rsid w:val="00C55079"/>
    <w:rsid w:val="00C5508A"/>
    <w:rsid w:val="00C551C9"/>
    <w:rsid w:val="00C5526F"/>
    <w:rsid w:val="00C55271"/>
    <w:rsid w:val="00C55276"/>
    <w:rsid w:val="00C5527A"/>
    <w:rsid w:val="00C552FC"/>
    <w:rsid w:val="00C5533E"/>
    <w:rsid w:val="00C553B8"/>
    <w:rsid w:val="00C5547E"/>
    <w:rsid w:val="00C554C4"/>
    <w:rsid w:val="00C5554C"/>
    <w:rsid w:val="00C5557C"/>
    <w:rsid w:val="00C55630"/>
    <w:rsid w:val="00C556A5"/>
    <w:rsid w:val="00C55726"/>
    <w:rsid w:val="00C55781"/>
    <w:rsid w:val="00C557E4"/>
    <w:rsid w:val="00C5584E"/>
    <w:rsid w:val="00C55928"/>
    <w:rsid w:val="00C55943"/>
    <w:rsid w:val="00C55963"/>
    <w:rsid w:val="00C55A5E"/>
    <w:rsid w:val="00C55AE5"/>
    <w:rsid w:val="00C55AF8"/>
    <w:rsid w:val="00C55B13"/>
    <w:rsid w:val="00C55B69"/>
    <w:rsid w:val="00C55C4A"/>
    <w:rsid w:val="00C55C62"/>
    <w:rsid w:val="00C55C84"/>
    <w:rsid w:val="00C55CAF"/>
    <w:rsid w:val="00C55CD9"/>
    <w:rsid w:val="00C55D4C"/>
    <w:rsid w:val="00C55D6B"/>
    <w:rsid w:val="00C55D81"/>
    <w:rsid w:val="00C55E70"/>
    <w:rsid w:val="00C55E76"/>
    <w:rsid w:val="00C55E9D"/>
    <w:rsid w:val="00C55EAB"/>
    <w:rsid w:val="00C55F4F"/>
    <w:rsid w:val="00C5605D"/>
    <w:rsid w:val="00C560F9"/>
    <w:rsid w:val="00C5623B"/>
    <w:rsid w:val="00C562C5"/>
    <w:rsid w:val="00C56311"/>
    <w:rsid w:val="00C56339"/>
    <w:rsid w:val="00C56363"/>
    <w:rsid w:val="00C5643A"/>
    <w:rsid w:val="00C564E8"/>
    <w:rsid w:val="00C56557"/>
    <w:rsid w:val="00C5655D"/>
    <w:rsid w:val="00C56584"/>
    <w:rsid w:val="00C5668D"/>
    <w:rsid w:val="00C566A5"/>
    <w:rsid w:val="00C5673E"/>
    <w:rsid w:val="00C567C0"/>
    <w:rsid w:val="00C567D8"/>
    <w:rsid w:val="00C5685C"/>
    <w:rsid w:val="00C5690F"/>
    <w:rsid w:val="00C56985"/>
    <w:rsid w:val="00C56A15"/>
    <w:rsid w:val="00C56B4C"/>
    <w:rsid w:val="00C56B75"/>
    <w:rsid w:val="00C56BD1"/>
    <w:rsid w:val="00C56C45"/>
    <w:rsid w:val="00C56D17"/>
    <w:rsid w:val="00C56DB1"/>
    <w:rsid w:val="00C56E24"/>
    <w:rsid w:val="00C56E82"/>
    <w:rsid w:val="00C56EBB"/>
    <w:rsid w:val="00C56FF8"/>
    <w:rsid w:val="00C5709E"/>
    <w:rsid w:val="00C570A5"/>
    <w:rsid w:val="00C571E6"/>
    <w:rsid w:val="00C57227"/>
    <w:rsid w:val="00C57303"/>
    <w:rsid w:val="00C57377"/>
    <w:rsid w:val="00C57385"/>
    <w:rsid w:val="00C573C0"/>
    <w:rsid w:val="00C57447"/>
    <w:rsid w:val="00C574A1"/>
    <w:rsid w:val="00C574FA"/>
    <w:rsid w:val="00C575AC"/>
    <w:rsid w:val="00C575D5"/>
    <w:rsid w:val="00C575E6"/>
    <w:rsid w:val="00C5760C"/>
    <w:rsid w:val="00C576CC"/>
    <w:rsid w:val="00C576F5"/>
    <w:rsid w:val="00C5780B"/>
    <w:rsid w:val="00C57849"/>
    <w:rsid w:val="00C5791F"/>
    <w:rsid w:val="00C579C3"/>
    <w:rsid w:val="00C57A4B"/>
    <w:rsid w:val="00C57A72"/>
    <w:rsid w:val="00C57A7E"/>
    <w:rsid w:val="00C57AE0"/>
    <w:rsid w:val="00C57B5C"/>
    <w:rsid w:val="00C57CD2"/>
    <w:rsid w:val="00C57CE0"/>
    <w:rsid w:val="00C57D08"/>
    <w:rsid w:val="00C57D96"/>
    <w:rsid w:val="00C57E37"/>
    <w:rsid w:val="00C57E90"/>
    <w:rsid w:val="00C57FD0"/>
    <w:rsid w:val="00C60007"/>
    <w:rsid w:val="00C60065"/>
    <w:rsid w:val="00C6007C"/>
    <w:rsid w:val="00C601D0"/>
    <w:rsid w:val="00C60261"/>
    <w:rsid w:val="00C602BA"/>
    <w:rsid w:val="00C60307"/>
    <w:rsid w:val="00C603EC"/>
    <w:rsid w:val="00C6045E"/>
    <w:rsid w:val="00C604CE"/>
    <w:rsid w:val="00C604D5"/>
    <w:rsid w:val="00C605DF"/>
    <w:rsid w:val="00C606E1"/>
    <w:rsid w:val="00C606EA"/>
    <w:rsid w:val="00C60749"/>
    <w:rsid w:val="00C60905"/>
    <w:rsid w:val="00C60962"/>
    <w:rsid w:val="00C609E6"/>
    <w:rsid w:val="00C60A0E"/>
    <w:rsid w:val="00C60A4E"/>
    <w:rsid w:val="00C60A7F"/>
    <w:rsid w:val="00C60A8B"/>
    <w:rsid w:val="00C60B4D"/>
    <w:rsid w:val="00C60B95"/>
    <w:rsid w:val="00C60BF2"/>
    <w:rsid w:val="00C60CBD"/>
    <w:rsid w:val="00C60CD3"/>
    <w:rsid w:val="00C60E3A"/>
    <w:rsid w:val="00C60E80"/>
    <w:rsid w:val="00C60F53"/>
    <w:rsid w:val="00C610E3"/>
    <w:rsid w:val="00C6110A"/>
    <w:rsid w:val="00C61162"/>
    <w:rsid w:val="00C611FE"/>
    <w:rsid w:val="00C612B6"/>
    <w:rsid w:val="00C6134A"/>
    <w:rsid w:val="00C613B7"/>
    <w:rsid w:val="00C6148D"/>
    <w:rsid w:val="00C614E1"/>
    <w:rsid w:val="00C6153C"/>
    <w:rsid w:val="00C615FB"/>
    <w:rsid w:val="00C6164B"/>
    <w:rsid w:val="00C61696"/>
    <w:rsid w:val="00C61806"/>
    <w:rsid w:val="00C6180F"/>
    <w:rsid w:val="00C6184F"/>
    <w:rsid w:val="00C61889"/>
    <w:rsid w:val="00C61901"/>
    <w:rsid w:val="00C61952"/>
    <w:rsid w:val="00C619A8"/>
    <w:rsid w:val="00C61A14"/>
    <w:rsid w:val="00C61AD6"/>
    <w:rsid w:val="00C61AE9"/>
    <w:rsid w:val="00C61B50"/>
    <w:rsid w:val="00C61B6A"/>
    <w:rsid w:val="00C61B74"/>
    <w:rsid w:val="00C61C4E"/>
    <w:rsid w:val="00C61CFF"/>
    <w:rsid w:val="00C61E5C"/>
    <w:rsid w:val="00C61EE0"/>
    <w:rsid w:val="00C61F1E"/>
    <w:rsid w:val="00C61F59"/>
    <w:rsid w:val="00C61F5F"/>
    <w:rsid w:val="00C62023"/>
    <w:rsid w:val="00C62065"/>
    <w:rsid w:val="00C620E5"/>
    <w:rsid w:val="00C62112"/>
    <w:rsid w:val="00C621BD"/>
    <w:rsid w:val="00C6231A"/>
    <w:rsid w:val="00C62383"/>
    <w:rsid w:val="00C62386"/>
    <w:rsid w:val="00C623B9"/>
    <w:rsid w:val="00C623D1"/>
    <w:rsid w:val="00C62450"/>
    <w:rsid w:val="00C6252D"/>
    <w:rsid w:val="00C625CC"/>
    <w:rsid w:val="00C62677"/>
    <w:rsid w:val="00C6267E"/>
    <w:rsid w:val="00C626F8"/>
    <w:rsid w:val="00C6272F"/>
    <w:rsid w:val="00C62772"/>
    <w:rsid w:val="00C62800"/>
    <w:rsid w:val="00C62951"/>
    <w:rsid w:val="00C629E4"/>
    <w:rsid w:val="00C62AD8"/>
    <w:rsid w:val="00C62BCB"/>
    <w:rsid w:val="00C62BFD"/>
    <w:rsid w:val="00C62CA0"/>
    <w:rsid w:val="00C62CB5"/>
    <w:rsid w:val="00C62DE8"/>
    <w:rsid w:val="00C62E5D"/>
    <w:rsid w:val="00C62EAE"/>
    <w:rsid w:val="00C62EDB"/>
    <w:rsid w:val="00C62EDC"/>
    <w:rsid w:val="00C62FEB"/>
    <w:rsid w:val="00C62FF1"/>
    <w:rsid w:val="00C63081"/>
    <w:rsid w:val="00C630BB"/>
    <w:rsid w:val="00C6316B"/>
    <w:rsid w:val="00C63291"/>
    <w:rsid w:val="00C63326"/>
    <w:rsid w:val="00C63353"/>
    <w:rsid w:val="00C63456"/>
    <w:rsid w:val="00C6352E"/>
    <w:rsid w:val="00C63556"/>
    <w:rsid w:val="00C636BE"/>
    <w:rsid w:val="00C63731"/>
    <w:rsid w:val="00C637E9"/>
    <w:rsid w:val="00C63804"/>
    <w:rsid w:val="00C63865"/>
    <w:rsid w:val="00C6388C"/>
    <w:rsid w:val="00C638A8"/>
    <w:rsid w:val="00C638BC"/>
    <w:rsid w:val="00C638FC"/>
    <w:rsid w:val="00C6396D"/>
    <w:rsid w:val="00C6398A"/>
    <w:rsid w:val="00C63B21"/>
    <w:rsid w:val="00C63C67"/>
    <w:rsid w:val="00C63C8A"/>
    <w:rsid w:val="00C63C95"/>
    <w:rsid w:val="00C63DE3"/>
    <w:rsid w:val="00C63EA7"/>
    <w:rsid w:val="00C63EE1"/>
    <w:rsid w:val="00C63F35"/>
    <w:rsid w:val="00C640DC"/>
    <w:rsid w:val="00C64105"/>
    <w:rsid w:val="00C64122"/>
    <w:rsid w:val="00C641A5"/>
    <w:rsid w:val="00C6427D"/>
    <w:rsid w:val="00C64347"/>
    <w:rsid w:val="00C643D4"/>
    <w:rsid w:val="00C64401"/>
    <w:rsid w:val="00C6463C"/>
    <w:rsid w:val="00C646E3"/>
    <w:rsid w:val="00C64739"/>
    <w:rsid w:val="00C64754"/>
    <w:rsid w:val="00C64795"/>
    <w:rsid w:val="00C647CF"/>
    <w:rsid w:val="00C64804"/>
    <w:rsid w:val="00C648B7"/>
    <w:rsid w:val="00C648C7"/>
    <w:rsid w:val="00C64A4E"/>
    <w:rsid w:val="00C64ACA"/>
    <w:rsid w:val="00C64B02"/>
    <w:rsid w:val="00C64B10"/>
    <w:rsid w:val="00C64B36"/>
    <w:rsid w:val="00C64B68"/>
    <w:rsid w:val="00C64B7B"/>
    <w:rsid w:val="00C64B82"/>
    <w:rsid w:val="00C64CC1"/>
    <w:rsid w:val="00C64EE1"/>
    <w:rsid w:val="00C64F2E"/>
    <w:rsid w:val="00C64F72"/>
    <w:rsid w:val="00C64FA9"/>
    <w:rsid w:val="00C65121"/>
    <w:rsid w:val="00C65243"/>
    <w:rsid w:val="00C65299"/>
    <w:rsid w:val="00C652E1"/>
    <w:rsid w:val="00C65311"/>
    <w:rsid w:val="00C654A6"/>
    <w:rsid w:val="00C654A9"/>
    <w:rsid w:val="00C654D6"/>
    <w:rsid w:val="00C65500"/>
    <w:rsid w:val="00C65511"/>
    <w:rsid w:val="00C65527"/>
    <w:rsid w:val="00C65658"/>
    <w:rsid w:val="00C656B7"/>
    <w:rsid w:val="00C656C7"/>
    <w:rsid w:val="00C65745"/>
    <w:rsid w:val="00C657E3"/>
    <w:rsid w:val="00C6584D"/>
    <w:rsid w:val="00C65916"/>
    <w:rsid w:val="00C6595C"/>
    <w:rsid w:val="00C6597E"/>
    <w:rsid w:val="00C65ABE"/>
    <w:rsid w:val="00C65BC2"/>
    <w:rsid w:val="00C65BE2"/>
    <w:rsid w:val="00C65CD2"/>
    <w:rsid w:val="00C65D15"/>
    <w:rsid w:val="00C65E68"/>
    <w:rsid w:val="00C65E9B"/>
    <w:rsid w:val="00C65EA4"/>
    <w:rsid w:val="00C65EF7"/>
    <w:rsid w:val="00C65F39"/>
    <w:rsid w:val="00C66032"/>
    <w:rsid w:val="00C66172"/>
    <w:rsid w:val="00C6617F"/>
    <w:rsid w:val="00C661CD"/>
    <w:rsid w:val="00C661E1"/>
    <w:rsid w:val="00C66216"/>
    <w:rsid w:val="00C66359"/>
    <w:rsid w:val="00C6635C"/>
    <w:rsid w:val="00C66403"/>
    <w:rsid w:val="00C66422"/>
    <w:rsid w:val="00C6646C"/>
    <w:rsid w:val="00C66497"/>
    <w:rsid w:val="00C664DE"/>
    <w:rsid w:val="00C6655B"/>
    <w:rsid w:val="00C6657B"/>
    <w:rsid w:val="00C665A1"/>
    <w:rsid w:val="00C665F6"/>
    <w:rsid w:val="00C66604"/>
    <w:rsid w:val="00C666DB"/>
    <w:rsid w:val="00C6671A"/>
    <w:rsid w:val="00C667CA"/>
    <w:rsid w:val="00C667FF"/>
    <w:rsid w:val="00C66892"/>
    <w:rsid w:val="00C66893"/>
    <w:rsid w:val="00C668CC"/>
    <w:rsid w:val="00C6691C"/>
    <w:rsid w:val="00C66933"/>
    <w:rsid w:val="00C66AF7"/>
    <w:rsid w:val="00C66B50"/>
    <w:rsid w:val="00C66C70"/>
    <w:rsid w:val="00C66C86"/>
    <w:rsid w:val="00C66CFE"/>
    <w:rsid w:val="00C66DD5"/>
    <w:rsid w:val="00C66E0D"/>
    <w:rsid w:val="00C66E4C"/>
    <w:rsid w:val="00C66E77"/>
    <w:rsid w:val="00C66FE3"/>
    <w:rsid w:val="00C67037"/>
    <w:rsid w:val="00C6703E"/>
    <w:rsid w:val="00C67145"/>
    <w:rsid w:val="00C67187"/>
    <w:rsid w:val="00C67200"/>
    <w:rsid w:val="00C673D8"/>
    <w:rsid w:val="00C67489"/>
    <w:rsid w:val="00C674A5"/>
    <w:rsid w:val="00C674B1"/>
    <w:rsid w:val="00C67593"/>
    <w:rsid w:val="00C67655"/>
    <w:rsid w:val="00C676A6"/>
    <w:rsid w:val="00C676EE"/>
    <w:rsid w:val="00C6780B"/>
    <w:rsid w:val="00C6782B"/>
    <w:rsid w:val="00C67A62"/>
    <w:rsid w:val="00C67B1E"/>
    <w:rsid w:val="00C67B46"/>
    <w:rsid w:val="00C67B48"/>
    <w:rsid w:val="00C67BF6"/>
    <w:rsid w:val="00C67C84"/>
    <w:rsid w:val="00C67CA0"/>
    <w:rsid w:val="00C67D24"/>
    <w:rsid w:val="00C67D57"/>
    <w:rsid w:val="00C67E2A"/>
    <w:rsid w:val="00C67E8B"/>
    <w:rsid w:val="00C67ED1"/>
    <w:rsid w:val="00C67F05"/>
    <w:rsid w:val="00C67F1A"/>
    <w:rsid w:val="00C67F4A"/>
    <w:rsid w:val="00C67F83"/>
    <w:rsid w:val="00C70022"/>
    <w:rsid w:val="00C700EF"/>
    <w:rsid w:val="00C70108"/>
    <w:rsid w:val="00C701E8"/>
    <w:rsid w:val="00C70270"/>
    <w:rsid w:val="00C702FE"/>
    <w:rsid w:val="00C70368"/>
    <w:rsid w:val="00C703B3"/>
    <w:rsid w:val="00C703E8"/>
    <w:rsid w:val="00C704B8"/>
    <w:rsid w:val="00C70510"/>
    <w:rsid w:val="00C70655"/>
    <w:rsid w:val="00C70664"/>
    <w:rsid w:val="00C7068A"/>
    <w:rsid w:val="00C7094E"/>
    <w:rsid w:val="00C709C4"/>
    <w:rsid w:val="00C709F0"/>
    <w:rsid w:val="00C70AFA"/>
    <w:rsid w:val="00C70B2B"/>
    <w:rsid w:val="00C70B7F"/>
    <w:rsid w:val="00C70C54"/>
    <w:rsid w:val="00C70C5E"/>
    <w:rsid w:val="00C70CCE"/>
    <w:rsid w:val="00C70CD9"/>
    <w:rsid w:val="00C70E1E"/>
    <w:rsid w:val="00C70E5D"/>
    <w:rsid w:val="00C70E62"/>
    <w:rsid w:val="00C70E6C"/>
    <w:rsid w:val="00C70ECE"/>
    <w:rsid w:val="00C70EF2"/>
    <w:rsid w:val="00C70F7F"/>
    <w:rsid w:val="00C70FB5"/>
    <w:rsid w:val="00C710CF"/>
    <w:rsid w:val="00C7114F"/>
    <w:rsid w:val="00C71190"/>
    <w:rsid w:val="00C7119A"/>
    <w:rsid w:val="00C711A1"/>
    <w:rsid w:val="00C711B7"/>
    <w:rsid w:val="00C711D8"/>
    <w:rsid w:val="00C7130A"/>
    <w:rsid w:val="00C71481"/>
    <w:rsid w:val="00C71488"/>
    <w:rsid w:val="00C71570"/>
    <w:rsid w:val="00C715C3"/>
    <w:rsid w:val="00C71607"/>
    <w:rsid w:val="00C71638"/>
    <w:rsid w:val="00C71694"/>
    <w:rsid w:val="00C7169A"/>
    <w:rsid w:val="00C7174A"/>
    <w:rsid w:val="00C717C0"/>
    <w:rsid w:val="00C71809"/>
    <w:rsid w:val="00C7181D"/>
    <w:rsid w:val="00C71821"/>
    <w:rsid w:val="00C718C0"/>
    <w:rsid w:val="00C71A0D"/>
    <w:rsid w:val="00C71B25"/>
    <w:rsid w:val="00C71C49"/>
    <w:rsid w:val="00C71D7E"/>
    <w:rsid w:val="00C71D81"/>
    <w:rsid w:val="00C71DB8"/>
    <w:rsid w:val="00C71DB9"/>
    <w:rsid w:val="00C71DFB"/>
    <w:rsid w:val="00C71E37"/>
    <w:rsid w:val="00C71EBC"/>
    <w:rsid w:val="00C72208"/>
    <w:rsid w:val="00C72223"/>
    <w:rsid w:val="00C7227C"/>
    <w:rsid w:val="00C72298"/>
    <w:rsid w:val="00C722D7"/>
    <w:rsid w:val="00C7232A"/>
    <w:rsid w:val="00C7247B"/>
    <w:rsid w:val="00C72487"/>
    <w:rsid w:val="00C7252B"/>
    <w:rsid w:val="00C72649"/>
    <w:rsid w:val="00C72701"/>
    <w:rsid w:val="00C727A8"/>
    <w:rsid w:val="00C72865"/>
    <w:rsid w:val="00C728CA"/>
    <w:rsid w:val="00C72A26"/>
    <w:rsid w:val="00C72B4D"/>
    <w:rsid w:val="00C72B55"/>
    <w:rsid w:val="00C72BA0"/>
    <w:rsid w:val="00C72C81"/>
    <w:rsid w:val="00C72D91"/>
    <w:rsid w:val="00C72D9B"/>
    <w:rsid w:val="00C72DF3"/>
    <w:rsid w:val="00C72E41"/>
    <w:rsid w:val="00C72E4E"/>
    <w:rsid w:val="00C72E6F"/>
    <w:rsid w:val="00C72EC2"/>
    <w:rsid w:val="00C72ECA"/>
    <w:rsid w:val="00C72EF7"/>
    <w:rsid w:val="00C72F4C"/>
    <w:rsid w:val="00C72F78"/>
    <w:rsid w:val="00C73028"/>
    <w:rsid w:val="00C73038"/>
    <w:rsid w:val="00C730D8"/>
    <w:rsid w:val="00C7317B"/>
    <w:rsid w:val="00C7321F"/>
    <w:rsid w:val="00C73289"/>
    <w:rsid w:val="00C7330B"/>
    <w:rsid w:val="00C7332C"/>
    <w:rsid w:val="00C733CD"/>
    <w:rsid w:val="00C733F2"/>
    <w:rsid w:val="00C73440"/>
    <w:rsid w:val="00C734A6"/>
    <w:rsid w:val="00C73507"/>
    <w:rsid w:val="00C73529"/>
    <w:rsid w:val="00C73619"/>
    <w:rsid w:val="00C736C0"/>
    <w:rsid w:val="00C736E9"/>
    <w:rsid w:val="00C7376A"/>
    <w:rsid w:val="00C73827"/>
    <w:rsid w:val="00C7388A"/>
    <w:rsid w:val="00C7392E"/>
    <w:rsid w:val="00C739F9"/>
    <w:rsid w:val="00C73A9F"/>
    <w:rsid w:val="00C73AA1"/>
    <w:rsid w:val="00C73AF3"/>
    <w:rsid w:val="00C73B07"/>
    <w:rsid w:val="00C73B71"/>
    <w:rsid w:val="00C73B77"/>
    <w:rsid w:val="00C73B83"/>
    <w:rsid w:val="00C73CD5"/>
    <w:rsid w:val="00C73CE2"/>
    <w:rsid w:val="00C73D5C"/>
    <w:rsid w:val="00C73DB4"/>
    <w:rsid w:val="00C73DB7"/>
    <w:rsid w:val="00C73F28"/>
    <w:rsid w:val="00C73FC2"/>
    <w:rsid w:val="00C73FE7"/>
    <w:rsid w:val="00C73FF6"/>
    <w:rsid w:val="00C7401C"/>
    <w:rsid w:val="00C740A5"/>
    <w:rsid w:val="00C74149"/>
    <w:rsid w:val="00C74194"/>
    <w:rsid w:val="00C74286"/>
    <w:rsid w:val="00C74387"/>
    <w:rsid w:val="00C74442"/>
    <w:rsid w:val="00C744DF"/>
    <w:rsid w:val="00C744EE"/>
    <w:rsid w:val="00C746BA"/>
    <w:rsid w:val="00C746D3"/>
    <w:rsid w:val="00C74783"/>
    <w:rsid w:val="00C7478C"/>
    <w:rsid w:val="00C747C2"/>
    <w:rsid w:val="00C747E2"/>
    <w:rsid w:val="00C74878"/>
    <w:rsid w:val="00C74889"/>
    <w:rsid w:val="00C748DB"/>
    <w:rsid w:val="00C7498A"/>
    <w:rsid w:val="00C74A03"/>
    <w:rsid w:val="00C74CD7"/>
    <w:rsid w:val="00C74CE8"/>
    <w:rsid w:val="00C74D88"/>
    <w:rsid w:val="00C74F52"/>
    <w:rsid w:val="00C75004"/>
    <w:rsid w:val="00C75079"/>
    <w:rsid w:val="00C7507B"/>
    <w:rsid w:val="00C750D7"/>
    <w:rsid w:val="00C750DF"/>
    <w:rsid w:val="00C75192"/>
    <w:rsid w:val="00C75404"/>
    <w:rsid w:val="00C7549C"/>
    <w:rsid w:val="00C754AF"/>
    <w:rsid w:val="00C754BF"/>
    <w:rsid w:val="00C754C2"/>
    <w:rsid w:val="00C75535"/>
    <w:rsid w:val="00C75568"/>
    <w:rsid w:val="00C75617"/>
    <w:rsid w:val="00C7564A"/>
    <w:rsid w:val="00C75800"/>
    <w:rsid w:val="00C75878"/>
    <w:rsid w:val="00C75A8F"/>
    <w:rsid w:val="00C75ABC"/>
    <w:rsid w:val="00C75B6D"/>
    <w:rsid w:val="00C75C2D"/>
    <w:rsid w:val="00C75D2D"/>
    <w:rsid w:val="00C75E1D"/>
    <w:rsid w:val="00C75FE1"/>
    <w:rsid w:val="00C76057"/>
    <w:rsid w:val="00C760A5"/>
    <w:rsid w:val="00C760E3"/>
    <w:rsid w:val="00C7630D"/>
    <w:rsid w:val="00C76325"/>
    <w:rsid w:val="00C76386"/>
    <w:rsid w:val="00C76500"/>
    <w:rsid w:val="00C76505"/>
    <w:rsid w:val="00C765AF"/>
    <w:rsid w:val="00C76609"/>
    <w:rsid w:val="00C76645"/>
    <w:rsid w:val="00C76680"/>
    <w:rsid w:val="00C76750"/>
    <w:rsid w:val="00C7678E"/>
    <w:rsid w:val="00C767E0"/>
    <w:rsid w:val="00C767F0"/>
    <w:rsid w:val="00C76843"/>
    <w:rsid w:val="00C76844"/>
    <w:rsid w:val="00C768A4"/>
    <w:rsid w:val="00C768F4"/>
    <w:rsid w:val="00C7691C"/>
    <w:rsid w:val="00C769BD"/>
    <w:rsid w:val="00C769E6"/>
    <w:rsid w:val="00C769FC"/>
    <w:rsid w:val="00C76A0B"/>
    <w:rsid w:val="00C76A43"/>
    <w:rsid w:val="00C76A44"/>
    <w:rsid w:val="00C76A5C"/>
    <w:rsid w:val="00C76B54"/>
    <w:rsid w:val="00C76BB8"/>
    <w:rsid w:val="00C76D5B"/>
    <w:rsid w:val="00C76D60"/>
    <w:rsid w:val="00C76DB8"/>
    <w:rsid w:val="00C76DC7"/>
    <w:rsid w:val="00C76DCB"/>
    <w:rsid w:val="00C76DE1"/>
    <w:rsid w:val="00C76E84"/>
    <w:rsid w:val="00C76F7A"/>
    <w:rsid w:val="00C76F83"/>
    <w:rsid w:val="00C77006"/>
    <w:rsid w:val="00C77137"/>
    <w:rsid w:val="00C7714D"/>
    <w:rsid w:val="00C77165"/>
    <w:rsid w:val="00C7719F"/>
    <w:rsid w:val="00C771EC"/>
    <w:rsid w:val="00C77361"/>
    <w:rsid w:val="00C773B9"/>
    <w:rsid w:val="00C773CE"/>
    <w:rsid w:val="00C773D4"/>
    <w:rsid w:val="00C773E9"/>
    <w:rsid w:val="00C773FF"/>
    <w:rsid w:val="00C775B0"/>
    <w:rsid w:val="00C775F8"/>
    <w:rsid w:val="00C77648"/>
    <w:rsid w:val="00C77677"/>
    <w:rsid w:val="00C77741"/>
    <w:rsid w:val="00C777F3"/>
    <w:rsid w:val="00C7789A"/>
    <w:rsid w:val="00C778C1"/>
    <w:rsid w:val="00C7792C"/>
    <w:rsid w:val="00C77970"/>
    <w:rsid w:val="00C779DC"/>
    <w:rsid w:val="00C77A05"/>
    <w:rsid w:val="00C77A25"/>
    <w:rsid w:val="00C77B59"/>
    <w:rsid w:val="00C77B5F"/>
    <w:rsid w:val="00C77BE4"/>
    <w:rsid w:val="00C77CCC"/>
    <w:rsid w:val="00C77E37"/>
    <w:rsid w:val="00C77F01"/>
    <w:rsid w:val="00C77FFA"/>
    <w:rsid w:val="00C80055"/>
    <w:rsid w:val="00C80070"/>
    <w:rsid w:val="00C800AF"/>
    <w:rsid w:val="00C800FE"/>
    <w:rsid w:val="00C800FF"/>
    <w:rsid w:val="00C80290"/>
    <w:rsid w:val="00C80326"/>
    <w:rsid w:val="00C80358"/>
    <w:rsid w:val="00C80384"/>
    <w:rsid w:val="00C8038C"/>
    <w:rsid w:val="00C803F0"/>
    <w:rsid w:val="00C803F7"/>
    <w:rsid w:val="00C80407"/>
    <w:rsid w:val="00C8049B"/>
    <w:rsid w:val="00C80545"/>
    <w:rsid w:val="00C80561"/>
    <w:rsid w:val="00C80588"/>
    <w:rsid w:val="00C805EC"/>
    <w:rsid w:val="00C8067B"/>
    <w:rsid w:val="00C806BF"/>
    <w:rsid w:val="00C806FC"/>
    <w:rsid w:val="00C8074E"/>
    <w:rsid w:val="00C8085E"/>
    <w:rsid w:val="00C8088B"/>
    <w:rsid w:val="00C8093C"/>
    <w:rsid w:val="00C80999"/>
    <w:rsid w:val="00C809C0"/>
    <w:rsid w:val="00C809C8"/>
    <w:rsid w:val="00C809E1"/>
    <w:rsid w:val="00C80AEB"/>
    <w:rsid w:val="00C80BFB"/>
    <w:rsid w:val="00C80C33"/>
    <w:rsid w:val="00C80C74"/>
    <w:rsid w:val="00C80CB2"/>
    <w:rsid w:val="00C80CCC"/>
    <w:rsid w:val="00C80DE0"/>
    <w:rsid w:val="00C80F0D"/>
    <w:rsid w:val="00C80F3E"/>
    <w:rsid w:val="00C81023"/>
    <w:rsid w:val="00C81061"/>
    <w:rsid w:val="00C81093"/>
    <w:rsid w:val="00C810F4"/>
    <w:rsid w:val="00C81125"/>
    <w:rsid w:val="00C81159"/>
    <w:rsid w:val="00C81265"/>
    <w:rsid w:val="00C8131A"/>
    <w:rsid w:val="00C81377"/>
    <w:rsid w:val="00C8147C"/>
    <w:rsid w:val="00C8152D"/>
    <w:rsid w:val="00C8155C"/>
    <w:rsid w:val="00C815EC"/>
    <w:rsid w:val="00C8167C"/>
    <w:rsid w:val="00C816D0"/>
    <w:rsid w:val="00C816E2"/>
    <w:rsid w:val="00C817F5"/>
    <w:rsid w:val="00C81801"/>
    <w:rsid w:val="00C81889"/>
    <w:rsid w:val="00C81940"/>
    <w:rsid w:val="00C81954"/>
    <w:rsid w:val="00C81AD6"/>
    <w:rsid w:val="00C81B22"/>
    <w:rsid w:val="00C81BD3"/>
    <w:rsid w:val="00C81C9A"/>
    <w:rsid w:val="00C81CD8"/>
    <w:rsid w:val="00C81CDB"/>
    <w:rsid w:val="00C81D1A"/>
    <w:rsid w:val="00C81D5E"/>
    <w:rsid w:val="00C81DAD"/>
    <w:rsid w:val="00C81E3C"/>
    <w:rsid w:val="00C81EBB"/>
    <w:rsid w:val="00C81ECB"/>
    <w:rsid w:val="00C81EEA"/>
    <w:rsid w:val="00C81F80"/>
    <w:rsid w:val="00C8204C"/>
    <w:rsid w:val="00C82079"/>
    <w:rsid w:val="00C822ED"/>
    <w:rsid w:val="00C82367"/>
    <w:rsid w:val="00C823D4"/>
    <w:rsid w:val="00C8241E"/>
    <w:rsid w:val="00C82477"/>
    <w:rsid w:val="00C82527"/>
    <w:rsid w:val="00C8259E"/>
    <w:rsid w:val="00C82629"/>
    <w:rsid w:val="00C82639"/>
    <w:rsid w:val="00C826AF"/>
    <w:rsid w:val="00C827D2"/>
    <w:rsid w:val="00C828AE"/>
    <w:rsid w:val="00C82A61"/>
    <w:rsid w:val="00C82B46"/>
    <w:rsid w:val="00C82BB3"/>
    <w:rsid w:val="00C82CF3"/>
    <w:rsid w:val="00C82E14"/>
    <w:rsid w:val="00C82E70"/>
    <w:rsid w:val="00C82E76"/>
    <w:rsid w:val="00C82E9B"/>
    <w:rsid w:val="00C82EBA"/>
    <w:rsid w:val="00C82F5A"/>
    <w:rsid w:val="00C82F9E"/>
    <w:rsid w:val="00C82FC7"/>
    <w:rsid w:val="00C8300B"/>
    <w:rsid w:val="00C83077"/>
    <w:rsid w:val="00C830BD"/>
    <w:rsid w:val="00C8316A"/>
    <w:rsid w:val="00C831E4"/>
    <w:rsid w:val="00C83325"/>
    <w:rsid w:val="00C8340B"/>
    <w:rsid w:val="00C83493"/>
    <w:rsid w:val="00C8349A"/>
    <w:rsid w:val="00C83504"/>
    <w:rsid w:val="00C83640"/>
    <w:rsid w:val="00C836BD"/>
    <w:rsid w:val="00C83733"/>
    <w:rsid w:val="00C8374D"/>
    <w:rsid w:val="00C837B5"/>
    <w:rsid w:val="00C837F6"/>
    <w:rsid w:val="00C83802"/>
    <w:rsid w:val="00C8382A"/>
    <w:rsid w:val="00C83878"/>
    <w:rsid w:val="00C838AF"/>
    <w:rsid w:val="00C838CF"/>
    <w:rsid w:val="00C83902"/>
    <w:rsid w:val="00C83A1B"/>
    <w:rsid w:val="00C83A24"/>
    <w:rsid w:val="00C83A82"/>
    <w:rsid w:val="00C83A8A"/>
    <w:rsid w:val="00C83C00"/>
    <w:rsid w:val="00C83C28"/>
    <w:rsid w:val="00C83DC0"/>
    <w:rsid w:val="00C83E4F"/>
    <w:rsid w:val="00C83EA2"/>
    <w:rsid w:val="00C83EDE"/>
    <w:rsid w:val="00C83EEC"/>
    <w:rsid w:val="00C83F97"/>
    <w:rsid w:val="00C8410B"/>
    <w:rsid w:val="00C8415E"/>
    <w:rsid w:val="00C84186"/>
    <w:rsid w:val="00C84200"/>
    <w:rsid w:val="00C842F4"/>
    <w:rsid w:val="00C84367"/>
    <w:rsid w:val="00C8438E"/>
    <w:rsid w:val="00C84417"/>
    <w:rsid w:val="00C8448C"/>
    <w:rsid w:val="00C84557"/>
    <w:rsid w:val="00C8457C"/>
    <w:rsid w:val="00C845BC"/>
    <w:rsid w:val="00C84601"/>
    <w:rsid w:val="00C84648"/>
    <w:rsid w:val="00C8469B"/>
    <w:rsid w:val="00C8486B"/>
    <w:rsid w:val="00C8498E"/>
    <w:rsid w:val="00C84A0B"/>
    <w:rsid w:val="00C84A61"/>
    <w:rsid w:val="00C84A69"/>
    <w:rsid w:val="00C84AA0"/>
    <w:rsid w:val="00C84AAA"/>
    <w:rsid w:val="00C84B1E"/>
    <w:rsid w:val="00C84C77"/>
    <w:rsid w:val="00C84CE8"/>
    <w:rsid w:val="00C84CF5"/>
    <w:rsid w:val="00C84D33"/>
    <w:rsid w:val="00C84D9B"/>
    <w:rsid w:val="00C84E11"/>
    <w:rsid w:val="00C84EBC"/>
    <w:rsid w:val="00C84EC3"/>
    <w:rsid w:val="00C84EDD"/>
    <w:rsid w:val="00C84F3F"/>
    <w:rsid w:val="00C84F8D"/>
    <w:rsid w:val="00C85035"/>
    <w:rsid w:val="00C850CB"/>
    <w:rsid w:val="00C850F1"/>
    <w:rsid w:val="00C850F2"/>
    <w:rsid w:val="00C85188"/>
    <w:rsid w:val="00C851BF"/>
    <w:rsid w:val="00C8528C"/>
    <w:rsid w:val="00C852CE"/>
    <w:rsid w:val="00C85328"/>
    <w:rsid w:val="00C853C5"/>
    <w:rsid w:val="00C85645"/>
    <w:rsid w:val="00C856E5"/>
    <w:rsid w:val="00C856FC"/>
    <w:rsid w:val="00C85727"/>
    <w:rsid w:val="00C85796"/>
    <w:rsid w:val="00C85837"/>
    <w:rsid w:val="00C85909"/>
    <w:rsid w:val="00C85954"/>
    <w:rsid w:val="00C859A2"/>
    <w:rsid w:val="00C85A54"/>
    <w:rsid w:val="00C85A93"/>
    <w:rsid w:val="00C85AE9"/>
    <w:rsid w:val="00C85B34"/>
    <w:rsid w:val="00C85B77"/>
    <w:rsid w:val="00C85BA8"/>
    <w:rsid w:val="00C85BF1"/>
    <w:rsid w:val="00C85C76"/>
    <w:rsid w:val="00C85C93"/>
    <w:rsid w:val="00C85D62"/>
    <w:rsid w:val="00C85E8D"/>
    <w:rsid w:val="00C85F04"/>
    <w:rsid w:val="00C85F0C"/>
    <w:rsid w:val="00C85F7E"/>
    <w:rsid w:val="00C85FBB"/>
    <w:rsid w:val="00C86027"/>
    <w:rsid w:val="00C86056"/>
    <w:rsid w:val="00C86093"/>
    <w:rsid w:val="00C8612A"/>
    <w:rsid w:val="00C8620D"/>
    <w:rsid w:val="00C8621E"/>
    <w:rsid w:val="00C863D1"/>
    <w:rsid w:val="00C863E3"/>
    <w:rsid w:val="00C863F2"/>
    <w:rsid w:val="00C86487"/>
    <w:rsid w:val="00C864A1"/>
    <w:rsid w:val="00C865F0"/>
    <w:rsid w:val="00C86620"/>
    <w:rsid w:val="00C86692"/>
    <w:rsid w:val="00C866EF"/>
    <w:rsid w:val="00C8673A"/>
    <w:rsid w:val="00C86834"/>
    <w:rsid w:val="00C868EF"/>
    <w:rsid w:val="00C86916"/>
    <w:rsid w:val="00C86925"/>
    <w:rsid w:val="00C8695B"/>
    <w:rsid w:val="00C86A08"/>
    <w:rsid w:val="00C86A48"/>
    <w:rsid w:val="00C86AD1"/>
    <w:rsid w:val="00C86AFF"/>
    <w:rsid w:val="00C86B79"/>
    <w:rsid w:val="00C86C02"/>
    <w:rsid w:val="00C86C53"/>
    <w:rsid w:val="00C86CF9"/>
    <w:rsid w:val="00C86F73"/>
    <w:rsid w:val="00C86FB6"/>
    <w:rsid w:val="00C870CB"/>
    <w:rsid w:val="00C870EB"/>
    <w:rsid w:val="00C871C3"/>
    <w:rsid w:val="00C872BC"/>
    <w:rsid w:val="00C87419"/>
    <w:rsid w:val="00C874D1"/>
    <w:rsid w:val="00C874D7"/>
    <w:rsid w:val="00C874FA"/>
    <w:rsid w:val="00C875C1"/>
    <w:rsid w:val="00C875E9"/>
    <w:rsid w:val="00C8760C"/>
    <w:rsid w:val="00C876AC"/>
    <w:rsid w:val="00C877B2"/>
    <w:rsid w:val="00C877E4"/>
    <w:rsid w:val="00C87861"/>
    <w:rsid w:val="00C8796C"/>
    <w:rsid w:val="00C87BDF"/>
    <w:rsid w:val="00C87C1D"/>
    <w:rsid w:val="00C87D03"/>
    <w:rsid w:val="00C87DDD"/>
    <w:rsid w:val="00C87E02"/>
    <w:rsid w:val="00C87E4D"/>
    <w:rsid w:val="00C87E59"/>
    <w:rsid w:val="00C87FD4"/>
    <w:rsid w:val="00C900D3"/>
    <w:rsid w:val="00C900F0"/>
    <w:rsid w:val="00C901EA"/>
    <w:rsid w:val="00C9025E"/>
    <w:rsid w:val="00C902E3"/>
    <w:rsid w:val="00C90304"/>
    <w:rsid w:val="00C9030E"/>
    <w:rsid w:val="00C905D5"/>
    <w:rsid w:val="00C90600"/>
    <w:rsid w:val="00C9061F"/>
    <w:rsid w:val="00C9068F"/>
    <w:rsid w:val="00C906DB"/>
    <w:rsid w:val="00C90729"/>
    <w:rsid w:val="00C9079F"/>
    <w:rsid w:val="00C90915"/>
    <w:rsid w:val="00C90A2C"/>
    <w:rsid w:val="00C90B27"/>
    <w:rsid w:val="00C90B8C"/>
    <w:rsid w:val="00C90BA2"/>
    <w:rsid w:val="00C90C12"/>
    <w:rsid w:val="00C90C69"/>
    <w:rsid w:val="00C90C7A"/>
    <w:rsid w:val="00C90DEB"/>
    <w:rsid w:val="00C90DFF"/>
    <w:rsid w:val="00C90E90"/>
    <w:rsid w:val="00C90EA6"/>
    <w:rsid w:val="00C90EA8"/>
    <w:rsid w:val="00C90F44"/>
    <w:rsid w:val="00C90F9D"/>
    <w:rsid w:val="00C910AD"/>
    <w:rsid w:val="00C9122D"/>
    <w:rsid w:val="00C9124D"/>
    <w:rsid w:val="00C91358"/>
    <w:rsid w:val="00C913A2"/>
    <w:rsid w:val="00C913C1"/>
    <w:rsid w:val="00C914A6"/>
    <w:rsid w:val="00C914E4"/>
    <w:rsid w:val="00C9151F"/>
    <w:rsid w:val="00C91543"/>
    <w:rsid w:val="00C915F0"/>
    <w:rsid w:val="00C9163F"/>
    <w:rsid w:val="00C916A7"/>
    <w:rsid w:val="00C917D9"/>
    <w:rsid w:val="00C917EE"/>
    <w:rsid w:val="00C91870"/>
    <w:rsid w:val="00C9187D"/>
    <w:rsid w:val="00C9188E"/>
    <w:rsid w:val="00C91948"/>
    <w:rsid w:val="00C91966"/>
    <w:rsid w:val="00C91996"/>
    <w:rsid w:val="00C919D9"/>
    <w:rsid w:val="00C91A08"/>
    <w:rsid w:val="00C91AD5"/>
    <w:rsid w:val="00C91B30"/>
    <w:rsid w:val="00C91B76"/>
    <w:rsid w:val="00C91BCC"/>
    <w:rsid w:val="00C91C83"/>
    <w:rsid w:val="00C91D43"/>
    <w:rsid w:val="00C91EA7"/>
    <w:rsid w:val="00C91EF6"/>
    <w:rsid w:val="00C92057"/>
    <w:rsid w:val="00C92092"/>
    <w:rsid w:val="00C92097"/>
    <w:rsid w:val="00C9212D"/>
    <w:rsid w:val="00C9215D"/>
    <w:rsid w:val="00C921B6"/>
    <w:rsid w:val="00C921C5"/>
    <w:rsid w:val="00C92233"/>
    <w:rsid w:val="00C922E9"/>
    <w:rsid w:val="00C92371"/>
    <w:rsid w:val="00C9238B"/>
    <w:rsid w:val="00C923C4"/>
    <w:rsid w:val="00C923DC"/>
    <w:rsid w:val="00C9247C"/>
    <w:rsid w:val="00C924DE"/>
    <w:rsid w:val="00C9258B"/>
    <w:rsid w:val="00C9259D"/>
    <w:rsid w:val="00C92650"/>
    <w:rsid w:val="00C92697"/>
    <w:rsid w:val="00C926FA"/>
    <w:rsid w:val="00C92733"/>
    <w:rsid w:val="00C927E2"/>
    <w:rsid w:val="00C928D9"/>
    <w:rsid w:val="00C929EC"/>
    <w:rsid w:val="00C92A31"/>
    <w:rsid w:val="00C92A5B"/>
    <w:rsid w:val="00C92A83"/>
    <w:rsid w:val="00C92A9D"/>
    <w:rsid w:val="00C92ABB"/>
    <w:rsid w:val="00C92C88"/>
    <w:rsid w:val="00C92C91"/>
    <w:rsid w:val="00C92CC2"/>
    <w:rsid w:val="00C92CE5"/>
    <w:rsid w:val="00C92D53"/>
    <w:rsid w:val="00C92E7B"/>
    <w:rsid w:val="00C92EF4"/>
    <w:rsid w:val="00C92FCC"/>
    <w:rsid w:val="00C92FD6"/>
    <w:rsid w:val="00C92FEE"/>
    <w:rsid w:val="00C9310B"/>
    <w:rsid w:val="00C9317C"/>
    <w:rsid w:val="00C93259"/>
    <w:rsid w:val="00C9328D"/>
    <w:rsid w:val="00C932E9"/>
    <w:rsid w:val="00C93390"/>
    <w:rsid w:val="00C93398"/>
    <w:rsid w:val="00C933C2"/>
    <w:rsid w:val="00C93526"/>
    <w:rsid w:val="00C936A8"/>
    <w:rsid w:val="00C93820"/>
    <w:rsid w:val="00C9387C"/>
    <w:rsid w:val="00C9389A"/>
    <w:rsid w:val="00C938CF"/>
    <w:rsid w:val="00C939CD"/>
    <w:rsid w:val="00C939D8"/>
    <w:rsid w:val="00C939F2"/>
    <w:rsid w:val="00C93AAA"/>
    <w:rsid w:val="00C93AC9"/>
    <w:rsid w:val="00C93BBF"/>
    <w:rsid w:val="00C93BF6"/>
    <w:rsid w:val="00C93C31"/>
    <w:rsid w:val="00C93CAB"/>
    <w:rsid w:val="00C93D07"/>
    <w:rsid w:val="00C93D3B"/>
    <w:rsid w:val="00C93D67"/>
    <w:rsid w:val="00C93D70"/>
    <w:rsid w:val="00C93D8E"/>
    <w:rsid w:val="00C93D9C"/>
    <w:rsid w:val="00C93DA3"/>
    <w:rsid w:val="00C93DCD"/>
    <w:rsid w:val="00C93DD8"/>
    <w:rsid w:val="00C93F38"/>
    <w:rsid w:val="00C93F48"/>
    <w:rsid w:val="00C94012"/>
    <w:rsid w:val="00C940CE"/>
    <w:rsid w:val="00C941D6"/>
    <w:rsid w:val="00C9423F"/>
    <w:rsid w:val="00C9427B"/>
    <w:rsid w:val="00C942B5"/>
    <w:rsid w:val="00C9435A"/>
    <w:rsid w:val="00C9436E"/>
    <w:rsid w:val="00C943AE"/>
    <w:rsid w:val="00C94425"/>
    <w:rsid w:val="00C9443E"/>
    <w:rsid w:val="00C94552"/>
    <w:rsid w:val="00C945CB"/>
    <w:rsid w:val="00C94631"/>
    <w:rsid w:val="00C94691"/>
    <w:rsid w:val="00C946C7"/>
    <w:rsid w:val="00C947B1"/>
    <w:rsid w:val="00C94803"/>
    <w:rsid w:val="00C94806"/>
    <w:rsid w:val="00C94853"/>
    <w:rsid w:val="00C9498E"/>
    <w:rsid w:val="00C94A0F"/>
    <w:rsid w:val="00C94A1B"/>
    <w:rsid w:val="00C94AB7"/>
    <w:rsid w:val="00C94B37"/>
    <w:rsid w:val="00C94BA1"/>
    <w:rsid w:val="00C94BB6"/>
    <w:rsid w:val="00C94C16"/>
    <w:rsid w:val="00C94C30"/>
    <w:rsid w:val="00C94D22"/>
    <w:rsid w:val="00C94D7F"/>
    <w:rsid w:val="00C94DEE"/>
    <w:rsid w:val="00C94EC8"/>
    <w:rsid w:val="00C94F12"/>
    <w:rsid w:val="00C94FE8"/>
    <w:rsid w:val="00C95079"/>
    <w:rsid w:val="00C9509D"/>
    <w:rsid w:val="00C950D8"/>
    <w:rsid w:val="00C95103"/>
    <w:rsid w:val="00C9510A"/>
    <w:rsid w:val="00C95219"/>
    <w:rsid w:val="00C9526A"/>
    <w:rsid w:val="00C952D7"/>
    <w:rsid w:val="00C952E6"/>
    <w:rsid w:val="00C95368"/>
    <w:rsid w:val="00C95399"/>
    <w:rsid w:val="00C953D4"/>
    <w:rsid w:val="00C95484"/>
    <w:rsid w:val="00C95599"/>
    <w:rsid w:val="00C9564C"/>
    <w:rsid w:val="00C9573B"/>
    <w:rsid w:val="00C9576F"/>
    <w:rsid w:val="00C95898"/>
    <w:rsid w:val="00C95941"/>
    <w:rsid w:val="00C959A6"/>
    <w:rsid w:val="00C95A10"/>
    <w:rsid w:val="00C95AC3"/>
    <w:rsid w:val="00C95AE4"/>
    <w:rsid w:val="00C95B30"/>
    <w:rsid w:val="00C95C14"/>
    <w:rsid w:val="00C95CE4"/>
    <w:rsid w:val="00C95D1B"/>
    <w:rsid w:val="00C95D89"/>
    <w:rsid w:val="00C95D8E"/>
    <w:rsid w:val="00C95EA9"/>
    <w:rsid w:val="00C95EB4"/>
    <w:rsid w:val="00C95EBB"/>
    <w:rsid w:val="00C95F45"/>
    <w:rsid w:val="00C9620D"/>
    <w:rsid w:val="00C962DC"/>
    <w:rsid w:val="00C963B5"/>
    <w:rsid w:val="00C963FC"/>
    <w:rsid w:val="00C9646D"/>
    <w:rsid w:val="00C96474"/>
    <w:rsid w:val="00C965B7"/>
    <w:rsid w:val="00C965C8"/>
    <w:rsid w:val="00C96616"/>
    <w:rsid w:val="00C9666E"/>
    <w:rsid w:val="00C96717"/>
    <w:rsid w:val="00C967DC"/>
    <w:rsid w:val="00C96852"/>
    <w:rsid w:val="00C96886"/>
    <w:rsid w:val="00C968ED"/>
    <w:rsid w:val="00C968FA"/>
    <w:rsid w:val="00C96970"/>
    <w:rsid w:val="00C96990"/>
    <w:rsid w:val="00C96B3F"/>
    <w:rsid w:val="00C96C4C"/>
    <w:rsid w:val="00C96C75"/>
    <w:rsid w:val="00C96C97"/>
    <w:rsid w:val="00C96CD8"/>
    <w:rsid w:val="00C96CF8"/>
    <w:rsid w:val="00C96D63"/>
    <w:rsid w:val="00C96D6D"/>
    <w:rsid w:val="00C96ED3"/>
    <w:rsid w:val="00C96FB9"/>
    <w:rsid w:val="00C97077"/>
    <w:rsid w:val="00C9708A"/>
    <w:rsid w:val="00C970AD"/>
    <w:rsid w:val="00C97116"/>
    <w:rsid w:val="00C97140"/>
    <w:rsid w:val="00C971BF"/>
    <w:rsid w:val="00C97223"/>
    <w:rsid w:val="00C9722B"/>
    <w:rsid w:val="00C97299"/>
    <w:rsid w:val="00C972A4"/>
    <w:rsid w:val="00C974C4"/>
    <w:rsid w:val="00C9758F"/>
    <w:rsid w:val="00C975BA"/>
    <w:rsid w:val="00C975C3"/>
    <w:rsid w:val="00C975D2"/>
    <w:rsid w:val="00C97671"/>
    <w:rsid w:val="00C976FC"/>
    <w:rsid w:val="00C9771E"/>
    <w:rsid w:val="00C9785F"/>
    <w:rsid w:val="00C9786A"/>
    <w:rsid w:val="00C979CD"/>
    <w:rsid w:val="00C97A77"/>
    <w:rsid w:val="00C97B78"/>
    <w:rsid w:val="00C97B80"/>
    <w:rsid w:val="00C97D84"/>
    <w:rsid w:val="00C97E2B"/>
    <w:rsid w:val="00C97F03"/>
    <w:rsid w:val="00C97F69"/>
    <w:rsid w:val="00C97F76"/>
    <w:rsid w:val="00C97F7B"/>
    <w:rsid w:val="00CA00B1"/>
    <w:rsid w:val="00CA00B3"/>
    <w:rsid w:val="00CA00D6"/>
    <w:rsid w:val="00CA0143"/>
    <w:rsid w:val="00CA01DF"/>
    <w:rsid w:val="00CA023B"/>
    <w:rsid w:val="00CA04A7"/>
    <w:rsid w:val="00CA065F"/>
    <w:rsid w:val="00CA06B2"/>
    <w:rsid w:val="00CA06FC"/>
    <w:rsid w:val="00CA0711"/>
    <w:rsid w:val="00CA0755"/>
    <w:rsid w:val="00CA07C2"/>
    <w:rsid w:val="00CA07E5"/>
    <w:rsid w:val="00CA085A"/>
    <w:rsid w:val="00CA087C"/>
    <w:rsid w:val="00CA0898"/>
    <w:rsid w:val="00CA08D2"/>
    <w:rsid w:val="00CA090C"/>
    <w:rsid w:val="00CA0987"/>
    <w:rsid w:val="00CA098D"/>
    <w:rsid w:val="00CA0A61"/>
    <w:rsid w:val="00CA0ABA"/>
    <w:rsid w:val="00CA0B74"/>
    <w:rsid w:val="00CA0B86"/>
    <w:rsid w:val="00CA0BD3"/>
    <w:rsid w:val="00CA0BDD"/>
    <w:rsid w:val="00CA0C09"/>
    <w:rsid w:val="00CA0C37"/>
    <w:rsid w:val="00CA0CC1"/>
    <w:rsid w:val="00CA0D1F"/>
    <w:rsid w:val="00CA0D52"/>
    <w:rsid w:val="00CA0E0E"/>
    <w:rsid w:val="00CA0E82"/>
    <w:rsid w:val="00CA0ED3"/>
    <w:rsid w:val="00CA0FA3"/>
    <w:rsid w:val="00CA0FED"/>
    <w:rsid w:val="00CA104E"/>
    <w:rsid w:val="00CA1156"/>
    <w:rsid w:val="00CA127D"/>
    <w:rsid w:val="00CA127E"/>
    <w:rsid w:val="00CA1280"/>
    <w:rsid w:val="00CA136A"/>
    <w:rsid w:val="00CA1395"/>
    <w:rsid w:val="00CA14AE"/>
    <w:rsid w:val="00CA14D4"/>
    <w:rsid w:val="00CA15A8"/>
    <w:rsid w:val="00CA1641"/>
    <w:rsid w:val="00CA168E"/>
    <w:rsid w:val="00CA1699"/>
    <w:rsid w:val="00CA16F8"/>
    <w:rsid w:val="00CA17D5"/>
    <w:rsid w:val="00CA17FB"/>
    <w:rsid w:val="00CA1914"/>
    <w:rsid w:val="00CA1935"/>
    <w:rsid w:val="00CA197F"/>
    <w:rsid w:val="00CA1989"/>
    <w:rsid w:val="00CA19FF"/>
    <w:rsid w:val="00CA1A78"/>
    <w:rsid w:val="00CA1B09"/>
    <w:rsid w:val="00CA1C89"/>
    <w:rsid w:val="00CA1D7D"/>
    <w:rsid w:val="00CA1D7F"/>
    <w:rsid w:val="00CA1DB8"/>
    <w:rsid w:val="00CA1E22"/>
    <w:rsid w:val="00CA1F6A"/>
    <w:rsid w:val="00CA1F94"/>
    <w:rsid w:val="00CA202F"/>
    <w:rsid w:val="00CA2033"/>
    <w:rsid w:val="00CA20F4"/>
    <w:rsid w:val="00CA2145"/>
    <w:rsid w:val="00CA2228"/>
    <w:rsid w:val="00CA2336"/>
    <w:rsid w:val="00CA23DC"/>
    <w:rsid w:val="00CA242F"/>
    <w:rsid w:val="00CA248F"/>
    <w:rsid w:val="00CA255F"/>
    <w:rsid w:val="00CA2589"/>
    <w:rsid w:val="00CA2593"/>
    <w:rsid w:val="00CA261D"/>
    <w:rsid w:val="00CA2661"/>
    <w:rsid w:val="00CA266B"/>
    <w:rsid w:val="00CA268A"/>
    <w:rsid w:val="00CA268B"/>
    <w:rsid w:val="00CA2726"/>
    <w:rsid w:val="00CA274D"/>
    <w:rsid w:val="00CA2769"/>
    <w:rsid w:val="00CA289F"/>
    <w:rsid w:val="00CA295D"/>
    <w:rsid w:val="00CA298A"/>
    <w:rsid w:val="00CA29E9"/>
    <w:rsid w:val="00CA2AB7"/>
    <w:rsid w:val="00CA2B6C"/>
    <w:rsid w:val="00CA2C0F"/>
    <w:rsid w:val="00CA2C2A"/>
    <w:rsid w:val="00CA2C5B"/>
    <w:rsid w:val="00CA2C8A"/>
    <w:rsid w:val="00CA2CE7"/>
    <w:rsid w:val="00CA2DF4"/>
    <w:rsid w:val="00CA2E09"/>
    <w:rsid w:val="00CA2E7B"/>
    <w:rsid w:val="00CA2E84"/>
    <w:rsid w:val="00CA2F63"/>
    <w:rsid w:val="00CA3056"/>
    <w:rsid w:val="00CA3060"/>
    <w:rsid w:val="00CA307B"/>
    <w:rsid w:val="00CA3085"/>
    <w:rsid w:val="00CA30FB"/>
    <w:rsid w:val="00CA315F"/>
    <w:rsid w:val="00CA32AE"/>
    <w:rsid w:val="00CA3334"/>
    <w:rsid w:val="00CA339E"/>
    <w:rsid w:val="00CA3405"/>
    <w:rsid w:val="00CA3424"/>
    <w:rsid w:val="00CA34BF"/>
    <w:rsid w:val="00CA3567"/>
    <w:rsid w:val="00CA3656"/>
    <w:rsid w:val="00CA36B1"/>
    <w:rsid w:val="00CA3835"/>
    <w:rsid w:val="00CA388E"/>
    <w:rsid w:val="00CA3960"/>
    <w:rsid w:val="00CA3962"/>
    <w:rsid w:val="00CA39CB"/>
    <w:rsid w:val="00CA3A59"/>
    <w:rsid w:val="00CA3A78"/>
    <w:rsid w:val="00CA3A97"/>
    <w:rsid w:val="00CA3ABF"/>
    <w:rsid w:val="00CA3B72"/>
    <w:rsid w:val="00CA3B77"/>
    <w:rsid w:val="00CA3BE8"/>
    <w:rsid w:val="00CA3BF3"/>
    <w:rsid w:val="00CA3CCF"/>
    <w:rsid w:val="00CA3CDB"/>
    <w:rsid w:val="00CA3D00"/>
    <w:rsid w:val="00CA3D1F"/>
    <w:rsid w:val="00CA3D3F"/>
    <w:rsid w:val="00CA3D54"/>
    <w:rsid w:val="00CA3DE8"/>
    <w:rsid w:val="00CA3E04"/>
    <w:rsid w:val="00CA3E84"/>
    <w:rsid w:val="00CA3E95"/>
    <w:rsid w:val="00CA3EA0"/>
    <w:rsid w:val="00CA3EE8"/>
    <w:rsid w:val="00CA3EE9"/>
    <w:rsid w:val="00CA3F01"/>
    <w:rsid w:val="00CA3F3E"/>
    <w:rsid w:val="00CA3F58"/>
    <w:rsid w:val="00CA3F6E"/>
    <w:rsid w:val="00CA3F7E"/>
    <w:rsid w:val="00CA3FB0"/>
    <w:rsid w:val="00CA3FD9"/>
    <w:rsid w:val="00CA3FDC"/>
    <w:rsid w:val="00CA3FF1"/>
    <w:rsid w:val="00CA3FF8"/>
    <w:rsid w:val="00CA3FFF"/>
    <w:rsid w:val="00CA420A"/>
    <w:rsid w:val="00CA4260"/>
    <w:rsid w:val="00CA4261"/>
    <w:rsid w:val="00CA42A8"/>
    <w:rsid w:val="00CA42F4"/>
    <w:rsid w:val="00CA4311"/>
    <w:rsid w:val="00CA43E6"/>
    <w:rsid w:val="00CA442D"/>
    <w:rsid w:val="00CA4447"/>
    <w:rsid w:val="00CA44BD"/>
    <w:rsid w:val="00CA4574"/>
    <w:rsid w:val="00CA45C7"/>
    <w:rsid w:val="00CA4661"/>
    <w:rsid w:val="00CA46B1"/>
    <w:rsid w:val="00CA47B1"/>
    <w:rsid w:val="00CA48F6"/>
    <w:rsid w:val="00CA496A"/>
    <w:rsid w:val="00CA4A47"/>
    <w:rsid w:val="00CA4A51"/>
    <w:rsid w:val="00CA4A85"/>
    <w:rsid w:val="00CA4A91"/>
    <w:rsid w:val="00CA4AE7"/>
    <w:rsid w:val="00CA4B12"/>
    <w:rsid w:val="00CA4B22"/>
    <w:rsid w:val="00CA4BF5"/>
    <w:rsid w:val="00CA4C0B"/>
    <w:rsid w:val="00CA4CF5"/>
    <w:rsid w:val="00CA4CFB"/>
    <w:rsid w:val="00CA4D27"/>
    <w:rsid w:val="00CA4D71"/>
    <w:rsid w:val="00CA4E44"/>
    <w:rsid w:val="00CA4E50"/>
    <w:rsid w:val="00CA4E8A"/>
    <w:rsid w:val="00CA4EDB"/>
    <w:rsid w:val="00CA5029"/>
    <w:rsid w:val="00CA5039"/>
    <w:rsid w:val="00CA505C"/>
    <w:rsid w:val="00CA50E0"/>
    <w:rsid w:val="00CA5318"/>
    <w:rsid w:val="00CA548F"/>
    <w:rsid w:val="00CA550B"/>
    <w:rsid w:val="00CA55EA"/>
    <w:rsid w:val="00CA5674"/>
    <w:rsid w:val="00CA5682"/>
    <w:rsid w:val="00CA570B"/>
    <w:rsid w:val="00CA57C2"/>
    <w:rsid w:val="00CA5901"/>
    <w:rsid w:val="00CA5915"/>
    <w:rsid w:val="00CA59F5"/>
    <w:rsid w:val="00CA5AD9"/>
    <w:rsid w:val="00CA5CD3"/>
    <w:rsid w:val="00CA5D8A"/>
    <w:rsid w:val="00CA5E95"/>
    <w:rsid w:val="00CA5F0D"/>
    <w:rsid w:val="00CA5F85"/>
    <w:rsid w:val="00CA605B"/>
    <w:rsid w:val="00CA6062"/>
    <w:rsid w:val="00CA6079"/>
    <w:rsid w:val="00CA60D7"/>
    <w:rsid w:val="00CA6204"/>
    <w:rsid w:val="00CA629C"/>
    <w:rsid w:val="00CA6384"/>
    <w:rsid w:val="00CA6392"/>
    <w:rsid w:val="00CA63FD"/>
    <w:rsid w:val="00CA646F"/>
    <w:rsid w:val="00CA64AD"/>
    <w:rsid w:val="00CA64F2"/>
    <w:rsid w:val="00CA6662"/>
    <w:rsid w:val="00CA6670"/>
    <w:rsid w:val="00CA66B1"/>
    <w:rsid w:val="00CA6718"/>
    <w:rsid w:val="00CA671D"/>
    <w:rsid w:val="00CA6826"/>
    <w:rsid w:val="00CA682B"/>
    <w:rsid w:val="00CA684B"/>
    <w:rsid w:val="00CA6895"/>
    <w:rsid w:val="00CA6930"/>
    <w:rsid w:val="00CA6988"/>
    <w:rsid w:val="00CA69BC"/>
    <w:rsid w:val="00CA69D6"/>
    <w:rsid w:val="00CA6A7D"/>
    <w:rsid w:val="00CA6C20"/>
    <w:rsid w:val="00CA6CAE"/>
    <w:rsid w:val="00CA6CC6"/>
    <w:rsid w:val="00CA6CD8"/>
    <w:rsid w:val="00CA6D5F"/>
    <w:rsid w:val="00CA6D6E"/>
    <w:rsid w:val="00CA6DCC"/>
    <w:rsid w:val="00CA6E44"/>
    <w:rsid w:val="00CA6EEF"/>
    <w:rsid w:val="00CA6F97"/>
    <w:rsid w:val="00CA7113"/>
    <w:rsid w:val="00CA72AC"/>
    <w:rsid w:val="00CA72FA"/>
    <w:rsid w:val="00CA7313"/>
    <w:rsid w:val="00CA73E3"/>
    <w:rsid w:val="00CA742E"/>
    <w:rsid w:val="00CA7434"/>
    <w:rsid w:val="00CA74A4"/>
    <w:rsid w:val="00CA74DD"/>
    <w:rsid w:val="00CA757C"/>
    <w:rsid w:val="00CA75AC"/>
    <w:rsid w:val="00CA7664"/>
    <w:rsid w:val="00CA76DE"/>
    <w:rsid w:val="00CA7716"/>
    <w:rsid w:val="00CA772E"/>
    <w:rsid w:val="00CA7774"/>
    <w:rsid w:val="00CA78AB"/>
    <w:rsid w:val="00CA78FC"/>
    <w:rsid w:val="00CA79D5"/>
    <w:rsid w:val="00CA7A38"/>
    <w:rsid w:val="00CA7AA3"/>
    <w:rsid w:val="00CA7BDC"/>
    <w:rsid w:val="00CA7BF7"/>
    <w:rsid w:val="00CA7C8B"/>
    <w:rsid w:val="00CA7DF9"/>
    <w:rsid w:val="00CA7F3C"/>
    <w:rsid w:val="00CA7F6B"/>
    <w:rsid w:val="00CA7FA9"/>
    <w:rsid w:val="00CB00E9"/>
    <w:rsid w:val="00CB00EB"/>
    <w:rsid w:val="00CB0110"/>
    <w:rsid w:val="00CB01B4"/>
    <w:rsid w:val="00CB0407"/>
    <w:rsid w:val="00CB0473"/>
    <w:rsid w:val="00CB048A"/>
    <w:rsid w:val="00CB0563"/>
    <w:rsid w:val="00CB0587"/>
    <w:rsid w:val="00CB05A9"/>
    <w:rsid w:val="00CB0600"/>
    <w:rsid w:val="00CB0636"/>
    <w:rsid w:val="00CB066F"/>
    <w:rsid w:val="00CB0759"/>
    <w:rsid w:val="00CB0791"/>
    <w:rsid w:val="00CB08B5"/>
    <w:rsid w:val="00CB08BD"/>
    <w:rsid w:val="00CB08E5"/>
    <w:rsid w:val="00CB0917"/>
    <w:rsid w:val="00CB0938"/>
    <w:rsid w:val="00CB0A09"/>
    <w:rsid w:val="00CB0A5C"/>
    <w:rsid w:val="00CB0A65"/>
    <w:rsid w:val="00CB0A6A"/>
    <w:rsid w:val="00CB0A9A"/>
    <w:rsid w:val="00CB0D84"/>
    <w:rsid w:val="00CB0DDE"/>
    <w:rsid w:val="00CB0EB6"/>
    <w:rsid w:val="00CB0EC0"/>
    <w:rsid w:val="00CB0F0D"/>
    <w:rsid w:val="00CB0FA7"/>
    <w:rsid w:val="00CB1053"/>
    <w:rsid w:val="00CB105D"/>
    <w:rsid w:val="00CB11B9"/>
    <w:rsid w:val="00CB11E2"/>
    <w:rsid w:val="00CB1208"/>
    <w:rsid w:val="00CB12D3"/>
    <w:rsid w:val="00CB1309"/>
    <w:rsid w:val="00CB1374"/>
    <w:rsid w:val="00CB13C6"/>
    <w:rsid w:val="00CB13EE"/>
    <w:rsid w:val="00CB13F4"/>
    <w:rsid w:val="00CB1407"/>
    <w:rsid w:val="00CB146B"/>
    <w:rsid w:val="00CB14E1"/>
    <w:rsid w:val="00CB160D"/>
    <w:rsid w:val="00CB1766"/>
    <w:rsid w:val="00CB17EC"/>
    <w:rsid w:val="00CB17FD"/>
    <w:rsid w:val="00CB1861"/>
    <w:rsid w:val="00CB1864"/>
    <w:rsid w:val="00CB1995"/>
    <w:rsid w:val="00CB1A07"/>
    <w:rsid w:val="00CB1A25"/>
    <w:rsid w:val="00CB1A45"/>
    <w:rsid w:val="00CB1A70"/>
    <w:rsid w:val="00CB1B8F"/>
    <w:rsid w:val="00CB1BE8"/>
    <w:rsid w:val="00CB1CA5"/>
    <w:rsid w:val="00CB1CCD"/>
    <w:rsid w:val="00CB1D0A"/>
    <w:rsid w:val="00CB1D8E"/>
    <w:rsid w:val="00CB1ED9"/>
    <w:rsid w:val="00CB200A"/>
    <w:rsid w:val="00CB2027"/>
    <w:rsid w:val="00CB2117"/>
    <w:rsid w:val="00CB216E"/>
    <w:rsid w:val="00CB21A4"/>
    <w:rsid w:val="00CB2211"/>
    <w:rsid w:val="00CB224C"/>
    <w:rsid w:val="00CB2297"/>
    <w:rsid w:val="00CB2319"/>
    <w:rsid w:val="00CB23CC"/>
    <w:rsid w:val="00CB23EF"/>
    <w:rsid w:val="00CB261A"/>
    <w:rsid w:val="00CB2653"/>
    <w:rsid w:val="00CB270E"/>
    <w:rsid w:val="00CB2715"/>
    <w:rsid w:val="00CB2808"/>
    <w:rsid w:val="00CB2867"/>
    <w:rsid w:val="00CB29D8"/>
    <w:rsid w:val="00CB2A12"/>
    <w:rsid w:val="00CB2A5D"/>
    <w:rsid w:val="00CB2B02"/>
    <w:rsid w:val="00CB2B13"/>
    <w:rsid w:val="00CB2B28"/>
    <w:rsid w:val="00CB2B2F"/>
    <w:rsid w:val="00CB2B99"/>
    <w:rsid w:val="00CB2C3F"/>
    <w:rsid w:val="00CB2CA1"/>
    <w:rsid w:val="00CB2CCF"/>
    <w:rsid w:val="00CB2D51"/>
    <w:rsid w:val="00CB2D8B"/>
    <w:rsid w:val="00CB2E06"/>
    <w:rsid w:val="00CB2E47"/>
    <w:rsid w:val="00CB2FF8"/>
    <w:rsid w:val="00CB30A8"/>
    <w:rsid w:val="00CB30AE"/>
    <w:rsid w:val="00CB31E1"/>
    <w:rsid w:val="00CB31F8"/>
    <w:rsid w:val="00CB3283"/>
    <w:rsid w:val="00CB32AC"/>
    <w:rsid w:val="00CB330D"/>
    <w:rsid w:val="00CB3335"/>
    <w:rsid w:val="00CB3431"/>
    <w:rsid w:val="00CB344F"/>
    <w:rsid w:val="00CB3476"/>
    <w:rsid w:val="00CB3539"/>
    <w:rsid w:val="00CB353C"/>
    <w:rsid w:val="00CB354A"/>
    <w:rsid w:val="00CB3598"/>
    <w:rsid w:val="00CB35E1"/>
    <w:rsid w:val="00CB3646"/>
    <w:rsid w:val="00CB368B"/>
    <w:rsid w:val="00CB36C9"/>
    <w:rsid w:val="00CB36F7"/>
    <w:rsid w:val="00CB36FB"/>
    <w:rsid w:val="00CB383B"/>
    <w:rsid w:val="00CB384A"/>
    <w:rsid w:val="00CB385E"/>
    <w:rsid w:val="00CB3862"/>
    <w:rsid w:val="00CB3888"/>
    <w:rsid w:val="00CB39AF"/>
    <w:rsid w:val="00CB3A22"/>
    <w:rsid w:val="00CB3A6D"/>
    <w:rsid w:val="00CB3ABF"/>
    <w:rsid w:val="00CB3B38"/>
    <w:rsid w:val="00CB3B53"/>
    <w:rsid w:val="00CB3B6F"/>
    <w:rsid w:val="00CB3B73"/>
    <w:rsid w:val="00CB3B9E"/>
    <w:rsid w:val="00CB3BA7"/>
    <w:rsid w:val="00CB3C61"/>
    <w:rsid w:val="00CB3C96"/>
    <w:rsid w:val="00CB3D56"/>
    <w:rsid w:val="00CB3D77"/>
    <w:rsid w:val="00CB3DA0"/>
    <w:rsid w:val="00CB3DD9"/>
    <w:rsid w:val="00CB3DF3"/>
    <w:rsid w:val="00CB3E05"/>
    <w:rsid w:val="00CB3EDA"/>
    <w:rsid w:val="00CB3F98"/>
    <w:rsid w:val="00CB4017"/>
    <w:rsid w:val="00CB4067"/>
    <w:rsid w:val="00CB4114"/>
    <w:rsid w:val="00CB412B"/>
    <w:rsid w:val="00CB41D3"/>
    <w:rsid w:val="00CB4225"/>
    <w:rsid w:val="00CB423C"/>
    <w:rsid w:val="00CB42AD"/>
    <w:rsid w:val="00CB455A"/>
    <w:rsid w:val="00CB4599"/>
    <w:rsid w:val="00CB45B0"/>
    <w:rsid w:val="00CB45D8"/>
    <w:rsid w:val="00CB45DF"/>
    <w:rsid w:val="00CB4631"/>
    <w:rsid w:val="00CB4675"/>
    <w:rsid w:val="00CB467A"/>
    <w:rsid w:val="00CB4735"/>
    <w:rsid w:val="00CB49E7"/>
    <w:rsid w:val="00CB4A31"/>
    <w:rsid w:val="00CB4BCA"/>
    <w:rsid w:val="00CB4BE6"/>
    <w:rsid w:val="00CB4BFE"/>
    <w:rsid w:val="00CB4D48"/>
    <w:rsid w:val="00CB4D8C"/>
    <w:rsid w:val="00CB4DE9"/>
    <w:rsid w:val="00CB4DEC"/>
    <w:rsid w:val="00CB4E74"/>
    <w:rsid w:val="00CB4F07"/>
    <w:rsid w:val="00CB4F32"/>
    <w:rsid w:val="00CB4FE7"/>
    <w:rsid w:val="00CB5056"/>
    <w:rsid w:val="00CB50D8"/>
    <w:rsid w:val="00CB52D3"/>
    <w:rsid w:val="00CB5355"/>
    <w:rsid w:val="00CB53EA"/>
    <w:rsid w:val="00CB5406"/>
    <w:rsid w:val="00CB5444"/>
    <w:rsid w:val="00CB544E"/>
    <w:rsid w:val="00CB55BA"/>
    <w:rsid w:val="00CB55C5"/>
    <w:rsid w:val="00CB55DA"/>
    <w:rsid w:val="00CB5769"/>
    <w:rsid w:val="00CB5775"/>
    <w:rsid w:val="00CB57AB"/>
    <w:rsid w:val="00CB57D8"/>
    <w:rsid w:val="00CB5836"/>
    <w:rsid w:val="00CB5956"/>
    <w:rsid w:val="00CB59A6"/>
    <w:rsid w:val="00CB5A10"/>
    <w:rsid w:val="00CB5AC4"/>
    <w:rsid w:val="00CB5AEC"/>
    <w:rsid w:val="00CB5B4A"/>
    <w:rsid w:val="00CB5B69"/>
    <w:rsid w:val="00CB5B85"/>
    <w:rsid w:val="00CB5BAC"/>
    <w:rsid w:val="00CB5BE2"/>
    <w:rsid w:val="00CB5C7D"/>
    <w:rsid w:val="00CB5CE7"/>
    <w:rsid w:val="00CB5D6E"/>
    <w:rsid w:val="00CB5D76"/>
    <w:rsid w:val="00CB5D88"/>
    <w:rsid w:val="00CB5D95"/>
    <w:rsid w:val="00CB5E0C"/>
    <w:rsid w:val="00CB5E3F"/>
    <w:rsid w:val="00CB5F2C"/>
    <w:rsid w:val="00CB5F8B"/>
    <w:rsid w:val="00CB6008"/>
    <w:rsid w:val="00CB6038"/>
    <w:rsid w:val="00CB6160"/>
    <w:rsid w:val="00CB616E"/>
    <w:rsid w:val="00CB617F"/>
    <w:rsid w:val="00CB6186"/>
    <w:rsid w:val="00CB61AE"/>
    <w:rsid w:val="00CB6246"/>
    <w:rsid w:val="00CB626A"/>
    <w:rsid w:val="00CB6271"/>
    <w:rsid w:val="00CB627C"/>
    <w:rsid w:val="00CB6392"/>
    <w:rsid w:val="00CB6456"/>
    <w:rsid w:val="00CB6547"/>
    <w:rsid w:val="00CB670A"/>
    <w:rsid w:val="00CB6844"/>
    <w:rsid w:val="00CB6889"/>
    <w:rsid w:val="00CB68FA"/>
    <w:rsid w:val="00CB6905"/>
    <w:rsid w:val="00CB6914"/>
    <w:rsid w:val="00CB6A55"/>
    <w:rsid w:val="00CB6B42"/>
    <w:rsid w:val="00CB6B8D"/>
    <w:rsid w:val="00CB6D2D"/>
    <w:rsid w:val="00CB6EC7"/>
    <w:rsid w:val="00CB6FA1"/>
    <w:rsid w:val="00CB6FD4"/>
    <w:rsid w:val="00CB7042"/>
    <w:rsid w:val="00CB70D1"/>
    <w:rsid w:val="00CB70E3"/>
    <w:rsid w:val="00CB7171"/>
    <w:rsid w:val="00CB72B7"/>
    <w:rsid w:val="00CB72E9"/>
    <w:rsid w:val="00CB7325"/>
    <w:rsid w:val="00CB7327"/>
    <w:rsid w:val="00CB7341"/>
    <w:rsid w:val="00CB7390"/>
    <w:rsid w:val="00CB73CF"/>
    <w:rsid w:val="00CB746B"/>
    <w:rsid w:val="00CB7554"/>
    <w:rsid w:val="00CB75D1"/>
    <w:rsid w:val="00CB76CF"/>
    <w:rsid w:val="00CB77D0"/>
    <w:rsid w:val="00CB7800"/>
    <w:rsid w:val="00CB78AE"/>
    <w:rsid w:val="00CB78CE"/>
    <w:rsid w:val="00CB7920"/>
    <w:rsid w:val="00CB7A11"/>
    <w:rsid w:val="00CB7A5E"/>
    <w:rsid w:val="00CB7AAB"/>
    <w:rsid w:val="00CB7B5A"/>
    <w:rsid w:val="00CB7BFD"/>
    <w:rsid w:val="00CB7C0A"/>
    <w:rsid w:val="00CB7CEF"/>
    <w:rsid w:val="00CB7D16"/>
    <w:rsid w:val="00CB7D26"/>
    <w:rsid w:val="00CB7D66"/>
    <w:rsid w:val="00CB7F97"/>
    <w:rsid w:val="00CB7FFC"/>
    <w:rsid w:val="00CC003E"/>
    <w:rsid w:val="00CC0106"/>
    <w:rsid w:val="00CC03C8"/>
    <w:rsid w:val="00CC042D"/>
    <w:rsid w:val="00CC05B1"/>
    <w:rsid w:val="00CC06C4"/>
    <w:rsid w:val="00CC06E4"/>
    <w:rsid w:val="00CC0721"/>
    <w:rsid w:val="00CC080B"/>
    <w:rsid w:val="00CC095E"/>
    <w:rsid w:val="00CC0AB4"/>
    <w:rsid w:val="00CC0BCA"/>
    <w:rsid w:val="00CC0EE1"/>
    <w:rsid w:val="00CC0F2B"/>
    <w:rsid w:val="00CC10B6"/>
    <w:rsid w:val="00CC1270"/>
    <w:rsid w:val="00CC1379"/>
    <w:rsid w:val="00CC140E"/>
    <w:rsid w:val="00CC1455"/>
    <w:rsid w:val="00CC146E"/>
    <w:rsid w:val="00CC14BD"/>
    <w:rsid w:val="00CC15CC"/>
    <w:rsid w:val="00CC16FD"/>
    <w:rsid w:val="00CC1720"/>
    <w:rsid w:val="00CC190E"/>
    <w:rsid w:val="00CC1917"/>
    <w:rsid w:val="00CC194F"/>
    <w:rsid w:val="00CC1A23"/>
    <w:rsid w:val="00CC1A7C"/>
    <w:rsid w:val="00CC1AF7"/>
    <w:rsid w:val="00CC1B3F"/>
    <w:rsid w:val="00CC1B74"/>
    <w:rsid w:val="00CC1C3E"/>
    <w:rsid w:val="00CC1C63"/>
    <w:rsid w:val="00CC1C87"/>
    <w:rsid w:val="00CC1C8A"/>
    <w:rsid w:val="00CC1CCB"/>
    <w:rsid w:val="00CC1E1E"/>
    <w:rsid w:val="00CC1E3F"/>
    <w:rsid w:val="00CC1E4C"/>
    <w:rsid w:val="00CC1E5A"/>
    <w:rsid w:val="00CC1F06"/>
    <w:rsid w:val="00CC1F6E"/>
    <w:rsid w:val="00CC202C"/>
    <w:rsid w:val="00CC2138"/>
    <w:rsid w:val="00CC214F"/>
    <w:rsid w:val="00CC21CB"/>
    <w:rsid w:val="00CC2216"/>
    <w:rsid w:val="00CC23C5"/>
    <w:rsid w:val="00CC23CB"/>
    <w:rsid w:val="00CC23D4"/>
    <w:rsid w:val="00CC23DC"/>
    <w:rsid w:val="00CC2495"/>
    <w:rsid w:val="00CC24B3"/>
    <w:rsid w:val="00CC2504"/>
    <w:rsid w:val="00CC25C1"/>
    <w:rsid w:val="00CC25EA"/>
    <w:rsid w:val="00CC2620"/>
    <w:rsid w:val="00CC2625"/>
    <w:rsid w:val="00CC26BC"/>
    <w:rsid w:val="00CC2717"/>
    <w:rsid w:val="00CC2774"/>
    <w:rsid w:val="00CC281B"/>
    <w:rsid w:val="00CC2853"/>
    <w:rsid w:val="00CC28F1"/>
    <w:rsid w:val="00CC28F9"/>
    <w:rsid w:val="00CC2979"/>
    <w:rsid w:val="00CC298A"/>
    <w:rsid w:val="00CC299F"/>
    <w:rsid w:val="00CC29BE"/>
    <w:rsid w:val="00CC29E7"/>
    <w:rsid w:val="00CC29F3"/>
    <w:rsid w:val="00CC29F4"/>
    <w:rsid w:val="00CC2A83"/>
    <w:rsid w:val="00CC2B47"/>
    <w:rsid w:val="00CC2BEF"/>
    <w:rsid w:val="00CC2BF4"/>
    <w:rsid w:val="00CC2C9A"/>
    <w:rsid w:val="00CC2CA5"/>
    <w:rsid w:val="00CC2CCE"/>
    <w:rsid w:val="00CC2DB5"/>
    <w:rsid w:val="00CC2EE2"/>
    <w:rsid w:val="00CC2F84"/>
    <w:rsid w:val="00CC3092"/>
    <w:rsid w:val="00CC30DA"/>
    <w:rsid w:val="00CC3236"/>
    <w:rsid w:val="00CC32BE"/>
    <w:rsid w:val="00CC33B2"/>
    <w:rsid w:val="00CC33D7"/>
    <w:rsid w:val="00CC34D4"/>
    <w:rsid w:val="00CC34EE"/>
    <w:rsid w:val="00CC355A"/>
    <w:rsid w:val="00CC35A5"/>
    <w:rsid w:val="00CC35DC"/>
    <w:rsid w:val="00CC3620"/>
    <w:rsid w:val="00CC3719"/>
    <w:rsid w:val="00CC38A8"/>
    <w:rsid w:val="00CC3927"/>
    <w:rsid w:val="00CC39BC"/>
    <w:rsid w:val="00CC39D8"/>
    <w:rsid w:val="00CC3A3C"/>
    <w:rsid w:val="00CC3A54"/>
    <w:rsid w:val="00CC3A6F"/>
    <w:rsid w:val="00CC3A7E"/>
    <w:rsid w:val="00CC3B58"/>
    <w:rsid w:val="00CC3B62"/>
    <w:rsid w:val="00CC3B88"/>
    <w:rsid w:val="00CC3BA6"/>
    <w:rsid w:val="00CC3C40"/>
    <w:rsid w:val="00CC3DBF"/>
    <w:rsid w:val="00CC3DE0"/>
    <w:rsid w:val="00CC3E31"/>
    <w:rsid w:val="00CC3E81"/>
    <w:rsid w:val="00CC3ED1"/>
    <w:rsid w:val="00CC3F58"/>
    <w:rsid w:val="00CC4145"/>
    <w:rsid w:val="00CC41B0"/>
    <w:rsid w:val="00CC41B5"/>
    <w:rsid w:val="00CC41C5"/>
    <w:rsid w:val="00CC42AF"/>
    <w:rsid w:val="00CC42D1"/>
    <w:rsid w:val="00CC436E"/>
    <w:rsid w:val="00CC4386"/>
    <w:rsid w:val="00CC43D9"/>
    <w:rsid w:val="00CC44B9"/>
    <w:rsid w:val="00CC4599"/>
    <w:rsid w:val="00CC469F"/>
    <w:rsid w:val="00CC475B"/>
    <w:rsid w:val="00CC4760"/>
    <w:rsid w:val="00CC4881"/>
    <w:rsid w:val="00CC4933"/>
    <w:rsid w:val="00CC493E"/>
    <w:rsid w:val="00CC493F"/>
    <w:rsid w:val="00CC4A37"/>
    <w:rsid w:val="00CC4A84"/>
    <w:rsid w:val="00CC4B0B"/>
    <w:rsid w:val="00CC4B76"/>
    <w:rsid w:val="00CC4B7D"/>
    <w:rsid w:val="00CC4BD8"/>
    <w:rsid w:val="00CC4C5C"/>
    <w:rsid w:val="00CC4CC6"/>
    <w:rsid w:val="00CC4E51"/>
    <w:rsid w:val="00CC4F5C"/>
    <w:rsid w:val="00CC4F93"/>
    <w:rsid w:val="00CC4FC0"/>
    <w:rsid w:val="00CC4FD8"/>
    <w:rsid w:val="00CC5111"/>
    <w:rsid w:val="00CC51B9"/>
    <w:rsid w:val="00CC5207"/>
    <w:rsid w:val="00CC520D"/>
    <w:rsid w:val="00CC52B1"/>
    <w:rsid w:val="00CC52D3"/>
    <w:rsid w:val="00CC5302"/>
    <w:rsid w:val="00CC5377"/>
    <w:rsid w:val="00CC53B8"/>
    <w:rsid w:val="00CC5470"/>
    <w:rsid w:val="00CC54E6"/>
    <w:rsid w:val="00CC5553"/>
    <w:rsid w:val="00CC5561"/>
    <w:rsid w:val="00CC55D2"/>
    <w:rsid w:val="00CC560A"/>
    <w:rsid w:val="00CC56CC"/>
    <w:rsid w:val="00CC5745"/>
    <w:rsid w:val="00CC57AC"/>
    <w:rsid w:val="00CC57B0"/>
    <w:rsid w:val="00CC5859"/>
    <w:rsid w:val="00CC592A"/>
    <w:rsid w:val="00CC5969"/>
    <w:rsid w:val="00CC59AE"/>
    <w:rsid w:val="00CC5A09"/>
    <w:rsid w:val="00CC5A20"/>
    <w:rsid w:val="00CC5A87"/>
    <w:rsid w:val="00CC5A95"/>
    <w:rsid w:val="00CC5AB2"/>
    <w:rsid w:val="00CC5B27"/>
    <w:rsid w:val="00CC5BBB"/>
    <w:rsid w:val="00CC5BE2"/>
    <w:rsid w:val="00CC5CE9"/>
    <w:rsid w:val="00CC5D73"/>
    <w:rsid w:val="00CC5EA0"/>
    <w:rsid w:val="00CC5EAC"/>
    <w:rsid w:val="00CC5EBD"/>
    <w:rsid w:val="00CC5F9C"/>
    <w:rsid w:val="00CC6004"/>
    <w:rsid w:val="00CC6009"/>
    <w:rsid w:val="00CC606D"/>
    <w:rsid w:val="00CC60AE"/>
    <w:rsid w:val="00CC6173"/>
    <w:rsid w:val="00CC6242"/>
    <w:rsid w:val="00CC6245"/>
    <w:rsid w:val="00CC6277"/>
    <w:rsid w:val="00CC6284"/>
    <w:rsid w:val="00CC62D0"/>
    <w:rsid w:val="00CC62F6"/>
    <w:rsid w:val="00CC6553"/>
    <w:rsid w:val="00CC6601"/>
    <w:rsid w:val="00CC660C"/>
    <w:rsid w:val="00CC664C"/>
    <w:rsid w:val="00CC6696"/>
    <w:rsid w:val="00CC66D8"/>
    <w:rsid w:val="00CC6740"/>
    <w:rsid w:val="00CC6830"/>
    <w:rsid w:val="00CC683F"/>
    <w:rsid w:val="00CC6903"/>
    <w:rsid w:val="00CC6924"/>
    <w:rsid w:val="00CC69A5"/>
    <w:rsid w:val="00CC6B41"/>
    <w:rsid w:val="00CC6B52"/>
    <w:rsid w:val="00CC6B77"/>
    <w:rsid w:val="00CC6C88"/>
    <w:rsid w:val="00CC6CCD"/>
    <w:rsid w:val="00CC6D0D"/>
    <w:rsid w:val="00CC6D57"/>
    <w:rsid w:val="00CC6D6C"/>
    <w:rsid w:val="00CC6F0F"/>
    <w:rsid w:val="00CC6F76"/>
    <w:rsid w:val="00CC6F88"/>
    <w:rsid w:val="00CC70B8"/>
    <w:rsid w:val="00CC720B"/>
    <w:rsid w:val="00CC7281"/>
    <w:rsid w:val="00CC7366"/>
    <w:rsid w:val="00CC736C"/>
    <w:rsid w:val="00CC73CE"/>
    <w:rsid w:val="00CC73DF"/>
    <w:rsid w:val="00CC73E9"/>
    <w:rsid w:val="00CC7408"/>
    <w:rsid w:val="00CC7470"/>
    <w:rsid w:val="00CC755D"/>
    <w:rsid w:val="00CC75B2"/>
    <w:rsid w:val="00CC75CC"/>
    <w:rsid w:val="00CC75DF"/>
    <w:rsid w:val="00CC75E5"/>
    <w:rsid w:val="00CC7613"/>
    <w:rsid w:val="00CC7657"/>
    <w:rsid w:val="00CC76DE"/>
    <w:rsid w:val="00CC7971"/>
    <w:rsid w:val="00CC7B3B"/>
    <w:rsid w:val="00CC7BE0"/>
    <w:rsid w:val="00CC7C19"/>
    <w:rsid w:val="00CC7C24"/>
    <w:rsid w:val="00CC7CCE"/>
    <w:rsid w:val="00CC7CD1"/>
    <w:rsid w:val="00CC7D76"/>
    <w:rsid w:val="00CC7DC6"/>
    <w:rsid w:val="00CC7F0F"/>
    <w:rsid w:val="00CD000E"/>
    <w:rsid w:val="00CD0115"/>
    <w:rsid w:val="00CD02D1"/>
    <w:rsid w:val="00CD0325"/>
    <w:rsid w:val="00CD0382"/>
    <w:rsid w:val="00CD0545"/>
    <w:rsid w:val="00CD062A"/>
    <w:rsid w:val="00CD0648"/>
    <w:rsid w:val="00CD06A5"/>
    <w:rsid w:val="00CD0729"/>
    <w:rsid w:val="00CD07B0"/>
    <w:rsid w:val="00CD08FE"/>
    <w:rsid w:val="00CD0910"/>
    <w:rsid w:val="00CD0936"/>
    <w:rsid w:val="00CD0957"/>
    <w:rsid w:val="00CD09E5"/>
    <w:rsid w:val="00CD0A0C"/>
    <w:rsid w:val="00CD0A37"/>
    <w:rsid w:val="00CD0A63"/>
    <w:rsid w:val="00CD0A6B"/>
    <w:rsid w:val="00CD0AFB"/>
    <w:rsid w:val="00CD0BC4"/>
    <w:rsid w:val="00CD0BF5"/>
    <w:rsid w:val="00CD0C6A"/>
    <w:rsid w:val="00CD0CFC"/>
    <w:rsid w:val="00CD0D1C"/>
    <w:rsid w:val="00CD0D47"/>
    <w:rsid w:val="00CD0E5A"/>
    <w:rsid w:val="00CD0EB5"/>
    <w:rsid w:val="00CD0F24"/>
    <w:rsid w:val="00CD0FB5"/>
    <w:rsid w:val="00CD0FE3"/>
    <w:rsid w:val="00CD0FEE"/>
    <w:rsid w:val="00CD1032"/>
    <w:rsid w:val="00CD1073"/>
    <w:rsid w:val="00CD10D0"/>
    <w:rsid w:val="00CD110A"/>
    <w:rsid w:val="00CD1139"/>
    <w:rsid w:val="00CD1184"/>
    <w:rsid w:val="00CD1191"/>
    <w:rsid w:val="00CD126E"/>
    <w:rsid w:val="00CD12A4"/>
    <w:rsid w:val="00CD1322"/>
    <w:rsid w:val="00CD1344"/>
    <w:rsid w:val="00CD138B"/>
    <w:rsid w:val="00CD13AF"/>
    <w:rsid w:val="00CD156D"/>
    <w:rsid w:val="00CD1726"/>
    <w:rsid w:val="00CD176C"/>
    <w:rsid w:val="00CD17B4"/>
    <w:rsid w:val="00CD17C4"/>
    <w:rsid w:val="00CD17EA"/>
    <w:rsid w:val="00CD1802"/>
    <w:rsid w:val="00CD187E"/>
    <w:rsid w:val="00CD18E0"/>
    <w:rsid w:val="00CD18FA"/>
    <w:rsid w:val="00CD19E6"/>
    <w:rsid w:val="00CD1A22"/>
    <w:rsid w:val="00CD1A59"/>
    <w:rsid w:val="00CD1A91"/>
    <w:rsid w:val="00CD1AF7"/>
    <w:rsid w:val="00CD1B1B"/>
    <w:rsid w:val="00CD1B23"/>
    <w:rsid w:val="00CD1B47"/>
    <w:rsid w:val="00CD1CF8"/>
    <w:rsid w:val="00CD1D01"/>
    <w:rsid w:val="00CD1EAD"/>
    <w:rsid w:val="00CD1F0A"/>
    <w:rsid w:val="00CD1FB5"/>
    <w:rsid w:val="00CD20B2"/>
    <w:rsid w:val="00CD20C0"/>
    <w:rsid w:val="00CD220B"/>
    <w:rsid w:val="00CD221D"/>
    <w:rsid w:val="00CD223C"/>
    <w:rsid w:val="00CD2265"/>
    <w:rsid w:val="00CD2292"/>
    <w:rsid w:val="00CD2392"/>
    <w:rsid w:val="00CD23C7"/>
    <w:rsid w:val="00CD23ED"/>
    <w:rsid w:val="00CD23F7"/>
    <w:rsid w:val="00CD249C"/>
    <w:rsid w:val="00CD24D0"/>
    <w:rsid w:val="00CD24DA"/>
    <w:rsid w:val="00CD2585"/>
    <w:rsid w:val="00CD25BA"/>
    <w:rsid w:val="00CD2603"/>
    <w:rsid w:val="00CD2680"/>
    <w:rsid w:val="00CD2743"/>
    <w:rsid w:val="00CD275D"/>
    <w:rsid w:val="00CD27AB"/>
    <w:rsid w:val="00CD27CE"/>
    <w:rsid w:val="00CD288A"/>
    <w:rsid w:val="00CD28FF"/>
    <w:rsid w:val="00CD292A"/>
    <w:rsid w:val="00CD2975"/>
    <w:rsid w:val="00CD2990"/>
    <w:rsid w:val="00CD2A37"/>
    <w:rsid w:val="00CD2A7D"/>
    <w:rsid w:val="00CD2ACD"/>
    <w:rsid w:val="00CD2BF2"/>
    <w:rsid w:val="00CD2C54"/>
    <w:rsid w:val="00CD2C6D"/>
    <w:rsid w:val="00CD2CD4"/>
    <w:rsid w:val="00CD2E54"/>
    <w:rsid w:val="00CD2F65"/>
    <w:rsid w:val="00CD2FEA"/>
    <w:rsid w:val="00CD2FF3"/>
    <w:rsid w:val="00CD3030"/>
    <w:rsid w:val="00CD3064"/>
    <w:rsid w:val="00CD3089"/>
    <w:rsid w:val="00CD30BB"/>
    <w:rsid w:val="00CD3156"/>
    <w:rsid w:val="00CD31FF"/>
    <w:rsid w:val="00CD3254"/>
    <w:rsid w:val="00CD32EA"/>
    <w:rsid w:val="00CD345E"/>
    <w:rsid w:val="00CD34E6"/>
    <w:rsid w:val="00CD34FA"/>
    <w:rsid w:val="00CD3621"/>
    <w:rsid w:val="00CD3758"/>
    <w:rsid w:val="00CD3777"/>
    <w:rsid w:val="00CD37E7"/>
    <w:rsid w:val="00CD3A43"/>
    <w:rsid w:val="00CD3A44"/>
    <w:rsid w:val="00CD3B3F"/>
    <w:rsid w:val="00CD3B58"/>
    <w:rsid w:val="00CD3C19"/>
    <w:rsid w:val="00CD3DB0"/>
    <w:rsid w:val="00CD3F57"/>
    <w:rsid w:val="00CD4001"/>
    <w:rsid w:val="00CD40DC"/>
    <w:rsid w:val="00CD40E8"/>
    <w:rsid w:val="00CD4154"/>
    <w:rsid w:val="00CD42CA"/>
    <w:rsid w:val="00CD42F5"/>
    <w:rsid w:val="00CD4310"/>
    <w:rsid w:val="00CD4342"/>
    <w:rsid w:val="00CD43B1"/>
    <w:rsid w:val="00CD43B7"/>
    <w:rsid w:val="00CD444C"/>
    <w:rsid w:val="00CD4464"/>
    <w:rsid w:val="00CD453D"/>
    <w:rsid w:val="00CD4608"/>
    <w:rsid w:val="00CD4695"/>
    <w:rsid w:val="00CD46D7"/>
    <w:rsid w:val="00CD46F6"/>
    <w:rsid w:val="00CD47D9"/>
    <w:rsid w:val="00CD4853"/>
    <w:rsid w:val="00CD4895"/>
    <w:rsid w:val="00CD4929"/>
    <w:rsid w:val="00CD4A3B"/>
    <w:rsid w:val="00CD4AA0"/>
    <w:rsid w:val="00CD4AE0"/>
    <w:rsid w:val="00CD4B29"/>
    <w:rsid w:val="00CD4B86"/>
    <w:rsid w:val="00CD4B8A"/>
    <w:rsid w:val="00CD4BA4"/>
    <w:rsid w:val="00CD4D5F"/>
    <w:rsid w:val="00CD4ED8"/>
    <w:rsid w:val="00CD4EE4"/>
    <w:rsid w:val="00CD4F14"/>
    <w:rsid w:val="00CD4F27"/>
    <w:rsid w:val="00CD4FCC"/>
    <w:rsid w:val="00CD5064"/>
    <w:rsid w:val="00CD51D2"/>
    <w:rsid w:val="00CD5293"/>
    <w:rsid w:val="00CD52D2"/>
    <w:rsid w:val="00CD5317"/>
    <w:rsid w:val="00CD5392"/>
    <w:rsid w:val="00CD55FD"/>
    <w:rsid w:val="00CD5734"/>
    <w:rsid w:val="00CD57CA"/>
    <w:rsid w:val="00CD594D"/>
    <w:rsid w:val="00CD5952"/>
    <w:rsid w:val="00CD5A0A"/>
    <w:rsid w:val="00CD5A72"/>
    <w:rsid w:val="00CD5A89"/>
    <w:rsid w:val="00CD5BE9"/>
    <w:rsid w:val="00CD5DD7"/>
    <w:rsid w:val="00CD5E1E"/>
    <w:rsid w:val="00CD5E23"/>
    <w:rsid w:val="00CD5EB1"/>
    <w:rsid w:val="00CD5F2B"/>
    <w:rsid w:val="00CD5F9F"/>
    <w:rsid w:val="00CD5FC4"/>
    <w:rsid w:val="00CD607B"/>
    <w:rsid w:val="00CD607D"/>
    <w:rsid w:val="00CD60BE"/>
    <w:rsid w:val="00CD60CB"/>
    <w:rsid w:val="00CD6193"/>
    <w:rsid w:val="00CD61B3"/>
    <w:rsid w:val="00CD61B7"/>
    <w:rsid w:val="00CD636A"/>
    <w:rsid w:val="00CD642C"/>
    <w:rsid w:val="00CD6461"/>
    <w:rsid w:val="00CD64E7"/>
    <w:rsid w:val="00CD6500"/>
    <w:rsid w:val="00CD6526"/>
    <w:rsid w:val="00CD65BA"/>
    <w:rsid w:val="00CD6625"/>
    <w:rsid w:val="00CD666E"/>
    <w:rsid w:val="00CD6796"/>
    <w:rsid w:val="00CD67DE"/>
    <w:rsid w:val="00CD69FC"/>
    <w:rsid w:val="00CD6A07"/>
    <w:rsid w:val="00CD6AB9"/>
    <w:rsid w:val="00CD6ADD"/>
    <w:rsid w:val="00CD6BB1"/>
    <w:rsid w:val="00CD6C5E"/>
    <w:rsid w:val="00CD6D5C"/>
    <w:rsid w:val="00CD6DBC"/>
    <w:rsid w:val="00CD6E10"/>
    <w:rsid w:val="00CD6E6B"/>
    <w:rsid w:val="00CD6E75"/>
    <w:rsid w:val="00CD6F38"/>
    <w:rsid w:val="00CD7057"/>
    <w:rsid w:val="00CD7069"/>
    <w:rsid w:val="00CD70E3"/>
    <w:rsid w:val="00CD70FC"/>
    <w:rsid w:val="00CD7115"/>
    <w:rsid w:val="00CD7268"/>
    <w:rsid w:val="00CD7360"/>
    <w:rsid w:val="00CD7371"/>
    <w:rsid w:val="00CD7378"/>
    <w:rsid w:val="00CD7389"/>
    <w:rsid w:val="00CD73BD"/>
    <w:rsid w:val="00CD7501"/>
    <w:rsid w:val="00CD755F"/>
    <w:rsid w:val="00CD767D"/>
    <w:rsid w:val="00CD7869"/>
    <w:rsid w:val="00CD78D3"/>
    <w:rsid w:val="00CD793B"/>
    <w:rsid w:val="00CD7962"/>
    <w:rsid w:val="00CD7967"/>
    <w:rsid w:val="00CD79AA"/>
    <w:rsid w:val="00CD7A10"/>
    <w:rsid w:val="00CD7AB2"/>
    <w:rsid w:val="00CD7C52"/>
    <w:rsid w:val="00CD7C80"/>
    <w:rsid w:val="00CD7E5D"/>
    <w:rsid w:val="00CE003F"/>
    <w:rsid w:val="00CE016C"/>
    <w:rsid w:val="00CE043E"/>
    <w:rsid w:val="00CE0559"/>
    <w:rsid w:val="00CE062D"/>
    <w:rsid w:val="00CE06C1"/>
    <w:rsid w:val="00CE077E"/>
    <w:rsid w:val="00CE079E"/>
    <w:rsid w:val="00CE07B3"/>
    <w:rsid w:val="00CE0927"/>
    <w:rsid w:val="00CE0961"/>
    <w:rsid w:val="00CE09EC"/>
    <w:rsid w:val="00CE0A27"/>
    <w:rsid w:val="00CE0AF4"/>
    <w:rsid w:val="00CE0B10"/>
    <w:rsid w:val="00CE0BCB"/>
    <w:rsid w:val="00CE0C67"/>
    <w:rsid w:val="00CE0C90"/>
    <w:rsid w:val="00CE0CCE"/>
    <w:rsid w:val="00CE0D0A"/>
    <w:rsid w:val="00CE0DA8"/>
    <w:rsid w:val="00CE0E29"/>
    <w:rsid w:val="00CE0E95"/>
    <w:rsid w:val="00CE0EBF"/>
    <w:rsid w:val="00CE0F31"/>
    <w:rsid w:val="00CE0F97"/>
    <w:rsid w:val="00CE0FB1"/>
    <w:rsid w:val="00CE1006"/>
    <w:rsid w:val="00CE1015"/>
    <w:rsid w:val="00CE1105"/>
    <w:rsid w:val="00CE1147"/>
    <w:rsid w:val="00CE1264"/>
    <w:rsid w:val="00CE12A1"/>
    <w:rsid w:val="00CE135C"/>
    <w:rsid w:val="00CE157A"/>
    <w:rsid w:val="00CE15B8"/>
    <w:rsid w:val="00CE15B9"/>
    <w:rsid w:val="00CE15DF"/>
    <w:rsid w:val="00CE169E"/>
    <w:rsid w:val="00CE173E"/>
    <w:rsid w:val="00CE18E2"/>
    <w:rsid w:val="00CE195D"/>
    <w:rsid w:val="00CE1969"/>
    <w:rsid w:val="00CE1996"/>
    <w:rsid w:val="00CE1AA6"/>
    <w:rsid w:val="00CE1AFD"/>
    <w:rsid w:val="00CE1B67"/>
    <w:rsid w:val="00CE1B85"/>
    <w:rsid w:val="00CE1BB3"/>
    <w:rsid w:val="00CE1C50"/>
    <w:rsid w:val="00CE1C5C"/>
    <w:rsid w:val="00CE1D38"/>
    <w:rsid w:val="00CE1D6E"/>
    <w:rsid w:val="00CE1E28"/>
    <w:rsid w:val="00CE1E8B"/>
    <w:rsid w:val="00CE1FB0"/>
    <w:rsid w:val="00CE1FC5"/>
    <w:rsid w:val="00CE208A"/>
    <w:rsid w:val="00CE214D"/>
    <w:rsid w:val="00CE219D"/>
    <w:rsid w:val="00CE225C"/>
    <w:rsid w:val="00CE22D5"/>
    <w:rsid w:val="00CE243A"/>
    <w:rsid w:val="00CE24B2"/>
    <w:rsid w:val="00CE2501"/>
    <w:rsid w:val="00CE25CC"/>
    <w:rsid w:val="00CE25E6"/>
    <w:rsid w:val="00CE260F"/>
    <w:rsid w:val="00CE26ED"/>
    <w:rsid w:val="00CE28B4"/>
    <w:rsid w:val="00CE28F7"/>
    <w:rsid w:val="00CE29C7"/>
    <w:rsid w:val="00CE2A09"/>
    <w:rsid w:val="00CE2A17"/>
    <w:rsid w:val="00CE2AEE"/>
    <w:rsid w:val="00CE2BC3"/>
    <w:rsid w:val="00CE2BFD"/>
    <w:rsid w:val="00CE2C94"/>
    <w:rsid w:val="00CE2DF1"/>
    <w:rsid w:val="00CE2E66"/>
    <w:rsid w:val="00CE2EFF"/>
    <w:rsid w:val="00CE2F4B"/>
    <w:rsid w:val="00CE2F69"/>
    <w:rsid w:val="00CE2F8C"/>
    <w:rsid w:val="00CE301E"/>
    <w:rsid w:val="00CE307D"/>
    <w:rsid w:val="00CE314E"/>
    <w:rsid w:val="00CE3150"/>
    <w:rsid w:val="00CE3176"/>
    <w:rsid w:val="00CE3285"/>
    <w:rsid w:val="00CE3355"/>
    <w:rsid w:val="00CE33B7"/>
    <w:rsid w:val="00CE33BE"/>
    <w:rsid w:val="00CE33D5"/>
    <w:rsid w:val="00CE347A"/>
    <w:rsid w:val="00CE35FB"/>
    <w:rsid w:val="00CE3714"/>
    <w:rsid w:val="00CE374F"/>
    <w:rsid w:val="00CE3770"/>
    <w:rsid w:val="00CE37E4"/>
    <w:rsid w:val="00CE3A34"/>
    <w:rsid w:val="00CE3AA2"/>
    <w:rsid w:val="00CE3AAF"/>
    <w:rsid w:val="00CE3C22"/>
    <w:rsid w:val="00CE3C50"/>
    <w:rsid w:val="00CE3C82"/>
    <w:rsid w:val="00CE3C83"/>
    <w:rsid w:val="00CE3CFF"/>
    <w:rsid w:val="00CE3D02"/>
    <w:rsid w:val="00CE3DDB"/>
    <w:rsid w:val="00CE3F11"/>
    <w:rsid w:val="00CE3F27"/>
    <w:rsid w:val="00CE3F86"/>
    <w:rsid w:val="00CE3FA8"/>
    <w:rsid w:val="00CE3FAD"/>
    <w:rsid w:val="00CE3FF6"/>
    <w:rsid w:val="00CE4079"/>
    <w:rsid w:val="00CE41DC"/>
    <w:rsid w:val="00CE41FC"/>
    <w:rsid w:val="00CE431E"/>
    <w:rsid w:val="00CE43E0"/>
    <w:rsid w:val="00CE4467"/>
    <w:rsid w:val="00CE4477"/>
    <w:rsid w:val="00CE44EA"/>
    <w:rsid w:val="00CE46B9"/>
    <w:rsid w:val="00CE47D6"/>
    <w:rsid w:val="00CE4848"/>
    <w:rsid w:val="00CE4924"/>
    <w:rsid w:val="00CE4A4B"/>
    <w:rsid w:val="00CE4A9B"/>
    <w:rsid w:val="00CE4BB7"/>
    <w:rsid w:val="00CE4C06"/>
    <w:rsid w:val="00CE4C10"/>
    <w:rsid w:val="00CE4C22"/>
    <w:rsid w:val="00CE4CE1"/>
    <w:rsid w:val="00CE4DCB"/>
    <w:rsid w:val="00CE4DCF"/>
    <w:rsid w:val="00CE4DFE"/>
    <w:rsid w:val="00CE4E00"/>
    <w:rsid w:val="00CE4E09"/>
    <w:rsid w:val="00CE4F0F"/>
    <w:rsid w:val="00CE4F59"/>
    <w:rsid w:val="00CE4FB1"/>
    <w:rsid w:val="00CE5049"/>
    <w:rsid w:val="00CE509C"/>
    <w:rsid w:val="00CE50FE"/>
    <w:rsid w:val="00CE511E"/>
    <w:rsid w:val="00CE517A"/>
    <w:rsid w:val="00CE51FC"/>
    <w:rsid w:val="00CE5238"/>
    <w:rsid w:val="00CE52F1"/>
    <w:rsid w:val="00CE53DA"/>
    <w:rsid w:val="00CE5430"/>
    <w:rsid w:val="00CE54A2"/>
    <w:rsid w:val="00CE54BC"/>
    <w:rsid w:val="00CE5696"/>
    <w:rsid w:val="00CE56BE"/>
    <w:rsid w:val="00CE5715"/>
    <w:rsid w:val="00CE5807"/>
    <w:rsid w:val="00CE58BB"/>
    <w:rsid w:val="00CE58D7"/>
    <w:rsid w:val="00CE59C1"/>
    <w:rsid w:val="00CE5BC7"/>
    <w:rsid w:val="00CE5D31"/>
    <w:rsid w:val="00CE5D40"/>
    <w:rsid w:val="00CE5DCB"/>
    <w:rsid w:val="00CE5FF1"/>
    <w:rsid w:val="00CE6084"/>
    <w:rsid w:val="00CE61D2"/>
    <w:rsid w:val="00CE61EC"/>
    <w:rsid w:val="00CE6205"/>
    <w:rsid w:val="00CE6313"/>
    <w:rsid w:val="00CE63B7"/>
    <w:rsid w:val="00CE63C5"/>
    <w:rsid w:val="00CE6465"/>
    <w:rsid w:val="00CE64A1"/>
    <w:rsid w:val="00CE655B"/>
    <w:rsid w:val="00CE6737"/>
    <w:rsid w:val="00CE6750"/>
    <w:rsid w:val="00CE6772"/>
    <w:rsid w:val="00CE6820"/>
    <w:rsid w:val="00CE6840"/>
    <w:rsid w:val="00CE6871"/>
    <w:rsid w:val="00CE688E"/>
    <w:rsid w:val="00CE6937"/>
    <w:rsid w:val="00CE69C4"/>
    <w:rsid w:val="00CE6A43"/>
    <w:rsid w:val="00CE6A4F"/>
    <w:rsid w:val="00CE6A94"/>
    <w:rsid w:val="00CE6AC4"/>
    <w:rsid w:val="00CE6ACA"/>
    <w:rsid w:val="00CE6BFE"/>
    <w:rsid w:val="00CE6C85"/>
    <w:rsid w:val="00CE6C86"/>
    <w:rsid w:val="00CE6C8C"/>
    <w:rsid w:val="00CE6EEE"/>
    <w:rsid w:val="00CE7007"/>
    <w:rsid w:val="00CE705C"/>
    <w:rsid w:val="00CE707D"/>
    <w:rsid w:val="00CE710E"/>
    <w:rsid w:val="00CE7117"/>
    <w:rsid w:val="00CE729A"/>
    <w:rsid w:val="00CE72D0"/>
    <w:rsid w:val="00CE731F"/>
    <w:rsid w:val="00CE73CF"/>
    <w:rsid w:val="00CE73F8"/>
    <w:rsid w:val="00CE742C"/>
    <w:rsid w:val="00CE752A"/>
    <w:rsid w:val="00CE756F"/>
    <w:rsid w:val="00CE7584"/>
    <w:rsid w:val="00CE75EC"/>
    <w:rsid w:val="00CE771C"/>
    <w:rsid w:val="00CE7726"/>
    <w:rsid w:val="00CE7745"/>
    <w:rsid w:val="00CE784E"/>
    <w:rsid w:val="00CE787F"/>
    <w:rsid w:val="00CE78A5"/>
    <w:rsid w:val="00CE78C9"/>
    <w:rsid w:val="00CE7910"/>
    <w:rsid w:val="00CE7937"/>
    <w:rsid w:val="00CE7B3B"/>
    <w:rsid w:val="00CE7B46"/>
    <w:rsid w:val="00CE7CEC"/>
    <w:rsid w:val="00CE7E4C"/>
    <w:rsid w:val="00CE7EA9"/>
    <w:rsid w:val="00CE7EC5"/>
    <w:rsid w:val="00CE7EE8"/>
    <w:rsid w:val="00CE7EF4"/>
    <w:rsid w:val="00CF0192"/>
    <w:rsid w:val="00CF01E1"/>
    <w:rsid w:val="00CF0266"/>
    <w:rsid w:val="00CF028D"/>
    <w:rsid w:val="00CF042A"/>
    <w:rsid w:val="00CF0500"/>
    <w:rsid w:val="00CF05AF"/>
    <w:rsid w:val="00CF06F9"/>
    <w:rsid w:val="00CF07CD"/>
    <w:rsid w:val="00CF07E5"/>
    <w:rsid w:val="00CF08F9"/>
    <w:rsid w:val="00CF091F"/>
    <w:rsid w:val="00CF0A02"/>
    <w:rsid w:val="00CF0A83"/>
    <w:rsid w:val="00CF0AA3"/>
    <w:rsid w:val="00CF0CB3"/>
    <w:rsid w:val="00CF0DF9"/>
    <w:rsid w:val="00CF0FFC"/>
    <w:rsid w:val="00CF1025"/>
    <w:rsid w:val="00CF1066"/>
    <w:rsid w:val="00CF10CA"/>
    <w:rsid w:val="00CF1389"/>
    <w:rsid w:val="00CF13A3"/>
    <w:rsid w:val="00CF13BC"/>
    <w:rsid w:val="00CF13EC"/>
    <w:rsid w:val="00CF141A"/>
    <w:rsid w:val="00CF14E0"/>
    <w:rsid w:val="00CF155F"/>
    <w:rsid w:val="00CF1590"/>
    <w:rsid w:val="00CF15A9"/>
    <w:rsid w:val="00CF1604"/>
    <w:rsid w:val="00CF1621"/>
    <w:rsid w:val="00CF1634"/>
    <w:rsid w:val="00CF16BE"/>
    <w:rsid w:val="00CF175B"/>
    <w:rsid w:val="00CF18A3"/>
    <w:rsid w:val="00CF18DF"/>
    <w:rsid w:val="00CF19D1"/>
    <w:rsid w:val="00CF19DF"/>
    <w:rsid w:val="00CF19FA"/>
    <w:rsid w:val="00CF1A2C"/>
    <w:rsid w:val="00CF1B0D"/>
    <w:rsid w:val="00CF1CBC"/>
    <w:rsid w:val="00CF1CBE"/>
    <w:rsid w:val="00CF1CC7"/>
    <w:rsid w:val="00CF1CC8"/>
    <w:rsid w:val="00CF1CE8"/>
    <w:rsid w:val="00CF1CFE"/>
    <w:rsid w:val="00CF1D89"/>
    <w:rsid w:val="00CF1DA7"/>
    <w:rsid w:val="00CF1E19"/>
    <w:rsid w:val="00CF1EAF"/>
    <w:rsid w:val="00CF1EBB"/>
    <w:rsid w:val="00CF1EED"/>
    <w:rsid w:val="00CF2152"/>
    <w:rsid w:val="00CF21AC"/>
    <w:rsid w:val="00CF231C"/>
    <w:rsid w:val="00CF2334"/>
    <w:rsid w:val="00CF23AB"/>
    <w:rsid w:val="00CF241C"/>
    <w:rsid w:val="00CF244B"/>
    <w:rsid w:val="00CF24F5"/>
    <w:rsid w:val="00CF24F9"/>
    <w:rsid w:val="00CF252E"/>
    <w:rsid w:val="00CF2586"/>
    <w:rsid w:val="00CF266D"/>
    <w:rsid w:val="00CF270D"/>
    <w:rsid w:val="00CF2720"/>
    <w:rsid w:val="00CF2731"/>
    <w:rsid w:val="00CF279F"/>
    <w:rsid w:val="00CF28C7"/>
    <w:rsid w:val="00CF2922"/>
    <w:rsid w:val="00CF29D9"/>
    <w:rsid w:val="00CF2A37"/>
    <w:rsid w:val="00CF2AB7"/>
    <w:rsid w:val="00CF2ADA"/>
    <w:rsid w:val="00CF2AE4"/>
    <w:rsid w:val="00CF2B15"/>
    <w:rsid w:val="00CF2CCD"/>
    <w:rsid w:val="00CF2DA1"/>
    <w:rsid w:val="00CF2DEA"/>
    <w:rsid w:val="00CF2DF6"/>
    <w:rsid w:val="00CF2E94"/>
    <w:rsid w:val="00CF2EA1"/>
    <w:rsid w:val="00CF2EC4"/>
    <w:rsid w:val="00CF2FB2"/>
    <w:rsid w:val="00CF3074"/>
    <w:rsid w:val="00CF3168"/>
    <w:rsid w:val="00CF3186"/>
    <w:rsid w:val="00CF3195"/>
    <w:rsid w:val="00CF31F0"/>
    <w:rsid w:val="00CF323F"/>
    <w:rsid w:val="00CF32A1"/>
    <w:rsid w:val="00CF332B"/>
    <w:rsid w:val="00CF336F"/>
    <w:rsid w:val="00CF3392"/>
    <w:rsid w:val="00CF344D"/>
    <w:rsid w:val="00CF3479"/>
    <w:rsid w:val="00CF3484"/>
    <w:rsid w:val="00CF35C8"/>
    <w:rsid w:val="00CF36D2"/>
    <w:rsid w:val="00CF36FA"/>
    <w:rsid w:val="00CF3724"/>
    <w:rsid w:val="00CF37D4"/>
    <w:rsid w:val="00CF37F9"/>
    <w:rsid w:val="00CF3896"/>
    <w:rsid w:val="00CF3970"/>
    <w:rsid w:val="00CF3AEF"/>
    <w:rsid w:val="00CF3B11"/>
    <w:rsid w:val="00CF3B7A"/>
    <w:rsid w:val="00CF3C0D"/>
    <w:rsid w:val="00CF3D67"/>
    <w:rsid w:val="00CF3D99"/>
    <w:rsid w:val="00CF3DD0"/>
    <w:rsid w:val="00CF3E4C"/>
    <w:rsid w:val="00CF3F46"/>
    <w:rsid w:val="00CF4011"/>
    <w:rsid w:val="00CF4031"/>
    <w:rsid w:val="00CF406E"/>
    <w:rsid w:val="00CF4091"/>
    <w:rsid w:val="00CF4152"/>
    <w:rsid w:val="00CF41D1"/>
    <w:rsid w:val="00CF41F8"/>
    <w:rsid w:val="00CF420B"/>
    <w:rsid w:val="00CF4211"/>
    <w:rsid w:val="00CF423E"/>
    <w:rsid w:val="00CF42D0"/>
    <w:rsid w:val="00CF4478"/>
    <w:rsid w:val="00CF447A"/>
    <w:rsid w:val="00CF44DE"/>
    <w:rsid w:val="00CF454E"/>
    <w:rsid w:val="00CF46AE"/>
    <w:rsid w:val="00CF4742"/>
    <w:rsid w:val="00CF47D8"/>
    <w:rsid w:val="00CF47E8"/>
    <w:rsid w:val="00CF49E9"/>
    <w:rsid w:val="00CF49EE"/>
    <w:rsid w:val="00CF4A50"/>
    <w:rsid w:val="00CF4AEB"/>
    <w:rsid w:val="00CF4C04"/>
    <w:rsid w:val="00CF4C0C"/>
    <w:rsid w:val="00CF4C18"/>
    <w:rsid w:val="00CF4C8E"/>
    <w:rsid w:val="00CF4D2E"/>
    <w:rsid w:val="00CF4D32"/>
    <w:rsid w:val="00CF4EBC"/>
    <w:rsid w:val="00CF4ED6"/>
    <w:rsid w:val="00CF4FA7"/>
    <w:rsid w:val="00CF4FF2"/>
    <w:rsid w:val="00CF5081"/>
    <w:rsid w:val="00CF515B"/>
    <w:rsid w:val="00CF5205"/>
    <w:rsid w:val="00CF5213"/>
    <w:rsid w:val="00CF5226"/>
    <w:rsid w:val="00CF52AC"/>
    <w:rsid w:val="00CF52CA"/>
    <w:rsid w:val="00CF5320"/>
    <w:rsid w:val="00CF5332"/>
    <w:rsid w:val="00CF538F"/>
    <w:rsid w:val="00CF539C"/>
    <w:rsid w:val="00CF53C7"/>
    <w:rsid w:val="00CF5434"/>
    <w:rsid w:val="00CF543A"/>
    <w:rsid w:val="00CF5775"/>
    <w:rsid w:val="00CF5797"/>
    <w:rsid w:val="00CF579A"/>
    <w:rsid w:val="00CF58B0"/>
    <w:rsid w:val="00CF58F7"/>
    <w:rsid w:val="00CF5A16"/>
    <w:rsid w:val="00CF5A51"/>
    <w:rsid w:val="00CF5A8C"/>
    <w:rsid w:val="00CF5AB8"/>
    <w:rsid w:val="00CF5AFB"/>
    <w:rsid w:val="00CF5C04"/>
    <w:rsid w:val="00CF5C2C"/>
    <w:rsid w:val="00CF5CC1"/>
    <w:rsid w:val="00CF5D1E"/>
    <w:rsid w:val="00CF5D6D"/>
    <w:rsid w:val="00CF5DB9"/>
    <w:rsid w:val="00CF5DF5"/>
    <w:rsid w:val="00CF5ECE"/>
    <w:rsid w:val="00CF5F00"/>
    <w:rsid w:val="00CF5F2D"/>
    <w:rsid w:val="00CF602E"/>
    <w:rsid w:val="00CF60FF"/>
    <w:rsid w:val="00CF6153"/>
    <w:rsid w:val="00CF6292"/>
    <w:rsid w:val="00CF6296"/>
    <w:rsid w:val="00CF63A4"/>
    <w:rsid w:val="00CF63D3"/>
    <w:rsid w:val="00CF6400"/>
    <w:rsid w:val="00CF64AD"/>
    <w:rsid w:val="00CF64B1"/>
    <w:rsid w:val="00CF64D5"/>
    <w:rsid w:val="00CF652A"/>
    <w:rsid w:val="00CF6623"/>
    <w:rsid w:val="00CF664C"/>
    <w:rsid w:val="00CF6667"/>
    <w:rsid w:val="00CF672B"/>
    <w:rsid w:val="00CF679B"/>
    <w:rsid w:val="00CF694E"/>
    <w:rsid w:val="00CF69F9"/>
    <w:rsid w:val="00CF6AED"/>
    <w:rsid w:val="00CF6B39"/>
    <w:rsid w:val="00CF6B3C"/>
    <w:rsid w:val="00CF6B47"/>
    <w:rsid w:val="00CF6BD3"/>
    <w:rsid w:val="00CF6BEC"/>
    <w:rsid w:val="00CF6C0C"/>
    <w:rsid w:val="00CF6C14"/>
    <w:rsid w:val="00CF6D22"/>
    <w:rsid w:val="00CF6DBB"/>
    <w:rsid w:val="00CF6DE1"/>
    <w:rsid w:val="00CF6E1A"/>
    <w:rsid w:val="00CF6E53"/>
    <w:rsid w:val="00CF6E5F"/>
    <w:rsid w:val="00CF6E71"/>
    <w:rsid w:val="00CF6EAB"/>
    <w:rsid w:val="00CF6EB4"/>
    <w:rsid w:val="00CF6EDD"/>
    <w:rsid w:val="00CF6FD8"/>
    <w:rsid w:val="00CF7038"/>
    <w:rsid w:val="00CF70DA"/>
    <w:rsid w:val="00CF710C"/>
    <w:rsid w:val="00CF71B8"/>
    <w:rsid w:val="00CF732E"/>
    <w:rsid w:val="00CF7370"/>
    <w:rsid w:val="00CF73E3"/>
    <w:rsid w:val="00CF744E"/>
    <w:rsid w:val="00CF746A"/>
    <w:rsid w:val="00CF7493"/>
    <w:rsid w:val="00CF74A9"/>
    <w:rsid w:val="00CF74EA"/>
    <w:rsid w:val="00CF7503"/>
    <w:rsid w:val="00CF7752"/>
    <w:rsid w:val="00CF77D6"/>
    <w:rsid w:val="00CF7811"/>
    <w:rsid w:val="00CF7850"/>
    <w:rsid w:val="00CF7852"/>
    <w:rsid w:val="00CF7950"/>
    <w:rsid w:val="00CF7954"/>
    <w:rsid w:val="00CF797C"/>
    <w:rsid w:val="00CF7A08"/>
    <w:rsid w:val="00CF7A88"/>
    <w:rsid w:val="00CF7ACD"/>
    <w:rsid w:val="00CF7AED"/>
    <w:rsid w:val="00CF7B25"/>
    <w:rsid w:val="00CF7BD2"/>
    <w:rsid w:val="00CF7DD3"/>
    <w:rsid w:val="00CF7E2E"/>
    <w:rsid w:val="00CF7EFB"/>
    <w:rsid w:val="00CF7F1A"/>
    <w:rsid w:val="00D000A8"/>
    <w:rsid w:val="00D0010F"/>
    <w:rsid w:val="00D001C9"/>
    <w:rsid w:val="00D00201"/>
    <w:rsid w:val="00D0024A"/>
    <w:rsid w:val="00D002D0"/>
    <w:rsid w:val="00D002ED"/>
    <w:rsid w:val="00D0056B"/>
    <w:rsid w:val="00D005D4"/>
    <w:rsid w:val="00D0063A"/>
    <w:rsid w:val="00D00744"/>
    <w:rsid w:val="00D007ED"/>
    <w:rsid w:val="00D00892"/>
    <w:rsid w:val="00D00924"/>
    <w:rsid w:val="00D00A05"/>
    <w:rsid w:val="00D00A36"/>
    <w:rsid w:val="00D00B6C"/>
    <w:rsid w:val="00D00BAA"/>
    <w:rsid w:val="00D00C85"/>
    <w:rsid w:val="00D00CF1"/>
    <w:rsid w:val="00D00EBA"/>
    <w:rsid w:val="00D00FFB"/>
    <w:rsid w:val="00D0103F"/>
    <w:rsid w:val="00D0106A"/>
    <w:rsid w:val="00D010C0"/>
    <w:rsid w:val="00D010C1"/>
    <w:rsid w:val="00D01100"/>
    <w:rsid w:val="00D0111D"/>
    <w:rsid w:val="00D0112B"/>
    <w:rsid w:val="00D01197"/>
    <w:rsid w:val="00D013B2"/>
    <w:rsid w:val="00D013EA"/>
    <w:rsid w:val="00D015D4"/>
    <w:rsid w:val="00D01625"/>
    <w:rsid w:val="00D01640"/>
    <w:rsid w:val="00D01708"/>
    <w:rsid w:val="00D0170E"/>
    <w:rsid w:val="00D0171A"/>
    <w:rsid w:val="00D0176C"/>
    <w:rsid w:val="00D01800"/>
    <w:rsid w:val="00D01815"/>
    <w:rsid w:val="00D0182A"/>
    <w:rsid w:val="00D0189B"/>
    <w:rsid w:val="00D01918"/>
    <w:rsid w:val="00D0196F"/>
    <w:rsid w:val="00D01979"/>
    <w:rsid w:val="00D01A06"/>
    <w:rsid w:val="00D01A24"/>
    <w:rsid w:val="00D01A4B"/>
    <w:rsid w:val="00D01AC9"/>
    <w:rsid w:val="00D01AEB"/>
    <w:rsid w:val="00D01B52"/>
    <w:rsid w:val="00D01B60"/>
    <w:rsid w:val="00D01B64"/>
    <w:rsid w:val="00D01C35"/>
    <w:rsid w:val="00D01C97"/>
    <w:rsid w:val="00D01CAF"/>
    <w:rsid w:val="00D01D1C"/>
    <w:rsid w:val="00D01D7E"/>
    <w:rsid w:val="00D01DC1"/>
    <w:rsid w:val="00D01DE3"/>
    <w:rsid w:val="00D01E45"/>
    <w:rsid w:val="00D01E96"/>
    <w:rsid w:val="00D01EF2"/>
    <w:rsid w:val="00D01F36"/>
    <w:rsid w:val="00D01FBD"/>
    <w:rsid w:val="00D01FD6"/>
    <w:rsid w:val="00D01FFE"/>
    <w:rsid w:val="00D02041"/>
    <w:rsid w:val="00D02170"/>
    <w:rsid w:val="00D02212"/>
    <w:rsid w:val="00D02246"/>
    <w:rsid w:val="00D02285"/>
    <w:rsid w:val="00D022A8"/>
    <w:rsid w:val="00D022A9"/>
    <w:rsid w:val="00D022F4"/>
    <w:rsid w:val="00D02393"/>
    <w:rsid w:val="00D02465"/>
    <w:rsid w:val="00D02478"/>
    <w:rsid w:val="00D024CB"/>
    <w:rsid w:val="00D024D3"/>
    <w:rsid w:val="00D02589"/>
    <w:rsid w:val="00D025D7"/>
    <w:rsid w:val="00D02696"/>
    <w:rsid w:val="00D026AE"/>
    <w:rsid w:val="00D026EB"/>
    <w:rsid w:val="00D02729"/>
    <w:rsid w:val="00D027B1"/>
    <w:rsid w:val="00D027E3"/>
    <w:rsid w:val="00D02893"/>
    <w:rsid w:val="00D028B1"/>
    <w:rsid w:val="00D02937"/>
    <w:rsid w:val="00D02A7D"/>
    <w:rsid w:val="00D02A97"/>
    <w:rsid w:val="00D02B26"/>
    <w:rsid w:val="00D02B82"/>
    <w:rsid w:val="00D02CAD"/>
    <w:rsid w:val="00D02D07"/>
    <w:rsid w:val="00D02D17"/>
    <w:rsid w:val="00D02D5B"/>
    <w:rsid w:val="00D02D85"/>
    <w:rsid w:val="00D02DAB"/>
    <w:rsid w:val="00D02DC8"/>
    <w:rsid w:val="00D02E62"/>
    <w:rsid w:val="00D02E6C"/>
    <w:rsid w:val="00D02E93"/>
    <w:rsid w:val="00D02EBC"/>
    <w:rsid w:val="00D02ED3"/>
    <w:rsid w:val="00D03041"/>
    <w:rsid w:val="00D030E5"/>
    <w:rsid w:val="00D03118"/>
    <w:rsid w:val="00D03210"/>
    <w:rsid w:val="00D032E0"/>
    <w:rsid w:val="00D032F0"/>
    <w:rsid w:val="00D0333B"/>
    <w:rsid w:val="00D033DD"/>
    <w:rsid w:val="00D03410"/>
    <w:rsid w:val="00D0348C"/>
    <w:rsid w:val="00D034C2"/>
    <w:rsid w:val="00D03539"/>
    <w:rsid w:val="00D03543"/>
    <w:rsid w:val="00D0356B"/>
    <w:rsid w:val="00D035EF"/>
    <w:rsid w:val="00D03642"/>
    <w:rsid w:val="00D0369B"/>
    <w:rsid w:val="00D0369F"/>
    <w:rsid w:val="00D0373C"/>
    <w:rsid w:val="00D037D2"/>
    <w:rsid w:val="00D037D7"/>
    <w:rsid w:val="00D03829"/>
    <w:rsid w:val="00D038E3"/>
    <w:rsid w:val="00D03926"/>
    <w:rsid w:val="00D039A4"/>
    <w:rsid w:val="00D039EB"/>
    <w:rsid w:val="00D03B92"/>
    <w:rsid w:val="00D03C3D"/>
    <w:rsid w:val="00D03D25"/>
    <w:rsid w:val="00D03D4A"/>
    <w:rsid w:val="00D03DCB"/>
    <w:rsid w:val="00D03E21"/>
    <w:rsid w:val="00D03E4A"/>
    <w:rsid w:val="00D03F43"/>
    <w:rsid w:val="00D03FAB"/>
    <w:rsid w:val="00D03FE1"/>
    <w:rsid w:val="00D0403E"/>
    <w:rsid w:val="00D04079"/>
    <w:rsid w:val="00D040E5"/>
    <w:rsid w:val="00D040FA"/>
    <w:rsid w:val="00D04203"/>
    <w:rsid w:val="00D04247"/>
    <w:rsid w:val="00D0424B"/>
    <w:rsid w:val="00D04266"/>
    <w:rsid w:val="00D044A6"/>
    <w:rsid w:val="00D04704"/>
    <w:rsid w:val="00D047E7"/>
    <w:rsid w:val="00D047EA"/>
    <w:rsid w:val="00D0481D"/>
    <w:rsid w:val="00D048AF"/>
    <w:rsid w:val="00D048B9"/>
    <w:rsid w:val="00D048CF"/>
    <w:rsid w:val="00D0490F"/>
    <w:rsid w:val="00D0492C"/>
    <w:rsid w:val="00D04A17"/>
    <w:rsid w:val="00D04A25"/>
    <w:rsid w:val="00D04A4A"/>
    <w:rsid w:val="00D04C3B"/>
    <w:rsid w:val="00D04C5D"/>
    <w:rsid w:val="00D04D4A"/>
    <w:rsid w:val="00D04D78"/>
    <w:rsid w:val="00D04DAC"/>
    <w:rsid w:val="00D04DBB"/>
    <w:rsid w:val="00D04DC6"/>
    <w:rsid w:val="00D04DCF"/>
    <w:rsid w:val="00D04E7C"/>
    <w:rsid w:val="00D04E87"/>
    <w:rsid w:val="00D04EC2"/>
    <w:rsid w:val="00D04F6A"/>
    <w:rsid w:val="00D04FAF"/>
    <w:rsid w:val="00D04FD8"/>
    <w:rsid w:val="00D04FDD"/>
    <w:rsid w:val="00D05083"/>
    <w:rsid w:val="00D05142"/>
    <w:rsid w:val="00D051C1"/>
    <w:rsid w:val="00D0522E"/>
    <w:rsid w:val="00D05270"/>
    <w:rsid w:val="00D052B0"/>
    <w:rsid w:val="00D05300"/>
    <w:rsid w:val="00D05379"/>
    <w:rsid w:val="00D0542E"/>
    <w:rsid w:val="00D05452"/>
    <w:rsid w:val="00D05526"/>
    <w:rsid w:val="00D05614"/>
    <w:rsid w:val="00D05617"/>
    <w:rsid w:val="00D0565E"/>
    <w:rsid w:val="00D0568A"/>
    <w:rsid w:val="00D05760"/>
    <w:rsid w:val="00D058AE"/>
    <w:rsid w:val="00D05986"/>
    <w:rsid w:val="00D05999"/>
    <w:rsid w:val="00D05A71"/>
    <w:rsid w:val="00D05ADE"/>
    <w:rsid w:val="00D05BAF"/>
    <w:rsid w:val="00D05BB5"/>
    <w:rsid w:val="00D05D03"/>
    <w:rsid w:val="00D05D19"/>
    <w:rsid w:val="00D05D50"/>
    <w:rsid w:val="00D05D81"/>
    <w:rsid w:val="00D05DF4"/>
    <w:rsid w:val="00D05E98"/>
    <w:rsid w:val="00D0618D"/>
    <w:rsid w:val="00D0622F"/>
    <w:rsid w:val="00D06249"/>
    <w:rsid w:val="00D06381"/>
    <w:rsid w:val="00D063FC"/>
    <w:rsid w:val="00D0640C"/>
    <w:rsid w:val="00D06567"/>
    <w:rsid w:val="00D065D0"/>
    <w:rsid w:val="00D0666A"/>
    <w:rsid w:val="00D066A0"/>
    <w:rsid w:val="00D067D7"/>
    <w:rsid w:val="00D067F5"/>
    <w:rsid w:val="00D06833"/>
    <w:rsid w:val="00D06860"/>
    <w:rsid w:val="00D0686F"/>
    <w:rsid w:val="00D06876"/>
    <w:rsid w:val="00D069D3"/>
    <w:rsid w:val="00D06AE4"/>
    <w:rsid w:val="00D06B07"/>
    <w:rsid w:val="00D06C55"/>
    <w:rsid w:val="00D06DA6"/>
    <w:rsid w:val="00D06E1E"/>
    <w:rsid w:val="00D06F55"/>
    <w:rsid w:val="00D06F82"/>
    <w:rsid w:val="00D06FA7"/>
    <w:rsid w:val="00D06FF0"/>
    <w:rsid w:val="00D06FFF"/>
    <w:rsid w:val="00D0711F"/>
    <w:rsid w:val="00D07270"/>
    <w:rsid w:val="00D07271"/>
    <w:rsid w:val="00D07465"/>
    <w:rsid w:val="00D074BD"/>
    <w:rsid w:val="00D0751C"/>
    <w:rsid w:val="00D07543"/>
    <w:rsid w:val="00D075DE"/>
    <w:rsid w:val="00D07640"/>
    <w:rsid w:val="00D076BC"/>
    <w:rsid w:val="00D07803"/>
    <w:rsid w:val="00D07810"/>
    <w:rsid w:val="00D079C8"/>
    <w:rsid w:val="00D07B68"/>
    <w:rsid w:val="00D07BC6"/>
    <w:rsid w:val="00D07C0B"/>
    <w:rsid w:val="00D07C73"/>
    <w:rsid w:val="00D07C94"/>
    <w:rsid w:val="00D07CBC"/>
    <w:rsid w:val="00D07D18"/>
    <w:rsid w:val="00D07DF0"/>
    <w:rsid w:val="00D07E4C"/>
    <w:rsid w:val="00D09A8B"/>
    <w:rsid w:val="00D1004B"/>
    <w:rsid w:val="00D1005E"/>
    <w:rsid w:val="00D100E9"/>
    <w:rsid w:val="00D1012E"/>
    <w:rsid w:val="00D10140"/>
    <w:rsid w:val="00D10199"/>
    <w:rsid w:val="00D102D4"/>
    <w:rsid w:val="00D10308"/>
    <w:rsid w:val="00D1031D"/>
    <w:rsid w:val="00D10329"/>
    <w:rsid w:val="00D10376"/>
    <w:rsid w:val="00D10646"/>
    <w:rsid w:val="00D10659"/>
    <w:rsid w:val="00D10677"/>
    <w:rsid w:val="00D106BA"/>
    <w:rsid w:val="00D106EF"/>
    <w:rsid w:val="00D10710"/>
    <w:rsid w:val="00D1071F"/>
    <w:rsid w:val="00D107F9"/>
    <w:rsid w:val="00D108D7"/>
    <w:rsid w:val="00D108F1"/>
    <w:rsid w:val="00D108F8"/>
    <w:rsid w:val="00D1096B"/>
    <w:rsid w:val="00D10980"/>
    <w:rsid w:val="00D10997"/>
    <w:rsid w:val="00D109D8"/>
    <w:rsid w:val="00D10A77"/>
    <w:rsid w:val="00D10B05"/>
    <w:rsid w:val="00D10B4B"/>
    <w:rsid w:val="00D10BA0"/>
    <w:rsid w:val="00D10CED"/>
    <w:rsid w:val="00D10DCF"/>
    <w:rsid w:val="00D10DDC"/>
    <w:rsid w:val="00D10DF4"/>
    <w:rsid w:val="00D10E06"/>
    <w:rsid w:val="00D10E6F"/>
    <w:rsid w:val="00D10EA8"/>
    <w:rsid w:val="00D10F1E"/>
    <w:rsid w:val="00D10F33"/>
    <w:rsid w:val="00D10F49"/>
    <w:rsid w:val="00D10FEF"/>
    <w:rsid w:val="00D1103B"/>
    <w:rsid w:val="00D11046"/>
    <w:rsid w:val="00D110D1"/>
    <w:rsid w:val="00D110ED"/>
    <w:rsid w:val="00D1115F"/>
    <w:rsid w:val="00D11187"/>
    <w:rsid w:val="00D1119C"/>
    <w:rsid w:val="00D111DE"/>
    <w:rsid w:val="00D11339"/>
    <w:rsid w:val="00D11348"/>
    <w:rsid w:val="00D113B8"/>
    <w:rsid w:val="00D11497"/>
    <w:rsid w:val="00D114EE"/>
    <w:rsid w:val="00D11501"/>
    <w:rsid w:val="00D11537"/>
    <w:rsid w:val="00D115A9"/>
    <w:rsid w:val="00D115FE"/>
    <w:rsid w:val="00D116D5"/>
    <w:rsid w:val="00D1195C"/>
    <w:rsid w:val="00D11A7B"/>
    <w:rsid w:val="00D11AA2"/>
    <w:rsid w:val="00D11C22"/>
    <w:rsid w:val="00D11C49"/>
    <w:rsid w:val="00D11C74"/>
    <w:rsid w:val="00D11C83"/>
    <w:rsid w:val="00D11DD5"/>
    <w:rsid w:val="00D11EBB"/>
    <w:rsid w:val="00D11ECE"/>
    <w:rsid w:val="00D11ECF"/>
    <w:rsid w:val="00D12002"/>
    <w:rsid w:val="00D1200E"/>
    <w:rsid w:val="00D12010"/>
    <w:rsid w:val="00D1209A"/>
    <w:rsid w:val="00D121E1"/>
    <w:rsid w:val="00D122A8"/>
    <w:rsid w:val="00D122D1"/>
    <w:rsid w:val="00D123CA"/>
    <w:rsid w:val="00D123D5"/>
    <w:rsid w:val="00D1257A"/>
    <w:rsid w:val="00D12602"/>
    <w:rsid w:val="00D12705"/>
    <w:rsid w:val="00D12758"/>
    <w:rsid w:val="00D12763"/>
    <w:rsid w:val="00D127CA"/>
    <w:rsid w:val="00D12821"/>
    <w:rsid w:val="00D1286A"/>
    <w:rsid w:val="00D12921"/>
    <w:rsid w:val="00D12981"/>
    <w:rsid w:val="00D12A3E"/>
    <w:rsid w:val="00D12A9E"/>
    <w:rsid w:val="00D12AA7"/>
    <w:rsid w:val="00D12C29"/>
    <w:rsid w:val="00D12C2E"/>
    <w:rsid w:val="00D12C97"/>
    <w:rsid w:val="00D12CAA"/>
    <w:rsid w:val="00D12D11"/>
    <w:rsid w:val="00D12E26"/>
    <w:rsid w:val="00D12E30"/>
    <w:rsid w:val="00D12EC2"/>
    <w:rsid w:val="00D12F1A"/>
    <w:rsid w:val="00D12F8E"/>
    <w:rsid w:val="00D12FE1"/>
    <w:rsid w:val="00D13069"/>
    <w:rsid w:val="00D13074"/>
    <w:rsid w:val="00D131EA"/>
    <w:rsid w:val="00D13269"/>
    <w:rsid w:val="00D132A8"/>
    <w:rsid w:val="00D132AC"/>
    <w:rsid w:val="00D132B6"/>
    <w:rsid w:val="00D132E4"/>
    <w:rsid w:val="00D13318"/>
    <w:rsid w:val="00D1340C"/>
    <w:rsid w:val="00D1341F"/>
    <w:rsid w:val="00D13422"/>
    <w:rsid w:val="00D13439"/>
    <w:rsid w:val="00D13617"/>
    <w:rsid w:val="00D1364C"/>
    <w:rsid w:val="00D13669"/>
    <w:rsid w:val="00D137A0"/>
    <w:rsid w:val="00D137B8"/>
    <w:rsid w:val="00D13805"/>
    <w:rsid w:val="00D13819"/>
    <w:rsid w:val="00D1385C"/>
    <w:rsid w:val="00D138F7"/>
    <w:rsid w:val="00D1398D"/>
    <w:rsid w:val="00D13992"/>
    <w:rsid w:val="00D139A6"/>
    <w:rsid w:val="00D13A44"/>
    <w:rsid w:val="00D13A4C"/>
    <w:rsid w:val="00D13A8F"/>
    <w:rsid w:val="00D13B29"/>
    <w:rsid w:val="00D13BCC"/>
    <w:rsid w:val="00D13BF9"/>
    <w:rsid w:val="00D13D22"/>
    <w:rsid w:val="00D13E65"/>
    <w:rsid w:val="00D13EBF"/>
    <w:rsid w:val="00D13FA5"/>
    <w:rsid w:val="00D1416E"/>
    <w:rsid w:val="00D1425D"/>
    <w:rsid w:val="00D14339"/>
    <w:rsid w:val="00D14498"/>
    <w:rsid w:val="00D14564"/>
    <w:rsid w:val="00D14565"/>
    <w:rsid w:val="00D14568"/>
    <w:rsid w:val="00D14580"/>
    <w:rsid w:val="00D145B5"/>
    <w:rsid w:val="00D145BB"/>
    <w:rsid w:val="00D145C8"/>
    <w:rsid w:val="00D145F2"/>
    <w:rsid w:val="00D146C3"/>
    <w:rsid w:val="00D14701"/>
    <w:rsid w:val="00D147CE"/>
    <w:rsid w:val="00D148DC"/>
    <w:rsid w:val="00D14952"/>
    <w:rsid w:val="00D14979"/>
    <w:rsid w:val="00D14B63"/>
    <w:rsid w:val="00D14BCD"/>
    <w:rsid w:val="00D14C16"/>
    <w:rsid w:val="00D14C3D"/>
    <w:rsid w:val="00D14C52"/>
    <w:rsid w:val="00D14C62"/>
    <w:rsid w:val="00D14D8A"/>
    <w:rsid w:val="00D14DBA"/>
    <w:rsid w:val="00D14E51"/>
    <w:rsid w:val="00D14E9E"/>
    <w:rsid w:val="00D15085"/>
    <w:rsid w:val="00D150DE"/>
    <w:rsid w:val="00D15111"/>
    <w:rsid w:val="00D15171"/>
    <w:rsid w:val="00D151E0"/>
    <w:rsid w:val="00D153AE"/>
    <w:rsid w:val="00D153B0"/>
    <w:rsid w:val="00D153C0"/>
    <w:rsid w:val="00D1549E"/>
    <w:rsid w:val="00D154CA"/>
    <w:rsid w:val="00D154E5"/>
    <w:rsid w:val="00D15548"/>
    <w:rsid w:val="00D1556A"/>
    <w:rsid w:val="00D155A8"/>
    <w:rsid w:val="00D155C5"/>
    <w:rsid w:val="00D15635"/>
    <w:rsid w:val="00D156B2"/>
    <w:rsid w:val="00D156F8"/>
    <w:rsid w:val="00D15807"/>
    <w:rsid w:val="00D15825"/>
    <w:rsid w:val="00D15958"/>
    <w:rsid w:val="00D159FD"/>
    <w:rsid w:val="00D15AAD"/>
    <w:rsid w:val="00D15AE5"/>
    <w:rsid w:val="00D15B7F"/>
    <w:rsid w:val="00D15B9A"/>
    <w:rsid w:val="00D15CDF"/>
    <w:rsid w:val="00D15CFB"/>
    <w:rsid w:val="00D15D0D"/>
    <w:rsid w:val="00D15E24"/>
    <w:rsid w:val="00D15ECE"/>
    <w:rsid w:val="00D15F34"/>
    <w:rsid w:val="00D15FE0"/>
    <w:rsid w:val="00D16227"/>
    <w:rsid w:val="00D1624C"/>
    <w:rsid w:val="00D1629A"/>
    <w:rsid w:val="00D162C6"/>
    <w:rsid w:val="00D16367"/>
    <w:rsid w:val="00D16437"/>
    <w:rsid w:val="00D164B5"/>
    <w:rsid w:val="00D16534"/>
    <w:rsid w:val="00D1656D"/>
    <w:rsid w:val="00D165CA"/>
    <w:rsid w:val="00D165DB"/>
    <w:rsid w:val="00D1660E"/>
    <w:rsid w:val="00D166B5"/>
    <w:rsid w:val="00D16737"/>
    <w:rsid w:val="00D16747"/>
    <w:rsid w:val="00D16751"/>
    <w:rsid w:val="00D167C8"/>
    <w:rsid w:val="00D16802"/>
    <w:rsid w:val="00D16804"/>
    <w:rsid w:val="00D1684F"/>
    <w:rsid w:val="00D1685E"/>
    <w:rsid w:val="00D16904"/>
    <w:rsid w:val="00D16916"/>
    <w:rsid w:val="00D1698D"/>
    <w:rsid w:val="00D16A32"/>
    <w:rsid w:val="00D16AB7"/>
    <w:rsid w:val="00D16BDE"/>
    <w:rsid w:val="00D16C19"/>
    <w:rsid w:val="00D16D18"/>
    <w:rsid w:val="00D16D56"/>
    <w:rsid w:val="00D16D9A"/>
    <w:rsid w:val="00D16DB6"/>
    <w:rsid w:val="00D16E96"/>
    <w:rsid w:val="00D16EC0"/>
    <w:rsid w:val="00D16F1C"/>
    <w:rsid w:val="00D16F3A"/>
    <w:rsid w:val="00D16F98"/>
    <w:rsid w:val="00D170DE"/>
    <w:rsid w:val="00D1713F"/>
    <w:rsid w:val="00D17255"/>
    <w:rsid w:val="00D173CB"/>
    <w:rsid w:val="00D173DB"/>
    <w:rsid w:val="00D1749F"/>
    <w:rsid w:val="00D17588"/>
    <w:rsid w:val="00D175D3"/>
    <w:rsid w:val="00D176C0"/>
    <w:rsid w:val="00D1773F"/>
    <w:rsid w:val="00D177F4"/>
    <w:rsid w:val="00D17835"/>
    <w:rsid w:val="00D17842"/>
    <w:rsid w:val="00D17891"/>
    <w:rsid w:val="00D1790D"/>
    <w:rsid w:val="00D17927"/>
    <w:rsid w:val="00D17933"/>
    <w:rsid w:val="00D1794E"/>
    <w:rsid w:val="00D1795F"/>
    <w:rsid w:val="00D17ABE"/>
    <w:rsid w:val="00D17B03"/>
    <w:rsid w:val="00D17BDF"/>
    <w:rsid w:val="00D17CAB"/>
    <w:rsid w:val="00D17DCC"/>
    <w:rsid w:val="00D17DF9"/>
    <w:rsid w:val="00D2007E"/>
    <w:rsid w:val="00D200AC"/>
    <w:rsid w:val="00D201CE"/>
    <w:rsid w:val="00D201DF"/>
    <w:rsid w:val="00D202F3"/>
    <w:rsid w:val="00D2030D"/>
    <w:rsid w:val="00D20311"/>
    <w:rsid w:val="00D20390"/>
    <w:rsid w:val="00D20396"/>
    <w:rsid w:val="00D203E1"/>
    <w:rsid w:val="00D203FD"/>
    <w:rsid w:val="00D20491"/>
    <w:rsid w:val="00D20510"/>
    <w:rsid w:val="00D205E0"/>
    <w:rsid w:val="00D2061D"/>
    <w:rsid w:val="00D206A7"/>
    <w:rsid w:val="00D20704"/>
    <w:rsid w:val="00D2084E"/>
    <w:rsid w:val="00D20947"/>
    <w:rsid w:val="00D20979"/>
    <w:rsid w:val="00D20982"/>
    <w:rsid w:val="00D209D8"/>
    <w:rsid w:val="00D209DF"/>
    <w:rsid w:val="00D20A47"/>
    <w:rsid w:val="00D20B00"/>
    <w:rsid w:val="00D20BF8"/>
    <w:rsid w:val="00D20C08"/>
    <w:rsid w:val="00D20CB3"/>
    <w:rsid w:val="00D20D16"/>
    <w:rsid w:val="00D20D34"/>
    <w:rsid w:val="00D20D7C"/>
    <w:rsid w:val="00D20DE6"/>
    <w:rsid w:val="00D20E7F"/>
    <w:rsid w:val="00D20ECB"/>
    <w:rsid w:val="00D210A5"/>
    <w:rsid w:val="00D210F6"/>
    <w:rsid w:val="00D21121"/>
    <w:rsid w:val="00D21144"/>
    <w:rsid w:val="00D21185"/>
    <w:rsid w:val="00D211B1"/>
    <w:rsid w:val="00D211BC"/>
    <w:rsid w:val="00D21248"/>
    <w:rsid w:val="00D21285"/>
    <w:rsid w:val="00D212C7"/>
    <w:rsid w:val="00D21305"/>
    <w:rsid w:val="00D21364"/>
    <w:rsid w:val="00D213CC"/>
    <w:rsid w:val="00D21482"/>
    <w:rsid w:val="00D21514"/>
    <w:rsid w:val="00D21583"/>
    <w:rsid w:val="00D2158C"/>
    <w:rsid w:val="00D215BA"/>
    <w:rsid w:val="00D21601"/>
    <w:rsid w:val="00D21670"/>
    <w:rsid w:val="00D21727"/>
    <w:rsid w:val="00D2178B"/>
    <w:rsid w:val="00D217C3"/>
    <w:rsid w:val="00D217D2"/>
    <w:rsid w:val="00D2184A"/>
    <w:rsid w:val="00D2185D"/>
    <w:rsid w:val="00D218DD"/>
    <w:rsid w:val="00D218EE"/>
    <w:rsid w:val="00D21912"/>
    <w:rsid w:val="00D219AC"/>
    <w:rsid w:val="00D21A28"/>
    <w:rsid w:val="00D21AD2"/>
    <w:rsid w:val="00D21B77"/>
    <w:rsid w:val="00D21BFC"/>
    <w:rsid w:val="00D21C87"/>
    <w:rsid w:val="00D21E72"/>
    <w:rsid w:val="00D22081"/>
    <w:rsid w:val="00D2217F"/>
    <w:rsid w:val="00D22207"/>
    <w:rsid w:val="00D22229"/>
    <w:rsid w:val="00D22264"/>
    <w:rsid w:val="00D2255F"/>
    <w:rsid w:val="00D2259F"/>
    <w:rsid w:val="00D225F6"/>
    <w:rsid w:val="00D2263B"/>
    <w:rsid w:val="00D2264B"/>
    <w:rsid w:val="00D2266C"/>
    <w:rsid w:val="00D22702"/>
    <w:rsid w:val="00D227B2"/>
    <w:rsid w:val="00D22803"/>
    <w:rsid w:val="00D2289B"/>
    <w:rsid w:val="00D22991"/>
    <w:rsid w:val="00D229AF"/>
    <w:rsid w:val="00D229D0"/>
    <w:rsid w:val="00D22A3B"/>
    <w:rsid w:val="00D22C00"/>
    <w:rsid w:val="00D22C7B"/>
    <w:rsid w:val="00D22C9C"/>
    <w:rsid w:val="00D22D4A"/>
    <w:rsid w:val="00D22DAB"/>
    <w:rsid w:val="00D22E17"/>
    <w:rsid w:val="00D22F10"/>
    <w:rsid w:val="00D22F83"/>
    <w:rsid w:val="00D22FD5"/>
    <w:rsid w:val="00D22FE5"/>
    <w:rsid w:val="00D23039"/>
    <w:rsid w:val="00D23069"/>
    <w:rsid w:val="00D23139"/>
    <w:rsid w:val="00D231ED"/>
    <w:rsid w:val="00D232A6"/>
    <w:rsid w:val="00D233A0"/>
    <w:rsid w:val="00D233E8"/>
    <w:rsid w:val="00D23420"/>
    <w:rsid w:val="00D23444"/>
    <w:rsid w:val="00D235E7"/>
    <w:rsid w:val="00D23624"/>
    <w:rsid w:val="00D2368E"/>
    <w:rsid w:val="00D237FA"/>
    <w:rsid w:val="00D23924"/>
    <w:rsid w:val="00D2392A"/>
    <w:rsid w:val="00D23932"/>
    <w:rsid w:val="00D23AA7"/>
    <w:rsid w:val="00D23B1C"/>
    <w:rsid w:val="00D23B2F"/>
    <w:rsid w:val="00D23B44"/>
    <w:rsid w:val="00D23B5A"/>
    <w:rsid w:val="00D23B5D"/>
    <w:rsid w:val="00D23BFA"/>
    <w:rsid w:val="00D23C93"/>
    <w:rsid w:val="00D23DAE"/>
    <w:rsid w:val="00D23DF8"/>
    <w:rsid w:val="00D23E3C"/>
    <w:rsid w:val="00D23E68"/>
    <w:rsid w:val="00D23EE7"/>
    <w:rsid w:val="00D23F1F"/>
    <w:rsid w:val="00D23FAC"/>
    <w:rsid w:val="00D23FAE"/>
    <w:rsid w:val="00D2410C"/>
    <w:rsid w:val="00D241DB"/>
    <w:rsid w:val="00D24313"/>
    <w:rsid w:val="00D243C2"/>
    <w:rsid w:val="00D24401"/>
    <w:rsid w:val="00D2447C"/>
    <w:rsid w:val="00D244D6"/>
    <w:rsid w:val="00D244D9"/>
    <w:rsid w:val="00D24517"/>
    <w:rsid w:val="00D2454A"/>
    <w:rsid w:val="00D24550"/>
    <w:rsid w:val="00D2459B"/>
    <w:rsid w:val="00D24722"/>
    <w:rsid w:val="00D247BB"/>
    <w:rsid w:val="00D247CD"/>
    <w:rsid w:val="00D249AE"/>
    <w:rsid w:val="00D249CC"/>
    <w:rsid w:val="00D24A44"/>
    <w:rsid w:val="00D24A64"/>
    <w:rsid w:val="00D24B34"/>
    <w:rsid w:val="00D24BC7"/>
    <w:rsid w:val="00D24BE6"/>
    <w:rsid w:val="00D24CD9"/>
    <w:rsid w:val="00D24D40"/>
    <w:rsid w:val="00D24E61"/>
    <w:rsid w:val="00D24EE4"/>
    <w:rsid w:val="00D24F08"/>
    <w:rsid w:val="00D24FB0"/>
    <w:rsid w:val="00D24FEF"/>
    <w:rsid w:val="00D251B7"/>
    <w:rsid w:val="00D25265"/>
    <w:rsid w:val="00D253EE"/>
    <w:rsid w:val="00D254D4"/>
    <w:rsid w:val="00D254FD"/>
    <w:rsid w:val="00D255D0"/>
    <w:rsid w:val="00D25619"/>
    <w:rsid w:val="00D25693"/>
    <w:rsid w:val="00D25694"/>
    <w:rsid w:val="00D2570C"/>
    <w:rsid w:val="00D25710"/>
    <w:rsid w:val="00D258D4"/>
    <w:rsid w:val="00D2591B"/>
    <w:rsid w:val="00D25936"/>
    <w:rsid w:val="00D25A0C"/>
    <w:rsid w:val="00D25A7E"/>
    <w:rsid w:val="00D25A96"/>
    <w:rsid w:val="00D25AA5"/>
    <w:rsid w:val="00D25AF4"/>
    <w:rsid w:val="00D25BC4"/>
    <w:rsid w:val="00D25C87"/>
    <w:rsid w:val="00D25CCB"/>
    <w:rsid w:val="00D25D00"/>
    <w:rsid w:val="00D25D08"/>
    <w:rsid w:val="00D25D3D"/>
    <w:rsid w:val="00D25E00"/>
    <w:rsid w:val="00D25E49"/>
    <w:rsid w:val="00D25EAC"/>
    <w:rsid w:val="00D25F55"/>
    <w:rsid w:val="00D25F63"/>
    <w:rsid w:val="00D26207"/>
    <w:rsid w:val="00D26242"/>
    <w:rsid w:val="00D262B6"/>
    <w:rsid w:val="00D262C1"/>
    <w:rsid w:val="00D26332"/>
    <w:rsid w:val="00D2644C"/>
    <w:rsid w:val="00D264BB"/>
    <w:rsid w:val="00D264ED"/>
    <w:rsid w:val="00D26701"/>
    <w:rsid w:val="00D26747"/>
    <w:rsid w:val="00D26799"/>
    <w:rsid w:val="00D267A4"/>
    <w:rsid w:val="00D26891"/>
    <w:rsid w:val="00D26989"/>
    <w:rsid w:val="00D269E1"/>
    <w:rsid w:val="00D26C91"/>
    <w:rsid w:val="00D26DF4"/>
    <w:rsid w:val="00D26F32"/>
    <w:rsid w:val="00D26FBD"/>
    <w:rsid w:val="00D2700F"/>
    <w:rsid w:val="00D27078"/>
    <w:rsid w:val="00D270F4"/>
    <w:rsid w:val="00D27115"/>
    <w:rsid w:val="00D2716B"/>
    <w:rsid w:val="00D271F6"/>
    <w:rsid w:val="00D273D7"/>
    <w:rsid w:val="00D274B3"/>
    <w:rsid w:val="00D2756C"/>
    <w:rsid w:val="00D276A4"/>
    <w:rsid w:val="00D2797A"/>
    <w:rsid w:val="00D279AF"/>
    <w:rsid w:val="00D27A58"/>
    <w:rsid w:val="00D27AF1"/>
    <w:rsid w:val="00D27BAE"/>
    <w:rsid w:val="00D27C78"/>
    <w:rsid w:val="00D27CAF"/>
    <w:rsid w:val="00D27D23"/>
    <w:rsid w:val="00D27D2E"/>
    <w:rsid w:val="00D27D46"/>
    <w:rsid w:val="00D27E93"/>
    <w:rsid w:val="00D27E9E"/>
    <w:rsid w:val="00D30021"/>
    <w:rsid w:val="00D30055"/>
    <w:rsid w:val="00D30116"/>
    <w:rsid w:val="00D30159"/>
    <w:rsid w:val="00D3019C"/>
    <w:rsid w:val="00D30242"/>
    <w:rsid w:val="00D3034A"/>
    <w:rsid w:val="00D303A9"/>
    <w:rsid w:val="00D303AA"/>
    <w:rsid w:val="00D30405"/>
    <w:rsid w:val="00D3049D"/>
    <w:rsid w:val="00D30565"/>
    <w:rsid w:val="00D3058F"/>
    <w:rsid w:val="00D305C6"/>
    <w:rsid w:val="00D30611"/>
    <w:rsid w:val="00D3064A"/>
    <w:rsid w:val="00D30664"/>
    <w:rsid w:val="00D3066D"/>
    <w:rsid w:val="00D30740"/>
    <w:rsid w:val="00D3075E"/>
    <w:rsid w:val="00D3077E"/>
    <w:rsid w:val="00D30875"/>
    <w:rsid w:val="00D30882"/>
    <w:rsid w:val="00D308BC"/>
    <w:rsid w:val="00D308D5"/>
    <w:rsid w:val="00D3095F"/>
    <w:rsid w:val="00D30998"/>
    <w:rsid w:val="00D309D3"/>
    <w:rsid w:val="00D30B49"/>
    <w:rsid w:val="00D30BC7"/>
    <w:rsid w:val="00D30BE4"/>
    <w:rsid w:val="00D30BFE"/>
    <w:rsid w:val="00D30C10"/>
    <w:rsid w:val="00D30C9E"/>
    <w:rsid w:val="00D30D9C"/>
    <w:rsid w:val="00D30DDC"/>
    <w:rsid w:val="00D30E01"/>
    <w:rsid w:val="00D30F55"/>
    <w:rsid w:val="00D30FC0"/>
    <w:rsid w:val="00D30FCC"/>
    <w:rsid w:val="00D31036"/>
    <w:rsid w:val="00D310CA"/>
    <w:rsid w:val="00D3128F"/>
    <w:rsid w:val="00D312D7"/>
    <w:rsid w:val="00D31343"/>
    <w:rsid w:val="00D313A2"/>
    <w:rsid w:val="00D313AD"/>
    <w:rsid w:val="00D313B2"/>
    <w:rsid w:val="00D313E4"/>
    <w:rsid w:val="00D313F0"/>
    <w:rsid w:val="00D31426"/>
    <w:rsid w:val="00D31443"/>
    <w:rsid w:val="00D31633"/>
    <w:rsid w:val="00D3165F"/>
    <w:rsid w:val="00D31671"/>
    <w:rsid w:val="00D31676"/>
    <w:rsid w:val="00D316BD"/>
    <w:rsid w:val="00D3170B"/>
    <w:rsid w:val="00D3181E"/>
    <w:rsid w:val="00D31825"/>
    <w:rsid w:val="00D31838"/>
    <w:rsid w:val="00D31845"/>
    <w:rsid w:val="00D31854"/>
    <w:rsid w:val="00D318B8"/>
    <w:rsid w:val="00D318E0"/>
    <w:rsid w:val="00D318FE"/>
    <w:rsid w:val="00D3198D"/>
    <w:rsid w:val="00D319B2"/>
    <w:rsid w:val="00D319E7"/>
    <w:rsid w:val="00D319F3"/>
    <w:rsid w:val="00D31A33"/>
    <w:rsid w:val="00D31AA2"/>
    <w:rsid w:val="00D31BC0"/>
    <w:rsid w:val="00D31BC3"/>
    <w:rsid w:val="00D31BD7"/>
    <w:rsid w:val="00D31BF2"/>
    <w:rsid w:val="00D31C67"/>
    <w:rsid w:val="00D31C7B"/>
    <w:rsid w:val="00D31CE5"/>
    <w:rsid w:val="00D31CFF"/>
    <w:rsid w:val="00D31D70"/>
    <w:rsid w:val="00D31D74"/>
    <w:rsid w:val="00D31F1F"/>
    <w:rsid w:val="00D31F2C"/>
    <w:rsid w:val="00D32011"/>
    <w:rsid w:val="00D32016"/>
    <w:rsid w:val="00D3202C"/>
    <w:rsid w:val="00D32042"/>
    <w:rsid w:val="00D320F6"/>
    <w:rsid w:val="00D3211E"/>
    <w:rsid w:val="00D321BA"/>
    <w:rsid w:val="00D321CB"/>
    <w:rsid w:val="00D322C8"/>
    <w:rsid w:val="00D322E9"/>
    <w:rsid w:val="00D3233B"/>
    <w:rsid w:val="00D323A4"/>
    <w:rsid w:val="00D32452"/>
    <w:rsid w:val="00D324CB"/>
    <w:rsid w:val="00D3259B"/>
    <w:rsid w:val="00D325E1"/>
    <w:rsid w:val="00D32630"/>
    <w:rsid w:val="00D32657"/>
    <w:rsid w:val="00D32715"/>
    <w:rsid w:val="00D3282C"/>
    <w:rsid w:val="00D32838"/>
    <w:rsid w:val="00D32950"/>
    <w:rsid w:val="00D32965"/>
    <w:rsid w:val="00D32A3A"/>
    <w:rsid w:val="00D32A59"/>
    <w:rsid w:val="00D32B29"/>
    <w:rsid w:val="00D32B50"/>
    <w:rsid w:val="00D32BDC"/>
    <w:rsid w:val="00D32CA1"/>
    <w:rsid w:val="00D32D5F"/>
    <w:rsid w:val="00D32D73"/>
    <w:rsid w:val="00D32DAB"/>
    <w:rsid w:val="00D32DEA"/>
    <w:rsid w:val="00D32E08"/>
    <w:rsid w:val="00D32E76"/>
    <w:rsid w:val="00D32F1F"/>
    <w:rsid w:val="00D32F4B"/>
    <w:rsid w:val="00D32F69"/>
    <w:rsid w:val="00D32FAA"/>
    <w:rsid w:val="00D33019"/>
    <w:rsid w:val="00D3301D"/>
    <w:rsid w:val="00D33125"/>
    <w:rsid w:val="00D33279"/>
    <w:rsid w:val="00D333E6"/>
    <w:rsid w:val="00D33436"/>
    <w:rsid w:val="00D3347F"/>
    <w:rsid w:val="00D3348B"/>
    <w:rsid w:val="00D33499"/>
    <w:rsid w:val="00D33534"/>
    <w:rsid w:val="00D336A7"/>
    <w:rsid w:val="00D33856"/>
    <w:rsid w:val="00D338FE"/>
    <w:rsid w:val="00D338FF"/>
    <w:rsid w:val="00D3395F"/>
    <w:rsid w:val="00D33988"/>
    <w:rsid w:val="00D339FC"/>
    <w:rsid w:val="00D33A99"/>
    <w:rsid w:val="00D33B12"/>
    <w:rsid w:val="00D33BAB"/>
    <w:rsid w:val="00D33CB5"/>
    <w:rsid w:val="00D33D65"/>
    <w:rsid w:val="00D33D9A"/>
    <w:rsid w:val="00D33E29"/>
    <w:rsid w:val="00D33E4C"/>
    <w:rsid w:val="00D33F9A"/>
    <w:rsid w:val="00D34041"/>
    <w:rsid w:val="00D341F6"/>
    <w:rsid w:val="00D34234"/>
    <w:rsid w:val="00D3436F"/>
    <w:rsid w:val="00D34373"/>
    <w:rsid w:val="00D343B8"/>
    <w:rsid w:val="00D3440C"/>
    <w:rsid w:val="00D34445"/>
    <w:rsid w:val="00D345AF"/>
    <w:rsid w:val="00D34632"/>
    <w:rsid w:val="00D34684"/>
    <w:rsid w:val="00D3468C"/>
    <w:rsid w:val="00D34721"/>
    <w:rsid w:val="00D34752"/>
    <w:rsid w:val="00D34771"/>
    <w:rsid w:val="00D3479A"/>
    <w:rsid w:val="00D3486F"/>
    <w:rsid w:val="00D349C0"/>
    <w:rsid w:val="00D34AE2"/>
    <w:rsid w:val="00D34B08"/>
    <w:rsid w:val="00D34B67"/>
    <w:rsid w:val="00D34B73"/>
    <w:rsid w:val="00D34BB6"/>
    <w:rsid w:val="00D34BBE"/>
    <w:rsid w:val="00D34BD3"/>
    <w:rsid w:val="00D34C6D"/>
    <w:rsid w:val="00D34CD6"/>
    <w:rsid w:val="00D34D31"/>
    <w:rsid w:val="00D34D70"/>
    <w:rsid w:val="00D34E2A"/>
    <w:rsid w:val="00D350EA"/>
    <w:rsid w:val="00D350F4"/>
    <w:rsid w:val="00D350FB"/>
    <w:rsid w:val="00D3514F"/>
    <w:rsid w:val="00D3528D"/>
    <w:rsid w:val="00D3529C"/>
    <w:rsid w:val="00D35385"/>
    <w:rsid w:val="00D353E3"/>
    <w:rsid w:val="00D35449"/>
    <w:rsid w:val="00D35473"/>
    <w:rsid w:val="00D354BA"/>
    <w:rsid w:val="00D3551F"/>
    <w:rsid w:val="00D35591"/>
    <w:rsid w:val="00D355BC"/>
    <w:rsid w:val="00D355EB"/>
    <w:rsid w:val="00D356B8"/>
    <w:rsid w:val="00D356F1"/>
    <w:rsid w:val="00D35716"/>
    <w:rsid w:val="00D3573A"/>
    <w:rsid w:val="00D35782"/>
    <w:rsid w:val="00D357A6"/>
    <w:rsid w:val="00D357C8"/>
    <w:rsid w:val="00D35865"/>
    <w:rsid w:val="00D35883"/>
    <w:rsid w:val="00D358C7"/>
    <w:rsid w:val="00D35912"/>
    <w:rsid w:val="00D35956"/>
    <w:rsid w:val="00D35A13"/>
    <w:rsid w:val="00D35A5A"/>
    <w:rsid w:val="00D35B0A"/>
    <w:rsid w:val="00D35B52"/>
    <w:rsid w:val="00D35B76"/>
    <w:rsid w:val="00D35BA5"/>
    <w:rsid w:val="00D35D54"/>
    <w:rsid w:val="00D35D6F"/>
    <w:rsid w:val="00D35D7E"/>
    <w:rsid w:val="00D35E6B"/>
    <w:rsid w:val="00D35E8F"/>
    <w:rsid w:val="00D35FAC"/>
    <w:rsid w:val="00D36091"/>
    <w:rsid w:val="00D3614A"/>
    <w:rsid w:val="00D361EE"/>
    <w:rsid w:val="00D36257"/>
    <w:rsid w:val="00D362B8"/>
    <w:rsid w:val="00D363D1"/>
    <w:rsid w:val="00D36466"/>
    <w:rsid w:val="00D3650F"/>
    <w:rsid w:val="00D365DE"/>
    <w:rsid w:val="00D365EF"/>
    <w:rsid w:val="00D36659"/>
    <w:rsid w:val="00D3669F"/>
    <w:rsid w:val="00D36733"/>
    <w:rsid w:val="00D3676A"/>
    <w:rsid w:val="00D367A9"/>
    <w:rsid w:val="00D367AB"/>
    <w:rsid w:val="00D36817"/>
    <w:rsid w:val="00D369D0"/>
    <w:rsid w:val="00D36B23"/>
    <w:rsid w:val="00D36B77"/>
    <w:rsid w:val="00D36B9C"/>
    <w:rsid w:val="00D36C89"/>
    <w:rsid w:val="00D36D35"/>
    <w:rsid w:val="00D36E0E"/>
    <w:rsid w:val="00D36EA8"/>
    <w:rsid w:val="00D36FC8"/>
    <w:rsid w:val="00D36FFC"/>
    <w:rsid w:val="00D3704D"/>
    <w:rsid w:val="00D371B6"/>
    <w:rsid w:val="00D37314"/>
    <w:rsid w:val="00D37404"/>
    <w:rsid w:val="00D37416"/>
    <w:rsid w:val="00D3757A"/>
    <w:rsid w:val="00D3758F"/>
    <w:rsid w:val="00D37924"/>
    <w:rsid w:val="00D3799E"/>
    <w:rsid w:val="00D379C5"/>
    <w:rsid w:val="00D379EA"/>
    <w:rsid w:val="00D37A65"/>
    <w:rsid w:val="00D37AD5"/>
    <w:rsid w:val="00D37AEA"/>
    <w:rsid w:val="00D37B43"/>
    <w:rsid w:val="00D37BD5"/>
    <w:rsid w:val="00D37C04"/>
    <w:rsid w:val="00D37C92"/>
    <w:rsid w:val="00D37CAC"/>
    <w:rsid w:val="00D37D39"/>
    <w:rsid w:val="00D37EC5"/>
    <w:rsid w:val="00D400D7"/>
    <w:rsid w:val="00D40126"/>
    <w:rsid w:val="00D40140"/>
    <w:rsid w:val="00D4029A"/>
    <w:rsid w:val="00D40397"/>
    <w:rsid w:val="00D403B5"/>
    <w:rsid w:val="00D4041D"/>
    <w:rsid w:val="00D40422"/>
    <w:rsid w:val="00D40456"/>
    <w:rsid w:val="00D40562"/>
    <w:rsid w:val="00D405EB"/>
    <w:rsid w:val="00D406D0"/>
    <w:rsid w:val="00D4079F"/>
    <w:rsid w:val="00D407C1"/>
    <w:rsid w:val="00D408D0"/>
    <w:rsid w:val="00D409F0"/>
    <w:rsid w:val="00D40AD7"/>
    <w:rsid w:val="00D40C33"/>
    <w:rsid w:val="00D40CFC"/>
    <w:rsid w:val="00D40D1C"/>
    <w:rsid w:val="00D40D24"/>
    <w:rsid w:val="00D40D28"/>
    <w:rsid w:val="00D40D2E"/>
    <w:rsid w:val="00D40D50"/>
    <w:rsid w:val="00D40E80"/>
    <w:rsid w:val="00D40F18"/>
    <w:rsid w:val="00D41077"/>
    <w:rsid w:val="00D41098"/>
    <w:rsid w:val="00D41113"/>
    <w:rsid w:val="00D4112D"/>
    <w:rsid w:val="00D41158"/>
    <w:rsid w:val="00D41163"/>
    <w:rsid w:val="00D411DB"/>
    <w:rsid w:val="00D41393"/>
    <w:rsid w:val="00D4139D"/>
    <w:rsid w:val="00D413B7"/>
    <w:rsid w:val="00D413C9"/>
    <w:rsid w:val="00D41411"/>
    <w:rsid w:val="00D4149F"/>
    <w:rsid w:val="00D414B7"/>
    <w:rsid w:val="00D41522"/>
    <w:rsid w:val="00D4154C"/>
    <w:rsid w:val="00D41795"/>
    <w:rsid w:val="00D417D1"/>
    <w:rsid w:val="00D417D7"/>
    <w:rsid w:val="00D4187C"/>
    <w:rsid w:val="00D41929"/>
    <w:rsid w:val="00D41A60"/>
    <w:rsid w:val="00D41A93"/>
    <w:rsid w:val="00D41AA0"/>
    <w:rsid w:val="00D41BE6"/>
    <w:rsid w:val="00D41C9C"/>
    <w:rsid w:val="00D41CDE"/>
    <w:rsid w:val="00D41D67"/>
    <w:rsid w:val="00D41D8F"/>
    <w:rsid w:val="00D41DF3"/>
    <w:rsid w:val="00D41DFA"/>
    <w:rsid w:val="00D41E24"/>
    <w:rsid w:val="00D41E5D"/>
    <w:rsid w:val="00D41EE1"/>
    <w:rsid w:val="00D41F41"/>
    <w:rsid w:val="00D41FBF"/>
    <w:rsid w:val="00D42060"/>
    <w:rsid w:val="00D420BC"/>
    <w:rsid w:val="00D42289"/>
    <w:rsid w:val="00D422CB"/>
    <w:rsid w:val="00D42425"/>
    <w:rsid w:val="00D4246E"/>
    <w:rsid w:val="00D42474"/>
    <w:rsid w:val="00D42478"/>
    <w:rsid w:val="00D424BC"/>
    <w:rsid w:val="00D42629"/>
    <w:rsid w:val="00D42690"/>
    <w:rsid w:val="00D426B6"/>
    <w:rsid w:val="00D426F7"/>
    <w:rsid w:val="00D42717"/>
    <w:rsid w:val="00D4276D"/>
    <w:rsid w:val="00D4278B"/>
    <w:rsid w:val="00D427A7"/>
    <w:rsid w:val="00D427EE"/>
    <w:rsid w:val="00D4282E"/>
    <w:rsid w:val="00D4283F"/>
    <w:rsid w:val="00D429A0"/>
    <w:rsid w:val="00D42A40"/>
    <w:rsid w:val="00D42A96"/>
    <w:rsid w:val="00D42B3F"/>
    <w:rsid w:val="00D42BEA"/>
    <w:rsid w:val="00D42CD0"/>
    <w:rsid w:val="00D42CD7"/>
    <w:rsid w:val="00D42CE7"/>
    <w:rsid w:val="00D42D54"/>
    <w:rsid w:val="00D42E6E"/>
    <w:rsid w:val="00D42FB8"/>
    <w:rsid w:val="00D42FDC"/>
    <w:rsid w:val="00D42FDE"/>
    <w:rsid w:val="00D43046"/>
    <w:rsid w:val="00D430E1"/>
    <w:rsid w:val="00D430F9"/>
    <w:rsid w:val="00D4316C"/>
    <w:rsid w:val="00D43249"/>
    <w:rsid w:val="00D43325"/>
    <w:rsid w:val="00D4336D"/>
    <w:rsid w:val="00D43437"/>
    <w:rsid w:val="00D43501"/>
    <w:rsid w:val="00D435B4"/>
    <w:rsid w:val="00D435DF"/>
    <w:rsid w:val="00D43618"/>
    <w:rsid w:val="00D4373D"/>
    <w:rsid w:val="00D43762"/>
    <w:rsid w:val="00D437CE"/>
    <w:rsid w:val="00D437E9"/>
    <w:rsid w:val="00D43938"/>
    <w:rsid w:val="00D43978"/>
    <w:rsid w:val="00D43A41"/>
    <w:rsid w:val="00D43B6E"/>
    <w:rsid w:val="00D43B8B"/>
    <w:rsid w:val="00D43C2C"/>
    <w:rsid w:val="00D43C80"/>
    <w:rsid w:val="00D43D7D"/>
    <w:rsid w:val="00D43DDA"/>
    <w:rsid w:val="00D43ED1"/>
    <w:rsid w:val="00D43EF2"/>
    <w:rsid w:val="00D43F12"/>
    <w:rsid w:val="00D43FCF"/>
    <w:rsid w:val="00D43FF3"/>
    <w:rsid w:val="00D44070"/>
    <w:rsid w:val="00D44094"/>
    <w:rsid w:val="00D440A5"/>
    <w:rsid w:val="00D44163"/>
    <w:rsid w:val="00D441E4"/>
    <w:rsid w:val="00D441E7"/>
    <w:rsid w:val="00D442CE"/>
    <w:rsid w:val="00D44304"/>
    <w:rsid w:val="00D44349"/>
    <w:rsid w:val="00D44366"/>
    <w:rsid w:val="00D443EF"/>
    <w:rsid w:val="00D444AA"/>
    <w:rsid w:val="00D444F9"/>
    <w:rsid w:val="00D4451D"/>
    <w:rsid w:val="00D445B5"/>
    <w:rsid w:val="00D445D0"/>
    <w:rsid w:val="00D44653"/>
    <w:rsid w:val="00D4478D"/>
    <w:rsid w:val="00D44844"/>
    <w:rsid w:val="00D448CE"/>
    <w:rsid w:val="00D44927"/>
    <w:rsid w:val="00D449C2"/>
    <w:rsid w:val="00D44A3C"/>
    <w:rsid w:val="00D44A6A"/>
    <w:rsid w:val="00D44BCB"/>
    <w:rsid w:val="00D44C47"/>
    <w:rsid w:val="00D44C6C"/>
    <w:rsid w:val="00D44C73"/>
    <w:rsid w:val="00D44CA5"/>
    <w:rsid w:val="00D44CE8"/>
    <w:rsid w:val="00D44D40"/>
    <w:rsid w:val="00D44E41"/>
    <w:rsid w:val="00D44ED6"/>
    <w:rsid w:val="00D44EF6"/>
    <w:rsid w:val="00D44FA6"/>
    <w:rsid w:val="00D45329"/>
    <w:rsid w:val="00D45339"/>
    <w:rsid w:val="00D453AC"/>
    <w:rsid w:val="00D45429"/>
    <w:rsid w:val="00D45490"/>
    <w:rsid w:val="00D454AB"/>
    <w:rsid w:val="00D454C0"/>
    <w:rsid w:val="00D454E9"/>
    <w:rsid w:val="00D455AA"/>
    <w:rsid w:val="00D455C3"/>
    <w:rsid w:val="00D45604"/>
    <w:rsid w:val="00D4563A"/>
    <w:rsid w:val="00D45640"/>
    <w:rsid w:val="00D45677"/>
    <w:rsid w:val="00D45696"/>
    <w:rsid w:val="00D4569B"/>
    <w:rsid w:val="00D45736"/>
    <w:rsid w:val="00D45747"/>
    <w:rsid w:val="00D45975"/>
    <w:rsid w:val="00D45A03"/>
    <w:rsid w:val="00D45B6F"/>
    <w:rsid w:val="00D45BCF"/>
    <w:rsid w:val="00D45CCE"/>
    <w:rsid w:val="00D45D03"/>
    <w:rsid w:val="00D45DC3"/>
    <w:rsid w:val="00D45DF3"/>
    <w:rsid w:val="00D45E06"/>
    <w:rsid w:val="00D45EBC"/>
    <w:rsid w:val="00D45ED4"/>
    <w:rsid w:val="00D45FC9"/>
    <w:rsid w:val="00D45FE9"/>
    <w:rsid w:val="00D46127"/>
    <w:rsid w:val="00D46136"/>
    <w:rsid w:val="00D46166"/>
    <w:rsid w:val="00D461F9"/>
    <w:rsid w:val="00D46218"/>
    <w:rsid w:val="00D46251"/>
    <w:rsid w:val="00D462C9"/>
    <w:rsid w:val="00D46378"/>
    <w:rsid w:val="00D46513"/>
    <w:rsid w:val="00D465A9"/>
    <w:rsid w:val="00D465D9"/>
    <w:rsid w:val="00D4669C"/>
    <w:rsid w:val="00D466B6"/>
    <w:rsid w:val="00D46730"/>
    <w:rsid w:val="00D467D3"/>
    <w:rsid w:val="00D467DB"/>
    <w:rsid w:val="00D4687A"/>
    <w:rsid w:val="00D468C6"/>
    <w:rsid w:val="00D468E2"/>
    <w:rsid w:val="00D46912"/>
    <w:rsid w:val="00D4695E"/>
    <w:rsid w:val="00D46970"/>
    <w:rsid w:val="00D46A4F"/>
    <w:rsid w:val="00D46ABD"/>
    <w:rsid w:val="00D46AFF"/>
    <w:rsid w:val="00D46B7C"/>
    <w:rsid w:val="00D46B9E"/>
    <w:rsid w:val="00D46BE8"/>
    <w:rsid w:val="00D46C00"/>
    <w:rsid w:val="00D46C9A"/>
    <w:rsid w:val="00D46CCB"/>
    <w:rsid w:val="00D46CFB"/>
    <w:rsid w:val="00D46D59"/>
    <w:rsid w:val="00D46DE5"/>
    <w:rsid w:val="00D46EAD"/>
    <w:rsid w:val="00D46EDC"/>
    <w:rsid w:val="00D46EE5"/>
    <w:rsid w:val="00D46EF0"/>
    <w:rsid w:val="00D46F29"/>
    <w:rsid w:val="00D46FCA"/>
    <w:rsid w:val="00D46FD7"/>
    <w:rsid w:val="00D4701A"/>
    <w:rsid w:val="00D4716A"/>
    <w:rsid w:val="00D47189"/>
    <w:rsid w:val="00D4733F"/>
    <w:rsid w:val="00D47398"/>
    <w:rsid w:val="00D47546"/>
    <w:rsid w:val="00D47557"/>
    <w:rsid w:val="00D47674"/>
    <w:rsid w:val="00D4773A"/>
    <w:rsid w:val="00D477DB"/>
    <w:rsid w:val="00D477DE"/>
    <w:rsid w:val="00D477E5"/>
    <w:rsid w:val="00D4786B"/>
    <w:rsid w:val="00D47AA8"/>
    <w:rsid w:val="00D47AF9"/>
    <w:rsid w:val="00D47B5D"/>
    <w:rsid w:val="00D47BB0"/>
    <w:rsid w:val="00D47C08"/>
    <w:rsid w:val="00D47C2B"/>
    <w:rsid w:val="00D47C2D"/>
    <w:rsid w:val="00D47C6E"/>
    <w:rsid w:val="00D47CA0"/>
    <w:rsid w:val="00D47D03"/>
    <w:rsid w:val="00D47DF2"/>
    <w:rsid w:val="00D47F67"/>
    <w:rsid w:val="00D47FFB"/>
    <w:rsid w:val="00D50059"/>
    <w:rsid w:val="00D50187"/>
    <w:rsid w:val="00D50196"/>
    <w:rsid w:val="00D501B4"/>
    <w:rsid w:val="00D5026E"/>
    <w:rsid w:val="00D502A1"/>
    <w:rsid w:val="00D502CA"/>
    <w:rsid w:val="00D50478"/>
    <w:rsid w:val="00D504B4"/>
    <w:rsid w:val="00D5051D"/>
    <w:rsid w:val="00D5067B"/>
    <w:rsid w:val="00D50695"/>
    <w:rsid w:val="00D509D2"/>
    <w:rsid w:val="00D50A37"/>
    <w:rsid w:val="00D50B1F"/>
    <w:rsid w:val="00D50B6A"/>
    <w:rsid w:val="00D50B8C"/>
    <w:rsid w:val="00D50BCF"/>
    <w:rsid w:val="00D50C29"/>
    <w:rsid w:val="00D50D47"/>
    <w:rsid w:val="00D50D71"/>
    <w:rsid w:val="00D50F8D"/>
    <w:rsid w:val="00D50F9C"/>
    <w:rsid w:val="00D50FB8"/>
    <w:rsid w:val="00D510A4"/>
    <w:rsid w:val="00D5119A"/>
    <w:rsid w:val="00D51205"/>
    <w:rsid w:val="00D51218"/>
    <w:rsid w:val="00D51264"/>
    <w:rsid w:val="00D51280"/>
    <w:rsid w:val="00D512D6"/>
    <w:rsid w:val="00D51315"/>
    <w:rsid w:val="00D51348"/>
    <w:rsid w:val="00D51361"/>
    <w:rsid w:val="00D5137E"/>
    <w:rsid w:val="00D513CB"/>
    <w:rsid w:val="00D513E1"/>
    <w:rsid w:val="00D513F5"/>
    <w:rsid w:val="00D5148D"/>
    <w:rsid w:val="00D514B5"/>
    <w:rsid w:val="00D5156C"/>
    <w:rsid w:val="00D515A1"/>
    <w:rsid w:val="00D51607"/>
    <w:rsid w:val="00D516B7"/>
    <w:rsid w:val="00D51754"/>
    <w:rsid w:val="00D51795"/>
    <w:rsid w:val="00D5179D"/>
    <w:rsid w:val="00D517A8"/>
    <w:rsid w:val="00D517B0"/>
    <w:rsid w:val="00D517E3"/>
    <w:rsid w:val="00D518A9"/>
    <w:rsid w:val="00D51956"/>
    <w:rsid w:val="00D5197D"/>
    <w:rsid w:val="00D519AA"/>
    <w:rsid w:val="00D51A31"/>
    <w:rsid w:val="00D51A48"/>
    <w:rsid w:val="00D51A61"/>
    <w:rsid w:val="00D51B79"/>
    <w:rsid w:val="00D51B94"/>
    <w:rsid w:val="00D51C40"/>
    <w:rsid w:val="00D51D89"/>
    <w:rsid w:val="00D51DDC"/>
    <w:rsid w:val="00D51EE0"/>
    <w:rsid w:val="00D51EEE"/>
    <w:rsid w:val="00D51FE9"/>
    <w:rsid w:val="00D52076"/>
    <w:rsid w:val="00D52080"/>
    <w:rsid w:val="00D520A6"/>
    <w:rsid w:val="00D5215C"/>
    <w:rsid w:val="00D521C5"/>
    <w:rsid w:val="00D521DB"/>
    <w:rsid w:val="00D52257"/>
    <w:rsid w:val="00D52271"/>
    <w:rsid w:val="00D52299"/>
    <w:rsid w:val="00D5229E"/>
    <w:rsid w:val="00D52373"/>
    <w:rsid w:val="00D5241E"/>
    <w:rsid w:val="00D525AD"/>
    <w:rsid w:val="00D526D9"/>
    <w:rsid w:val="00D5272B"/>
    <w:rsid w:val="00D5279B"/>
    <w:rsid w:val="00D52908"/>
    <w:rsid w:val="00D52921"/>
    <w:rsid w:val="00D52AB6"/>
    <w:rsid w:val="00D52AC0"/>
    <w:rsid w:val="00D52B05"/>
    <w:rsid w:val="00D52B54"/>
    <w:rsid w:val="00D52BC1"/>
    <w:rsid w:val="00D52C14"/>
    <w:rsid w:val="00D52CD5"/>
    <w:rsid w:val="00D52D75"/>
    <w:rsid w:val="00D52DC7"/>
    <w:rsid w:val="00D52DD5"/>
    <w:rsid w:val="00D52E75"/>
    <w:rsid w:val="00D52F38"/>
    <w:rsid w:val="00D52F51"/>
    <w:rsid w:val="00D52FEB"/>
    <w:rsid w:val="00D5305C"/>
    <w:rsid w:val="00D53109"/>
    <w:rsid w:val="00D531EF"/>
    <w:rsid w:val="00D53206"/>
    <w:rsid w:val="00D53212"/>
    <w:rsid w:val="00D53241"/>
    <w:rsid w:val="00D532A3"/>
    <w:rsid w:val="00D533EF"/>
    <w:rsid w:val="00D5340D"/>
    <w:rsid w:val="00D534BC"/>
    <w:rsid w:val="00D53566"/>
    <w:rsid w:val="00D535FC"/>
    <w:rsid w:val="00D53654"/>
    <w:rsid w:val="00D5368D"/>
    <w:rsid w:val="00D536F9"/>
    <w:rsid w:val="00D536FC"/>
    <w:rsid w:val="00D5371A"/>
    <w:rsid w:val="00D537DC"/>
    <w:rsid w:val="00D5380F"/>
    <w:rsid w:val="00D53853"/>
    <w:rsid w:val="00D5394E"/>
    <w:rsid w:val="00D53A3A"/>
    <w:rsid w:val="00D53A55"/>
    <w:rsid w:val="00D53A6D"/>
    <w:rsid w:val="00D53BDF"/>
    <w:rsid w:val="00D53BEF"/>
    <w:rsid w:val="00D53C4E"/>
    <w:rsid w:val="00D53C60"/>
    <w:rsid w:val="00D53C9E"/>
    <w:rsid w:val="00D53D28"/>
    <w:rsid w:val="00D53DA3"/>
    <w:rsid w:val="00D53E3C"/>
    <w:rsid w:val="00D5409D"/>
    <w:rsid w:val="00D540C1"/>
    <w:rsid w:val="00D5420F"/>
    <w:rsid w:val="00D5427D"/>
    <w:rsid w:val="00D542C2"/>
    <w:rsid w:val="00D542FC"/>
    <w:rsid w:val="00D54362"/>
    <w:rsid w:val="00D543B1"/>
    <w:rsid w:val="00D543B3"/>
    <w:rsid w:val="00D54443"/>
    <w:rsid w:val="00D545E6"/>
    <w:rsid w:val="00D54640"/>
    <w:rsid w:val="00D5467D"/>
    <w:rsid w:val="00D547A5"/>
    <w:rsid w:val="00D547E9"/>
    <w:rsid w:val="00D547EC"/>
    <w:rsid w:val="00D54870"/>
    <w:rsid w:val="00D548A1"/>
    <w:rsid w:val="00D548FC"/>
    <w:rsid w:val="00D54989"/>
    <w:rsid w:val="00D54A0C"/>
    <w:rsid w:val="00D54ABD"/>
    <w:rsid w:val="00D54BE7"/>
    <w:rsid w:val="00D54C1F"/>
    <w:rsid w:val="00D54C39"/>
    <w:rsid w:val="00D54D07"/>
    <w:rsid w:val="00D54DC5"/>
    <w:rsid w:val="00D54E57"/>
    <w:rsid w:val="00D54FAC"/>
    <w:rsid w:val="00D54FF1"/>
    <w:rsid w:val="00D550B0"/>
    <w:rsid w:val="00D550C4"/>
    <w:rsid w:val="00D55294"/>
    <w:rsid w:val="00D552CC"/>
    <w:rsid w:val="00D552EE"/>
    <w:rsid w:val="00D55341"/>
    <w:rsid w:val="00D553EE"/>
    <w:rsid w:val="00D5546E"/>
    <w:rsid w:val="00D554AC"/>
    <w:rsid w:val="00D5552E"/>
    <w:rsid w:val="00D55539"/>
    <w:rsid w:val="00D55599"/>
    <w:rsid w:val="00D555E0"/>
    <w:rsid w:val="00D555FD"/>
    <w:rsid w:val="00D5566A"/>
    <w:rsid w:val="00D5569F"/>
    <w:rsid w:val="00D556B9"/>
    <w:rsid w:val="00D5588C"/>
    <w:rsid w:val="00D5591E"/>
    <w:rsid w:val="00D55948"/>
    <w:rsid w:val="00D559A1"/>
    <w:rsid w:val="00D55A3C"/>
    <w:rsid w:val="00D55A3F"/>
    <w:rsid w:val="00D55AC0"/>
    <w:rsid w:val="00D55AF2"/>
    <w:rsid w:val="00D55B06"/>
    <w:rsid w:val="00D55B0E"/>
    <w:rsid w:val="00D55B5D"/>
    <w:rsid w:val="00D55B7D"/>
    <w:rsid w:val="00D55B8B"/>
    <w:rsid w:val="00D55BD7"/>
    <w:rsid w:val="00D55C19"/>
    <w:rsid w:val="00D55CDD"/>
    <w:rsid w:val="00D55CF8"/>
    <w:rsid w:val="00D55D7C"/>
    <w:rsid w:val="00D55DB1"/>
    <w:rsid w:val="00D55EB0"/>
    <w:rsid w:val="00D55F12"/>
    <w:rsid w:val="00D55F76"/>
    <w:rsid w:val="00D55F7A"/>
    <w:rsid w:val="00D56109"/>
    <w:rsid w:val="00D561EF"/>
    <w:rsid w:val="00D56230"/>
    <w:rsid w:val="00D56238"/>
    <w:rsid w:val="00D5638D"/>
    <w:rsid w:val="00D563AF"/>
    <w:rsid w:val="00D563B6"/>
    <w:rsid w:val="00D564F1"/>
    <w:rsid w:val="00D5650B"/>
    <w:rsid w:val="00D566F2"/>
    <w:rsid w:val="00D56703"/>
    <w:rsid w:val="00D567F4"/>
    <w:rsid w:val="00D5684B"/>
    <w:rsid w:val="00D568E1"/>
    <w:rsid w:val="00D56903"/>
    <w:rsid w:val="00D56944"/>
    <w:rsid w:val="00D569A2"/>
    <w:rsid w:val="00D569F2"/>
    <w:rsid w:val="00D569FF"/>
    <w:rsid w:val="00D56A63"/>
    <w:rsid w:val="00D56A81"/>
    <w:rsid w:val="00D56B3C"/>
    <w:rsid w:val="00D56B72"/>
    <w:rsid w:val="00D56BE7"/>
    <w:rsid w:val="00D56BEC"/>
    <w:rsid w:val="00D56BEF"/>
    <w:rsid w:val="00D56BF6"/>
    <w:rsid w:val="00D56C54"/>
    <w:rsid w:val="00D56CDA"/>
    <w:rsid w:val="00D56D0F"/>
    <w:rsid w:val="00D56D43"/>
    <w:rsid w:val="00D56DD2"/>
    <w:rsid w:val="00D56F81"/>
    <w:rsid w:val="00D5702D"/>
    <w:rsid w:val="00D57037"/>
    <w:rsid w:val="00D57038"/>
    <w:rsid w:val="00D5709C"/>
    <w:rsid w:val="00D570DF"/>
    <w:rsid w:val="00D570FD"/>
    <w:rsid w:val="00D571DA"/>
    <w:rsid w:val="00D571F2"/>
    <w:rsid w:val="00D571F6"/>
    <w:rsid w:val="00D571F9"/>
    <w:rsid w:val="00D57253"/>
    <w:rsid w:val="00D5725F"/>
    <w:rsid w:val="00D572AB"/>
    <w:rsid w:val="00D573E0"/>
    <w:rsid w:val="00D57411"/>
    <w:rsid w:val="00D57531"/>
    <w:rsid w:val="00D57580"/>
    <w:rsid w:val="00D5759A"/>
    <w:rsid w:val="00D57620"/>
    <w:rsid w:val="00D57642"/>
    <w:rsid w:val="00D576AF"/>
    <w:rsid w:val="00D57832"/>
    <w:rsid w:val="00D578D1"/>
    <w:rsid w:val="00D57986"/>
    <w:rsid w:val="00D57A9E"/>
    <w:rsid w:val="00D57B20"/>
    <w:rsid w:val="00D57B66"/>
    <w:rsid w:val="00D57B67"/>
    <w:rsid w:val="00D57BE6"/>
    <w:rsid w:val="00D57C3F"/>
    <w:rsid w:val="00D57CBB"/>
    <w:rsid w:val="00D57CC1"/>
    <w:rsid w:val="00D57D67"/>
    <w:rsid w:val="00D57D86"/>
    <w:rsid w:val="00D57DA8"/>
    <w:rsid w:val="00D57DF1"/>
    <w:rsid w:val="00D57E3D"/>
    <w:rsid w:val="00D57F16"/>
    <w:rsid w:val="00D57F7C"/>
    <w:rsid w:val="00D57F7E"/>
    <w:rsid w:val="00D57F93"/>
    <w:rsid w:val="00D6012D"/>
    <w:rsid w:val="00D60159"/>
    <w:rsid w:val="00D60284"/>
    <w:rsid w:val="00D6031D"/>
    <w:rsid w:val="00D603E3"/>
    <w:rsid w:val="00D604C6"/>
    <w:rsid w:val="00D60521"/>
    <w:rsid w:val="00D60617"/>
    <w:rsid w:val="00D60694"/>
    <w:rsid w:val="00D606B9"/>
    <w:rsid w:val="00D608B0"/>
    <w:rsid w:val="00D60952"/>
    <w:rsid w:val="00D60A24"/>
    <w:rsid w:val="00D60A77"/>
    <w:rsid w:val="00D60A93"/>
    <w:rsid w:val="00D60B98"/>
    <w:rsid w:val="00D60C1A"/>
    <w:rsid w:val="00D60C97"/>
    <w:rsid w:val="00D60CB7"/>
    <w:rsid w:val="00D60DAB"/>
    <w:rsid w:val="00D60E3D"/>
    <w:rsid w:val="00D6102A"/>
    <w:rsid w:val="00D610DE"/>
    <w:rsid w:val="00D61148"/>
    <w:rsid w:val="00D61151"/>
    <w:rsid w:val="00D61154"/>
    <w:rsid w:val="00D611FB"/>
    <w:rsid w:val="00D6120A"/>
    <w:rsid w:val="00D6121A"/>
    <w:rsid w:val="00D6127A"/>
    <w:rsid w:val="00D6131B"/>
    <w:rsid w:val="00D6147C"/>
    <w:rsid w:val="00D6152F"/>
    <w:rsid w:val="00D61543"/>
    <w:rsid w:val="00D6156B"/>
    <w:rsid w:val="00D61687"/>
    <w:rsid w:val="00D616AB"/>
    <w:rsid w:val="00D616F0"/>
    <w:rsid w:val="00D61705"/>
    <w:rsid w:val="00D61793"/>
    <w:rsid w:val="00D617D6"/>
    <w:rsid w:val="00D61884"/>
    <w:rsid w:val="00D618CA"/>
    <w:rsid w:val="00D6190B"/>
    <w:rsid w:val="00D61921"/>
    <w:rsid w:val="00D61923"/>
    <w:rsid w:val="00D61ACB"/>
    <w:rsid w:val="00D61B0B"/>
    <w:rsid w:val="00D61B26"/>
    <w:rsid w:val="00D61B48"/>
    <w:rsid w:val="00D61B56"/>
    <w:rsid w:val="00D61B98"/>
    <w:rsid w:val="00D61C17"/>
    <w:rsid w:val="00D61C73"/>
    <w:rsid w:val="00D61C8C"/>
    <w:rsid w:val="00D61CF5"/>
    <w:rsid w:val="00D61D44"/>
    <w:rsid w:val="00D61D59"/>
    <w:rsid w:val="00D61DA9"/>
    <w:rsid w:val="00D61DCD"/>
    <w:rsid w:val="00D61DD0"/>
    <w:rsid w:val="00D61E5F"/>
    <w:rsid w:val="00D61F0B"/>
    <w:rsid w:val="00D620FC"/>
    <w:rsid w:val="00D6222B"/>
    <w:rsid w:val="00D62278"/>
    <w:rsid w:val="00D6228D"/>
    <w:rsid w:val="00D62344"/>
    <w:rsid w:val="00D6236C"/>
    <w:rsid w:val="00D623E9"/>
    <w:rsid w:val="00D62493"/>
    <w:rsid w:val="00D6249F"/>
    <w:rsid w:val="00D6256F"/>
    <w:rsid w:val="00D62582"/>
    <w:rsid w:val="00D6258A"/>
    <w:rsid w:val="00D626FA"/>
    <w:rsid w:val="00D62710"/>
    <w:rsid w:val="00D62720"/>
    <w:rsid w:val="00D62795"/>
    <w:rsid w:val="00D627FE"/>
    <w:rsid w:val="00D6282E"/>
    <w:rsid w:val="00D628B6"/>
    <w:rsid w:val="00D628E1"/>
    <w:rsid w:val="00D6293E"/>
    <w:rsid w:val="00D62950"/>
    <w:rsid w:val="00D62969"/>
    <w:rsid w:val="00D629F2"/>
    <w:rsid w:val="00D629F8"/>
    <w:rsid w:val="00D62A40"/>
    <w:rsid w:val="00D62A6B"/>
    <w:rsid w:val="00D62ADD"/>
    <w:rsid w:val="00D62B0D"/>
    <w:rsid w:val="00D62C2B"/>
    <w:rsid w:val="00D62D27"/>
    <w:rsid w:val="00D62D6F"/>
    <w:rsid w:val="00D62DEB"/>
    <w:rsid w:val="00D62F6C"/>
    <w:rsid w:val="00D6304F"/>
    <w:rsid w:val="00D6334F"/>
    <w:rsid w:val="00D634D7"/>
    <w:rsid w:val="00D636C7"/>
    <w:rsid w:val="00D63778"/>
    <w:rsid w:val="00D637B1"/>
    <w:rsid w:val="00D637F8"/>
    <w:rsid w:val="00D638BB"/>
    <w:rsid w:val="00D63957"/>
    <w:rsid w:val="00D639B0"/>
    <w:rsid w:val="00D63A7A"/>
    <w:rsid w:val="00D63B42"/>
    <w:rsid w:val="00D63BE1"/>
    <w:rsid w:val="00D63C4C"/>
    <w:rsid w:val="00D63CAA"/>
    <w:rsid w:val="00D63D1B"/>
    <w:rsid w:val="00D63D66"/>
    <w:rsid w:val="00D63F33"/>
    <w:rsid w:val="00D63F5F"/>
    <w:rsid w:val="00D63FA9"/>
    <w:rsid w:val="00D63FD5"/>
    <w:rsid w:val="00D63FE5"/>
    <w:rsid w:val="00D64001"/>
    <w:rsid w:val="00D64060"/>
    <w:rsid w:val="00D64186"/>
    <w:rsid w:val="00D6418D"/>
    <w:rsid w:val="00D64241"/>
    <w:rsid w:val="00D64271"/>
    <w:rsid w:val="00D64398"/>
    <w:rsid w:val="00D64403"/>
    <w:rsid w:val="00D6445A"/>
    <w:rsid w:val="00D6446A"/>
    <w:rsid w:val="00D64481"/>
    <w:rsid w:val="00D645BA"/>
    <w:rsid w:val="00D646F5"/>
    <w:rsid w:val="00D64730"/>
    <w:rsid w:val="00D64845"/>
    <w:rsid w:val="00D64917"/>
    <w:rsid w:val="00D649FE"/>
    <w:rsid w:val="00D64AB3"/>
    <w:rsid w:val="00D64ACD"/>
    <w:rsid w:val="00D64B55"/>
    <w:rsid w:val="00D64C39"/>
    <w:rsid w:val="00D64C67"/>
    <w:rsid w:val="00D64CA9"/>
    <w:rsid w:val="00D64CBA"/>
    <w:rsid w:val="00D64E14"/>
    <w:rsid w:val="00D64E49"/>
    <w:rsid w:val="00D64EE9"/>
    <w:rsid w:val="00D64F71"/>
    <w:rsid w:val="00D65072"/>
    <w:rsid w:val="00D650D2"/>
    <w:rsid w:val="00D6513A"/>
    <w:rsid w:val="00D65174"/>
    <w:rsid w:val="00D65224"/>
    <w:rsid w:val="00D65259"/>
    <w:rsid w:val="00D652A8"/>
    <w:rsid w:val="00D65330"/>
    <w:rsid w:val="00D65332"/>
    <w:rsid w:val="00D65344"/>
    <w:rsid w:val="00D65377"/>
    <w:rsid w:val="00D6537C"/>
    <w:rsid w:val="00D653ED"/>
    <w:rsid w:val="00D653F3"/>
    <w:rsid w:val="00D65521"/>
    <w:rsid w:val="00D65558"/>
    <w:rsid w:val="00D65627"/>
    <w:rsid w:val="00D65657"/>
    <w:rsid w:val="00D65665"/>
    <w:rsid w:val="00D657B9"/>
    <w:rsid w:val="00D65996"/>
    <w:rsid w:val="00D6599A"/>
    <w:rsid w:val="00D65AA3"/>
    <w:rsid w:val="00D65AB5"/>
    <w:rsid w:val="00D65AEE"/>
    <w:rsid w:val="00D65B88"/>
    <w:rsid w:val="00D65C1F"/>
    <w:rsid w:val="00D65C28"/>
    <w:rsid w:val="00D65C88"/>
    <w:rsid w:val="00D65CBC"/>
    <w:rsid w:val="00D65D84"/>
    <w:rsid w:val="00D65E95"/>
    <w:rsid w:val="00D65F24"/>
    <w:rsid w:val="00D65F36"/>
    <w:rsid w:val="00D65F50"/>
    <w:rsid w:val="00D66002"/>
    <w:rsid w:val="00D6605C"/>
    <w:rsid w:val="00D6607D"/>
    <w:rsid w:val="00D660D9"/>
    <w:rsid w:val="00D66134"/>
    <w:rsid w:val="00D66157"/>
    <w:rsid w:val="00D661BC"/>
    <w:rsid w:val="00D66220"/>
    <w:rsid w:val="00D66269"/>
    <w:rsid w:val="00D66351"/>
    <w:rsid w:val="00D663FF"/>
    <w:rsid w:val="00D66406"/>
    <w:rsid w:val="00D6641B"/>
    <w:rsid w:val="00D6645E"/>
    <w:rsid w:val="00D66534"/>
    <w:rsid w:val="00D6656B"/>
    <w:rsid w:val="00D665B3"/>
    <w:rsid w:val="00D66685"/>
    <w:rsid w:val="00D666A7"/>
    <w:rsid w:val="00D6672D"/>
    <w:rsid w:val="00D667CB"/>
    <w:rsid w:val="00D667D0"/>
    <w:rsid w:val="00D668DC"/>
    <w:rsid w:val="00D669B3"/>
    <w:rsid w:val="00D669EE"/>
    <w:rsid w:val="00D66BBF"/>
    <w:rsid w:val="00D66BF8"/>
    <w:rsid w:val="00D66C6E"/>
    <w:rsid w:val="00D66C7C"/>
    <w:rsid w:val="00D66CC3"/>
    <w:rsid w:val="00D66D38"/>
    <w:rsid w:val="00D66DDD"/>
    <w:rsid w:val="00D66E3F"/>
    <w:rsid w:val="00D66E5F"/>
    <w:rsid w:val="00D66ECB"/>
    <w:rsid w:val="00D66FC0"/>
    <w:rsid w:val="00D670C3"/>
    <w:rsid w:val="00D6716C"/>
    <w:rsid w:val="00D6725D"/>
    <w:rsid w:val="00D6726A"/>
    <w:rsid w:val="00D67286"/>
    <w:rsid w:val="00D672BC"/>
    <w:rsid w:val="00D672BE"/>
    <w:rsid w:val="00D6739C"/>
    <w:rsid w:val="00D6746D"/>
    <w:rsid w:val="00D67477"/>
    <w:rsid w:val="00D67555"/>
    <w:rsid w:val="00D67582"/>
    <w:rsid w:val="00D675D8"/>
    <w:rsid w:val="00D675E3"/>
    <w:rsid w:val="00D67642"/>
    <w:rsid w:val="00D67654"/>
    <w:rsid w:val="00D676AD"/>
    <w:rsid w:val="00D6771F"/>
    <w:rsid w:val="00D6774B"/>
    <w:rsid w:val="00D6777E"/>
    <w:rsid w:val="00D677EF"/>
    <w:rsid w:val="00D677F3"/>
    <w:rsid w:val="00D6785E"/>
    <w:rsid w:val="00D678BA"/>
    <w:rsid w:val="00D678E7"/>
    <w:rsid w:val="00D67970"/>
    <w:rsid w:val="00D679F5"/>
    <w:rsid w:val="00D67A02"/>
    <w:rsid w:val="00D67A08"/>
    <w:rsid w:val="00D67A77"/>
    <w:rsid w:val="00D67BEB"/>
    <w:rsid w:val="00D67C43"/>
    <w:rsid w:val="00D67C76"/>
    <w:rsid w:val="00D67D76"/>
    <w:rsid w:val="00D67DD5"/>
    <w:rsid w:val="00D67E9D"/>
    <w:rsid w:val="00D67F1B"/>
    <w:rsid w:val="00D67F7D"/>
    <w:rsid w:val="00D680BE"/>
    <w:rsid w:val="00D70019"/>
    <w:rsid w:val="00D70053"/>
    <w:rsid w:val="00D700B9"/>
    <w:rsid w:val="00D701AA"/>
    <w:rsid w:val="00D701F8"/>
    <w:rsid w:val="00D70241"/>
    <w:rsid w:val="00D7040E"/>
    <w:rsid w:val="00D70477"/>
    <w:rsid w:val="00D70557"/>
    <w:rsid w:val="00D7057F"/>
    <w:rsid w:val="00D70643"/>
    <w:rsid w:val="00D7066A"/>
    <w:rsid w:val="00D7069E"/>
    <w:rsid w:val="00D7072F"/>
    <w:rsid w:val="00D7077A"/>
    <w:rsid w:val="00D70907"/>
    <w:rsid w:val="00D7095C"/>
    <w:rsid w:val="00D70A42"/>
    <w:rsid w:val="00D70A74"/>
    <w:rsid w:val="00D70C6F"/>
    <w:rsid w:val="00D70D07"/>
    <w:rsid w:val="00D70D1F"/>
    <w:rsid w:val="00D70DDC"/>
    <w:rsid w:val="00D70EAD"/>
    <w:rsid w:val="00D70EB9"/>
    <w:rsid w:val="00D711B9"/>
    <w:rsid w:val="00D712DD"/>
    <w:rsid w:val="00D71301"/>
    <w:rsid w:val="00D71302"/>
    <w:rsid w:val="00D71343"/>
    <w:rsid w:val="00D714E2"/>
    <w:rsid w:val="00D71540"/>
    <w:rsid w:val="00D71577"/>
    <w:rsid w:val="00D71603"/>
    <w:rsid w:val="00D7163A"/>
    <w:rsid w:val="00D7192E"/>
    <w:rsid w:val="00D71986"/>
    <w:rsid w:val="00D71A3E"/>
    <w:rsid w:val="00D71A80"/>
    <w:rsid w:val="00D71ADD"/>
    <w:rsid w:val="00D71B51"/>
    <w:rsid w:val="00D71B56"/>
    <w:rsid w:val="00D71C1B"/>
    <w:rsid w:val="00D71C2A"/>
    <w:rsid w:val="00D71CFB"/>
    <w:rsid w:val="00D71DB0"/>
    <w:rsid w:val="00D71E33"/>
    <w:rsid w:val="00D71E62"/>
    <w:rsid w:val="00D71F39"/>
    <w:rsid w:val="00D72110"/>
    <w:rsid w:val="00D7214D"/>
    <w:rsid w:val="00D721CE"/>
    <w:rsid w:val="00D7224B"/>
    <w:rsid w:val="00D72284"/>
    <w:rsid w:val="00D7229B"/>
    <w:rsid w:val="00D72318"/>
    <w:rsid w:val="00D723A3"/>
    <w:rsid w:val="00D7240B"/>
    <w:rsid w:val="00D7240E"/>
    <w:rsid w:val="00D7249D"/>
    <w:rsid w:val="00D725B2"/>
    <w:rsid w:val="00D72665"/>
    <w:rsid w:val="00D72672"/>
    <w:rsid w:val="00D72690"/>
    <w:rsid w:val="00D726BE"/>
    <w:rsid w:val="00D726E5"/>
    <w:rsid w:val="00D72716"/>
    <w:rsid w:val="00D7279E"/>
    <w:rsid w:val="00D727C7"/>
    <w:rsid w:val="00D727FC"/>
    <w:rsid w:val="00D7287A"/>
    <w:rsid w:val="00D7289E"/>
    <w:rsid w:val="00D728C2"/>
    <w:rsid w:val="00D728E1"/>
    <w:rsid w:val="00D72A9E"/>
    <w:rsid w:val="00D72B34"/>
    <w:rsid w:val="00D72B55"/>
    <w:rsid w:val="00D72B7C"/>
    <w:rsid w:val="00D72BC6"/>
    <w:rsid w:val="00D72C35"/>
    <w:rsid w:val="00D72C54"/>
    <w:rsid w:val="00D72C67"/>
    <w:rsid w:val="00D72C8A"/>
    <w:rsid w:val="00D72C96"/>
    <w:rsid w:val="00D72CE1"/>
    <w:rsid w:val="00D72DC5"/>
    <w:rsid w:val="00D72E48"/>
    <w:rsid w:val="00D72E85"/>
    <w:rsid w:val="00D72F9F"/>
    <w:rsid w:val="00D73053"/>
    <w:rsid w:val="00D730D6"/>
    <w:rsid w:val="00D730E8"/>
    <w:rsid w:val="00D73148"/>
    <w:rsid w:val="00D73153"/>
    <w:rsid w:val="00D732FF"/>
    <w:rsid w:val="00D7332C"/>
    <w:rsid w:val="00D7332D"/>
    <w:rsid w:val="00D73387"/>
    <w:rsid w:val="00D733C4"/>
    <w:rsid w:val="00D733FC"/>
    <w:rsid w:val="00D73423"/>
    <w:rsid w:val="00D73451"/>
    <w:rsid w:val="00D73484"/>
    <w:rsid w:val="00D734A9"/>
    <w:rsid w:val="00D735D1"/>
    <w:rsid w:val="00D736CF"/>
    <w:rsid w:val="00D7378C"/>
    <w:rsid w:val="00D73825"/>
    <w:rsid w:val="00D738C1"/>
    <w:rsid w:val="00D738F4"/>
    <w:rsid w:val="00D7392E"/>
    <w:rsid w:val="00D73A69"/>
    <w:rsid w:val="00D73A7D"/>
    <w:rsid w:val="00D73AB6"/>
    <w:rsid w:val="00D73AE3"/>
    <w:rsid w:val="00D73B4A"/>
    <w:rsid w:val="00D73B9B"/>
    <w:rsid w:val="00D73C18"/>
    <w:rsid w:val="00D73D22"/>
    <w:rsid w:val="00D73D75"/>
    <w:rsid w:val="00D73E47"/>
    <w:rsid w:val="00D73EEE"/>
    <w:rsid w:val="00D73F05"/>
    <w:rsid w:val="00D73FC3"/>
    <w:rsid w:val="00D73FCD"/>
    <w:rsid w:val="00D74049"/>
    <w:rsid w:val="00D7404D"/>
    <w:rsid w:val="00D740EE"/>
    <w:rsid w:val="00D74145"/>
    <w:rsid w:val="00D741D7"/>
    <w:rsid w:val="00D7424A"/>
    <w:rsid w:val="00D7426C"/>
    <w:rsid w:val="00D74276"/>
    <w:rsid w:val="00D74278"/>
    <w:rsid w:val="00D7428D"/>
    <w:rsid w:val="00D7429A"/>
    <w:rsid w:val="00D7432C"/>
    <w:rsid w:val="00D7436C"/>
    <w:rsid w:val="00D743A9"/>
    <w:rsid w:val="00D7441A"/>
    <w:rsid w:val="00D74498"/>
    <w:rsid w:val="00D744E1"/>
    <w:rsid w:val="00D74561"/>
    <w:rsid w:val="00D745AC"/>
    <w:rsid w:val="00D745D9"/>
    <w:rsid w:val="00D74687"/>
    <w:rsid w:val="00D74845"/>
    <w:rsid w:val="00D74867"/>
    <w:rsid w:val="00D748D3"/>
    <w:rsid w:val="00D748D6"/>
    <w:rsid w:val="00D7492A"/>
    <w:rsid w:val="00D7496F"/>
    <w:rsid w:val="00D74995"/>
    <w:rsid w:val="00D74AA2"/>
    <w:rsid w:val="00D74B7D"/>
    <w:rsid w:val="00D74C28"/>
    <w:rsid w:val="00D74D58"/>
    <w:rsid w:val="00D74D91"/>
    <w:rsid w:val="00D74E92"/>
    <w:rsid w:val="00D74F63"/>
    <w:rsid w:val="00D75053"/>
    <w:rsid w:val="00D75138"/>
    <w:rsid w:val="00D7519E"/>
    <w:rsid w:val="00D751AF"/>
    <w:rsid w:val="00D751FD"/>
    <w:rsid w:val="00D75268"/>
    <w:rsid w:val="00D75323"/>
    <w:rsid w:val="00D7537C"/>
    <w:rsid w:val="00D753E8"/>
    <w:rsid w:val="00D753EA"/>
    <w:rsid w:val="00D75406"/>
    <w:rsid w:val="00D75419"/>
    <w:rsid w:val="00D755FA"/>
    <w:rsid w:val="00D75697"/>
    <w:rsid w:val="00D756B2"/>
    <w:rsid w:val="00D757A8"/>
    <w:rsid w:val="00D757B1"/>
    <w:rsid w:val="00D757BA"/>
    <w:rsid w:val="00D7585F"/>
    <w:rsid w:val="00D75877"/>
    <w:rsid w:val="00D758E2"/>
    <w:rsid w:val="00D75904"/>
    <w:rsid w:val="00D759A4"/>
    <w:rsid w:val="00D759C6"/>
    <w:rsid w:val="00D759CE"/>
    <w:rsid w:val="00D75A0B"/>
    <w:rsid w:val="00D75A89"/>
    <w:rsid w:val="00D75AAA"/>
    <w:rsid w:val="00D75B0A"/>
    <w:rsid w:val="00D75B51"/>
    <w:rsid w:val="00D75BCE"/>
    <w:rsid w:val="00D75CA4"/>
    <w:rsid w:val="00D75CFF"/>
    <w:rsid w:val="00D75D62"/>
    <w:rsid w:val="00D75DB6"/>
    <w:rsid w:val="00D75E07"/>
    <w:rsid w:val="00D75FF3"/>
    <w:rsid w:val="00D75FFA"/>
    <w:rsid w:val="00D7610C"/>
    <w:rsid w:val="00D76356"/>
    <w:rsid w:val="00D7637E"/>
    <w:rsid w:val="00D763D4"/>
    <w:rsid w:val="00D7649E"/>
    <w:rsid w:val="00D76576"/>
    <w:rsid w:val="00D765F4"/>
    <w:rsid w:val="00D7661B"/>
    <w:rsid w:val="00D7670A"/>
    <w:rsid w:val="00D76788"/>
    <w:rsid w:val="00D76794"/>
    <w:rsid w:val="00D76903"/>
    <w:rsid w:val="00D7696E"/>
    <w:rsid w:val="00D76A42"/>
    <w:rsid w:val="00D76A50"/>
    <w:rsid w:val="00D76ABB"/>
    <w:rsid w:val="00D76B4F"/>
    <w:rsid w:val="00D76B52"/>
    <w:rsid w:val="00D76B6E"/>
    <w:rsid w:val="00D76B86"/>
    <w:rsid w:val="00D76CB6"/>
    <w:rsid w:val="00D76D42"/>
    <w:rsid w:val="00D76D4E"/>
    <w:rsid w:val="00D76D5A"/>
    <w:rsid w:val="00D76D69"/>
    <w:rsid w:val="00D76D88"/>
    <w:rsid w:val="00D76DDC"/>
    <w:rsid w:val="00D76E69"/>
    <w:rsid w:val="00D76EEF"/>
    <w:rsid w:val="00D76F07"/>
    <w:rsid w:val="00D76F6F"/>
    <w:rsid w:val="00D76F84"/>
    <w:rsid w:val="00D77017"/>
    <w:rsid w:val="00D7701C"/>
    <w:rsid w:val="00D77040"/>
    <w:rsid w:val="00D7708F"/>
    <w:rsid w:val="00D77120"/>
    <w:rsid w:val="00D77193"/>
    <w:rsid w:val="00D771B7"/>
    <w:rsid w:val="00D77226"/>
    <w:rsid w:val="00D7728F"/>
    <w:rsid w:val="00D772C3"/>
    <w:rsid w:val="00D77344"/>
    <w:rsid w:val="00D77487"/>
    <w:rsid w:val="00D7750B"/>
    <w:rsid w:val="00D77719"/>
    <w:rsid w:val="00D7771A"/>
    <w:rsid w:val="00D77759"/>
    <w:rsid w:val="00D777E8"/>
    <w:rsid w:val="00D7792A"/>
    <w:rsid w:val="00D779CC"/>
    <w:rsid w:val="00D77A47"/>
    <w:rsid w:val="00D77A48"/>
    <w:rsid w:val="00D77B4D"/>
    <w:rsid w:val="00D77B97"/>
    <w:rsid w:val="00D77D02"/>
    <w:rsid w:val="00D77D51"/>
    <w:rsid w:val="00D77DAE"/>
    <w:rsid w:val="00D77E9E"/>
    <w:rsid w:val="00D77F21"/>
    <w:rsid w:val="00D77F2E"/>
    <w:rsid w:val="00D77F63"/>
    <w:rsid w:val="00D77F8F"/>
    <w:rsid w:val="00D80023"/>
    <w:rsid w:val="00D80041"/>
    <w:rsid w:val="00D80113"/>
    <w:rsid w:val="00D80317"/>
    <w:rsid w:val="00D80400"/>
    <w:rsid w:val="00D80489"/>
    <w:rsid w:val="00D80544"/>
    <w:rsid w:val="00D80551"/>
    <w:rsid w:val="00D80587"/>
    <w:rsid w:val="00D8068A"/>
    <w:rsid w:val="00D807F4"/>
    <w:rsid w:val="00D80865"/>
    <w:rsid w:val="00D808DD"/>
    <w:rsid w:val="00D80998"/>
    <w:rsid w:val="00D809A1"/>
    <w:rsid w:val="00D809F8"/>
    <w:rsid w:val="00D80A6B"/>
    <w:rsid w:val="00D80ADE"/>
    <w:rsid w:val="00D80B14"/>
    <w:rsid w:val="00D80B81"/>
    <w:rsid w:val="00D80D72"/>
    <w:rsid w:val="00D80F38"/>
    <w:rsid w:val="00D80F68"/>
    <w:rsid w:val="00D80FC2"/>
    <w:rsid w:val="00D8102B"/>
    <w:rsid w:val="00D810F7"/>
    <w:rsid w:val="00D8118C"/>
    <w:rsid w:val="00D811FC"/>
    <w:rsid w:val="00D8123F"/>
    <w:rsid w:val="00D812CB"/>
    <w:rsid w:val="00D8130E"/>
    <w:rsid w:val="00D8137B"/>
    <w:rsid w:val="00D81539"/>
    <w:rsid w:val="00D81609"/>
    <w:rsid w:val="00D81633"/>
    <w:rsid w:val="00D8164E"/>
    <w:rsid w:val="00D816B6"/>
    <w:rsid w:val="00D816EC"/>
    <w:rsid w:val="00D81706"/>
    <w:rsid w:val="00D81854"/>
    <w:rsid w:val="00D8196F"/>
    <w:rsid w:val="00D819B5"/>
    <w:rsid w:val="00D819F7"/>
    <w:rsid w:val="00D81A2A"/>
    <w:rsid w:val="00D81A31"/>
    <w:rsid w:val="00D81AB3"/>
    <w:rsid w:val="00D81AC8"/>
    <w:rsid w:val="00D81BE1"/>
    <w:rsid w:val="00D81D1C"/>
    <w:rsid w:val="00D81D3B"/>
    <w:rsid w:val="00D81E27"/>
    <w:rsid w:val="00D81FA7"/>
    <w:rsid w:val="00D82048"/>
    <w:rsid w:val="00D8207C"/>
    <w:rsid w:val="00D8218D"/>
    <w:rsid w:val="00D82302"/>
    <w:rsid w:val="00D8244A"/>
    <w:rsid w:val="00D82482"/>
    <w:rsid w:val="00D825A1"/>
    <w:rsid w:val="00D825DB"/>
    <w:rsid w:val="00D82667"/>
    <w:rsid w:val="00D82696"/>
    <w:rsid w:val="00D82702"/>
    <w:rsid w:val="00D827A9"/>
    <w:rsid w:val="00D82828"/>
    <w:rsid w:val="00D828BB"/>
    <w:rsid w:val="00D828E8"/>
    <w:rsid w:val="00D82950"/>
    <w:rsid w:val="00D8295C"/>
    <w:rsid w:val="00D82987"/>
    <w:rsid w:val="00D829AD"/>
    <w:rsid w:val="00D829AF"/>
    <w:rsid w:val="00D829B1"/>
    <w:rsid w:val="00D829D9"/>
    <w:rsid w:val="00D82A93"/>
    <w:rsid w:val="00D82B0F"/>
    <w:rsid w:val="00D82BE6"/>
    <w:rsid w:val="00D82C3B"/>
    <w:rsid w:val="00D82C58"/>
    <w:rsid w:val="00D82C87"/>
    <w:rsid w:val="00D82DA5"/>
    <w:rsid w:val="00D82DB9"/>
    <w:rsid w:val="00D82DE9"/>
    <w:rsid w:val="00D82E71"/>
    <w:rsid w:val="00D83001"/>
    <w:rsid w:val="00D83056"/>
    <w:rsid w:val="00D8309B"/>
    <w:rsid w:val="00D83116"/>
    <w:rsid w:val="00D83123"/>
    <w:rsid w:val="00D831CE"/>
    <w:rsid w:val="00D83238"/>
    <w:rsid w:val="00D832C1"/>
    <w:rsid w:val="00D832FF"/>
    <w:rsid w:val="00D83320"/>
    <w:rsid w:val="00D8335A"/>
    <w:rsid w:val="00D833B4"/>
    <w:rsid w:val="00D83538"/>
    <w:rsid w:val="00D83571"/>
    <w:rsid w:val="00D83640"/>
    <w:rsid w:val="00D8374E"/>
    <w:rsid w:val="00D83876"/>
    <w:rsid w:val="00D838DE"/>
    <w:rsid w:val="00D83916"/>
    <w:rsid w:val="00D8392C"/>
    <w:rsid w:val="00D8392D"/>
    <w:rsid w:val="00D839F9"/>
    <w:rsid w:val="00D83A0A"/>
    <w:rsid w:val="00D83A33"/>
    <w:rsid w:val="00D83BF7"/>
    <w:rsid w:val="00D83CF2"/>
    <w:rsid w:val="00D83DA3"/>
    <w:rsid w:val="00D83EEA"/>
    <w:rsid w:val="00D83EFB"/>
    <w:rsid w:val="00D83F23"/>
    <w:rsid w:val="00D84049"/>
    <w:rsid w:val="00D840ED"/>
    <w:rsid w:val="00D8414A"/>
    <w:rsid w:val="00D841E4"/>
    <w:rsid w:val="00D841EB"/>
    <w:rsid w:val="00D84230"/>
    <w:rsid w:val="00D84236"/>
    <w:rsid w:val="00D8425C"/>
    <w:rsid w:val="00D842A2"/>
    <w:rsid w:val="00D842F7"/>
    <w:rsid w:val="00D844C9"/>
    <w:rsid w:val="00D8453B"/>
    <w:rsid w:val="00D84616"/>
    <w:rsid w:val="00D848A5"/>
    <w:rsid w:val="00D84AAB"/>
    <w:rsid w:val="00D84BCD"/>
    <w:rsid w:val="00D84BF7"/>
    <w:rsid w:val="00D84C47"/>
    <w:rsid w:val="00D84CBE"/>
    <w:rsid w:val="00D84CE8"/>
    <w:rsid w:val="00D84D22"/>
    <w:rsid w:val="00D84D8E"/>
    <w:rsid w:val="00D84E3D"/>
    <w:rsid w:val="00D84E3F"/>
    <w:rsid w:val="00D84EFB"/>
    <w:rsid w:val="00D84F44"/>
    <w:rsid w:val="00D84F4F"/>
    <w:rsid w:val="00D85063"/>
    <w:rsid w:val="00D85087"/>
    <w:rsid w:val="00D85134"/>
    <w:rsid w:val="00D851DA"/>
    <w:rsid w:val="00D851E6"/>
    <w:rsid w:val="00D85290"/>
    <w:rsid w:val="00D85396"/>
    <w:rsid w:val="00D853DD"/>
    <w:rsid w:val="00D8541B"/>
    <w:rsid w:val="00D85461"/>
    <w:rsid w:val="00D854B9"/>
    <w:rsid w:val="00D8552F"/>
    <w:rsid w:val="00D8563A"/>
    <w:rsid w:val="00D856AB"/>
    <w:rsid w:val="00D85721"/>
    <w:rsid w:val="00D8573E"/>
    <w:rsid w:val="00D858EB"/>
    <w:rsid w:val="00D859C0"/>
    <w:rsid w:val="00D85A2A"/>
    <w:rsid w:val="00D85A69"/>
    <w:rsid w:val="00D85A95"/>
    <w:rsid w:val="00D85ACE"/>
    <w:rsid w:val="00D85BFC"/>
    <w:rsid w:val="00D85C38"/>
    <w:rsid w:val="00D85C7F"/>
    <w:rsid w:val="00D85CB1"/>
    <w:rsid w:val="00D85CB5"/>
    <w:rsid w:val="00D85D03"/>
    <w:rsid w:val="00D85D24"/>
    <w:rsid w:val="00D85D36"/>
    <w:rsid w:val="00D85D6C"/>
    <w:rsid w:val="00D85DA5"/>
    <w:rsid w:val="00D85F73"/>
    <w:rsid w:val="00D85FE1"/>
    <w:rsid w:val="00D86049"/>
    <w:rsid w:val="00D860C5"/>
    <w:rsid w:val="00D86183"/>
    <w:rsid w:val="00D86371"/>
    <w:rsid w:val="00D863D1"/>
    <w:rsid w:val="00D8641A"/>
    <w:rsid w:val="00D86437"/>
    <w:rsid w:val="00D864B6"/>
    <w:rsid w:val="00D86522"/>
    <w:rsid w:val="00D865AA"/>
    <w:rsid w:val="00D86683"/>
    <w:rsid w:val="00D866BC"/>
    <w:rsid w:val="00D866D4"/>
    <w:rsid w:val="00D86767"/>
    <w:rsid w:val="00D8676E"/>
    <w:rsid w:val="00D868E5"/>
    <w:rsid w:val="00D86942"/>
    <w:rsid w:val="00D86951"/>
    <w:rsid w:val="00D86A2A"/>
    <w:rsid w:val="00D86A5A"/>
    <w:rsid w:val="00D86AB2"/>
    <w:rsid w:val="00D86BB2"/>
    <w:rsid w:val="00D86BD3"/>
    <w:rsid w:val="00D86C66"/>
    <w:rsid w:val="00D86CAD"/>
    <w:rsid w:val="00D86D56"/>
    <w:rsid w:val="00D86D72"/>
    <w:rsid w:val="00D86DE9"/>
    <w:rsid w:val="00D86E61"/>
    <w:rsid w:val="00D86FB3"/>
    <w:rsid w:val="00D86FEE"/>
    <w:rsid w:val="00D8701B"/>
    <w:rsid w:val="00D871BA"/>
    <w:rsid w:val="00D871F9"/>
    <w:rsid w:val="00D87211"/>
    <w:rsid w:val="00D87225"/>
    <w:rsid w:val="00D87252"/>
    <w:rsid w:val="00D87285"/>
    <w:rsid w:val="00D872A3"/>
    <w:rsid w:val="00D872CE"/>
    <w:rsid w:val="00D8732E"/>
    <w:rsid w:val="00D874B8"/>
    <w:rsid w:val="00D874F8"/>
    <w:rsid w:val="00D87619"/>
    <w:rsid w:val="00D87645"/>
    <w:rsid w:val="00D876C4"/>
    <w:rsid w:val="00D8776F"/>
    <w:rsid w:val="00D877D0"/>
    <w:rsid w:val="00D87867"/>
    <w:rsid w:val="00D87883"/>
    <w:rsid w:val="00D8790B"/>
    <w:rsid w:val="00D87913"/>
    <w:rsid w:val="00D87977"/>
    <w:rsid w:val="00D8799F"/>
    <w:rsid w:val="00D87A8D"/>
    <w:rsid w:val="00D87AA5"/>
    <w:rsid w:val="00D87C87"/>
    <w:rsid w:val="00D87D47"/>
    <w:rsid w:val="00D87D49"/>
    <w:rsid w:val="00D87E6E"/>
    <w:rsid w:val="00D87EC9"/>
    <w:rsid w:val="00D87F9B"/>
    <w:rsid w:val="00D90062"/>
    <w:rsid w:val="00D900D7"/>
    <w:rsid w:val="00D90164"/>
    <w:rsid w:val="00D901B2"/>
    <w:rsid w:val="00D9022D"/>
    <w:rsid w:val="00D90275"/>
    <w:rsid w:val="00D90375"/>
    <w:rsid w:val="00D90448"/>
    <w:rsid w:val="00D904E8"/>
    <w:rsid w:val="00D904EA"/>
    <w:rsid w:val="00D90505"/>
    <w:rsid w:val="00D9051E"/>
    <w:rsid w:val="00D9051F"/>
    <w:rsid w:val="00D90541"/>
    <w:rsid w:val="00D90573"/>
    <w:rsid w:val="00D9059B"/>
    <w:rsid w:val="00D906F5"/>
    <w:rsid w:val="00D906FA"/>
    <w:rsid w:val="00D90740"/>
    <w:rsid w:val="00D90772"/>
    <w:rsid w:val="00D907C6"/>
    <w:rsid w:val="00D908B0"/>
    <w:rsid w:val="00D9092B"/>
    <w:rsid w:val="00D90BB1"/>
    <w:rsid w:val="00D90BB9"/>
    <w:rsid w:val="00D90C74"/>
    <w:rsid w:val="00D90CC4"/>
    <w:rsid w:val="00D90E79"/>
    <w:rsid w:val="00D90EFC"/>
    <w:rsid w:val="00D9106A"/>
    <w:rsid w:val="00D9106F"/>
    <w:rsid w:val="00D91152"/>
    <w:rsid w:val="00D911B4"/>
    <w:rsid w:val="00D911D0"/>
    <w:rsid w:val="00D91283"/>
    <w:rsid w:val="00D913B6"/>
    <w:rsid w:val="00D91470"/>
    <w:rsid w:val="00D9156E"/>
    <w:rsid w:val="00D91761"/>
    <w:rsid w:val="00D9186B"/>
    <w:rsid w:val="00D91872"/>
    <w:rsid w:val="00D91A1A"/>
    <w:rsid w:val="00D91A4E"/>
    <w:rsid w:val="00D91AC6"/>
    <w:rsid w:val="00D91B1A"/>
    <w:rsid w:val="00D91B5E"/>
    <w:rsid w:val="00D91B8E"/>
    <w:rsid w:val="00D91BFA"/>
    <w:rsid w:val="00D91E58"/>
    <w:rsid w:val="00D91E6B"/>
    <w:rsid w:val="00D91E9F"/>
    <w:rsid w:val="00D91F50"/>
    <w:rsid w:val="00D91FB3"/>
    <w:rsid w:val="00D9202D"/>
    <w:rsid w:val="00D9203B"/>
    <w:rsid w:val="00D920D0"/>
    <w:rsid w:val="00D92195"/>
    <w:rsid w:val="00D921C0"/>
    <w:rsid w:val="00D9220B"/>
    <w:rsid w:val="00D92229"/>
    <w:rsid w:val="00D92353"/>
    <w:rsid w:val="00D92364"/>
    <w:rsid w:val="00D9236F"/>
    <w:rsid w:val="00D923B8"/>
    <w:rsid w:val="00D9242F"/>
    <w:rsid w:val="00D92463"/>
    <w:rsid w:val="00D924CB"/>
    <w:rsid w:val="00D924CD"/>
    <w:rsid w:val="00D924EB"/>
    <w:rsid w:val="00D9260F"/>
    <w:rsid w:val="00D9265E"/>
    <w:rsid w:val="00D92719"/>
    <w:rsid w:val="00D92748"/>
    <w:rsid w:val="00D9279F"/>
    <w:rsid w:val="00D92809"/>
    <w:rsid w:val="00D9286B"/>
    <w:rsid w:val="00D929F6"/>
    <w:rsid w:val="00D92A8A"/>
    <w:rsid w:val="00D92B75"/>
    <w:rsid w:val="00D92BC5"/>
    <w:rsid w:val="00D92C3A"/>
    <w:rsid w:val="00D92D1F"/>
    <w:rsid w:val="00D92DB3"/>
    <w:rsid w:val="00D92F31"/>
    <w:rsid w:val="00D92F94"/>
    <w:rsid w:val="00D92FA0"/>
    <w:rsid w:val="00D93076"/>
    <w:rsid w:val="00D93143"/>
    <w:rsid w:val="00D93278"/>
    <w:rsid w:val="00D93381"/>
    <w:rsid w:val="00D933AD"/>
    <w:rsid w:val="00D933F3"/>
    <w:rsid w:val="00D934D3"/>
    <w:rsid w:val="00D9358D"/>
    <w:rsid w:val="00D93603"/>
    <w:rsid w:val="00D936AC"/>
    <w:rsid w:val="00D936F7"/>
    <w:rsid w:val="00D93796"/>
    <w:rsid w:val="00D937DE"/>
    <w:rsid w:val="00D93815"/>
    <w:rsid w:val="00D93826"/>
    <w:rsid w:val="00D93835"/>
    <w:rsid w:val="00D93849"/>
    <w:rsid w:val="00D938C2"/>
    <w:rsid w:val="00D93962"/>
    <w:rsid w:val="00D939FB"/>
    <w:rsid w:val="00D93A77"/>
    <w:rsid w:val="00D93AA9"/>
    <w:rsid w:val="00D93B45"/>
    <w:rsid w:val="00D93BCD"/>
    <w:rsid w:val="00D93BE5"/>
    <w:rsid w:val="00D93BE7"/>
    <w:rsid w:val="00D93BEA"/>
    <w:rsid w:val="00D93FD0"/>
    <w:rsid w:val="00D940CF"/>
    <w:rsid w:val="00D94117"/>
    <w:rsid w:val="00D9421E"/>
    <w:rsid w:val="00D94233"/>
    <w:rsid w:val="00D94248"/>
    <w:rsid w:val="00D94280"/>
    <w:rsid w:val="00D942AC"/>
    <w:rsid w:val="00D943B1"/>
    <w:rsid w:val="00D94448"/>
    <w:rsid w:val="00D94457"/>
    <w:rsid w:val="00D94539"/>
    <w:rsid w:val="00D9459D"/>
    <w:rsid w:val="00D945CB"/>
    <w:rsid w:val="00D9465C"/>
    <w:rsid w:val="00D94677"/>
    <w:rsid w:val="00D94707"/>
    <w:rsid w:val="00D94741"/>
    <w:rsid w:val="00D947D1"/>
    <w:rsid w:val="00D947D4"/>
    <w:rsid w:val="00D947E4"/>
    <w:rsid w:val="00D9485B"/>
    <w:rsid w:val="00D9489C"/>
    <w:rsid w:val="00D94936"/>
    <w:rsid w:val="00D94975"/>
    <w:rsid w:val="00D94976"/>
    <w:rsid w:val="00D94986"/>
    <w:rsid w:val="00D94B49"/>
    <w:rsid w:val="00D94B7C"/>
    <w:rsid w:val="00D94D65"/>
    <w:rsid w:val="00D94D75"/>
    <w:rsid w:val="00D94FAF"/>
    <w:rsid w:val="00D94FBB"/>
    <w:rsid w:val="00D94FC9"/>
    <w:rsid w:val="00D95013"/>
    <w:rsid w:val="00D9508E"/>
    <w:rsid w:val="00D9518C"/>
    <w:rsid w:val="00D951CA"/>
    <w:rsid w:val="00D952CC"/>
    <w:rsid w:val="00D952E3"/>
    <w:rsid w:val="00D95370"/>
    <w:rsid w:val="00D953BD"/>
    <w:rsid w:val="00D953D2"/>
    <w:rsid w:val="00D95462"/>
    <w:rsid w:val="00D95468"/>
    <w:rsid w:val="00D9549B"/>
    <w:rsid w:val="00D95589"/>
    <w:rsid w:val="00D955B2"/>
    <w:rsid w:val="00D956D5"/>
    <w:rsid w:val="00D957A3"/>
    <w:rsid w:val="00D95815"/>
    <w:rsid w:val="00D9581A"/>
    <w:rsid w:val="00D95891"/>
    <w:rsid w:val="00D9591F"/>
    <w:rsid w:val="00D95988"/>
    <w:rsid w:val="00D95997"/>
    <w:rsid w:val="00D95A31"/>
    <w:rsid w:val="00D95A75"/>
    <w:rsid w:val="00D95B24"/>
    <w:rsid w:val="00D95B2A"/>
    <w:rsid w:val="00D95BD5"/>
    <w:rsid w:val="00D95C98"/>
    <w:rsid w:val="00D95CFA"/>
    <w:rsid w:val="00D95D4E"/>
    <w:rsid w:val="00D95E07"/>
    <w:rsid w:val="00D95E3D"/>
    <w:rsid w:val="00D95EB0"/>
    <w:rsid w:val="00D95F69"/>
    <w:rsid w:val="00D96036"/>
    <w:rsid w:val="00D96056"/>
    <w:rsid w:val="00D9607B"/>
    <w:rsid w:val="00D96086"/>
    <w:rsid w:val="00D960C5"/>
    <w:rsid w:val="00D96174"/>
    <w:rsid w:val="00D96219"/>
    <w:rsid w:val="00D962FA"/>
    <w:rsid w:val="00D9632A"/>
    <w:rsid w:val="00D964BB"/>
    <w:rsid w:val="00D96526"/>
    <w:rsid w:val="00D96546"/>
    <w:rsid w:val="00D96704"/>
    <w:rsid w:val="00D96716"/>
    <w:rsid w:val="00D9672E"/>
    <w:rsid w:val="00D96733"/>
    <w:rsid w:val="00D9676F"/>
    <w:rsid w:val="00D9679F"/>
    <w:rsid w:val="00D9686D"/>
    <w:rsid w:val="00D96877"/>
    <w:rsid w:val="00D96922"/>
    <w:rsid w:val="00D96A0E"/>
    <w:rsid w:val="00D96A25"/>
    <w:rsid w:val="00D96A77"/>
    <w:rsid w:val="00D96BF1"/>
    <w:rsid w:val="00D96C68"/>
    <w:rsid w:val="00D96C7D"/>
    <w:rsid w:val="00D96C86"/>
    <w:rsid w:val="00D96C98"/>
    <w:rsid w:val="00D96D21"/>
    <w:rsid w:val="00D96DC6"/>
    <w:rsid w:val="00D96E0F"/>
    <w:rsid w:val="00D96E32"/>
    <w:rsid w:val="00D96EA5"/>
    <w:rsid w:val="00D96F8F"/>
    <w:rsid w:val="00D970B5"/>
    <w:rsid w:val="00D970E7"/>
    <w:rsid w:val="00D9711B"/>
    <w:rsid w:val="00D971C1"/>
    <w:rsid w:val="00D971EC"/>
    <w:rsid w:val="00D97244"/>
    <w:rsid w:val="00D97311"/>
    <w:rsid w:val="00D9732B"/>
    <w:rsid w:val="00D97330"/>
    <w:rsid w:val="00D9740F"/>
    <w:rsid w:val="00D97553"/>
    <w:rsid w:val="00D975D7"/>
    <w:rsid w:val="00D9761A"/>
    <w:rsid w:val="00D976A4"/>
    <w:rsid w:val="00D976B3"/>
    <w:rsid w:val="00D976F2"/>
    <w:rsid w:val="00D9772F"/>
    <w:rsid w:val="00D9773F"/>
    <w:rsid w:val="00D9779C"/>
    <w:rsid w:val="00D977E4"/>
    <w:rsid w:val="00D97864"/>
    <w:rsid w:val="00D978B8"/>
    <w:rsid w:val="00D97939"/>
    <w:rsid w:val="00D9797F"/>
    <w:rsid w:val="00D97A15"/>
    <w:rsid w:val="00D97A50"/>
    <w:rsid w:val="00D97AB5"/>
    <w:rsid w:val="00D97AFF"/>
    <w:rsid w:val="00D97B78"/>
    <w:rsid w:val="00D97BA5"/>
    <w:rsid w:val="00D97C86"/>
    <w:rsid w:val="00D97D5D"/>
    <w:rsid w:val="00DA001D"/>
    <w:rsid w:val="00DA002A"/>
    <w:rsid w:val="00DA008F"/>
    <w:rsid w:val="00DA019A"/>
    <w:rsid w:val="00DA01A3"/>
    <w:rsid w:val="00DA0205"/>
    <w:rsid w:val="00DA02D8"/>
    <w:rsid w:val="00DA0300"/>
    <w:rsid w:val="00DA0324"/>
    <w:rsid w:val="00DA03E6"/>
    <w:rsid w:val="00DA04C9"/>
    <w:rsid w:val="00DA04FD"/>
    <w:rsid w:val="00DA050E"/>
    <w:rsid w:val="00DA0533"/>
    <w:rsid w:val="00DA0571"/>
    <w:rsid w:val="00DA05B5"/>
    <w:rsid w:val="00DA07ED"/>
    <w:rsid w:val="00DA07F7"/>
    <w:rsid w:val="00DA0857"/>
    <w:rsid w:val="00DA0868"/>
    <w:rsid w:val="00DA0945"/>
    <w:rsid w:val="00DA0979"/>
    <w:rsid w:val="00DA09CC"/>
    <w:rsid w:val="00DA0AE6"/>
    <w:rsid w:val="00DA0B44"/>
    <w:rsid w:val="00DA0B5A"/>
    <w:rsid w:val="00DA0B5C"/>
    <w:rsid w:val="00DA0B86"/>
    <w:rsid w:val="00DA0B93"/>
    <w:rsid w:val="00DA0BF7"/>
    <w:rsid w:val="00DA0C32"/>
    <w:rsid w:val="00DA0C76"/>
    <w:rsid w:val="00DA0C77"/>
    <w:rsid w:val="00DA0CCE"/>
    <w:rsid w:val="00DA0CE8"/>
    <w:rsid w:val="00DA0D55"/>
    <w:rsid w:val="00DA0E15"/>
    <w:rsid w:val="00DA0F55"/>
    <w:rsid w:val="00DA0F6A"/>
    <w:rsid w:val="00DA0FCD"/>
    <w:rsid w:val="00DA1028"/>
    <w:rsid w:val="00DA1054"/>
    <w:rsid w:val="00DA10BD"/>
    <w:rsid w:val="00DA1213"/>
    <w:rsid w:val="00DA12F7"/>
    <w:rsid w:val="00DA1344"/>
    <w:rsid w:val="00DA1371"/>
    <w:rsid w:val="00DA13FD"/>
    <w:rsid w:val="00DA142A"/>
    <w:rsid w:val="00DA148E"/>
    <w:rsid w:val="00DA14DC"/>
    <w:rsid w:val="00DA14EC"/>
    <w:rsid w:val="00DA15FC"/>
    <w:rsid w:val="00DA1643"/>
    <w:rsid w:val="00DA16C0"/>
    <w:rsid w:val="00DA178D"/>
    <w:rsid w:val="00DA18B2"/>
    <w:rsid w:val="00DA195F"/>
    <w:rsid w:val="00DA19A2"/>
    <w:rsid w:val="00DA19EC"/>
    <w:rsid w:val="00DA1AF8"/>
    <w:rsid w:val="00DA1B12"/>
    <w:rsid w:val="00DA1B2A"/>
    <w:rsid w:val="00DA1B7B"/>
    <w:rsid w:val="00DA1BEB"/>
    <w:rsid w:val="00DA1CF3"/>
    <w:rsid w:val="00DA1CFE"/>
    <w:rsid w:val="00DA1D77"/>
    <w:rsid w:val="00DA1D78"/>
    <w:rsid w:val="00DA1DFB"/>
    <w:rsid w:val="00DA1FCD"/>
    <w:rsid w:val="00DA2036"/>
    <w:rsid w:val="00DA2096"/>
    <w:rsid w:val="00DA20FE"/>
    <w:rsid w:val="00DA2139"/>
    <w:rsid w:val="00DA2333"/>
    <w:rsid w:val="00DA237E"/>
    <w:rsid w:val="00DA23CE"/>
    <w:rsid w:val="00DA2437"/>
    <w:rsid w:val="00DA246D"/>
    <w:rsid w:val="00DA24A2"/>
    <w:rsid w:val="00DA24C4"/>
    <w:rsid w:val="00DA24F0"/>
    <w:rsid w:val="00DA251D"/>
    <w:rsid w:val="00DA2552"/>
    <w:rsid w:val="00DA258C"/>
    <w:rsid w:val="00DA2851"/>
    <w:rsid w:val="00DA28D7"/>
    <w:rsid w:val="00DA2987"/>
    <w:rsid w:val="00DA2A84"/>
    <w:rsid w:val="00DA2A9C"/>
    <w:rsid w:val="00DA2ABF"/>
    <w:rsid w:val="00DA2AE0"/>
    <w:rsid w:val="00DA2B0A"/>
    <w:rsid w:val="00DA2B14"/>
    <w:rsid w:val="00DA2B53"/>
    <w:rsid w:val="00DA2BCD"/>
    <w:rsid w:val="00DA2BEC"/>
    <w:rsid w:val="00DA2C0B"/>
    <w:rsid w:val="00DA2CFC"/>
    <w:rsid w:val="00DA2D1F"/>
    <w:rsid w:val="00DA2DC1"/>
    <w:rsid w:val="00DA2DC7"/>
    <w:rsid w:val="00DA2DDF"/>
    <w:rsid w:val="00DA2E2F"/>
    <w:rsid w:val="00DA2F18"/>
    <w:rsid w:val="00DA2F59"/>
    <w:rsid w:val="00DA2FEE"/>
    <w:rsid w:val="00DA30B3"/>
    <w:rsid w:val="00DA30DE"/>
    <w:rsid w:val="00DA313E"/>
    <w:rsid w:val="00DA31E0"/>
    <w:rsid w:val="00DA321B"/>
    <w:rsid w:val="00DA325A"/>
    <w:rsid w:val="00DA33BE"/>
    <w:rsid w:val="00DA33CF"/>
    <w:rsid w:val="00DA3449"/>
    <w:rsid w:val="00DA345C"/>
    <w:rsid w:val="00DA346A"/>
    <w:rsid w:val="00DA3482"/>
    <w:rsid w:val="00DA3520"/>
    <w:rsid w:val="00DA3605"/>
    <w:rsid w:val="00DA3768"/>
    <w:rsid w:val="00DA3769"/>
    <w:rsid w:val="00DA37AA"/>
    <w:rsid w:val="00DA37FA"/>
    <w:rsid w:val="00DA37FF"/>
    <w:rsid w:val="00DA3853"/>
    <w:rsid w:val="00DA38A4"/>
    <w:rsid w:val="00DA3921"/>
    <w:rsid w:val="00DA3977"/>
    <w:rsid w:val="00DA39DC"/>
    <w:rsid w:val="00DA3A45"/>
    <w:rsid w:val="00DA3A55"/>
    <w:rsid w:val="00DA3AA0"/>
    <w:rsid w:val="00DA3AF4"/>
    <w:rsid w:val="00DA3B25"/>
    <w:rsid w:val="00DA3DD7"/>
    <w:rsid w:val="00DA3DEE"/>
    <w:rsid w:val="00DA3F25"/>
    <w:rsid w:val="00DA3F9A"/>
    <w:rsid w:val="00DA3FA5"/>
    <w:rsid w:val="00DA3FCD"/>
    <w:rsid w:val="00DA4131"/>
    <w:rsid w:val="00DA427E"/>
    <w:rsid w:val="00DA42A3"/>
    <w:rsid w:val="00DA4304"/>
    <w:rsid w:val="00DA440B"/>
    <w:rsid w:val="00DA4429"/>
    <w:rsid w:val="00DA449E"/>
    <w:rsid w:val="00DA44D3"/>
    <w:rsid w:val="00DA453E"/>
    <w:rsid w:val="00DA4584"/>
    <w:rsid w:val="00DA4654"/>
    <w:rsid w:val="00DA46C0"/>
    <w:rsid w:val="00DA46D3"/>
    <w:rsid w:val="00DA4708"/>
    <w:rsid w:val="00DA475B"/>
    <w:rsid w:val="00DA48A2"/>
    <w:rsid w:val="00DA48B3"/>
    <w:rsid w:val="00DA48C3"/>
    <w:rsid w:val="00DA48E6"/>
    <w:rsid w:val="00DA49E8"/>
    <w:rsid w:val="00DA49F6"/>
    <w:rsid w:val="00DA4A25"/>
    <w:rsid w:val="00DA4AF0"/>
    <w:rsid w:val="00DA4B00"/>
    <w:rsid w:val="00DA4B09"/>
    <w:rsid w:val="00DA4C22"/>
    <w:rsid w:val="00DA4C9B"/>
    <w:rsid w:val="00DA4CA8"/>
    <w:rsid w:val="00DA4CAD"/>
    <w:rsid w:val="00DA4CF5"/>
    <w:rsid w:val="00DA4D4E"/>
    <w:rsid w:val="00DA4DC9"/>
    <w:rsid w:val="00DA4DE6"/>
    <w:rsid w:val="00DA4DE9"/>
    <w:rsid w:val="00DA4EA7"/>
    <w:rsid w:val="00DA4F25"/>
    <w:rsid w:val="00DA4F56"/>
    <w:rsid w:val="00DA5157"/>
    <w:rsid w:val="00DA5178"/>
    <w:rsid w:val="00DA52D0"/>
    <w:rsid w:val="00DA5305"/>
    <w:rsid w:val="00DA530D"/>
    <w:rsid w:val="00DA5345"/>
    <w:rsid w:val="00DA535F"/>
    <w:rsid w:val="00DA538B"/>
    <w:rsid w:val="00DA53D9"/>
    <w:rsid w:val="00DA5578"/>
    <w:rsid w:val="00DA5640"/>
    <w:rsid w:val="00DA5661"/>
    <w:rsid w:val="00DA5701"/>
    <w:rsid w:val="00DA5705"/>
    <w:rsid w:val="00DA580C"/>
    <w:rsid w:val="00DA58B0"/>
    <w:rsid w:val="00DA58C6"/>
    <w:rsid w:val="00DA58CF"/>
    <w:rsid w:val="00DA5912"/>
    <w:rsid w:val="00DA5930"/>
    <w:rsid w:val="00DA593D"/>
    <w:rsid w:val="00DA598D"/>
    <w:rsid w:val="00DA59A8"/>
    <w:rsid w:val="00DA59D2"/>
    <w:rsid w:val="00DA59D4"/>
    <w:rsid w:val="00DA5A38"/>
    <w:rsid w:val="00DA5A3E"/>
    <w:rsid w:val="00DA5A7E"/>
    <w:rsid w:val="00DA5AAB"/>
    <w:rsid w:val="00DA5ACE"/>
    <w:rsid w:val="00DA5BCD"/>
    <w:rsid w:val="00DA5CD1"/>
    <w:rsid w:val="00DA5CE7"/>
    <w:rsid w:val="00DA5D00"/>
    <w:rsid w:val="00DA5D89"/>
    <w:rsid w:val="00DA5DA9"/>
    <w:rsid w:val="00DA5E06"/>
    <w:rsid w:val="00DA5EBB"/>
    <w:rsid w:val="00DA5F73"/>
    <w:rsid w:val="00DA5FD5"/>
    <w:rsid w:val="00DA6085"/>
    <w:rsid w:val="00DA61E6"/>
    <w:rsid w:val="00DA631D"/>
    <w:rsid w:val="00DA636C"/>
    <w:rsid w:val="00DA63C5"/>
    <w:rsid w:val="00DA6555"/>
    <w:rsid w:val="00DA660B"/>
    <w:rsid w:val="00DA665B"/>
    <w:rsid w:val="00DA66CF"/>
    <w:rsid w:val="00DA67D9"/>
    <w:rsid w:val="00DA6846"/>
    <w:rsid w:val="00DA691D"/>
    <w:rsid w:val="00DA6A1F"/>
    <w:rsid w:val="00DA6A39"/>
    <w:rsid w:val="00DA6A67"/>
    <w:rsid w:val="00DA6AA9"/>
    <w:rsid w:val="00DA6BE2"/>
    <w:rsid w:val="00DA6CCC"/>
    <w:rsid w:val="00DA6F59"/>
    <w:rsid w:val="00DA6F6F"/>
    <w:rsid w:val="00DA6FDD"/>
    <w:rsid w:val="00DA702A"/>
    <w:rsid w:val="00DA7062"/>
    <w:rsid w:val="00DA7142"/>
    <w:rsid w:val="00DA71EC"/>
    <w:rsid w:val="00DA7203"/>
    <w:rsid w:val="00DA736C"/>
    <w:rsid w:val="00DA73F3"/>
    <w:rsid w:val="00DA7410"/>
    <w:rsid w:val="00DA7418"/>
    <w:rsid w:val="00DA750A"/>
    <w:rsid w:val="00DA750B"/>
    <w:rsid w:val="00DA756A"/>
    <w:rsid w:val="00DA75C2"/>
    <w:rsid w:val="00DA75F4"/>
    <w:rsid w:val="00DA75F6"/>
    <w:rsid w:val="00DA76DF"/>
    <w:rsid w:val="00DA7926"/>
    <w:rsid w:val="00DA795F"/>
    <w:rsid w:val="00DA7A4A"/>
    <w:rsid w:val="00DA7AB0"/>
    <w:rsid w:val="00DA7B01"/>
    <w:rsid w:val="00DA7C32"/>
    <w:rsid w:val="00DA7CB1"/>
    <w:rsid w:val="00DA7CCA"/>
    <w:rsid w:val="00DA7CCF"/>
    <w:rsid w:val="00DA7DB3"/>
    <w:rsid w:val="00DA7E4A"/>
    <w:rsid w:val="00DB0007"/>
    <w:rsid w:val="00DB0058"/>
    <w:rsid w:val="00DB0081"/>
    <w:rsid w:val="00DB00BE"/>
    <w:rsid w:val="00DB0264"/>
    <w:rsid w:val="00DB02D2"/>
    <w:rsid w:val="00DB03EB"/>
    <w:rsid w:val="00DB03FC"/>
    <w:rsid w:val="00DB043C"/>
    <w:rsid w:val="00DB05BA"/>
    <w:rsid w:val="00DB05C7"/>
    <w:rsid w:val="00DB0632"/>
    <w:rsid w:val="00DB0864"/>
    <w:rsid w:val="00DB087B"/>
    <w:rsid w:val="00DB09CA"/>
    <w:rsid w:val="00DB0A50"/>
    <w:rsid w:val="00DB0ADA"/>
    <w:rsid w:val="00DB0B00"/>
    <w:rsid w:val="00DB0C39"/>
    <w:rsid w:val="00DB0C9F"/>
    <w:rsid w:val="00DB0D0B"/>
    <w:rsid w:val="00DB0D8E"/>
    <w:rsid w:val="00DB0DCC"/>
    <w:rsid w:val="00DB0E2A"/>
    <w:rsid w:val="00DB0F18"/>
    <w:rsid w:val="00DB0F2E"/>
    <w:rsid w:val="00DB1037"/>
    <w:rsid w:val="00DB10CA"/>
    <w:rsid w:val="00DB10E2"/>
    <w:rsid w:val="00DB1137"/>
    <w:rsid w:val="00DB1169"/>
    <w:rsid w:val="00DB11A4"/>
    <w:rsid w:val="00DB11DC"/>
    <w:rsid w:val="00DB1205"/>
    <w:rsid w:val="00DB1255"/>
    <w:rsid w:val="00DB1271"/>
    <w:rsid w:val="00DB129D"/>
    <w:rsid w:val="00DB12FC"/>
    <w:rsid w:val="00DB132C"/>
    <w:rsid w:val="00DB1370"/>
    <w:rsid w:val="00DB137E"/>
    <w:rsid w:val="00DB13C0"/>
    <w:rsid w:val="00DB13CE"/>
    <w:rsid w:val="00DB13F5"/>
    <w:rsid w:val="00DB1452"/>
    <w:rsid w:val="00DB1522"/>
    <w:rsid w:val="00DB1553"/>
    <w:rsid w:val="00DB1563"/>
    <w:rsid w:val="00DB15F4"/>
    <w:rsid w:val="00DB163D"/>
    <w:rsid w:val="00DB173B"/>
    <w:rsid w:val="00DB183D"/>
    <w:rsid w:val="00DB1850"/>
    <w:rsid w:val="00DB1862"/>
    <w:rsid w:val="00DB18A8"/>
    <w:rsid w:val="00DB1933"/>
    <w:rsid w:val="00DB1ACD"/>
    <w:rsid w:val="00DB1CF3"/>
    <w:rsid w:val="00DB1DD5"/>
    <w:rsid w:val="00DB1DF4"/>
    <w:rsid w:val="00DB1F12"/>
    <w:rsid w:val="00DB2080"/>
    <w:rsid w:val="00DB2276"/>
    <w:rsid w:val="00DB2291"/>
    <w:rsid w:val="00DB2441"/>
    <w:rsid w:val="00DB252E"/>
    <w:rsid w:val="00DB25ED"/>
    <w:rsid w:val="00DB265B"/>
    <w:rsid w:val="00DB2660"/>
    <w:rsid w:val="00DB269E"/>
    <w:rsid w:val="00DB26D0"/>
    <w:rsid w:val="00DB2736"/>
    <w:rsid w:val="00DB27C0"/>
    <w:rsid w:val="00DB27F1"/>
    <w:rsid w:val="00DB2867"/>
    <w:rsid w:val="00DB28DA"/>
    <w:rsid w:val="00DB2975"/>
    <w:rsid w:val="00DB298D"/>
    <w:rsid w:val="00DB2B48"/>
    <w:rsid w:val="00DB2B56"/>
    <w:rsid w:val="00DB2B7A"/>
    <w:rsid w:val="00DB2BC4"/>
    <w:rsid w:val="00DB2BE5"/>
    <w:rsid w:val="00DB2CA0"/>
    <w:rsid w:val="00DB2D98"/>
    <w:rsid w:val="00DB2DB9"/>
    <w:rsid w:val="00DB2E0B"/>
    <w:rsid w:val="00DB2E0D"/>
    <w:rsid w:val="00DB2F01"/>
    <w:rsid w:val="00DB2FB1"/>
    <w:rsid w:val="00DB2FFA"/>
    <w:rsid w:val="00DB30B0"/>
    <w:rsid w:val="00DB310D"/>
    <w:rsid w:val="00DB3144"/>
    <w:rsid w:val="00DB3166"/>
    <w:rsid w:val="00DB33A1"/>
    <w:rsid w:val="00DB3448"/>
    <w:rsid w:val="00DB34A8"/>
    <w:rsid w:val="00DB35F4"/>
    <w:rsid w:val="00DB366C"/>
    <w:rsid w:val="00DB36F0"/>
    <w:rsid w:val="00DB3778"/>
    <w:rsid w:val="00DB37A6"/>
    <w:rsid w:val="00DB37C2"/>
    <w:rsid w:val="00DB381E"/>
    <w:rsid w:val="00DB382C"/>
    <w:rsid w:val="00DB388C"/>
    <w:rsid w:val="00DB3913"/>
    <w:rsid w:val="00DB39A1"/>
    <w:rsid w:val="00DB3AB9"/>
    <w:rsid w:val="00DB3AE7"/>
    <w:rsid w:val="00DB3BAE"/>
    <w:rsid w:val="00DB3BB3"/>
    <w:rsid w:val="00DB3BBE"/>
    <w:rsid w:val="00DB3BC2"/>
    <w:rsid w:val="00DB3BDD"/>
    <w:rsid w:val="00DB3BE6"/>
    <w:rsid w:val="00DB3C93"/>
    <w:rsid w:val="00DB3D0A"/>
    <w:rsid w:val="00DB3DB1"/>
    <w:rsid w:val="00DB3DF6"/>
    <w:rsid w:val="00DB3E7C"/>
    <w:rsid w:val="00DB3EF2"/>
    <w:rsid w:val="00DB40E7"/>
    <w:rsid w:val="00DB4171"/>
    <w:rsid w:val="00DB424C"/>
    <w:rsid w:val="00DB42CB"/>
    <w:rsid w:val="00DB4313"/>
    <w:rsid w:val="00DB4462"/>
    <w:rsid w:val="00DB45D5"/>
    <w:rsid w:val="00DB461D"/>
    <w:rsid w:val="00DB47AF"/>
    <w:rsid w:val="00DB4825"/>
    <w:rsid w:val="00DB483B"/>
    <w:rsid w:val="00DB492E"/>
    <w:rsid w:val="00DB493C"/>
    <w:rsid w:val="00DB4961"/>
    <w:rsid w:val="00DB49D6"/>
    <w:rsid w:val="00DB49FB"/>
    <w:rsid w:val="00DB4A41"/>
    <w:rsid w:val="00DB4A63"/>
    <w:rsid w:val="00DB4AF7"/>
    <w:rsid w:val="00DB4BA7"/>
    <w:rsid w:val="00DB4BBD"/>
    <w:rsid w:val="00DB4C89"/>
    <w:rsid w:val="00DB4CC3"/>
    <w:rsid w:val="00DB4CC7"/>
    <w:rsid w:val="00DB4D43"/>
    <w:rsid w:val="00DB4DB6"/>
    <w:rsid w:val="00DB4DCC"/>
    <w:rsid w:val="00DB4E91"/>
    <w:rsid w:val="00DB4F4A"/>
    <w:rsid w:val="00DB4FD0"/>
    <w:rsid w:val="00DB4FE5"/>
    <w:rsid w:val="00DB5090"/>
    <w:rsid w:val="00DB509B"/>
    <w:rsid w:val="00DB5132"/>
    <w:rsid w:val="00DB513A"/>
    <w:rsid w:val="00DB5162"/>
    <w:rsid w:val="00DB5187"/>
    <w:rsid w:val="00DB519E"/>
    <w:rsid w:val="00DB5218"/>
    <w:rsid w:val="00DB5252"/>
    <w:rsid w:val="00DB5288"/>
    <w:rsid w:val="00DB52D9"/>
    <w:rsid w:val="00DB5313"/>
    <w:rsid w:val="00DB537A"/>
    <w:rsid w:val="00DB53C6"/>
    <w:rsid w:val="00DB54B5"/>
    <w:rsid w:val="00DB54B7"/>
    <w:rsid w:val="00DB55B9"/>
    <w:rsid w:val="00DB5616"/>
    <w:rsid w:val="00DB57B4"/>
    <w:rsid w:val="00DB57CE"/>
    <w:rsid w:val="00DB592C"/>
    <w:rsid w:val="00DB59A7"/>
    <w:rsid w:val="00DB5A46"/>
    <w:rsid w:val="00DB5AF9"/>
    <w:rsid w:val="00DB5B41"/>
    <w:rsid w:val="00DB5BFA"/>
    <w:rsid w:val="00DB5C0E"/>
    <w:rsid w:val="00DB5C9F"/>
    <w:rsid w:val="00DB5D12"/>
    <w:rsid w:val="00DB5F37"/>
    <w:rsid w:val="00DB5FC9"/>
    <w:rsid w:val="00DB6019"/>
    <w:rsid w:val="00DB601F"/>
    <w:rsid w:val="00DB60AF"/>
    <w:rsid w:val="00DB60E2"/>
    <w:rsid w:val="00DB6126"/>
    <w:rsid w:val="00DB61C5"/>
    <w:rsid w:val="00DB61CA"/>
    <w:rsid w:val="00DB6377"/>
    <w:rsid w:val="00DB639F"/>
    <w:rsid w:val="00DB63CE"/>
    <w:rsid w:val="00DB6411"/>
    <w:rsid w:val="00DB648F"/>
    <w:rsid w:val="00DB650D"/>
    <w:rsid w:val="00DB654E"/>
    <w:rsid w:val="00DB6657"/>
    <w:rsid w:val="00DB66EB"/>
    <w:rsid w:val="00DB6779"/>
    <w:rsid w:val="00DB6855"/>
    <w:rsid w:val="00DB689F"/>
    <w:rsid w:val="00DB69E2"/>
    <w:rsid w:val="00DB69EC"/>
    <w:rsid w:val="00DB6A0B"/>
    <w:rsid w:val="00DB6A8D"/>
    <w:rsid w:val="00DB6C4D"/>
    <w:rsid w:val="00DB6D14"/>
    <w:rsid w:val="00DB6D7C"/>
    <w:rsid w:val="00DB6DBD"/>
    <w:rsid w:val="00DB6DFD"/>
    <w:rsid w:val="00DB6F2F"/>
    <w:rsid w:val="00DB6F98"/>
    <w:rsid w:val="00DB7035"/>
    <w:rsid w:val="00DB7056"/>
    <w:rsid w:val="00DB708C"/>
    <w:rsid w:val="00DB7103"/>
    <w:rsid w:val="00DB7167"/>
    <w:rsid w:val="00DB71C7"/>
    <w:rsid w:val="00DB71DF"/>
    <w:rsid w:val="00DB7205"/>
    <w:rsid w:val="00DB7255"/>
    <w:rsid w:val="00DB72EE"/>
    <w:rsid w:val="00DB73DF"/>
    <w:rsid w:val="00DB74A0"/>
    <w:rsid w:val="00DB7580"/>
    <w:rsid w:val="00DB7591"/>
    <w:rsid w:val="00DB770C"/>
    <w:rsid w:val="00DB775D"/>
    <w:rsid w:val="00DB77AC"/>
    <w:rsid w:val="00DB77FA"/>
    <w:rsid w:val="00DB7844"/>
    <w:rsid w:val="00DB78B2"/>
    <w:rsid w:val="00DB78D1"/>
    <w:rsid w:val="00DB79D2"/>
    <w:rsid w:val="00DB7A34"/>
    <w:rsid w:val="00DB7ACD"/>
    <w:rsid w:val="00DB7B46"/>
    <w:rsid w:val="00DB7B5C"/>
    <w:rsid w:val="00DB7B6F"/>
    <w:rsid w:val="00DB7BCF"/>
    <w:rsid w:val="00DB7BFC"/>
    <w:rsid w:val="00DB7D70"/>
    <w:rsid w:val="00DB7D79"/>
    <w:rsid w:val="00DB7DFD"/>
    <w:rsid w:val="00DB7E56"/>
    <w:rsid w:val="00DB7EE8"/>
    <w:rsid w:val="00DB7FD2"/>
    <w:rsid w:val="00DC0085"/>
    <w:rsid w:val="00DC00E6"/>
    <w:rsid w:val="00DC0179"/>
    <w:rsid w:val="00DC01B2"/>
    <w:rsid w:val="00DC01CE"/>
    <w:rsid w:val="00DC023E"/>
    <w:rsid w:val="00DC030C"/>
    <w:rsid w:val="00DC0325"/>
    <w:rsid w:val="00DC0330"/>
    <w:rsid w:val="00DC03D9"/>
    <w:rsid w:val="00DC03ED"/>
    <w:rsid w:val="00DC0438"/>
    <w:rsid w:val="00DC0480"/>
    <w:rsid w:val="00DC04B1"/>
    <w:rsid w:val="00DC0569"/>
    <w:rsid w:val="00DC05B2"/>
    <w:rsid w:val="00DC06D6"/>
    <w:rsid w:val="00DC06FD"/>
    <w:rsid w:val="00DC0928"/>
    <w:rsid w:val="00DC0993"/>
    <w:rsid w:val="00DC09CB"/>
    <w:rsid w:val="00DC09F7"/>
    <w:rsid w:val="00DC0ACA"/>
    <w:rsid w:val="00DC0B55"/>
    <w:rsid w:val="00DC0B6C"/>
    <w:rsid w:val="00DC0BF3"/>
    <w:rsid w:val="00DC0C29"/>
    <w:rsid w:val="00DC0C38"/>
    <w:rsid w:val="00DC0C44"/>
    <w:rsid w:val="00DC0C48"/>
    <w:rsid w:val="00DC0D01"/>
    <w:rsid w:val="00DC0D36"/>
    <w:rsid w:val="00DC0D41"/>
    <w:rsid w:val="00DC0DA7"/>
    <w:rsid w:val="00DC0E63"/>
    <w:rsid w:val="00DC0E87"/>
    <w:rsid w:val="00DC0EC3"/>
    <w:rsid w:val="00DC0ECB"/>
    <w:rsid w:val="00DC0EE4"/>
    <w:rsid w:val="00DC0F71"/>
    <w:rsid w:val="00DC0F99"/>
    <w:rsid w:val="00DC106F"/>
    <w:rsid w:val="00DC107F"/>
    <w:rsid w:val="00DC10A2"/>
    <w:rsid w:val="00DC10C7"/>
    <w:rsid w:val="00DC11A2"/>
    <w:rsid w:val="00DC12A8"/>
    <w:rsid w:val="00DC12C0"/>
    <w:rsid w:val="00DC1355"/>
    <w:rsid w:val="00DC13E5"/>
    <w:rsid w:val="00DC1434"/>
    <w:rsid w:val="00DC144A"/>
    <w:rsid w:val="00DC147C"/>
    <w:rsid w:val="00DC1494"/>
    <w:rsid w:val="00DC14D5"/>
    <w:rsid w:val="00DC14DE"/>
    <w:rsid w:val="00DC151E"/>
    <w:rsid w:val="00DC15A2"/>
    <w:rsid w:val="00DC15CA"/>
    <w:rsid w:val="00DC15D9"/>
    <w:rsid w:val="00DC16A7"/>
    <w:rsid w:val="00DC1728"/>
    <w:rsid w:val="00DC1745"/>
    <w:rsid w:val="00DC17D5"/>
    <w:rsid w:val="00DC17F3"/>
    <w:rsid w:val="00DC17FC"/>
    <w:rsid w:val="00DC1856"/>
    <w:rsid w:val="00DC1873"/>
    <w:rsid w:val="00DC1894"/>
    <w:rsid w:val="00DC18B1"/>
    <w:rsid w:val="00DC18CB"/>
    <w:rsid w:val="00DC193A"/>
    <w:rsid w:val="00DC1954"/>
    <w:rsid w:val="00DC1A2D"/>
    <w:rsid w:val="00DC1B00"/>
    <w:rsid w:val="00DC1B15"/>
    <w:rsid w:val="00DC1BBB"/>
    <w:rsid w:val="00DC1BE2"/>
    <w:rsid w:val="00DC1C8A"/>
    <w:rsid w:val="00DC1CB6"/>
    <w:rsid w:val="00DC1D33"/>
    <w:rsid w:val="00DC1D60"/>
    <w:rsid w:val="00DC1DD7"/>
    <w:rsid w:val="00DC1DF4"/>
    <w:rsid w:val="00DC1E7D"/>
    <w:rsid w:val="00DC1E9B"/>
    <w:rsid w:val="00DC1F42"/>
    <w:rsid w:val="00DC1F45"/>
    <w:rsid w:val="00DC1F5D"/>
    <w:rsid w:val="00DC204E"/>
    <w:rsid w:val="00DC20B2"/>
    <w:rsid w:val="00DC20F7"/>
    <w:rsid w:val="00DC211E"/>
    <w:rsid w:val="00DC21C7"/>
    <w:rsid w:val="00DC2253"/>
    <w:rsid w:val="00DC2282"/>
    <w:rsid w:val="00DC2294"/>
    <w:rsid w:val="00DC22D1"/>
    <w:rsid w:val="00DC2334"/>
    <w:rsid w:val="00DC2364"/>
    <w:rsid w:val="00DC2385"/>
    <w:rsid w:val="00DC23CF"/>
    <w:rsid w:val="00DC23EE"/>
    <w:rsid w:val="00DC240B"/>
    <w:rsid w:val="00DC2412"/>
    <w:rsid w:val="00DC2482"/>
    <w:rsid w:val="00DC25C7"/>
    <w:rsid w:val="00DC260D"/>
    <w:rsid w:val="00DC2691"/>
    <w:rsid w:val="00DC272C"/>
    <w:rsid w:val="00DC278E"/>
    <w:rsid w:val="00DC27EC"/>
    <w:rsid w:val="00DC285C"/>
    <w:rsid w:val="00DC287E"/>
    <w:rsid w:val="00DC29A8"/>
    <w:rsid w:val="00DC29DA"/>
    <w:rsid w:val="00DC2AB9"/>
    <w:rsid w:val="00DC2B13"/>
    <w:rsid w:val="00DC2B4D"/>
    <w:rsid w:val="00DC2C2A"/>
    <w:rsid w:val="00DC2C54"/>
    <w:rsid w:val="00DC2CD4"/>
    <w:rsid w:val="00DC2D3B"/>
    <w:rsid w:val="00DC2D7E"/>
    <w:rsid w:val="00DC2DC2"/>
    <w:rsid w:val="00DC2E36"/>
    <w:rsid w:val="00DC2E50"/>
    <w:rsid w:val="00DC2F2E"/>
    <w:rsid w:val="00DC2F79"/>
    <w:rsid w:val="00DC2F95"/>
    <w:rsid w:val="00DC300B"/>
    <w:rsid w:val="00DC3061"/>
    <w:rsid w:val="00DC30B2"/>
    <w:rsid w:val="00DC334B"/>
    <w:rsid w:val="00DC3377"/>
    <w:rsid w:val="00DC3411"/>
    <w:rsid w:val="00DC3493"/>
    <w:rsid w:val="00DC349D"/>
    <w:rsid w:val="00DC355D"/>
    <w:rsid w:val="00DC361C"/>
    <w:rsid w:val="00DC36C5"/>
    <w:rsid w:val="00DC36F5"/>
    <w:rsid w:val="00DC36FD"/>
    <w:rsid w:val="00DC3787"/>
    <w:rsid w:val="00DC37E2"/>
    <w:rsid w:val="00DC386A"/>
    <w:rsid w:val="00DC38FB"/>
    <w:rsid w:val="00DC390D"/>
    <w:rsid w:val="00DC397D"/>
    <w:rsid w:val="00DC39F6"/>
    <w:rsid w:val="00DC3B88"/>
    <w:rsid w:val="00DC3DDA"/>
    <w:rsid w:val="00DC3E5A"/>
    <w:rsid w:val="00DC3E6F"/>
    <w:rsid w:val="00DC3EBE"/>
    <w:rsid w:val="00DC3F6B"/>
    <w:rsid w:val="00DC4070"/>
    <w:rsid w:val="00DC40BB"/>
    <w:rsid w:val="00DC422A"/>
    <w:rsid w:val="00DC42EF"/>
    <w:rsid w:val="00DC43AB"/>
    <w:rsid w:val="00DC44D5"/>
    <w:rsid w:val="00DC452C"/>
    <w:rsid w:val="00DC4547"/>
    <w:rsid w:val="00DC45BB"/>
    <w:rsid w:val="00DC45D9"/>
    <w:rsid w:val="00DC45F4"/>
    <w:rsid w:val="00DC4692"/>
    <w:rsid w:val="00DC473D"/>
    <w:rsid w:val="00DC4748"/>
    <w:rsid w:val="00DC476A"/>
    <w:rsid w:val="00DC48AC"/>
    <w:rsid w:val="00DC48C7"/>
    <w:rsid w:val="00DC49CB"/>
    <w:rsid w:val="00DC49E0"/>
    <w:rsid w:val="00DC4A32"/>
    <w:rsid w:val="00DC4B73"/>
    <w:rsid w:val="00DC4B85"/>
    <w:rsid w:val="00DC4B9C"/>
    <w:rsid w:val="00DC4BBB"/>
    <w:rsid w:val="00DC4BF3"/>
    <w:rsid w:val="00DC4C57"/>
    <w:rsid w:val="00DC4D96"/>
    <w:rsid w:val="00DC4EA4"/>
    <w:rsid w:val="00DC4F4B"/>
    <w:rsid w:val="00DC4FF9"/>
    <w:rsid w:val="00DC50C7"/>
    <w:rsid w:val="00DC50E2"/>
    <w:rsid w:val="00DC50E5"/>
    <w:rsid w:val="00DC5160"/>
    <w:rsid w:val="00DC5318"/>
    <w:rsid w:val="00DC532A"/>
    <w:rsid w:val="00DC5334"/>
    <w:rsid w:val="00DC535F"/>
    <w:rsid w:val="00DC5375"/>
    <w:rsid w:val="00DC54F3"/>
    <w:rsid w:val="00DC54F4"/>
    <w:rsid w:val="00DC55EB"/>
    <w:rsid w:val="00DC5609"/>
    <w:rsid w:val="00DC5677"/>
    <w:rsid w:val="00DC5699"/>
    <w:rsid w:val="00DC56A2"/>
    <w:rsid w:val="00DC56DF"/>
    <w:rsid w:val="00DC572D"/>
    <w:rsid w:val="00DC57AD"/>
    <w:rsid w:val="00DC57F2"/>
    <w:rsid w:val="00DC5801"/>
    <w:rsid w:val="00DC5856"/>
    <w:rsid w:val="00DC58BA"/>
    <w:rsid w:val="00DC58D7"/>
    <w:rsid w:val="00DC590A"/>
    <w:rsid w:val="00DC5931"/>
    <w:rsid w:val="00DC59B1"/>
    <w:rsid w:val="00DC5A01"/>
    <w:rsid w:val="00DC5AF4"/>
    <w:rsid w:val="00DC5B74"/>
    <w:rsid w:val="00DC5B7C"/>
    <w:rsid w:val="00DC5B92"/>
    <w:rsid w:val="00DC5C15"/>
    <w:rsid w:val="00DC5CCA"/>
    <w:rsid w:val="00DC5D33"/>
    <w:rsid w:val="00DC5DAA"/>
    <w:rsid w:val="00DC5E40"/>
    <w:rsid w:val="00DC5FD2"/>
    <w:rsid w:val="00DC60C2"/>
    <w:rsid w:val="00DC6164"/>
    <w:rsid w:val="00DC618F"/>
    <w:rsid w:val="00DC61E5"/>
    <w:rsid w:val="00DC62C6"/>
    <w:rsid w:val="00DC6405"/>
    <w:rsid w:val="00DC64B5"/>
    <w:rsid w:val="00DC6555"/>
    <w:rsid w:val="00DC65A6"/>
    <w:rsid w:val="00DC65D2"/>
    <w:rsid w:val="00DC668A"/>
    <w:rsid w:val="00DC67D5"/>
    <w:rsid w:val="00DC680F"/>
    <w:rsid w:val="00DC684D"/>
    <w:rsid w:val="00DC6859"/>
    <w:rsid w:val="00DC68B0"/>
    <w:rsid w:val="00DC68FA"/>
    <w:rsid w:val="00DC691C"/>
    <w:rsid w:val="00DC6945"/>
    <w:rsid w:val="00DC6950"/>
    <w:rsid w:val="00DC6963"/>
    <w:rsid w:val="00DC696B"/>
    <w:rsid w:val="00DC6A13"/>
    <w:rsid w:val="00DC6A6D"/>
    <w:rsid w:val="00DC6AA2"/>
    <w:rsid w:val="00DC6B09"/>
    <w:rsid w:val="00DC6B0F"/>
    <w:rsid w:val="00DC6B1D"/>
    <w:rsid w:val="00DC6B4E"/>
    <w:rsid w:val="00DC6B78"/>
    <w:rsid w:val="00DC6BBB"/>
    <w:rsid w:val="00DC6BFE"/>
    <w:rsid w:val="00DC6C06"/>
    <w:rsid w:val="00DC6C67"/>
    <w:rsid w:val="00DC6D23"/>
    <w:rsid w:val="00DC6D6C"/>
    <w:rsid w:val="00DC6D8C"/>
    <w:rsid w:val="00DC6D98"/>
    <w:rsid w:val="00DC6DCC"/>
    <w:rsid w:val="00DC6E85"/>
    <w:rsid w:val="00DC6F14"/>
    <w:rsid w:val="00DC6F3A"/>
    <w:rsid w:val="00DC703A"/>
    <w:rsid w:val="00DC7192"/>
    <w:rsid w:val="00DC721D"/>
    <w:rsid w:val="00DC722C"/>
    <w:rsid w:val="00DC73FA"/>
    <w:rsid w:val="00DC73FD"/>
    <w:rsid w:val="00DC7432"/>
    <w:rsid w:val="00DC7594"/>
    <w:rsid w:val="00DC7629"/>
    <w:rsid w:val="00DC76BF"/>
    <w:rsid w:val="00DC7723"/>
    <w:rsid w:val="00DC7847"/>
    <w:rsid w:val="00DC7864"/>
    <w:rsid w:val="00DC78B4"/>
    <w:rsid w:val="00DC7911"/>
    <w:rsid w:val="00DC7917"/>
    <w:rsid w:val="00DC7966"/>
    <w:rsid w:val="00DC7A1B"/>
    <w:rsid w:val="00DC7A77"/>
    <w:rsid w:val="00DC7A93"/>
    <w:rsid w:val="00DC7B07"/>
    <w:rsid w:val="00DC7B3F"/>
    <w:rsid w:val="00DC7B6A"/>
    <w:rsid w:val="00DC7BB2"/>
    <w:rsid w:val="00DC7BCB"/>
    <w:rsid w:val="00DC7C61"/>
    <w:rsid w:val="00DC7DE7"/>
    <w:rsid w:val="00DC7E35"/>
    <w:rsid w:val="00DC7EB6"/>
    <w:rsid w:val="00DC7EFB"/>
    <w:rsid w:val="00DC7F3A"/>
    <w:rsid w:val="00DC7F7A"/>
    <w:rsid w:val="00DC7FA2"/>
    <w:rsid w:val="00DD007B"/>
    <w:rsid w:val="00DD0118"/>
    <w:rsid w:val="00DD0279"/>
    <w:rsid w:val="00DD0401"/>
    <w:rsid w:val="00DD0450"/>
    <w:rsid w:val="00DD04DD"/>
    <w:rsid w:val="00DD054B"/>
    <w:rsid w:val="00DD059B"/>
    <w:rsid w:val="00DD0639"/>
    <w:rsid w:val="00DD0655"/>
    <w:rsid w:val="00DD0676"/>
    <w:rsid w:val="00DD06BF"/>
    <w:rsid w:val="00DD07D6"/>
    <w:rsid w:val="00DD0825"/>
    <w:rsid w:val="00DD0847"/>
    <w:rsid w:val="00DD0897"/>
    <w:rsid w:val="00DD0B7E"/>
    <w:rsid w:val="00DD0BC9"/>
    <w:rsid w:val="00DD0C6D"/>
    <w:rsid w:val="00DD0DBF"/>
    <w:rsid w:val="00DD0DC1"/>
    <w:rsid w:val="00DD0EA5"/>
    <w:rsid w:val="00DD0F53"/>
    <w:rsid w:val="00DD0F6A"/>
    <w:rsid w:val="00DD0FA1"/>
    <w:rsid w:val="00DD0FAB"/>
    <w:rsid w:val="00DD0FD7"/>
    <w:rsid w:val="00DD0FDB"/>
    <w:rsid w:val="00DD1078"/>
    <w:rsid w:val="00DD1083"/>
    <w:rsid w:val="00DD1086"/>
    <w:rsid w:val="00DD114F"/>
    <w:rsid w:val="00DD121A"/>
    <w:rsid w:val="00DD12AE"/>
    <w:rsid w:val="00DD14EC"/>
    <w:rsid w:val="00DD154F"/>
    <w:rsid w:val="00DD1647"/>
    <w:rsid w:val="00DD1816"/>
    <w:rsid w:val="00DD18EF"/>
    <w:rsid w:val="00DD1905"/>
    <w:rsid w:val="00DD195A"/>
    <w:rsid w:val="00DD1A43"/>
    <w:rsid w:val="00DD1A45"/>
    <w:rsid w:val="00DD1ABF"/>
    <w:rsid w:val="00DD1B1A"/>
    <w:rsid w:val="00DD1BA7"/>
    <w:rsid w:val="00DD1BB8"/>
    <w:rsid w:val="00DD1C13"/>
    <w:rsid w:val="00DD1D92"/>
    <w:rsid w:val="00DD1E3D"/>
    <w:rsid w:val="00DD2027"/>
    <w:rsid w:val="00DD2042"/>
    <w:rsid w:val="00DD2154"/>
    <w:rsid w:val="00DD21CD"/>
    <w:rsid w:val="00DD225A"/>
    <w:rsid w:val="00DD22CF"/>
    <w:rsid w:val="00DD2359"/>
    <w:rsid w:val="00DD2365"/>
    <w:rsid w:val="00DD242C"/>
    <w:rsid w:val="00DD245B"/>
    <w:rsid w:val="00DD254E"/>
    <w:rsid w:val="00DD2586"/>
    <w:rsid w:val="00DD2614"/>
    <w:rsid w:val="00DD2708"/>
    <w:rsid w:val="00DD2800"/>
    <w:rsid w:val="00DD280A"/>
    <w:rsid w:val="00DD28E7"/>
    <w:rsid w:val="00DD2946"/>
    <w:rsid w:val="00DD2B32"/>
    <w:rsid w:val="00DD2CD1"/>
    <w:rsid w:val="00DD2E35"/>
    <w:rsid w:val="00DD2E97"/>
    <w:rsid w:val="00DD2F4E"/>
    <w:rsid w:val="00DD2F6B"/>
    <w:rsid w:val="00DD2FA0"/>
    <w:rsid w:val="00DD2FD7"/>
    <w:rsid w:val="00DD2FFB"/>
    <w:rsid w:val="00DD3008"/>
    <w:rsid w:val="00DD306F"/>
    <w:rsid w:val="00DD3098"/>
    <w:rsid w:val="00DD30BF"/>
    <w:rsid w:val="00DD31E2"/>
    <w:rsid w:val="00DD3205"/>
    <w:rsid w:val="00DD3206"/>
    <w:rsid w:val="00DD321E"/>
    <w:rsid w:val="00DD3274"/>
    <w:rsid w:val="00DD33CF"/>
    <w:rsid w:val="00DD346E"/>
    <w:rsid w:val="00DD35C4"/>
    <w:rsid w:val="00DD35C6"/>
    <w:rsid w:val="00DD3626"/>
    <w:rsid w:val="00DD3684"/>
    <w:rsid w:val="00DD36AC"/>
    <w:rsid w:val="00DD38E6"/>
    <w:rsid w:val="00DD395B"/>
    <w:rsid w:val="00DD3976"/>
    <w:rsid w:val="00DD3A00"/>
    <w:rsid w:val="00DD3A51"/>
    <w:rsid w:val="00DD3B8E"/>
    <w:rsid w:val="00DD3C42"/>
    <w:rsid w:val="00DD3C7A"/>
    <w:rsid w:val="00DD3CC1"/>
    <w:rsid w:val="00DD3DF0"/>
    <w:rsid w:val="00DD3DFA"/>
    <w:rsid w:val="00DD3E52"/>
    <w:rsid w:val="00DD3F6A"/>
    <w:rsid w:val="00DD3FB8"/>
    <w:rsid w:val="00DD40CD"/>
    <w:rsid w:val="00DD41C2"/>
    <w:rsid w:val="00DD425A"/>
    <w:rsid w:val="00DD4289"/>
    <w:rsid w:val="00DD42AC"/>
    <w:rsid w:val="00DD4305"/>
    <w:rsid w:val="00DD437E"/>
    <w:rsid w:val="00DD4388"/>
    <w:rsid w:val="00DD43E5"/>
    <w:rsid w:val="00DD4418"/>
    <w:rsid w:val="00DD4543"/>
    <w:rsid w:val="00DD4604"/>
    <w:rsid w:val="00DD4628"/>
    <w:rsid w:val="00DD4633"/>
    <w:rsid w:val="00DD4677"/>
    <w:rsid w:val="00DD46A8"/>
    <w:rsid w:val="00DD46D8"/>
    <w:rsid w:val="00DD46EE"/>
    <w:rsid w:val="00DD479F"/>
    <w:rsid w:val="00DD47DE"/>
    <w:rsid w:val="00DD488F"/>
    <w:rsid w:val="00DD48C1"/>
    <w:rsid w:val="00DD49D9"/>
    <w:rsid w:val="00DD4A62"/>
    <w:rsid w:val="00DD4A8B"/>
    <w:rsid w:val="00DD4C3F"/>
    <w:rsid w:val="00DD4E0D"/>
    <w:rsid w:val="00DD4EEB"/>
    <w:rsid w:val="00DD4F34"/>
    <w:rsid w:val="00DD4F5E"/>
    <w:rsid w:val="00DD4FB1"/>
    <w:rsid w:val="00DD4FB5"/>
    <w:rsid w:val="00DD5019"/>
    <w:rsid w:val="00DD5057"/>
    <w:rsid w:val="00DD5070"/>
    <w:rsid w:val="00DD5119"/>
    <w:rsid w:val="00DD5130"/>
    <w:rsid w:val="00DD516C"/>
    <w:rsid w:val="00DD51CF"/>
    <w:rsid w:val="00DD52FB"/>
    <w:rsid w:val="00DD5300"/>
    <w:rsid w:val="00DD53AE"/>
    <w:rsid w:val="00DD53B3"/>
    <w:rsid w:val="00DD5419"/>
    <w:rsid w:val="00DD55E3"/>
    <w:rsid w:val="00DD55F5"/>
    <w:rsid w:val="00DD563D"/>
    <w:rsid w:val="00DD573C"/>
    <w:rsid w:val="00DD5824"/>
    <w:rsid w:val="00DD586B"/>
    <w:rsid w:val="00DD5954"/>
    <w:rsid w:val="00DD5971"/>
    <w:rsid w:val="00DD5996"/>
    <w:rsid w:val="00DD5AD1"/>
    <w:rsid w:val="00DD5AF6"/>
    <w:rsid w:val="00DD5B32"/>
    <w:rsid w:val="00DD5C4B"/>
    <w:rsid w:val="00DD5C71"/>
    <w:rsid w:val="00DD5CF1"/>
    <w:rsid w:val="00DD5DB9"/>
    <w:rsid w:val="00DD5E50"/>
    <w:rsid w:val="00DD5E5B"/>
    <w:rsid w:val="00DD5EE2"/>
    <w:rsid w:val="00DD5EF2"/>
    <w:rsid w:val="00DD5F3D"/>
    <w:rsid w:val="00DD5FC9"/>
    <w:rsid w:val="00DD5FFA"/>
    <w:rsid w:val="00DD6123"/>
    <w:rsid w:val="00DD6132"/>
    <w:rsid w:val="00DD61F3"/>
    <w:rsid w:val="00DD62C4"/>
    <w:rsid w:val="00DD62F0"/>
    <w:rsid w:val="00DD633A"/>
    <w:rsid w:val="00DD63CB"/>
    <w:rsid w:val="00DD6537"/>
    <w:rsid w:val="00DD6549"/>
    <w:rsid w:val="00DD655E"/>
    <w:rsid w:val="00DD66BC"/>
    <w:rsid w:val="00DD66F8"/>
    <w:rsid w:val="00DD6701"/>
    <w:rsid w:val="00DD6779"/>
    <w:rsid w:val="00DD686B"/>
    <w:rsid w:val="00DD68DA"/>
    <w:rsid w:val="00DD695A"/>
    <w:rsid w:val="00DD69EE"/>
    <w:rsid w:val="00DD6A2A"/>
    <w:rsid w:val="00DD6A8F"/>
    <w:rsid w:val="00DD6B52"/>
    <w:rsid w:val="00DD6C7B"/>
    <w:rsid w:val="00DD6C9A"/>
    <w:rsid w:val="00DD6CA9"/>
    <w:rsid w:val="00DD6CAC"/>
    <w:rsid w:val="00DD6D01"/>
    <w:rsid w:val="00DD6DDF"/>
    <w:rsid w:val="00DD6E41"/>
    <w:rsid w:val="00DD6F1D"/>
    <w:rsid w:val="00DD70E3"/>
    <w:rsid w:val="00DD717D"/>
    <w:rsid w:val="00DD7267"/>
    <w:rsid w:val="00DD7328"/>
    <w:rsid w:val="00DD736B"/>
    <w:rsid w:val="00DD7423"/>
    <w:rsid w:val="00DD7497"/>
    <w:rsid w:val="00DD75AF"/>
    <w:rsid w:val="00DD75BC"/>
    <w:rsid w:val="00DD75FE"/>
    <w:rsid w:val="00DD7657"/>
    <w:rsid w:val="00DD7685"/>
    <w:rsid w:val="00DD7728"/>
    <w:rsid w:val="00DD77AF"/>
    <w:rsid w:val="00DD79B8"/>
    <w:rsid w:val="00DD7B07"/>
    <w:rsid w:val="00DD7B5F"/>
    <w:rsid w:val="00DD7B79"/>
    <w:rsid w:val="00DD7B8D"/>
    <w:rsid w:val="00DD7BA1"/>
    <w:rsid w:val="00DD7BC1"/>
    <w:rsid w:val="00DD7C39"/>
    <w:rsid w:val="00DD7CCB"/>
    <w:rsid w:val="00DD7CCD"/>
    <w:rsid w:val="00DD7D85"/>
    <w:rsid w:val="00DD7E18"/>
    <w:rsid w:val="00DD7E3B"/>
    <w:rsid w:val="00DD7E51"/>
    <w:rsid w:val="00DD7E66"/>
    <w:rsid w:val="00DD7E6E"/>
    <w:rsid w:val="00DE002A"/>
    <w:rsid w:val="00DE0034"/>
    <w:rsid w:val="00DE009C"/>
    <w:rsid w:val="00DE00D4"/>
    <w:rsid w:val="00DE014A"/>
    <w:rsid w:val="00DE016A"/>
    <w:rsid w:val="00DE021B"/>
    <w:rsid w:val="00DE0301"/>
    <w:rsid w:val="00DE031F"/>
    <w:rsid w:val="00DE0355"/>
    <w:rsid w:val="00DE041A"/>
    <w:rsid w:val="00DE0431"/>
    <w:rsid w:val="00DE0499"/>
    <w:rsid w:val="00DE0668"/>
    <w:rsid w:val="00DE0760"/>
    <w:rsid w:val="00DE08CD"/>
    <w:rsid w:val="00DE0942"/>
    <w:rsid w:val="00DE0950"/>
    <w:rsid w:val="00DE096A"/>
    <w:rsid w:val="00DE098C"/>
    <w:rsid w:val="00DE0A7B"/>
    <w:rsid w:val="00DE0AE4"/>
    <w:rsid w:val="00DE0B3E"/>
    <w:rsid w:val="00DE0BF7"/>
    <w:rsid w:val="00DE0CA2"/>
    <w:rsid w:val="00DE0D53"/>
    <w:rsid w:val="00DE0D5F"/>
    <w:rsid w:val="00DE0DA0"/>
    <w:rsid w:val="00DE0DA6"/>
    <w:rsid w:val="00DE0DB0"/>
    <w:rsid w:val="00DE0E58"/>
    <w:rsid w:val="00DE0FA9"/>
    <w:rsid w:val="00DE1069"/>
    <w:rsid w:val="00DE10A0"/>
    <w:rsid w:val="00DE1132"/>
    <w:rsid w:val="00DE1199"/>
    <w:rsid w:val="00DE1390"/>
    <w:rsid w:val="00DE13B5"/>
    <w:rsid w:val="00DE13C3"/>
    <w:rsid w:val="00DE1410"/>
    <w:rsid w:val="00DE14E3"/>
    <w:rsid w:val="00DE153C"/>
    <w:rsid w:val="00DE1579"/>
    <w:rsid w:val="00DE1597"/>
    <w:rsid w:val="00DE166E"/>
    <w:rsid w:val="00DE1687"/>
    <w:rsid w:val="00DE1699"/>
    <w:rsid w:val="00DE1723"/>
    <w:rsid w:val="00DE17F9"/>
    <w:rsid w:val="00DE1832"/>
    <w:rsid w:val="00DE18B6"/>
    <w:rsid w:val="00DE18F1"/>
    <w:rsid w:val="00DE191F"/>
    <w:rsid w:val="00DE1969"/>
    <w:rsid w:val="00DE19A0"/>
    <w:rsid w:val="00DE1A47"/>
    <w:rsid w:val="00DE1A51"/>
    <w:rsid w:val="00DE1A9F"/>
    <w:rsid w:val="00DE1AC2"/>
    <w:rsid w:val="00DE1AD1"/>
    <w:rsid w:val="00DE1BE7"/>
    <w:rsid w:val="00DE1BF0"/>
    <w:rsid w:val="00DE1C4A"/>
    <w:rsid w:val="00DE1C78"/>
    <w:rsid w:val="00DE1DF1"/>
    <w:rsid w:val="00DE1E48"/>
    <w:rsid w:val="00DE1E7C"/>
    <w:rsid w:val="00DE20D2"/>
    <w:rsid w:val="00DE20FF"/>
    <w:rsid w:val="00DE2102"/>
    <w:rsid w:val="00DE2270"/>
    <w:rsid w:val="00DE22D0"/>
    <w:rsid w:val="00DE233A"/>
    <w:rsid w:val="00DE2390"/>
    <w:rsid w:val="00DE24DD"/>
    <w:rsid w:val="00DE2686"/>
    <w:rsid w:val="00DE2867"/>
    <w:rsid w:val="00DE287F"/>
    <w:rsid w:val="00DE28E5"/>
    <w:rsid w:val="00DE2991"/>
    <w:rsid w:val="00DE29F6"/>
    <w:rsid w:val="00DE2ABD"/>
    <w:rsid w:val="00DE2B33"/>
    <w:rsid w:val="00DE2B3B"/>
    <w:rsid w:val="00DE2B7B"/>
    <w:rsid w:val="00DE2BB5"/>
    <w:rsid w:val="00DE2BBE"/>
    <w:rsid w:val="00DE2BEA"/>
    <w:rsid w:val="00DE2C3E"/>
    <w:rsid w:val="00DE2CD1"/>
    <w:rsid w:val="00DE2DD9"/>
    <w:rsid w:val="00DE2E17"/>
    <w:rsid w:val="00DE2F8B"/>
    <w:rsid w:val="00DE2F99"/>
    <w:rsid w:val="00DE2FA8"/>
    <w:rsid w:val="00DE2FEB"/>
    <w:rsid w:val="00DE301D"/>
    <w:rsid w:val="00DE3054"/>
    <w:rsid w:val="00DE3111"/>
    <w:rsid w:val="00DE3183"/>
    <w:rsid w:val="00DE31ED"/>
    <w:rsid w:val="00DE3316"/>
    <w:rsid w:val="00DE332B"/>
    <w:rsid w:val="00DE34B7"/>
    <w:rsid w:val="00DE352B"/>
    <w:rsid w:val="00DE3555"/>
    <w:rsid w:val="00DE35BF"/>
    <w:rsid w:val="00DE35E7"/>
    <w:rsid w:val="00DE35E9"/>
    <w:rsid w:val="00DE361C"/>
    <w:rsid w:val="00DE363F"/>
    <w:rsid w:val="00DE3669"/>
    <w:rsid w:val="00DE36E3"/>
    <w:rsid w:val="00DE3704"/>
    <w:rsid w:val="00DE380D"/>
    <w:rsid w:val="00DE383E"/>
    <w:rsid w:val="00DE3843"/>
    <w:rsid w:val="00DE39C4"/>
    <w:rsid w:val="00DE3A4B"/>
    <w:rsid w:val="00DE3CA4"/>
    <w:rsid w:val="00DE3D4E"/>
    <w:rsid w:val="00DE3E53"/>
    <w:rsid w:val="00DE3F00"/>
    <w:rsid w:val="00DE405D"/>
    <w:rsid w:val="00DE4077"/>
    <w:rsid w:val="00DE412A"/>
    <w:rsid w:val="00DE4133"/>
    <w:rsid w:val="00DE413D"/>
    <w:rsid w:val="00DE418B"/>
    <w:rsid w:val="00DE42EB"/>
    <w:rsid w:val="00DE434B"/>
    <w:rsid w:val="00DE437D"/>
    <w:rsid w:val="00DE439A"/>
    <w:rsid w:val="00DE44E7"/>
    <w:rsid w:val="00DE452D"/>
    <w:rsid w:val="00DE466B"/>
    <w:rsid w:val="00DE480E"/>
    <w:rsid w:val="00DE488B"/>
    <w:rsid w:val="00DE48E2"/>
    <w:rsid w:val="00DE49A6"/>
    <w:rsid w:val="00DE4A33"/>
    <w:rsid w:val="00DE4A7E"/>
    <w:rsid w:val="00DE4B3E"/>
    <w:rsid w:val="00DE4BF1"/>
    <w:rsid w:val="00DE4C04"/>
    <w:rsid w:val="00DE4C1C"/>
    <w:rsid w:val="00DE4D20"/>
    <w:rsid w:val="00DE4D2F"/>
    <w:rsid w:val="00DE4D55"/>
    <w:rsid w:val="00DE4DFE"/>
    <w:rsid w:val="00DE4E05"/>
    <w:rsid w:val="00DE4E3B"/>
    <w:rsid w:val="00DE4E85"/>
    <w:rsid w:val="00DE4EA7"/>
    <w:rsid w:val="00DE4EA8"/>
    <w:rsid w:val="00DE4F59"/>
    <w:rsid w:val="00DE4FFB"/>
    <w:rsid w:val="00DE5033"/>
    <w:rsid w:val="00DE504B"/>
    <w:rsid w:val="00DE5079"/>
    <w:rsid w:val="00DE5156"/>
    <w:rsid w:val="00DE51FF"/>
    <w:rsid w:val="00DE5209"/>
    <w:rsid w:val="00DE5285"/>
    <w:rsid w:val="00DE5292"/>
    <w:rsid w:val="00DE5319"/>
    <w:rsid w:val="00DE531D"/>
    <w:rsid w:val="00DE534B"/>
    <w:rsid w:val="00DE53A0"/>
    <w:rsid w:val="00DE5453"/>
    <w:rsid w:val="00DE548C"/>
    <w:rsid w:val="00DE5490"/>
    <w:rsid w:val="00DE5496"/>
    <w:rsid w:val="00DE5566"/>
    <w:rsid w:val="00DE570B"/>
    <w:rsid w:val="00DE57EA"/>
    <w:rsid w:val="00DE582B"/>
    <w:rsid w:val="00DE586A"/>
    <w:rsid w:val="00DE5926"/>
    <w:rsid w:val="00DE5A01"/>
    <w:rsid w:val="00DE5CCB"/>
    <w:rsid w:val="00DE5CD2"/>
    <w:rsid w:val="00DE5F4F"/>
    <w:rsid w:val="00DE5F78"/>
    <w:rsid w:val="00DE5FFB"/>
    <w:rsid w:val="00DE60ED"/>
    <w:rsid w:val="00DE6105"/>
    <w:rsid w:val="00DE6110"/>
    <w:rsid w:val="00DE616B"/>
    <w:rsid w:val="00DE61CE"/>
    <w:rsid w:val="00DE6220"/>
    <w:rsid w:val="00DE6262"/>
    <w:rsid w:val="00DE6268"/>
    <w:rsid w:val="00DE632A"/>
    <w:rsid w:val="00DE63A2"/>
    <w:rsid w:val="00DE640D"/>
    <w:rsid w:val="00DE6607"/>
    <w:rsid w:val="00DE6665"/>
    <w:rsid w:val="00DE667E"/>
    <w:rsid w:val="00DE6717"/>
    <w:rsid w:val="00DE67C8"/>
    <w:rsid w:val="00DE67D0"/>
    <w:rsid w:val="00DE67FD"/>
    <w:rsid w:val="00DE689D"/>
    <w:rsid w:val="00DE68A4"/>
    <w:rsid w:val="00DE68B6"/>
    <w:rsid w:val="00DE6960"/>
    <w:rsid w:val="00DE6A7E"/>
    <w:rsid w:val="00DE6B36"/>
    <w:rsid w:val="00DE6B64"/>
    <w:rsid w:val="00DE6BA7"/>
    <w:rsid w:val="00DE6CDC"/>
    <w:rsid w:val="00DE6DF5"/>
    <w:rsid w:val="00DE6E6E"/>
    <w:rsid w:val="00DE6E98"/>
    <w:rsid w:val="00DE6F9B"/>
    <w:rsid w:val="00DE7034"/>
    <w:rsid w:val="00DE7136"/>
    <w:rsid w:val="00DE7166"/>
    <w:rsid w:val="00DE717C"/>
    <w:rsid w:val="00DE71D2"/>
    <w:rsid w:val="00DE71E7"/>
    <w:rsid w:val="00DE7215"/>
    <w:rsid w:val="00DE726F"/>
    <w:rsid w:val="00DE72AC"/>
    <w:rsid w:val="00DE72EB"/>
    <w:rsid w:val="00DE731C"/>
    <w:rsid w:val="00DE735C"/>
    <w:rsid w:val="00DE73D7"/>
    <w:rsid w:val="00DE73E5"/>
    <w:rsid w:val="00DE746F"/>
    <w:rsid w:val="00DE7500"/>
    <w:rsid w:val="00DE7527"/>
    <w:rsid w:val="00DE7592"/>
    <w:rsid w:val="00DE75FD"/>
    <w:rsid w:val="00DE7628"/>
    <w:rsid w:val="00DE7654"/>
    <w:rsid w:val="00DE7696"/>
    <w:rsid w:val="00DE7794"/>
    <w:rsid w:val="00DE7809"/>
    <w:rsid w:val="00DE7875"/>
    <w:rsid w:val="00DE7902"/>
    <w:rsid w:val="00DE7997"/>
    <w:rsid w:val="00DE799C"/>
    <w:rsid w:val="00DE7A2D"/>
    <w:rsid w:val="00DE7ABD"/>
    <w:rsid w:val="00DE7B64"/>
    <w:rsid w:val="00DE7BB0"/>
    <w:rsid w:val="00DE7CA4"/>
    <w:rsid w:val="00DE7D18"/>
    <w:rsid w:val="00DE7D3B"/>
    <w:rsid w:val="00DE7D5A"/>
    <w:rsid w:val="00DE7DDE"/>
    <w:rsid w:val="00DE7DE1"/>
    <w:rsid w:val="00DE7DE6"/>
    <w:rsid w:val="00DE7E14"/>
    <w:rsid w:val="00DE7E58"/>
    <w:rsid w:val="00DE7E5B"/>
    <w:rsid w:val="00DE7ED0"/>
    <w:rsid w:val="00DE7F1B"/>
    <w:rsid w:val="00DE7F9C"/>
    <w:rsid w:val="00DF0077"/>
    <w:rsid w:val="00DF0126"/>
    <w:rsid w:val="00DF0167"/>
    <w:rsid w:val="00DF0306"/>
    <w:rsid w:val="00DF03CB"/>
    <w:rsid w:val="00DF03F5"/>
    <w:rsid w:val="00DF0423"/>
    <w:rsid w:val="00DF04C6"/>
    <w:rsid w:val="00DF04FA"/>
    <w:rsid w:val="00DF051B"/>
    <w:rsid w:val="00DF063F"/>
    <w:rsid w:val="00DF070D"/>
    <w:rsid w:val="00DF0728"/>
    <w:rsid w:val="00DF072B"/>
    <w:rsid w:val="00DF0747"/>
    <w:rsid w:val="00DF0765"/>
    <w:rsid w:val="00DF0790"/>
    <w:rsid w:val="00DF07AD"/>
    <w:rsid w:val="00DF095C"/>
    <w:rsid w:val="00DF09A0"/>
    <w:rsid w:val="00DF09EE"/>
    <w:rsid w:val="00DF0A5B"/>
    <w:rsid w:val="00DF0B39"/>
    <w:rsid w:val="00DF0BC5"/>
    <w:rsid w:val="00DF0BFC"/>
    <w:rsid w:val="00DF0C14"/>
    <w:rsid w:val="00DF0C1D"/>
    <w:rsid w:val="00DF0DB9"/>
    <w:rsid w:val="00DF0E44"/>
    <w:rsid w:val="00DF0FBB"/>
    <w:rsid w:val="00DF0FF5"/>
    <w:rsid w:val="00DF10B5"/>
    <w:rsid w:val="00DF10C3"/>
    <w:rsid w:val="00DF1210"/>
    <w:rsid w:val="00DF122A"/>
    <w:rsid w:val="00DF12B3"/>
    <w:rsid w:val="00DF130D"/>
    <w:rsid w:val="00DF132E"/>
    <w:rsid w:val="00DF157D"/>
    <w:rsid w:val="00DF15CA"/>
    <w:rsid w:val="00DF1675"/>
    <w:rsid w:val="00DF16DF"/>
    <w:rsid w:val="00DF16FB"/>
    <w:rsid w:val="00DF1744"/>
    <w:rsid w:val="00DF17B4"/>
    <w:rsid w:val="00DF17E7"/>
    <w:rsid w:val="00DF1809"/>
    <w:rsid w:val="00DF183A"/>
    <w:rsid w:val="00DF18AE"/>
    <w:rsid w:val="00DF19F1"/>
    <w:rsid w:val="00DF1A94"/>
    <w:rsid w:val="00DF1AF6"/>
    <w:rsid w:val="00DF1C20"/>
    <w:rsid w:val="00DF1C77"/>
    <w:rsid w:val="00DF1C7F"/>
    <w:rsid w:val="00DF1C98"/>
    <w:rsid w:val="00DF1EF5"/>
    <w:rsid w:val="00DF2003"/>
    <w:rsid w:val="00DF20FA"/>
    <w:rsid w:val="00DF2146"/>
    <w:rsid w:val="00DF217A"/>
    <w:rsid w:val="00DF225C"/>
    <w:rsid w:val="00DF22A8"/>
    <w:rsid w:val="00DF239B"/>
    <w:rsid w:val="00DF23F9"/>
    <w:rsid w:val="00DF24FB"/>
    <w:rsid w:val="00DF25A3"/>
    <w:rsid w:val="00DF25A5"/>
    <w:rsid w:val="00DF25ED"/>
    <w:rsid w:val="00DF2633"/>
    <w:rsid w:val="00DF265E"/>
    <w:rsid w:val="00DF269E"/>
    <w:rsid w:val="00DF26C7"/>
    <w:rsid w:val="00DF26CC"/>
    <w:rsid w:val="00DF26E1"/>
    <w:rsid w:val="00DF2835"/>
    <w:rsid w:val="00DF292E"/>
    <w:rsid w:val="00DF2A3B"/>
    <w:rsid w:val="00DF2ADA"/>
    <w:rsid w:val="00DF2BB5"/>
    <w:rsid w:val="00DF2BB6"/>
    <w:rsid w:val="00DF2C0E"/>
    <w:rsid w:val="00DF2C37"/>
    <w:rsid w:val="00DF2C4C"/>
    <w:rsid w:val="00DF2C56"/>
    <w:rsid w:val="00DF2C91"/>
    <w:rsid w:val="00DF2D2A"/>
    <w:rsid w:val="00DF2E06"/>
    <w:rsid w:val="00DF2EA7"/>
    <w:rsid w:val="00DF2F00"/>
    <w:rsid w:val="00DF2F13"/>
    <w:rsid w:val="00DF30DB"/>
    <w:rsid w:val="00DF3124"/>
    <w:rsid w:val="00DF3154"/>
    <w:rsid w:val="00DF31F7"/>
    <w:rsid w:val="00DF3261"/>
    <w:rsid w:val="00DF3364"/>
    <w:rsid w:val="00DF3442"/>
    <w:rsid w:val="00DF3470"/>
    <w:rsid w:val="00DF34CA"/>
    <w:rsid w:val="00DF3612"/>
    <w:rsid w:val="00DF3657"/>
    <w:rsid w:val="00DF36A5"/>
    <w:rsid w:val="00DF36F3"/>
    <w:rsid w:val="00DF37DB"/>
    <w:rsid w:val="00DF385F"/>
    <w:rsid w:val="00DF391B"/>
    <w:rsid w:val="00DF39CB"/>
    <w:rsid w:val="00DF39D1"/>
    <w:rsid w:val="00DF3A7E"/>
    <w:rsid w:val="00DF3AC6"/>
    <w:rsid w:val="00DF3B8B"/>
    <w:rsid w:val="00DF3E1E"/>
    <w:rsid w:val="00DF3E3C"/>
    <w:rsid w:val="00DF3E6F"/>
    <w:rsid w:val="00DF3F2D"/>
    <w:rsid w:val="00DF3F40"/>
    <w:rsid w:val="00DF3F4D"/>
    <w:rsid w:val="00DF3F64"/>
    <w:rsid w:val="00DF3FD6"/>
    <w:rsid w:val="00DF4170"/>
    <w:rsid w:val="00DF41CB"/>
    <w:rsid w:val="00DF41D4"/>
    <w:rsid w:val="00DF41FB"/>
    <w:rsid w:val="00DF4274"/>
    <w:rsid w:val="00DF432C"/>
    <w:rsid w:val="00DF4335"/>
    <w:rsid w:val="00DF4346"/>
    <w:rsid w:val="00DF4365"/>
    <w:rsid w:val="00DF43DD"/>
    <w:rsid w:val="00DF43E3"/>
    <w:rsid w:val="00DF4475"/>
    <w:rsid w:val="00DF47CB"/>
    <w:rsid w:val="00DF4834"/>
    <w:rsid w:val="00DF4837"/>
    <w:rsid w:val="00DF4850"/>
    <w:rsid w:val="00DF488C"/>
    <w:rsid w:val="00DF489B"/>
    <w:rsid w:val="00DF4950"/>
    <w:rsid w:val="00DF49B4"/>
    <w:rsid w:val="00DF49F1"/>
    <w:rsid w:val="00DF4BA9"/>
    <w:rsid w:val="00DF4C98"/>
    <w:rsid w:val="00DF4DA2"/>
    <w:rsid w:val="00DF4DDD"/>
    <w:rsid w:val="00DF4F6B"/>
    <w:rsid w:val="00DF4F9E"/>
    <w:rsid w:val="00DF5060"/>
    <w:rsid w:val="00DF507A"/>
    <w:rsid w:val="00DF507B"/>
    <w:rsid w:val="00DF511B"/>
    <w:rsid w:val="00DF51BD"/>
    <w:rsid w:val="00DF5222"/>
    <w:rsid w:val="00DF5316"/>
    <w:rsid w:val="00DF5383"/>
    <w:rsid w:val="00DF557D"/>
    <w:rsid w:val="00DF55D8"/>
    <w:rsid w:val="00DF55DD"/>
    <w:rsid w:val="00DF561A"/>
    <w:rsid w:val="00DF563E"/>
    <w:rsid w:val="00DF56F0"/>
    <w:rsid w:val="00DF56F4"/>
    <w:rsid w:val="00DF5823"/>
    <w:rsid w:val="00DF59E3"/>
    <w:rsid w:val="00DF5A91"/>
    <w:rsid w:val="00DF5ACD"/>
    <w:rsid w:val="00DF5B01"/>
    <w:rsid w:val="00DF5BE5"/>
    <w:rsid w:val="00DF5C58"/>
    <w:rsid w:val="00DF5C64"/>
    <w:rsid w:val="00DF5C8E"/>
    <w:rsid w:val="00DF5CFB"/>
    <w:rsid w:val="00DF5D18"/>
    <w:rsid w:val="00DF5DAA"/>
    <w:rsid w:val="00DF5DB2"/>
    <w:rsid w:val="00DF5E94"/>
    <w:rsid w:val="00DF5EAA"/>
    <w:rsid w:val="00DF5EF2"/>
    <w:rsid w:val="00DF5F46"/>
    <w:rsid w:val="00DF5F5F"/>
    <w:rsid w:val="00DF5FDE"/>
    <w:rsid w:val="00DF6018"/>
    <w:rsid w:val="00DF6051"/>
    <w:rsid w:val="00DF6053"/>
    <w:rsid w:val="00DF60C7"/>
    <w:rsid w:val="00DF6106"/>
    <w:rsid w:val="00DF6229"/>
    <w:rsid w:val="00DF62A8"/>
    <w:rsid w:val="00DF62B4"/>
    <w:rsid w:val="00DF633B"/>
    <w:rsid w:val="00DF638B"/>
    <w:rsid w:val="00DF63DF"/>
    <w:rsid w:val="00DF645A"/>
    <w:rsid w:val="00DF648D"/>
    <w:rsid w:val="00DF64B4"/>
    <w:rsid w:val="00DF65C7"/>
    <w:rsid w:val="00DF66A2"/>
    <w:rsid w:val="00DF66FD"/>
    <w:rsid w:val="00DF675A"/>
    <w:rsid w:val="00DF6760"/>
    <w:rsid w:val="00DF6795"/>
    <w:rsid w:val="00DF6806"/>
    <w:rsid w:val="00DF691D"/>
    <w:rsid w:val="00DF69A4"/>
    <w:rsid w:val="00DF69DA"/>
    <w:rsid w:val="00DF69E6"/>
    <w:rsid w:val="00DF69ED"/>
    <w:rsid w:val="00DF6A5B"/>
    <w:rsid w:val="00DF6B6A"/>
    <w:rsid w:val="00DF6B6E"/>
    <w:rsid w:val="00DF6CD5"/>
    <w:rsid w:val="00DF6CDB"/>
    <w:rsid w:val="00DF6D09"/>
    <w:rsid w:val="00DF6D12"/>
    <w:rsid w:val="00DF6DA6"/>
    <w:rsid w:val="00DF6E96"/>
    <w:rsid w:val="00DF703F"/>
    <w:rsid w:val="00DF7048"/>
    <w:rsid w:val="00DF70A7"/>
    <w:rsid w:val="00DF70F2"/>
    <w:rsid w:val="00DF714F"/>
    <w:rsid w:val="00DF7165"/>
    <w:rsid w:val="00DF71FC"/>
    <w:rsid w:val="00DF720C"/>
    <w:rsid w:val="00DF727F"/>
    <w:rsid w:val="00DF72A1"/>
    <w:rsid w:val="00DF73A9"/>
    <w:rsid w:val="00DF73CA"/>
    <w:rsid w:val="00DF740F"/>
    <w:rsid w:val="00DF7414"/>
    <w:rsid w:val="00DF7423"/>
    <w:rsid w:val="00DF755B"/>
    <w:rsid w:val="00DF757F"/>
    <w:rsid w:val="00DF75F0"/>
    <w:rsid w:val="00DF76B5"/>
    <w:rsid w:val="00DF7724"/>
    <w:rsid w:val="00DF779B"/>
    <w:rsid w:val="00DF7886"/>
    <w:rsid w:val="00DF78B9"/>
    <w:rsid w:val="00DF7930"/>
    <w:rsid w:val="00DF79B7"/>
    <w:rsid w:val="00DF7A1D"/>
    <w:rsid w:val="00DF7A5C"/>
    <w:rsid w:val="00DF7A78"/>
    <w:rsid w:val="00DF7AAE"/>
    <w:rsid w:val="00DF7AC0"/>
    <w:rsid w:val="00DF7AC3"/>
    <w:rsid w:val="00DF7B63"/>
    <w:rsid w:val="00DF7C8F"/>
    <w:rsid w:val="00DF7DDE"/>
    <w:rsid w:val="00DF7E98"/>
    <w:rsid w:val="00DF7E99"/>
    <w:rsid w:val="00DF7EC8"/>
    <w:rsid w:val="00DF7F25"/>
    <w:rsid w:val="00DF7FC3"/>
    <w:rsid w:val="00E000CF"/>
    <w:rsid w:val="00E000DE"/>
    <w:rsid w:val="00E0028B"/>
    <w:rsid w:val="00E0042C"/>
    <w:rsid w:val="00E0042F"/>
    <w:rsid w:val="00E00451"/>
    <w:rsid w:val="00E004B4"/>
    <w:rsid w:val="00E0050E"/>
    <w:rsid w:val="00E00522"/>
    <w:rsid w:val="00E0058A"/>
    <w:rsid w:val="00E00618"/>
    <w:rsid w:val="00E0076E"/>
    <w:rsid w:val="00E007D4"/>
    <w:rsid w:val="00E00880"/>
    <w:rsid w:val="00E009D1"/>
    <w:rsid w:val="00E00B4C"/>
    <w:rsid w:val="00E00B5A"/>
    <w:rsid w:val="00E00C1B"/>
    <w:rsid w:val="00E00C31"/>
    <w:rsid w:val="00E00C7E"/>
    <w:rsid w:val="00E00CE1"/>
    <w:rsid w:val="00E00D25"/>
    <w:rsid w:val="00E00D38"/>
    <w:rsid w:val="00E00D4B"/>
    <w:rsid w:val="00E00D60"/>
    <w:rsid w:val="00E00DC1"/>
    <w:rsid w:val="00E00E02"/>
    <w:rsid w:val="00E00E3A"/>
    <w:rsid w:val="00E00EF2"/>
    <w:rsid w:val="00E010CF"/>
    <w:rsid w:val="00E011E9"/>
    <w:rsid w:val="00E012D7"/>
    <w:rsid w:val="00E01376"/>
    <w:rsid w:val="00E013B1"/>
    <w:rsid w:val="00E013C3"/>
    <w:rsid w:val="00E01409"/>
    <w:rsid w:val="00E01454"/>
    <w:rsid w:val="00E01583"/>
    <w:rsid w:val="00E0158A"/>
    <w:rsid w:val="00E0158D"/>
    <w:rsid w:val="00E015DA"/>
    <w:rsid w:val="00E015DE"/>
    <w:rsid w:val="00E0163A"/>
    <w:rsid w:val="00E016ED"/>
    <w:rsid w:val="00E01740"/>
    <w:rsid w:val="00E01747"/>
    <w:rsid w:val="00E01899"/>
    <w:rsid w:val="00E019F6"/>
    <w:rsid w:val="00E01A15"/>
    <w:rsid w:val="00E01A56"/>
    <w:rsid w:val="00E01A62"/>
    <w:rsid w:val="00E01A99"/>
    <w:rsid w:val="00E01AD6"/>
    <w:rsid w:val="00E01B38"/>
    <w:rsid w:val="00E01DD9"/>
    <w:rsid w:val="00E01DE5"/>
    <w:rsid w:val="00E01DFE"/>
    <w:rsid w:val="00E01E54"/>
    <w:rsid w:val="00E01FF7"/>
    <w:rsid w:val="00E020A8"/>
    <w:rsid w:val="00E0211F"/>
    <w:rsid w:val="00E0214A"/>
    <w:rsid w:val="00E0220B"/>
    <w:rsid w:val="00E02240"/>
    <w:rsid w:val="00E022CE"/>
    <w:rsid w:val="00E0232D"/>
    <w:rsid w:val="00E024CC"/>
    <w:rsid w:val="00E0251E"/>
    <w:rsid w:val="00E025DB"/>
    <w:rsid w:val="00E02640"/>
    <w:rsid w:val="00E02676"/>
    <w:rsid w:val="00E0269D"/>
    <w:rsid w:val="00E02703"/>
    <w:rsid w:val="00E028E8"/>
    <w:rsid w:val="00E0290F"/>
    <w:rsid w:val="00E0298F"/>
    <w:rsid w:val="00E02A19"/>
    <w:rsid w:val="00E02A55"/>
    <w:rsid w:val="00E02AEA"/>
    <w:rsid w:val="00E02B25"/>
    <w:rsid w:val="00E02B44"/>
    <w:rsid w:val="00E02B78"/>
    <w:rsid w:val="00E02BD5"/>
    <w:rsid w:val="00E02BFC"/>
    <w:rsid w:val="00E02C25"/>
    <w:rsid w:val="00E02D1F"/>
    <w:rsid w:val="00E02D29"/>
    <w:rsid w:val="00E02D6C"/>
    <w:rsid w:val="00E02EDC"/>
    <w:rsid w:val="00E02FF1"/>
    <w:rsid w:val="00E03017"/>
    <w:rsid w:val="00E0302C"/>
    <w:rsid w:val="00E0308E"/>
    <w:rsid w:val="00E030C1"/>
    <w:rsid w:val="00E0316F"/>
    <w:rsid w:val="00E0334A"/>
    <w:rsid w:val="00E03436"/>
    <w:rsid w:val="00E03448"/>
    <w:rsid w:val="00E035A8"/>
    <w:rsid w:val="00E0362D"/>
    <w:rsid w:val="00E0368B"/>
    <w:rsid w:val="00E036AF"/>
    <w:rsid w:val="00E03718"/>
    <w:rsid w:val="00E037C4"/>
    <w:rsid w:val="00E0381D"/>
    <w:rsid w:val="00E03A10"/>
    <w:rsid w:val="00E03A17"/>
    <w:rsid w:val="00E03B49"/>
    <w:rsid w:val="00E03B7A"/>
    <w:rsid w:val="00E03B8E"/>
    <w:rsid w:val="00E03BD4"/>
    <w:rsid w:val="00E03BF0"/>
    <w:rsid w:val="00E03D53"/>
    <w:rsid w:val="00E03DA1"/>
    <w:rsid w:val="00E03DF3"/>
    <w:rsid w:val="00E03E6C"/>
    <w:rsid w:val="00E0400F"/>
    <w:rsid w:val="00E04015"/>
    <w:rsid w:val="00E040A8"/>
    <w:rsid w:val="00E040BE"/>
    <w:rsid w:val="00E04103"/>
    <w:rsid w:val="00E041C6"/>
    <w:rsid w:val="00E041D2"/>
    <w:rsid w:val="00E0420E"/>
    <w:rsid w:val="00E04424"/>
    <w:rsid w:val="00E0444B"/>
    <w:rsid w:val="00E04460"/>
    <w:rsid w:val="00E04469"/>
    <w:rsid w:val="00E044B9"/>
    <w:rsid w:val="00E04552"/>
    <w:rsid w:val="00E04585"/>
    <w:rsid w:val="00E045AD"/>
    <w:rsid w:val="00E0468C"/>
    <w:rsid w:val="00E047C8"/>
    <w:rsid w:val="00E04802"/>
    <w:rsid w:val="00E04811"/>
    <w:rsid w:val="00E04855"/>
    <w:rsid w:val="00E04991"/>
    <w:rsid w:val="00E049D0"/>
    <w:rsid w:val="00E049E5"/>
    <w:rsid w:val="00E04B2D"/>
    <w:rsid w:val="00E04BD4"/>
    <w:rsid w:val="00E04D28"/>
    <w:rsid w:val="00E04D52"/>
    <w:rsid w:val="00E04DDC"/>
    <w:rsid w:val="00E04DDF"/>
    <w:rsid w:val="00E04ED3"/>
    <w:rsid w:val="00E04EF8"/>
    <w:rsid w:val="00E050D5"/>
    <w:rsid w:val="00E0512D"/>
    <w:rsid w:val="00E05143"/>
    <w:rsid w:val="00E051A3"/>
    <w:rsid w:val="00E051D3"/>
    <w:rsid w:val="00E05207"/>
    <w:rsid w:val="00E05376"/>
    <w:rsid w:val="00E053B4"/>
    <w:rsid w:val="00E05416"/>
    <w:rsid w:val="00E05422"/>
    <w:rsid w:val="00E0546F"/>
    <w:rsid w:val="00E05486"/>
    <w:rsid w:val="00E0565A"/>
    <w:rsid w:val="00E05694"/>
    <w:rsid w:val="00E056F4"/>
    <w:rsid w:val="00E0578B"/>
    <w:rsid w:val="00E057EA"/>
    <w:rsid w:val="00E0583A"/>
    <w:rsid w:val="00E0592D"/>
    <w:rsid w:val="00E05A1A"/>
    <w:rsid w:val="00E05AE4"/>
    <w:rsid w:val="00E05B59"/>
    <w:rsid w:val="00E05BBB"/>
    <w:rsid w:val="00E05E35"/>
    <w:rsid w:val="00E05ED3"/>
    <w:rsid w:val="00E05F62"/>
    <w:rsid w:val="00E060F6"/>
    <w:rsid w:val="00E06113"/>
    <w:rsid w:val="00E06115"/>
    <w:rsid w:val="00E0616E"/>
    <w:rsid w:val="00E06228"/>
    <w:rsid w:val="00E062C2"/>
    <w:rsid w:val="00E062D7"/>
    <w:rsid w:val="00E06331"/>
    <w:rsid w:val="00E063A5"/>
    <w:rsid w:val="00E063F9"/>
    <w:rsid w:val="00E066C8"/>
    <w:rsid w:val="00E066D1"/>
    <w:rsid w:val="00E067D2"/>
    <w:rsid w:val="00E06881"/>
    <w:rsid w:val="00E068D3"/>
    <w:rsid w:val="00E06968"/>
    <w:rsid w:val="00E069C6"/>
    <w:rsid w:val="00E069F4"/>
    <w:rsid w:val="00E06A1A"/>
    <w:rsid w:val="00E06A97"/>
    <w:rsid w:val="00E06B00"/>
    <w:rsid w:val="00E06CE8"/>
    <w:rsid w:val="00E06CF4"/>
    <w:rsid w:val="00E06D29"/>
    <w:rsid w:val="00E06D6B"/>
    <w:rsid w:val="00E06D7E"/>
    <w:rsid w:val="00E06DA9"/>
    <w:rsid w:val="00E06E99"/>
    <w:rsid w:val="00E06EA7"/>
    <w:rsid w:val="00E0707F"/>
    <w:rsid w:val="00E07084"/>
    <w:rsid w:val="00E07131"/>
    <w:rsid w:val="00E07221"/>
    <w:rsid w:val="00E0724E"/>
    <w:rsid w:val="00E072B9"/>
    <w:rsid w:val="00E07326"/>
    <w:rsid w:val="00E07381"/>
    <w:rsid w:val="00E07400"/>
    <w:rsid w:val="00E0742D"/>
    <w:rsid w:val="00E074DD"/>
    <w:rsid w:val="00E0759E"/>
    <w:rsid w:val="00E07646"/>
    <w:rsid w:val="00E07677"/>
    <w:rsid w:val="00E07684"/>
    <w:rsid w:val="00E076CF"/>
    <w:rsid w:val="00E076F9"/>
    <w:rsid w:val="00E07711"/>
    <w:rsid w:val="00E07774"/>
    <w:rsid w:val="00E078D2"/>
    <w:rsid w:val="00E078F3"/>
    <w:rsid w:val="00E07914"/>
    <w:rsid w:val="00E0798D"/>
    <w:rsid w:val="00E07A02"/>
    <w:rsid w:val="00E07B02"/>
    <w:rsid w:val="00E07B8F"/>
    <w:rsid w:val="00E07BDC"/>
    <w:rsid w:val="00E07BF7"/>
    <w:rsid w:val="00E07CEB"/>
    <w:rsid w:val="00E07D2D"/>
    <w:rsid w:val="00E07D63"/>
    <w:rsid w:val="00E07D70"/>
    <w:rsid w:val="00E07DA5"/>
    <w:rsid w:val="00E07DB9"/>
    <w:rsid w:val="00E07EB3"/>
    <w:rsid w:val="00E07FEE"/>
    <w:rsid w:val="00E1000B"/>
    <w:rsid w:val="00E1003E"/>
    <w:rsid w:val="00E1005D"/>
    <w:rsid w:val="00E100B3"/>
    <w:rsid w:val="00E1017D"/>
    <w:rsid w:val="00E10270"/>
    <w:rsid w:val="00E1027A"/>
    <w:rsid w:val="00E10394"/>
    <w:rsid w:val="00E10632"/>
    <w:rsid w:val="00E1064A"/>
    <w:rsid w:val="00E106D0"/>
    <w:rsid w:val="00E106D5"/>
    <w:rsid w:val="00E10760"/>
    <w:rsid w:val="00E10769"/>
    <w:rsid w:val="00E107EB"/>
    <w:rsid w:val="00E10800"/>
    <w:rsid w:val="00E10849"/>
    <w:rsid w:val="00E1085C"/>
    <w:rsid w:val="00E108D4"/>
    <w:rsid w:val="00E1092F"/>
    <w:rsid w:val="00E10945"/>
    <w:rsid w:val="00E10981"/>
    <w:rsid w:val="00E10A44"/>
    <w:rsid w:val="00E10BBB"/>
    <w:rsid w:val="00E10BBC"/>
    <w:rsid w:val="00E10BF7"/>
    <w:rsid w:val="00E10BFE"/>
    <w:rsid w:val="00E10C2E"/>
    <w:rsid w:val="00E10C41"/>
    <w:rsid w:val="00E10CA4"/>
    <w:rsid w:val="00E10CF5"/>
    <w:rsid w:val="00E10CFF"/>
    <w:rsid w:val="00E10DFD"/>
    <w:rsid w:val="00E10E59"/>
    <w:rsid w:val="00E10EAA"/>
    <w:rsid w:val="00E10F66"/>
    <w:rsid w:val="00E10F8F"/>
    <w:rsid w:val="00E110EB"/>
    <w:rsid w:val="00E111AF"/>
    <w:rsid w:val="00E111CB"/>
    <w:rsid w:val="00E111CC"/>
    <w:rsid w:val="00E111D7"/>
    <w:rsid w:val="00E11276"/>
    <w:rsid w:val="00E112A8"/>
    <w:rsid w:val="00E112B3"/>
    <w:rsid w:val="00E112FD"/>
    <w:rsid w:val="00E11315"/>
    <w:rsid w:val="00E113A2"/>
    <w:rsid w:val="00E113E5"/>
    <w:rsid w:val="00E11422"/>
    <w:rsid w:val="00E114B8"/>
    <w:rsid w:val="00E114C6"/>
    <w:rsid w:val="00E114D6"/>
    <w:rsid w:val="00E114D8"/>
    <w:rsid w:val="00E11529"/>
    <w:rsid w:val="00E11586"/>
    <w:rsid w:val="00E11598"/>
    <w:rsid w:val="00E116F2"/>
    <w:rsid w:val="00E11833"/>
    <w:rsid w:val="00E11A2C"/>
    <w:rsid w:val="00E11A78"/>
    <w:rsid w:val="00E11B80"/>
    <w:rsid w:val="00E11BBE"/>
    <w:rsid w:val="00E11C0E"/>
    <w:rsid w:val="00E11C66"/>
    <w:rsid w:val="00E11CAA"/>
    <w:rsid w:val="00E11CB0"/>
    <w:rsid w:val="00E11D51"/>
    <w:rsid w:val="00E11DFE"/>
    <w:rsid w:val="00E11E3B"/>
    <w:rsid w:val="00E11E94"/>
    <w:rsid w:val="00E11F37"/>
    <w:rsid w:val="00E11F98"/>
    <w:rsid w:val="00E11FA5"/>
    <w:rsid w:val="00E11FAE"/>
    <w:rsid w:val="00E1207C"/>
    <w:rsid w:val="00E1213D"/>
    <w:rsid w:val="00E1214E"/>
    <w:rsid w:val="00E1215E"/>
    <w:rsid w:val="00E1219E"/>
    <w:rsid w:val="00E121DE"/>
    <w:rsid w:val="00E12239"/>
    <w:rsid w:val="00E123DD"/>
    <w:rsid w:val="00E12456"/>
    <w:rsid w:val="00E124CF"/>
    <w:rsid w:val="00E12516"/>
    <w:rsid w:val="00E12533"/>
    <w:rsid w:val="00E12641"/>
    <w:rsid w:val="00E126F6"/>
    <w:rsid w:val="00E12739"/>
    <w:rsid w:val="00E12900"/>
    <w:rsid w:val="00E129AE"/>
    <w:rsid w:val="00E12A66"/>
    <w:rsid w:val="00E12AB9"/>
    <w:rsid w:val="00E12AEA"/>
    <w:rsid w:val="00E12BBD"/>
    <w:rsid w:val="00E12BF9"/>
    <w:rsid w:val="00E12C3A"/>
    <w:rsid w:val="00E12C7E"/>
    <w:rsid w:val="00E12C91"/>
    <w:rsid w:val="00E12D01"/>
    <w:rsid w:val="00E12DC6"/>
    <w:rsid w:val="00E12DD3"/>
    <w:rsid w:val="00E12E27"/>
    <w:rsid w:val="00E12E32"/>
    <w:rsid w:val="00E12E9B"/>
    <w:rsid w:val="00E12F09"/>
    <w:rsid w:val="00E130C7"/>
    <w:rsid w:val="00E13101"/>
    <w:rsid w:val="00E1318C"/>
    <w:rsid w:val="00E132F5"/>
    <w:rsid w:val="00E13380"/>
    <w:rsid w:val="00E133DE"/>
    <w:rsid w:val="00E133E8"/>
    <w:rsid w:val="00E1348D"/>
    <w:rsid w:val="00E13527"/>
    <w:rsid w:val="00E1355F"/>
    <w:rsid w:val="00E135DB"/>
    <w:rsid w:val="00E13680"/>
    <w:rsid w:val="00E136D4"/>
    <w:rsid w:val="00E138E8"/>
    <w:rsid w:val="00E1394E"/>
    <w:rsid w:val="00E1395E"/>
    <w:rsid w:val="00E1397C"/>
    <w:rsid w:val="00E139D0"/>
    <w:rsid w:val="00E139FD"/>
    <w:rsid w:val="00E13A0A"/>
    <w:rsid w:val="00E13AC7"/>
    <w:rsid w:val="00E13B82"/>
    <w:rsid w:val="00E13CEB"/>
    <w:rsid w:val="00E13D26"/>
    <w:rsid w:val="00E13D95"/>
    <w:rsid w:val="00E13DA4"/>
    <w:rsid w:val="00E13DC8"/>
    <w:rsid w:val="00E13EFF"/>
    <w:rsid w:val="00E13F0F"/>
    <w:rsid w:val="00E13F32"/>
    <w:rsid w:val="00E13F43"/>
    <w:rsid w:val="00E13F5D"/>
    <w:rsid w:val="00E13F64"/>
    <w:rsid w:val="00E13FA7"/>
    <w:rsid w:val="00E14025"/>
    <w:rsid w:val="00E14094"/>
    <w:rsid w:val="00E140E4"/>
    <w:rsid w:val="00E141A1"/>
    <w:rsid w:val="00E14265"/>
    <w:rsid w:val="00E142C7"/>
    <w:rsid w:val="00E14359"/>
    <w:rsid w:val="00E143D1"/>
    <w:rsid w:val="00E1442C"/>
    <w:rsid w:val="00E144D8"/>
    <w:rsid w:val="00E14507"/>
    <w:rsid w:val="00E14548"/>
    <w:rsid w:val="00E14601"/>
    <w:rsid w:val="00E14617"/>
    <w:rsid w:val="00E1463A"/>
    <w:rsid w:val="00E14650"/>
    <w:rsid w:val="00E1475F"/>
    <w:rsid w:val="00E14813"/>
    <w:rsid w:val="00E14825"/>
    <w:rsid w:val="00E14849"/>
    <w:rsid w:val="00E148CB"/>
    <w:rsid w:val="00E14949"/>
    <w:rsid w:val="00E14952"/>
    <w:rsid w:val="00E14989"/>
    <w:rsid w:val="00E149D2"/>
    <w:rsid w:val="00E14A0E"/>
    <w:rsid w:val="00E14A8A"/>
    <w:rsid w:val="00E14AEC"/>
    <w:rsid w:val="00E14AF6"/>
    <w:rsid w:val="00E14B6F"/>
    <w:rsid w:val="00E14C87"/>
    <w:rsid w:val="00E14D41"/>
    <w:rsid w:val="00E14D4A"/>
    <w:rsid w:val="00E14E4D"/>
    <w:rsid w:val="00E14E77"/>
    <w:rsid w:val="00E14F2E"/>
    <w:rsid w:val="00E14FD2"/>
    <w:rsid w:val="00E14FD7"/>
    <w:rsid w:val="00E1503E"/>
    <w:rsid w:val="00E15042"/>
    <w:rsid w:val="00E150DB"/>
    <w:rsid w:val="00E150F5"/>
    <w:rsid w:val="00E15113"/>
    <w:rsid w:val="00E15127"/>
    <w:rsid w:val="00E1513C"/>
    <w:rsid w:val="00E1518A"/>
    <w:rsid w:val="00E151A3"/>
    <w:rsid w:val="00E152B5"/>
    <w:rsid w:val="00E152FB"/>
    <w:rsid w:val="00E153AD"/>
    <w:rsid w:val="00E154E1"/>
    <w:rsid w:val="00E154EA"/>
    <w:rsid w:val="00E15606"/>
    <w:rsid w:val="00E1562F"/>
    <w:rsid w:val="00E1563E"/>
    <w:rsid w:val="00E15664"/>
    <w:rsid w:val="00E15760"/>
    <w:rsid w:val="00E157D4"/>
    <w:rsid w:val="00E1580B"/>
    <w:rsid w:val="00E15821"/>
    <w:rsid w:val="00E1583F"/>
    <w:rsid w:val="00E1585A"/>
    <w:rsid w:val="00E1585F"/>
    <w:rsid w:val="00E1586F"/>
    <w:rsid w:val="00E15911"/>
    <w:rsid w:val="00E159CA"/>
    <w:rsid w:val="00E15AAD"/>
    <w:rsid w:val="00E15B4C"/>
    <w:rsid w:val="00E15B7D"/>
    <w:rsid w:val="00E15BF5"/>
    <w:rsid w:val="00E15C9A"/>
    <w:rsid w:val="00E15D4C"/>
    <w:rsid w:val="00E15D90"/>
    <w:rsid w:val="00E15E47"/>
    <w:rsid w:val="00E15E7A"/>
    <w:rsid w:val="00E15E7E"/>
    <w:rsid w:val="00E15E9C"/>
    <w:rsid w:val="00E15F4A"/>
    <w:rsid w:val="00E16381"/>
    <w:rsid w:val="00E1649A"/>
    <w:rsid w:val="00E1654C"/>
    <w:rsid w:val="00E165AD"/>
    <w:rsid w:val="00E1660D"/>
    <w:rsid w:val="00E166EE"/>
    <w:rsid w:val="00E16712"/>
    <w:rsid w:val="00E16796"/>
    <w:rsid w:val="00E167E6"/>
    <w:rsid w:val="00E169AF"/>
    <w:rsid w:val="00E16B03"/>
    <w:rsid w:val="00E16BBF"/>
    <w:rsid w:val="00E16CA9"/>
    <w:rsid w:val="00E16D23"/>
    <w:rsid w:val="00E16D30"/>
    <w:rsid w:val="00E16DC0"/>
    <w:rsid w:val="00E16E13"/>
    <w:rsid w:val="00E16EDA"/>
    <w:rsid w:val="00E16FA9"/>
    <w:rsid w:val="00E1702E"/>
    <w:rsid w:val="00E17063"/>
    <w:rsid w:val="00E1707F"/>
    <w:rsid w:val="00E170CA"/>
    <w:rsid w:val="00E17168"/>
    <w:rsid w:val="00E17176"/>
    <w:rsid w:val="00E171CA"/>
    <w:rsid w:val="00E1722A"/>
    <w:rsid w:val="00E1726E"/>
    <w:rsid w:val="00E17297"/>
    <w:rsid w:val="00E172EA"/>
    <w:rsid w:val="00E17393"/>
    <w:rsid w:val="00E17394"/>
    <w:rsid w:val="00E173C1"/>
    <w:rsid w:val="00E17498"/>
    <w:rsid w:val="00E1751A"/>
    <w:rsid w:val="00E176DA"/>
    <w:rsid w:val="00E1771F"/>
    <w:rsid w:val="00E177BB"/>
    <w:rsid w:val="00E17881"/>
    <w:rsid w:val="00E17978"/>
    <w:rsid w:val="00E17B72"/>
    <w:rsid w:val="00E17B9E"/>
    <w:rsid w:val="00E17C4A"/>
    <w:rsid w:val="00E17D6B"/>
    <w:rsid w:val="00E17D98"/>
    <w:rsid w:val="00E17DAE"/>
    <w:rsid w:val="00E17F0C"/>
    <w:rsid w:val="00E17F2F"/>
    <w:rsid w:val="00E201D0"/>
    <w:rsid w:val="00E201D6"/>
    <w:rsid w:val="00E201F2"/>
    <w:rsid w:val="00E2023E"/>
    <w:rsid w:val="00E202FD"/>
    <w:rsid w:val="00E20305"/>
    <w:rsid w:val="00E20377"/>
    <w:rsid w:val="00E203DE"/>
    <w:rsid w:val="00E20490"/>
    <w:rsid w:val="00E204DD"/>
    <w:rsid w:val="00E20569"/>
    <w:rsid w:val="00E205FD"/>
    <w:rsid w:val="00E20601"/>
    <w:rsid w:val="00E20607"/>
    <w:rsid w:val="00E2069F"/>
    <w:rsid w:val="00E206F3"/>
    <w:rsid w:val="00E20891"/>
    <w:rsid w:val="00E20941"/>
    <w:rsid w:val="00E209EC"/>
    <w:rsid w:val="00E20A10"/>
    <w:rsid w:val="00E20A34"/>
    <w:rsid w:val="00E20B3D"/>
    <w:rsid w:val="00E20C1B"/>
    <w:rsid w:val="00E20CDE"/>
    <w:rsid w:val="00E20DF1"/>
    <w:rsid w:val="00E20E66"/>
    <w:rsid w:val="00E20E9A"/>
    <w:rsid w:val="00E20F34"/>
    <w:rsid w:val="00E20F35"/>
    <w:rsid w:val="00E20F5A"/>
    <w:rsid w:val="00E20FDB"/>
    <w:rsid w:val="00E21198"/>
    <w:rsid w:val="00E211C7"/>
    <w:rsid w:val="00E211FF"/>
    <w:rsid w:val="00E21212"/>
    <w:rsid w:val="00E2125A"/>
    <w:rsid w:val="00E21279"/>
    <w:rsid w:val="00E212C4"/>
    <w:rsid w:val="00E21384"/>
    <w:rsid w:val="00E213A0"/>
    <w:rsid w:val="00E2147A"/>
    <w:rsid w:val="00E21493"/>
    <w:rsid w:val="00E214C7"/>
    <w:rsid w:val="00E214E5"/>
    <w:rsid w:val="00E2164D"/>
    <w:rsid w:val="00E21668"/>
    <w:rsid w:val="00E21765"/>
    <w:rsid w:val="00E217A4"/>
    <w:rsid w:val="00E21860"/>
    <w:rsid w:val="00E21A07"/>
    <w:rsid w:val="00E21A34"/>
    <w:rsid w:val="00E21B4B"/>
    <w:rsid w:val="00E21C3F"/>
    <w:rsid w:val="00E21C70"/>
    <w:rsid w:val="00E21D17"/>
    <w:rsid w:val="00E21D33"/>
    <w:rsid w:val="00E21D9C"/>
    <w:rsid w:val="00E21D9F"/>
    <w:rsid w:val="00E21DC9"/>
    <w:rsid w:val="00E21F5D"/>
    <w:rsid w:val="00E22018"/>
    <w:rsid w:val="00E22100"/>
    <w:rsid w:val="00E22139"/>
    <w:rsid w:val="00E2219D"/>
    <w:rsid w:val="00E221F2"/>
    <w:rsid w:val="00E22265"/>
    <w:rsid w:val="00E222A2"/>
    <w:rsid w:val="00E22468"/>
    <w:rsid w:val="00E22586"/>
    <w:rsid w:val="00E2265A"/>
    <w:rsid w:val="00E22666"/>
    <w:rsid w:val="00E2266D"/>
    <w:rsid w:val="00E2269E"/>
    <w:rsid w:val="00E226DD"/>
    <w:rsid w:val="00E2271C"/>
    <w:rsid w:val="00E227AF"/>
    <w:rsid w:val="00E227B9"/>
    <w:rsid w:val="00E2293C"/>
    <w:rsid w:val="00E229CB"/>
    <w:rsid w:val="00E229E9"/>
    <w:rsid w:val="00E22A2C"/>
    <w:rsid w:val="00E22AC1"/>
    <w:rsid w:val="00E22AF9"/>
    <w:rsid w:val="00E22B0A"/>
    <w:rsid w:val="00E22C0A"/>
    <w:rsid w:val="00E22C49"/>
    <w:rsid w:val="00E22DFF"/>
    <w:rsid w:val="00E22E3D"/>
    <w:rsid w:val="00E22F49"/>
    <w:rsid w:val="00E22F5D"/>
    <w:rsid w:val="00E22FB3"/>
    <w:rsid w:val="00E23005"/>
    <w:rsid w:val="00E230A2"/>
    <w:rsid w:val="00E23148"/>
    <w:rsid w:val="00E2315A"/>
    <w:rsid w:val="00E231C2"/>
    <w:rsid w:val="00E2321A"/>
    <w:rsid w:val="00E23248"/>
    <w:rsid w:val="00E232E5"/>
    <w:rsid w:val="00E23380"/>
    <w:rsid w:val="00E233B7"/>
    <w:rsid w:val="00E23457"/>
    <w:rsid w:val="00E2347C"/>
    <w:rsid w:val="00E234DF"/>
    <w:rsid w:val="00E234F8"/>
    <w:rsid w:val="00E235C8"/>
    <w:rsid w:val="00E235D7"/>
    <w:rsid w:val="00E235F1"/>
    <w:rsid w:val="00E23637"/>
    <w:rsid w:val="00E2363E"/>
    <w:rsid w:val="00E23692"/>
    <w:rsid w:val="00E237B2"/>
    <w:rsid w:val="00E2389D"/>
    <w:rsid w:val="00E2394E"/>
    <w:rsid w:val="00E239E8"/>
    <w:rsid w:val="00E23A2C"/>
    <w:rsid w:val="00E23A8E"/>
    <w:rsid w:val="00E23AC3"/>
    <w:rsid w:val="00E23B33"/>
    <w:rsid w:val="00E23B36"/>
    <w:rsid w:val="00E23BDD"/>
    <w:rsid w:val="00E23C02"/>
    <w:rsid w:val="00E23C37"/>
    <w:rsid w:val="00E23CCC"/>
    <w:rsid w:val="00E23CEC"/>
    <w:rsid w:val="00E23D80"/>
    <w:rsid w:val="00E2408E"/>
    <w:rsid w:val="00E2410E"/>
    <w:rsid w:val="00E24114"/>
    <w:rsid w:val="00E24116"/>
    <w:rsid w:val="00E2411E"/>
    <w:rsid w:val="00E241C2"/>
    <w:rsid w:val="00E24210"/>
    <w:rsid w:val="00E242E1"/>
    <w:rsid w:val="00E2432F"/>
    <w:rsid w:val="00E24371"/>
    <w:rsid w:val="00E243A5"/>
    <w:rsid w:val="00E244C9"/>
    <w:rsid w:val="00E245CE"/>
    <w:rsid w:val="00E2463A"/>
    <w:rsid w:val="00E246CE"/>
    <w:rsid w:val="00E246F4"/>
    <w:rsid w:val="00E24764"/>
    <w:rsid w:val="00E2488E"/>
    <w:rsid w:val="00E248AA"/>
    <w:rsid w:val="00E249CB"/>
    <w:rsid w:val="00E24ACA"/>
    <w:rsid w:val="00E24BCF"/>
    <w:rsid w:val="00E24CE1"/>
    <w:rsid w:val="00E24D09"/>
    <w:rsid w:val="00E24D55"/>
    <w:rsid w:val="00E24DB1"/>
    <w:rsid w:val="00E24DC5"/>
    <w:rsid w:val="00E24E2A"/>
    <w:rsid w:val="00E24E96"/>
    <w:rsid w:val="00E24EA0"/>
    <w:rsid w:val="00E24EB1"/>
    <w:rsid w:val="00E24EBE"/>
    <w:rsid w:val="00E24ED9"/>
    <w:rsid w:val="00E24F29"/>
    <w:rsid w:val="00E24F40"/>
    <w:rsid w:val="00E2500A"/>
    <w:rsid w:val="00E2515F"/>
    <w:rsid w:val="00E251A1"/>
    <w:rsid w:val="00E251A4"/>
    <w:rsid w:val="00E251A6"/>
    <w:rsid w:val="00E251CA"/>
    <w:rsid w:val="00E2525E"/>
    <w:rsid w:val="00E25355"/>
    <w:rsid w:val="00E25371"/>
    <w:rsid w:val="00E2539D"/>
    <w:rsid w:val="00E254CD"/>
    <w:rsid w:val="00E254E0"/>
    <w:rsid w:val="00E25500"/>
    <w:rsid w:val="00E25699"/>
    <w:rsid w:val="00E256A4"/>
    <w:rsid w:val="00E2578E"/>
    <w:rsid w:val="00E25802"/>
    <w:rsid w:val="00E25860"/>
    <w:rsid w:val="00E258A7"/>
    <w:rsid w:val="00E258C0"/>
    <w:rsid w:val="00E258EA"/>
    <w:rsid w:val="00E25920"/>
    <w:rsid w:val="00E259C3"/>
    <w:rsid w:val="00E259E7"/>
    <w:rsid w:val="00E25A17"/>
    <w:rsid w:val="00E25A34"/>
    <w:rsid w:val="00E25A85"/>
    <w:rsid w:val="00E25C83"/>
    <w:rsid w:val="00E25D13"/>
    <w:rsid w:val="00E25DBD"/>
    <w:rsid w:val="00E25DEF"/>
    <w:rsid w:val="00E25EEF"/>
    <w:rsid w:val="00E25F9F"/>
    <w:rsid w:val="00E25FC7"/>
    <w:rsid w:val="00E2605F"/>
    <w:rsid w:val="00E2608E"/>
    <w:rsid w:val="00E26091"/>
    <w:rsid w:val="00E2613E"/>
    <w:rsid w:val="00E26188"/>
    <w:rsid w:val="00E262B1"/>
    <w:rsid w:val="00E26326"/>
    <w:rsid w:val="00E263ED"/>
    <w:rsid w:val="00E26438"/>
    <w:rsid w:val="00E26447"/>
    <w:rsid w:val="00E26528"/>
    <w:rsid w:val="00E2655B"/>
    <w:rsid w:val="00E265A0"/>
    <w:rsid w:val="00E266D8"/>
    <w:rsid w:val="00E2674C"/>
    <w:rsid w:val="00E268D9"/>
    <w:rsid w:val="00E268DF"/>
    <w:rsid w:val="00E268FE"/>
    <w:rsid w:val="00E2691B"/>
    <w:rsid w:val="00E269A8"/>
    <w:rsid w:val="00E26A60"/>
    <w:rsid w:val="00E26AE7"/>
    <w:rsid w:val="00E26AEB"/>
    <w:rsid w:val="00E26B6D"/>
    <w:rsid w:val="00E26BDB"/>
    <w:rsid w:val="00E26C3D"/>
    <w:rsid w:val="00E26D4D"/>
    <w:rsid w:val="00E26E35"/>
    <w:rsid w:val="00E26FB6"/>
    <w:rsid w:val="00E26FBE"/>
    <w:rsid w:val="00E26FFB"/>
    <w:rsid w:val="00E270E5"/>
    <w:rsid w:val="00E270EA"/>
    <w:rsid w:val="00E272CC"/>
    <w:rsid w:val="00E272E8"/>
    <w:rsid w:val="00E272EF"/>
    <w:rsid w:val="00E273F4"/>
    <w:rsid w:val="00E27445"/>
    <w:rsid w:val="00E27446"/>
    <w:rsid w:val="00E27466"/>
    <w:rsid w:val="00E274D9"/>
    <w:rsid w:val="00E27540"/>
    <w:rsid w:val="00E2754A"/>
    <w:rsid w:val="00E275CA"/>
    <w:rsid w:val="00E276C2"/>
    <w:rsid w:val="00E2773B"/>
    <w:rsid w:val="00E2775A"/>
    <w:rsid w:val="00E2777C"/>
    <w:rsid w:val="00E2783C"/>
    <w:rsid w:val="00E27932"/>
    <w:rsid w:val="00E27A80"/>
    <w:rsid w:val="00E27AC2"/>
    <w:rsid w:val="00E27B91"/>
    <w:rsid w:val="00E27C97"/>
    <w:rsid w:val="00E27CCA"/>
    <w:rsid w:val="00E27CE0"/>
    <w:rsid w:val="00E27D08"/>
    <w:rsid w:val="00E27D78"/>
    <w:rsid w:val="00E27DBB"/>
    <w:rsid w:val="00E27E7F"/>
    <w:rsid w:val="00E27E8E"/>
    <w:rsid w:val="00E27F83"/>
    <w:rsid w:val="00E27FB2"/>
    <w:rsid w:val="00E3004D"/>
    <w:rsid w:val="00E300C8"/>
    <w:rsid w:val="00E30169"/>
    <w:rsid w:val="00E301A1"/>
    <w:rsid w:val="00E301A7"/>
    <w:rsid w:val="00E30428"/>
    <w:rsid w:val="00E3048F"/>
    <w:rsid w:val="00E304A8"/>
    <w:rsid w:val="00E305D5"/>
    <w:rsid w:val="00E3069A"/>
    <w:rsid w:val="00E30700"/>
    <w:rsid w:val="00E30787"/>
    <w:rsid w:val="00E307A1"/>
    <w:rsid w:val="00E3088F"/>
    <w:rsid w:val="00E30912"/>
    <w:rsid w:val="00E3094C"/>
    <w:rsid w:val="00E30984"/>
    <w:rsid w:val="00E309A9"/>
    <w:rsid w:val="00E309C0"/>
    <w:rsid w:val="00E309C8"/>
    <w:rsid w:val="00E30A07"/>
    <w:rsid w:val="00E30AE5"/>
    <w:rsid w:val="00E30C60"/>
    <w:rsid w:val="00E30C7C"/>
    <w:rsid w:val="00E30C8D"/>
    <w:rsid w:val="00E30CCD"/>
    <w:rsid w:val="00E30D68"/>
    <w:rsid w:val="00E30DFD"/>
    <w:rsid w:val="00E30FC7"/>
    <w:rsid w:val="00E31049"/>
    <w:rsid w:val="00E3109C"/>
    <w:rsid w:val="00E3109F"/>
    <w:rsid w:val="00E310E7"/>
    <w:rsid w:val="00E31108"/>
    <w:rsid w:val="00E31112"/>
    <w:rsid w:val="00E311B1"/>
    <w:rsid w:val="00E3124D"/>
    <w:rsid w:val="00E3131F"/>
    <w:rsid w:val="00E31342"/>
    <w:rsid w:val="00E31412"/>
    <w:rsid w:val="00E314CC"/>
    <w:rsid w:val="00E314F5"/>
    <w:rsid w:val="00E315A1"/>
    <w:rsid w:val="00E315CB"/>
    <w:rsid w:val="00E31655"/>
    <w:rsid w:val="00E316B8"/>
    <w:rsid w:val="00E316E6"/>
    <w:rsid w:val="00E316EA"/>
    <w:rsid w:val="00E3173C"/>
    <w:rsid w:val="00E317BC"/>
    <w:rsid w:val="00E317D9"/>
    <w:rsid w:val="00E31805"/>
    <w:rsid w:val="00E31841"/>
    <w:rsid w:val="00E319EE"/>
    <w:rsid w:val="00E31A1C"/>
    <w:rsid w:val="00E31A23"/>
    <w:rsid w:val="00E31A9B"/>
    <w:rsid w:val="00E31B3D"/>
    <w:rsid w:val="00E31B83"/>
    <w:rsid w:val="00E31C0E"/>
    <w:rsid w:val="00E31C1B"/>
    <w:rsid w:val="00E31D32"/>
    <w:rsid w:val="00E31D51"/>
    <w:rsid w:val="00E31DDD"/>
    <w:rsid w:val="00E31E28"/>
    <w:rsid w:val="00E31EAE"/>
    <w:rsid w:val="00E31ECA"/>
    <w:rsid w:val="00E31F52"/>
    <w:rsid w:val="00E31FB0"/>
    <w:rsid w:val="00E32185"/>
    <w:rsid w:val="00E32292"/>
    <w:rsid w:val="00E322F1"/>
    <w:rsid w:val="00E322F2"/>
    <w:rsid w:val="00E32485"/>
    <w:rsid w:val="00E32561"/>
    <w:rsid w:val="00E32589"/>
    <w:rsid w:val="00E325E2"/>
    <w:rsid w:val="00E3262B"/>
    <w:rsid w:val="00E3278B"/>
    <w:rsid w:val="00E32865"/>
    <w:rsid w:val="00E32885"/>
    <w:rsid w:val="00E32933"/>
    <w:rsid w:val="00E3294D"/>
    <w:rsid w:val="00E329A5"/>
    <w:rsid w:val="00E32AE6"/>
    <w:rsid w:val="00E32B78"/>
    <w:rsid w:val="00E32B7E"/>
    <w:rsid w:val="00E32BCA"/>
    <w:rsid w:val="00E32CA9"/>
    <w:rsid w:val="00E32D73"/>
    <w:rsid w:val="00E32EF3"/>
    <w:rsid w:val="00E32FD4"/>
    <w:rsid w:val="00E33193"/>
    <w:rsid w:val="00E332E7"/>
    <w:rsid w:val="00E332F5"/>
    <w:rsid w:val="00E33398"/>
    <w:rsid w:val="00E3347C"/>
    <w:rsid w:val="00E33486"/>
    <w:rsid w:val="00E33539"/>
    <w:rsid w:val="00E33814"/>
    <w:rsid w:val="00E3387B"/>
    <w:rsid w:val="00E338A4"/>
    <w:rsid w:val="00E338EC"/>
    <w:rsid w:val="00E3390A"/>
    <w:rsid w:val="00E33933"/>
    <w:rsid w:val="00E3395D"/>
    <w:rsid w:val="00E339D8"/>
    <w:rsid w:val="00E33A01"/>
    <w:rsid w:val="00E33A61"/>
    <w:rsid w:val="00E33A68"/>
    <w:rsid w:val="00E33AAD"/>
    <w:rsid w:val="00E33B9A"/>
    <w:rsid w:val="00E33C1E"/>
    <w:rsid w:val="00E33C22"/>
    <w:rsid w:val="00E33CC2"/>
    <w:rsid w:val="00E33D22"/>
    <w:rsid w:val="00E33D53"/>
    <w:rsid w:val="00E33D6D"/>
    <w:rsid w:val="00E33E42"/>
    <w:rsid w:val="00E33E7B"/>
    <w:rsid w:val="00E33EC2"/>
    <w:rsid w:val="00E33ED9"/>
    <w:rsid w:val="00E33FBD"/>
    <w:rsid w:val="00E340AD"/>
    <w:rsid w:val="00E340B6"/>
    <w:rsid w:val="00E340F0"/>
    <w:rsid w:val="00E34100"/>
    <w:rsid w:val="00E341C3"/>
    <w:rsid w:val="00E341FC"/>
    <w:rsid w:val="00E342A8"/>
    <w:rsid w:val="00E342B0"/>
    <w:rsid w:val="00E34310"/>
    <w:rsid w:val="00E343F9"/>
    <w:rsid w:val="00E34418"/>
    <w:rsid w:val="00E344B9"/>
    <w:rsid w:val="00E344CF"/>
    <w:rsid w:val="00E34596"/>
    <w:rsid w:val="00E34622"/>
    <w:rsid w:val="00E34683"/>
    <w:rsid w:val="00E346F4"/>
    <w:rsid w:val="00E34773"/>
    <w:rsid w:val="00E347E4"/>
    <w:rsid w:val="00E3482C"/>
    <w:rsid w:val="00E348CD"/>
    <w:rsid w:val="00E348E7"/>
    <w:rsid w:val="00E34A17"/>
    <w:rsid w:val="00E34ACE"/>
    <w:rsid w:val="00E34AFE"/>
    <w:rsid w:val="00E34B17"/>
    <w:rsid w:val="00E34B75"/>
    <w:rsid w:val="00E34B81"/>
    <w:rsid w:val="00E34C51"/>
    <w:rsid w:val="00E34C72"/>
    <w:rsid w:val="00E34D20"/>
    <w:rsid w:val="00E34D8D"/>
    <w:rsid w:val="00E34D8F"/>
    <w:rsid w:val="00E34DCF"/>
    <w:rsid w:val="00E34DEF"/>
    <w:rsid w:val="00E34E53"/>
    <w:rsid w:val="00E34E75"/>
    <w:rsid w:val="00E34EEB"/>
    <w:rsid w:val="00E34F3E"/>
    <w:rsid w:val="00E34F6C"/>
    <w:rsid w:val="00E34F76"/>
    <w:rsid w:val="00E34FDA"/>
    <w:rsid w:val="00E35048"/>
    <w:rsid w:val="00E3505C"/>
    <w:rsid w:val="00E3512D"/>
    <w:rsid w:val="00E35164"/>
    <w:rsid w:val="00E351F0"/>
    <w:rsid w:val="00E35204"/>
    <w:rsid w:val="00E35235"/>
    <w:rsid w:val="00E352C3"/>
    <w:rsid w:val="00E352F1"/>
    <w:rsid w:val="00E3530A"/>
    <w:rsid w:val="00E354D8"/>
    <w:rsid w:val="00E35534"/>
    <w:rsid w:val="00E3558B"/>
    <w:rsid w:val="00E356B6"/>
    <w:rsid w:val="00E35751"/>
    <w:rsid w:val="00E35911"/>
    <w:rsid w:val="00E35912"/>
    <w:rsid w:val="00E3594D"/>
    <w:rsid w:val="00E3599B"/>
    <w:rsid w:val="00E35AAA"/>
    <w:rsid w:val="00E35AAD"/>
    <w:rsid w:val="00E35C1E"/>
    <w:rsid w:val="00E35CCA"/>
    <w:rsid w:val="00E35CE4"/>
    <w:rsid w:val="00E35D86"/>
    <w:rsid w:val="00E35DB2"/>
    <w:rsid w:val="00E35DD2"/>
    <w:rsid w:val="00E35DD3"/>
    <w:rsid w:val="00E35DE1"/>
    <w:rsid w:val="00E35DF2"/>
    <w:rsid w:val="00E35E41"/>
    <w:rsid w:val="00E35FC5"/>
    <w:rsid w:val="00E3606A"/>
    <w:rsid w:val="00E360C9"/>
    <w:rsid w:val="00E36107"/>
    <w:rsid w:val="00E361BC"/>
    <w:rsid w:val="00E36200"/>
    <w:rsid w:val="00E36232"/>
    <w:rsid w:val="00E3623E"/>
    <w:rsid w:val="00E36269"/>
    <w:rsid w:val="00E36280"/>
    <w:rsid w:val="00E362A4"/>
    <w:rsid w:val="00E362B9"/>
    <w:rsid w:val="00E36380"/>
    <w:rsid w:val="00E36438"/>
    <w:rsid w:val="00E3647D"/>
    <w:rsid w:val="00E364B2"/>
    <w:rsid w:val="00E36537"/>
    <w:rsid w:val="00E3655A"/>
    <w:rsid w:val="00E366B7"/>
    <w:rsid w:val="00E366E5"/>
    <w:rsid w:val="00E366FA"/>
    <w:rsid w:val="00E36780"/>
    <w:rsid w:val="00E36783"/>
    <w:rsid w:val="00E36790"/>
    <w:rsid w:val="00E367FB"/>
    <w:rsid w:val="00E3683D"/>
    <w:rsid w:val="00E36933"/>
    <w:rsid w:val="00E36934"/>
    <w:rsid w:val="00E369AB"/>
    <w:rsid w:val="00E36A83"/>
    <w:rsid w:val="00E36AB3"/>
    <w:rsid w:val="00E36AC8"/>
    <w:rsid w:val="00E36AD2"/>
    <w:rsid w:val="00E36B56"/>
    <w:rsid w:val="00E36BB0"/>
    <w:rsid w:val="00E36C28"/>
    <w:rsid w:val="00E36C44"/>
    <w:rsid w:val="00E36C53"/>
    <w:rsid w:val="00E36CFB"/>
    <w:rsid w:val="00E36D5A"/>
    <w:rsid w:val="00E36DD8"/>
    <w:rsid w:val="00E36F28"/>
    <w:rsid w:val="00E36F7A"/>
    <w:rsid w:val="00E3701A"/>
    <w:rsid w:val="00E3707F"/>
    <w:rsid w:val="00E370BD"/>
    <w:rsid w:val="00E370FA"/>
    <w:rsid w:val="00E371D9"/>
    <w:rsid w:val="00E37267"/>
    <w:rsid w:val="00E372BA"/>
    <w:rsid w:val="00E372F0"/>
    <w:rsid w:val="00E37428"/>
    <w:rsid w:val="00E37465"/>
    <w:rsid w:val="00E3752F"/>
    <w:rsid w:val="00E3753C"/>
    <w:rsid w:val="00E37638"/>
    <w:rsid w:val="00E3768D"/>
    <w:rsid w:val="00E376B0"/>
    <w:rsid w:val="00E376B1"/>
    <w:rsid w:val="00E376C6"/>
    <w:rsid w:val="00E37719"/>
    <w:rsid w:val="00E37788"/>
    <w:rsid w:val="00E377CB"/>
    <w:rsid w:val="00E377D5"/>
    <w:rsid w:val="00E37810"/>
    <w:rsid w:val="00E37877"/>
    <w:rsid w:val="00E3787C"/>
    <w:rsid w:val="00E3793B"/>
    <w:rsid w:val="00E37952"/>
    <w:rsid w:val="00E37988"/>
    <w:rsid w:val="00E379E9"/>
    <w:rsid w:val="00E37A23"/>
    <w:rsid w:val="00E37B63"/>
    <w:rsid w:val="00E37DF4"/>
    <w:rsid w:val="00E37E63"/>
    <w:rsid w:val="00E37E77"/>
    <w:rsid w:val="00E37EB0"/>
    <w:rsid w:val="00E37EE2"/>
    <w:rsid w:val="00E37F4B"/>
    <w:rsid w:val="00E37F82"/>
    <w:rsid w:val="00E40015"/>
    <w:rsid w:val="00E4005D"/>
    <w:rsid w:val="00E400BB"/>
    <w:rsid w:val="00E401A8"/>
    <w:rsid w:val="00E40225"/>
    <w:rsid w:val="00E40261"/>
    <w:rsid w:val="00E402EF"/>
    <w:rsid w:val="00E4030E"/>
    <w:rsid w:val="00E4032F"/>
    <w:rsid w:val="00E403B2"/>
    <w:rsid w:val="00E403C9"/>
    <w:rsid w:val="00E404AD"/>
    <w:rsid w:val="00E404C5"/>
    <w:rsid w:val="00E40568"/>
    <w:rsid w:val="00E405E4"/>
    <w:rsid w:val="00E4061A"/>
    <w:rsid w:val="00E406CD"/>
    <w:rsid w:val="00E4077D"/>
    <w:rsid w:val="00E4079B"/>
    <w:rsid w:val="00E407F6"/>
    <w:rsid w:val="00E407FD"/>
    <w:rsid w:val="00E40857"/>
    <w:rsid w:val="00E4087B"/>
    <w:rsid w:val="00E40882"/>
    <w:rsid w:val="00E40903"/>
    <w:rsid w:val="00E40A38"/>
    <w:rsid w:val="00E40A44"/>
    <w:rsid w:val="00E40A6E"/>
    <w:rsid w:val="00E40B74"/>
    <w:rsid w:val="00E40BE6"/>
    <w:rsid w:val="00E40BF3"/>
    <w:rsid w:val="00E40C11"/>
    <w:rsid w:val="00E40E9E"/>
    <w:rsid w:val="00E40F71"/>
    <w:rsid w:val="00E40FC1"/>
    <w:rsid w:val="00E41086"/>
    <w:rsid w:val="00E4111D"/>
    <w:rsid w:val="00E41120"/>
    <w:rsid w:val="00E41208"/>
    <w:rsid w:val="00E41249"/>
    <w:rsid w:val="00E412B6"/>
    <w:rsid w:val="00E412D8"/>
    <w:rsid w:val="00E41375"/>
    <w:rsid w:val="00E41404"/>
    <w:rsid w:val="00E414B2"/>
    <w:rsid w:val="00E414E0"/>
    <w:rsid w:val="00E4155A"/>
    <w:rsid w:val="00E41567"/>
    <w:rsid w:val="00E415ED"/>
    <w:rsid w:val="00E41687"/>
    <w:rsid w:val="00E4168F"/>
    <w:rsid w:val="00E416EF"/>
    <w:rsid w:val="00E417D9"/>
    <w:rsid w:val="00E4191A"/>
    <w:rsid w:val="00E419A7"/>
    <w:rsid w:val="00E41AC2"/>
    <w:rsid w:val="00E41B12"/>
    <w:rsid w:val="00E41BC8"/>
    <w:rsid w:val="00E41C8A"/>
    <w:rsid w:val="00E41CEB"/>
    <w:rsid w:val="00E41D7E"/>
    <w:rsid w:val="00E41E0B"/>
    <w:rsid w:val="00E41E74"/>
    <w:rsid w:val="00E41F52"/>
    <w:rsid w:val="00E420CD"/>
    <w:rsid w:val="00E42136"/>
    <w:rsid w:val="00E42138"/>
    <w:rsid w:val="00E4216B"/>
    <w:rsid w:val="00E42264"/>
    <w:rsid w:val="00E42327"/>
    <w:rsid w:val="00E423AF"/>
    <w:rsid w:val="00E42445"/>
    <w:rsid w:val="00E42550"/>
    <w:rsid w:val="00E42555"/>
    <w:rsid w:val="00E4263C"/>
    <w:rsid w:val="00E427A0"/>
    <w:rsid w:val="00E4282B"/>
    <w:rsid w:val="00E42864"/>
    <w:rsid w:val="00E42924"/>
    <w:rsid w:val="00E429D0"/>
    <w:rsid w:val="00E42A5A"/>
    <w:rsid w:val="00E42C03"/>
    <w:rsid w:val="00E42CE9"/>
    <w:rsid w:val="00E42D3A"/>
    <w:rsid w:val="00E42DD0"/>
    <w:rsid w:val="00E42E30"/>
    <w:rsid w:val="00E42E4E"/>
    <w:rsid w:val="00E42E51"/>
    <w:rsid w:val="00E42F32"/>
    <w:rsid w:val="00E42FAF"/>
    <w:rsid w:val="00E43036"/>
    <w:rsid w:val="00E430A8"/>
    <w:rsid w:val="00E4312C"/>
    <w:rsid w:val="00E43180"/>
    <w:rsid w:val="00E431B4"/>
    <w:rsid w:val="00E4324C"/>
    <w:rsid w:val="00E43304"/>
    <w:rsid w:val="00E43338"/>
    <w:rsid w:val="00E43459"/>
    <w:rsid w:val="00E4345C"/>
    <w:rsid w:val="00E43480"/>
    <w:rsid w:val="00E437AC"/>
    <w:rsid w:val="00E43853"/>
    <w:rsid w:val="00E43892"/>
    <w:rsid w:val="00E438E0"/>
    <w:rsid w:val="00E43921"/>
    <w:rsid w:val="00E439B9"/>
    <w:rsid w:val="00E43A04"/>
    <w:rsid w:val="00E43AF0"/>
    <w:rsid w:val="00E43C15"/>
    <w:rsid w:val="00E43CCB"/>
    <w:rsid w:val="00E43E44"/>
    <w:rsid w:val="00E43E94"/>
    <w:rsid w:val="00E4415C"/>
    <w:rsid w:val="00E4425F"/>
    <w:rsid w:val="00E442CC"/>
    <w:rsid w:val="00E442E3"/>
    <w:rsid w:val="00E44336"/>
    <w:rsid w:val="00E44366"/>
    <w:rsid w:val="00E443BB"/>
    <w:rsid w:val="00E444B3"/>
    <w:rsid w:val="00E445E5"/>
    <w:rsid w:val="00E44893"/>
    <w:rsid w:val="00E448E9"/>
    <w:rsid w:val="00E44931"/>
    <w:rsid w:val="00E449A5"/>
    <w:rsid w:val="00E44A36"/>
    <w:rsid w:val="00E44BF1"/>
    <w:rsid w:val="00E44C19"/>
    <w:rsid w:val="00E44C41"/>
    <w:rsid w:val="00E44D13"/>
    <w:rsid w:val="00E44D2F"/>
    <w:rsid w:val="00E44E55"/>
    <w:rsid w:val="00E44F31"/>
    <w:rsid w:val="00E44F69"/>
    <w:rsid w:val="00E450F7"/>
    <w:rsid w:val="00E45248"/>
    <w:rsid w:val="00E45441"/>
    <w:rsid w:val="00E454C0"/>
    <w:rsid w:val="00E4551B"/>
    <w:rsid w:val="00E455A0"/>
    <w:rsid w:val="00E455C3"/>
    <w:rsid w:val="00E45629"/>
    <w:rsid w:val="00E45641"/>
    <w:rsid w:val="00E4566D"/>
    <w:rsid w:val="00E4584A"/>
    <w:rsid w:val="00E459D1"/>
    <w:rsid w:val="00E45A2D"/>
    <w:rsid w:val="00E45A96"/>
    <w:rsid w:val="00E45AA2"/>
    <w:rsid w:val="00E45B73"/>
    <w:rsid w:val="00E45CB0"/>
    <w:rsid w:val="00E45CEC"/>
    <w:rsid w:val="00E45DBF"/>
    <w:rsid w:val="00E45F14"/>
    <w:rsid w:val="00E45F24"/>
    <w:rsid w:val="00E45FCB"/>
    <w:rsid w:val="00E45FD4"/>
    <w:rsid w:val="00E46076"/>
    <w:rsid w:val="00E460A4"/>
    <w:rsid w:val="00E460A8"/>
    <w:rsid w:val="00E46124"/>
    <w:rsid w:val="00E461CD"/>
    <w:rsid w:val="00E4623E"/>
    <w:rsid w:val="00E46290"/>
    <w:rsid w:val="00E46370"/>
    <w:rsid w:val="00E463D9"/>
    <w:rsid w:val="00E4645A"/>
    <w:rsid w:val="00E4647C"/>
    <w:rsid w:val="00E46678"/>
    <w:rsid w:val="00E4667C"/>
    <w:rsid w:val="00E46686"/>
    <w:rsid w:val="00E46709"/>
    <w:rsid w:val="00E46758"/>
    <w:rsid w:val="00E467D0"/>
    <w:rsid w:val="00E4685E"/>
    <w:rsid w:val="00E468DC"/>
    <w:rsid w:val="00E46923"/>
    <w:rsid w:val="00E46942"/>
    <w:rsid w:val="00E46975"/>
    <w:rsid w:val="00E46A13"/>
    <w:rsid w:val="00E46B6A"/>
    <w:rsid w:val="00E46CD8"/>
    <w:rsid w:val="00E46D20"/>
    <w:rsid w:val="00E46D3D"/>
    <w:rsid w:val="00E46F6C"/>
    <w:rsid w:val="00E46FA4"/>
    <w:rsid w:val="00E46FC6"/>
    <w:rsid w:val="00E47013"/>
    <w:rsid w:val="00E47044"/>
    <w:rsid w:val="00E4708E"/>
    <w:rsid w:val="00E470AC"/>
    <w:rsid w:val="00E470DA"/>
    <w:rsid w:val="00E4719A"/>
    <w:rsid w:val="00E471B0"/>
    <w:rsid w:val="00E4720E"/>
    <w:rsid w:val="00E47242"/>
    <w:rsid w:val="00E472AE"/>
    <w:rsid w:val="00E47340"/>
    <w:rsid w:val="00E4736F"/>
    <w:rsid w:val="00E473A2"/>
    <w:rsid w:val="00E473D6"/>
    <w:rsid w:val="00E47410"/>
    <w:rsid w:val="00E47670"/>
    <w:rsid w:val="00E47707"/>
    <w:rsid w:val="00E47746"/>
    <w:rsid w:val="00E4776D"/>
    <w:rsid w:val="00E477AB"/>
    <w:rsid w:val="00E477D0"/>
    <w:rsid w:val="00E4787E"/>
    <w:rsid w:val="00E4797C"/>
    <w:rsid w:val="00E47AA5"/>
    <w:rsid w:val="00E47BAD"/>
    <w:rsid w:val="00E47BBF"/>
    <w:rsid w:val="00E47BDD"/>
    <w:rsid w:val="00E47C9E"/>
    <w:rsid w:val="00E47CC4"/>
    <w:rsid w:val="00E47D7B"/>
    <w:rsid w:val="00E47DCB"/>
    <w:rsid w:val="00E47E1D"/>
    <w:rsid w:val="00E47E90"/>
    <w:rsid w:val="00E47F0A"/>
    <w:rsid w:val="00E47FD9"/>
    <w:rsid w:val="00E5000A"/>
    <w:rsid w:val="00E50050"/>
    <w:rsid w:val="00E501B1"/>
    <w:rsid w:val="00E50280"/>
    <w:rsid w:val="00E503A3"/>
    <w:rsid w:val="00E503D7"/>
    <w:rsid w:val="00E503F7"/>
    <w:rsid w:val="00E50424"/>
    <w:rsid w:val="00E504E0"/>
    <w:rsid w:val="00E50552"/>
    <w:rsid w:val="00E50593"/>
    <w:rsid w:val="00E505A7"/>
    <w:rsid w:val="00E505C5"/>
    <w:rsid w:val="00E5065E"/>
    <w:rsid w:val="00E5066F"/>
    <w:rsid w:val="00E506E1"/>
    <w:rsid w:val="00E5071C"/>
    <w:rsid w:val="00E507D0"/>
    <w:rsid w:val="00E5086F"/>
    <w:rsid w:val="00E50ACC"/>
    <w:rsid w:val="00E50B36"/>
    <w:rsid w:val="00E50BE9"/>
    <w:rsid w:val="00E50C46"/>
    <w:rsid w:val="00E50D0B"/>
    <w:rsid w:val="00E50DB5"/>
    <w:rsid w:val="00E50E7D"/>
    <w:rsid w:val="00E50E9F"/>
    <w:rsid w:val="00E50EA8"/>
    <w:rsid w:val="00E50EEA"/>
    <w:rsid w:val="00E50FE7"/>
    <w:rsid w:val="00E5101E"/>
    <w:rsid w:val="00E51084"/>
    <w:rsid w:val="00E510C0"/>
    <w:rsid w:val="00E51115"/>
    <w:rsid w:val="00E5115F"/>
    <w:rsid w:val="00E512F9"/>
    <w:rsid w:val="00E513C1"/>
    <w:rsid w:val="00E5140A"/>
    <w:rsid w:val="00E5153B"/>
    <w:rsid w:val="00E51625"/>
    <w:rsid w:val="00E516F0"/>
    <w:rsid w:val="00E5175A"/>
    <w:rsid w:val="00E5182E"/>
    <w:rsid w:val="00E5184A"/>
    <w:rsid w:val="00E51859"/>
    <w:rsid w:val="00E5185A"/>
    <w:rsid w:val="00E51886"/>
    <w:rsid w:val="00E518FA"/>
    <w:rsid w:val="00E5191A"/>
    <w:rsid w:val="00E51984"/>
    <w:rsid w:val="00E51988"/>
    <w:rsid w:val="00E51996"/>
    <w:rsid w:val="00E51A46"/>
    <w:rsid w:val="00E51A4B"/>
    <w:rsid w:val="00E51A4E"/>
    <w:rsid w:val="00E51A9C"/>
    <w:rsid w:val="00E51B16"/>
    <w:rsid w:val="00E51C88"/>
    <w:rsid w:val="00E51CA1"/>
    <w:rsid w:val="00E51D35"/>
    <w:rsid w:val="00E51D4E"/>
    <w:rsid w:val="00E51D51"/>
    <w:rsid w:val="00E51D91"/>
    <w:rsid w:val="00E51DDE"/>
    <w:rsid w:val="00E51F40"/>
    <w:rsid w:val="00E51F68"/>
    <w:rsid w:val="00E51F88"/>
    <w:rsid w:val="00E52094"/>
    <w:rsid w:val="00E520B0"/>
    <w:rsid w:val="00E5212C"/>
    <w:rsid w:val="00E52181"/>
    <w:rsid w:val="00E52408"/>
    <w:rsid w:val="00E52427"/>
    <w:rsid w:val="00E52555"/>
    <w:rsid w:val="00E525FD"/>
    <w:rsid w:val="00E52653"/>
    <w:rsid w:val="00E5271C"/>
    <w:rsid w:val="00E527FA"/>
    <w:rsid w:val="00E52802"/>
    <w:rsid w:val="00E52858"/>
    <w:rsid w:val="00E52887"/>
    <w:rsid w:val="00E5294A"/>
    <w:rsid w:val="00E52A27"/>
    <w:rsid w:val="00E52A44"/>
    <w:rsid w:val="00E52A7D"/>
    <w:rsid w:val="00E52AA4"/>
    <w:rsid w:val="00E52B16"/>
    <w:rsid w:val="00E52CAF"/>
    <w:rsid w:val="00E52CFE"/>
    <w:rsid w:val="00E52DC6"/>
    <w:rsid w:val="00E52F55"/>
    <w:rsid w:val="00E52F95"/>
    <w:rsid w:val="00E52FD5"/>
    <w:rsid w:val="00E53007"/>
    <w:rsid w:val="00E53044"/>
    <w:rsid w:val="00E530DC"/>
    <w:rsid w:val="00E531A1"/>
    <w:rsid w:val="00E532F1"/>
    <w:rsid w:val="00E53354"/>
    <w:rsid w:val="00E5348A"/>
    <w:rsid w:val="00E534FF"/>
    <w:rsid w:val="00E535BF"/>
    <w:rsid w:val="00E535F6"/>
    <w:rsid w:val="00E53684"/>
    <w:rsid w:val="00E53755"/>
    <w:rsid w:val="00E5377E"/>
    <w:rsid w:val="00E53791"/>
    <w:rsid w:val="00E5388D"/>
    <w:rsid w:val="00E53ACF"/>
    <w:rsid w:val="00E53B71"/>
    <w:rsid w:val="00E53BAA"/>
    <w:rsid w:val="00E53C08"/>
    <w:rsid w:val="00E53CCC"/>
    <w:rsid w:val="00E53DF8"/>
    <w:rsid w:val="00E53F7F"/>
    <w:rsid w:val="00E53FA2"/>
    <w:rsid w:val="00E5403C"/>
    <w:rsid w:val="00E541B4"/>
    <w:rsid w:val="00E541CA"/>
    <w:rsid w:val="00E541F3"/>
    <w:rsid w:val="00E5428C"/>
    <w:rsid w:val="00E542E5"/>
    <w:rsid w:val="00E5453C"/>
    <w:rsid w:val="00E545A3"/>
    <w:rsid w:val="00E545E1"/>
    <w:rsid w:val="00E54640"/>
    <w:rsid w:val="00E5466E"/>
    <w:rsid w:val="00E54734"/>
    <w:rsid w:val="00E54770"/>
    <w:rsid w:val="00E547F8"/>
    <w:rsid w:val="00E54843"/>
    <w:rsid w:val="00E54873"/>
    <w:rsid w:val="00E54A26"/>
    <w:rsid w:val="00E54AA6"/>
    <w:rsid w:val="00E54ACF"/>
    <w:rsid w:val="00E54B75"/>
    <w:rsid w:val="00E54B99"/>
    <w:rsid w:val="00E54BEC"/>
    <w:rsid w:val="00E54C03"/>
    <w:rsid w:val="00E54C1C"/>
    <w:rsid w:val="00E54F18"/>
    <w:rsid w:val="00E54F1F"/>
    <w:rsid w:val="00E54F9A"/>
    <w:rsid w:val="00E54FCE"/>
    <w:rsid w:val="00E55179"/>
    <w:rsid w:val="00E552A0"/>
    <w:rsid w:val="00E552B4"/>
    <w:rsid w:val="00E55553"/>
    <w:rsid w:val="00E5556B"/>
    <w:rsid w:val="00E555CC"/>
    <w:rsid w:val="00E555F3"/>
    <w:rsid w:val="00E55682"/>
    <w:rsid w:val="00E557E3"/>
    <w:rsid w:val="00E557E8"/>
    <w:rsid w:val="00E55876"/>
    <w:rsid w:val="00E558D1"/>
    <w:rsid w:val="00E55AEF"/>
    <w:rsid w:val="00E55B55"/>
    <w:rsid w:val="00E55D3E"/>
    <w:rsid w:val="00E55D69"/>
    <w:rsid w:val="00E55D71"/>
    <w:rsid w:val="00E55D96"/>
    <w:rsid w:val="00E55ED1"/>
    <w:rsid w:val="00E55EE5"/>
    <w:rsid w:val="00E55EEB"/>
    <w:rsid w:val="00E55F00"/>
    <w:rsid w:val="00E55F35"/>
    <w:rsid w:val="00E5607C"/>
    <w:rsid w:val="00E56110"/>
    <w:rsid w:val="00E561AC"/>
    <w:rsid w:val="00E561FB"/>
    <w:rsid w:val="00E5628E"/>
    <w:rsid w:val="00E5632F"/>
    <w:rsid w:val="00E5636F"/>
    <w:rsid w:val="00E56370"/>
    <w:rsid w:val="00E563D6"/>
    <w:rsid w:val="00E563F6"/>
    <w:rsid w:val="00E56457"/>
    <w:rsid w:val="00E56510"/>
    <w:rsid w:val="00E56649"/>
    <w:rsid w:val="00E56663"/>
    <w:rsid w:val="00E566C2"/>
    <w:rsid w:val="00E566CF"/>
    <w:rsid w:val="00E5670D"/>
    <w:rsid w:val="00E56736"/>
    <w:rsid w:val="00E56799"/>
    <w:rsid w:val="00E56841"/>
    <w:rsid w:val="00E568CC"/>
    <w:rsid w:val="00E56922"/>
    <w:rsid w:val="00E5693A"/>
    <w:rsid w:val="00E56964"/>
    <w:rsid w:val="00E56978"/>
    <w:rsid w:val="00E56979"/>
    <w:rsid w:val="00E569C7"/>
    <w:rsid w:val="00E56A26"/>
    <w:rsid w:val="00E56A3A"/>
    <w:rsid w:val="00E56AB8"/>
    <w:rsid w:val="00E56ABB"/>
    <w:rsid w:val="00E56ABD"/>
    <w:rsid w:val="00E56AE6"/>
    <w:rsid w:val="00E56B0D"/>
    <w:rsid w:val="00E56B83"/>
    <w:rsid w:val="00E56B86"/>
    <w:rsid w:val="00E56C6E"/>
    <w:rsid w:val="00E56C70"/>
    <w:rsid w:val="00E56EBB"/>
    <w:rsid w:val="00E56FC3"/>
    <w:rsid w:val="00E56FFE"/>
    <w:rsid w:val="00E57140"/>
    <w:rsid w:val="00E57185"/>
    <w:rsid w:val="00E57316"/>
    <w:rsid w:val="00E57321"/>
    <w:rsid w:val="00E5735C"/>
    <w:rsid w:val="00E57395"/>
    <w:rsid w:val="00E57540"/>
    <w:rsid w:val="00E57581"/>
    <w:rsid w:val="00E575B6"/>
    <w:rsid w:val="00E5764C"/>
    <w:rsid w:val="00E576F4"/>
    <w:rsid w:val="00E5770D"/>
    <w:rsid w:val="00E5776A"/>
    <w:rsid w:val="00E578B5"/>
    <w:rsid w:val="00E57956"/>
    <w:rsid w:val="00E579BE"/>
    <w:rsid w:val="00E579F1"/>
    <w:rsid w:val="00E57A6F"/>
    <w:rsid w:val="00E57A9A"/>
    <w:rsid w:val="00E57AB9"/>
    <w:rsid w:val="00E57AEA"/>
    <w:rsid w:val="00E57B2E"/>
    <w:rsid w:val="00E57BFB"/>
    <w:rsid w:val="00E57C7C"/>
    <w:rsid w:val="00E57CAF"/>
    <w:rsid w:val="00E57DC6"/>
    <w:rsid w:val="00E57DF4"/>
    <w:rsid w:val="00E57F82"/>
    <w:rsid w:val="00E6009B"/>
    <w:rsid w:val="00E600B4"/>
    <w:rsid w:val="00E600C3"/>
    <w:rsid w:val="00E600EC"/>
    <w:rsid w:val="00E60147"/>
    <w:rsid w:val="00E601C8"/>
    <w:rsid w:val="00E60234"/>
    <w:rsid w:val="00E603AC"/>
    <w:rsid w:val="00E603D5"/>
    <w:rsid w:val="00E6044E"/>
    <w:rsid w:val="00E6044F"/>
    <w:rsid w:val="00E6049E"/>
    <w:rsid w:val="00E60582"/>
    <w:rsid w:val="00E605F8"/>
    <w:rsid w:val="00E60664"/>
    <w:rsid w:val="00E6069B"/>
    <w:rsid w:val="00E6070C"/>
    <w:rsid w:val="00E60722"/>
    <w:rsid w:val="00E607DC"/>
    <w:rsid w:val="00E6087D"/>
    <w:rsid w:val="00E608CF"/>
    <w:rsid w:val="00E60911"/>
    <w:rsid w:val="00E609F6"/>
    <w:rsid w:val="00E60A3D"/>
    <w:rsid w:val="00E60A74"/>
    <w:rsid w:val="00E60BBC"/>
    <w:rsid w:val="00E60C23"/>
    <w:rsid w:val="00E60C2A"/>
    <w:rsid w:val="00E60C58"/>
    <w:rsid w:val="00E60CDD"/>
    <w:rsid w:val="00E60DAE"/>
    <w:rsid w:val="00E61000"/>
    <w:rsid w:val="00E611AA"/>
    <w:rsid w:val="00E613B9"/>
    <w:rsid w:val="00E613C2"/>
    <w:rsid w:val="00E613CD"/>
    <w:rsid w:val="00E613ED"/>
    <w:rsid w:val="00E61429"/>
    <w:rsid w:val="00E61462"/>
    <w:rsid w:val="00E61466"/>
    <w:rsid w:val="00E6147A"/>
    <w:rsid w:val="00E614C1"/>
    <w:rsid w:val="00E61608"/>
    <w:rsid w:val="00E61845"/>
    <w:rsid w:val="00E61866"/>
    <w:rsid w:val="00E618D2"/>
    <w:rsid w:val="00E61964"/>
    <w:rsid w:val="00E619BD"/>
    <w:rsid w:val="00E61A5D"/>
    <w:rsid w:val="00E61A95"/>
    <w:rsid w:val="00E61AB8"/>
    <w:rsid w:val="00E61B55"/>
    <w:rsid w:val="00E61B88"/>
    <w:rsid w:val="00E61C25"/>
    <w:rsid w:val="00E61D29"/>
    <w:rsid w:val="00E61DC7"/>
    <w:rsid w:val="00E61DEC"/>
    <w:rsid w:val="00E61E5E"/>
    <w:rsid w:val="00E61E7A"/>
    <w:rsid w:val="00E61E86"/>
    <w:rsid w:val="00E61ED0"/>
    <w:rsid w:val="00E61EF2"/>
    <w:rsid w:val="00E61F8D"/>
    <w:rsid w:val="00E61FFB"/>
    <w:rsid w:val="00E6200F"/>
    <w:rsid w:val="00E62066"/>
    <w:rsid w:val="00E6208D"/>
    <w:rsid w:val="00E620F0"/>
    <w:rsid w:val="00E6215A"/>
    <w:rsid w:val="00E62240"/>
    <w:rsid w:val="00E62287"/>
    <w:rsid w:val="00E6249C"/>
    <w:rsid w:val="00E624BA"/>
    <w:rsid w:val="00E624FB"/>
    <w:rsid w:val="00E62515"/>
    <w:rsid w:val="00E62560"/>
    <w:rsid w:val="00E6265B"/>
    <w:rsid w:val="00E6268D"/>
    <w:rsid w:val="00E626D0"/>
    <w:rsid w:val="00E62731"/>
    <w:rsid w:val="00E627AE"/>
    <w:rsid w:val="00E627E9"/>
    <w:rsid w:val="00E627F4"/>
    <w:rsid w:val="00E627F8"/>
    <w:rsid w:val="00E62835"/>
    <w:rsid w:val="00E628CD"/>
    <w:rsid w:val="00E62A8D"/>
    <w:rsid w:val="00E62A8E"/>
    <w:rsid w:val="00E62ACF"/>
    <w:rsid w:val="00E62AD9"/>
    <w:rsid w:val="00E62B10"/>
    <w:rsid w:val="00E62B38"/>
    <w:rsid w:val="00E62B6F"/>
    <w:rsid w:val="00E62BD1"/>
    <w:rsid w:val="00E62CAE"/>
    <w:rsid w:val="00E62CB0"/>
    <w:rsid w:val="00E62D27"/>
    <w:rsid w:val="00E62D92"/>
    <w:rsid w:val="00E62EA1"/>
    <w:rsid w:val="00E62F5A"/>
    <w:rsid w:val="00E63029"/>
    <w:rsid w:val="00E6302C"/>
    <w:rsid w:val="00E63034"/>
    <w:rsid w:val="00E630C8"/>
    <w:rsid w:val="00E63186"/>
    <w:rsid w:val="00E632A5"/>
    <w:rsid w:val="00E632FA"/>
    <w:rsid w:val="00E6335D"/>
    <w:rsid w:val="00E633CF"/>
    <w:rsid w:val="00E63417"/>
    <w:rsid w:val="00E634B8"/>
    <w:rsid w:val="00E634D2"/>
    <w:rsid w:val="00E6353E"/>
    <w:rsid w:val="00E635A5"/>
    <w:rsid w:val="00E63640"/>
    <w:rsid w:val="00E6364A"/>
    <w:rsid w:val="00E63666"/>
    <w:rsid w:val="00E636CA"/>
    <w:rsid w:val="00E6373E"/>
    <w:rsid w:val="00E63771"/>
    <w:rsid w:val="00E637FE"/>
    <w:rsid w:val="00E63822"/>
    <w:rsid w:val="00E6382D"/>
    <w:rsid w:val="00E6387D"/>
    <w:rsid w:val="00E6396E"/>
    <w:rsid w:val="00E63991"/>
    <w:rsid w:val="00E639AB"/>
    <w:rsid w:val="00E63A5C"/>
    <w:rsid w:val="00E63A78"/>
    <w:rsid w:val="00E63A97"/>
    <w:rsid w:val="00E63B12"/>
    <w:rsid w:val="00E63B25"/>
    <w:rsid w:val="00E63B8C"/>
    <w:rsid w:val="00E63C7F"/>
    <w:rsid w:val="00E63CDB"/>
    <w:rsid w:val="00E63D06"/>
    <w:rsid w:val="00E63E66"/>
    <w:rsid w:val="00E63EEE"/>
    <w:rsid w:val="00E63F7C"/>
    <w:rsid w:val="00E6401F"/>
    <w:rsid w:val="00E64112"/>
    <w:rsid w:val="00E64149"/>
    <w:rsid w:val="00E641C2"/>
    <w:rsid w:val="00E641F2"/>
    <w:rsid w:val="00E641F4"/>
    <w:rsid w:val="00E642AD"/>
    <w:rsid w:val="00E642F3"/>
    <w:rsid w:val="00E64396"/>
    <w:rsid w:val="00E64449"/>
    <w:rsid w:val="00E6450D"/>
    <w:rsid w:val="00E6456F"/>
    <w:rsid w:val="00E645CB"/>
    <w:rsid w:val="00E64618"/>
    <w:rsid w:val="00E646E4"/>
    <w:rsid w:val="00E647C6"/>
    <w:rsid w:val="00E648D4"/>
    <w:rsid w:val="00E64992"/>
    <w:rsid w:val="00E649B3"/>
    <w:rsid w:val="00E649C8"/>
    <w:rsid w:val="00E649DA"/>
    <w:rsid w:val="00E64A21"/>
    <w:rsid w:val="00E64A73"/>
    <w:rsid w:val="00E64B3C"/>
    <w:rsid w:val="00E64C50"/>
    <w:rsid w:val="00E64C97"/>
    <w:rsid w:val="00E64D13"/>
    <w:rsid w:val="00E64D30"/>
    <w:rsid w:val="00E64DFD"/>
    <w:rsid w:val="00E64E3A"/>
    <w:rsid w:val="00E64FA8"/>
    <w:rsid w:val="00E65022"/>
    <w:rsid w:val="00E65028"/>
    <w:rsid w:val="00E65065"/>
    <w:rsid w:val="00E650A9"/>
    <w:rsid w:val="00E650BC"/>
    <w:rsid w:val="00E650FE"/>
    <w:rsid w:val="00E65139"/>
    <w:rsid w:val="00E651E0"/>
    <w:rsid w:val="00E6527E"/>
    <w:rsid w:val="00E6542D"/>
    <w:rsid w:val="00E65438"/>
    <w:rsid w:val="00E65497"/>
    <w:rsid w:val="00E6549B"/>
    <w:rsid w:val="00E65540"/>
    <w:rsid w:val="00E6554E"/>
    <w:rsid w:val="00E655CE"/>
    <w:rsid w:val="00E655D5"/>
    <w:rsid w:val="00E6561E"/>
    <w:rsid w:val="00E6567C"/>
    <w:rsid w:val="00E656E4"/>
    <w:rsid w:val="00E65759"/>
    <w:rsid w:val="00E657BF"/>
    <w:rsid w:val="00E657EB"/>
    <w:rsid w:val="00E65944"/>
    <w:rsid w:val="00E659CB"/>
    <w:rsid w:val="00E65A10"/>
    <w:rsid w:val="00E65AAA"/>
    <w:rsid w:val="00E65BD0"/>
    <w:rsid w:val="00E65BF9"/>
    <w:rsid w:val="00E65D2A"/>
    <w:rsid w:val="00E65D71"/>
    <w:rsid w:val="00E65F28"/>
    <w:rsid w:val="00E65FCC"/>
    <w:rsid w:val="00E65FD9"/>
    <w:rsid w:val="00E65FFC"/>
    <w:rsid w:val="00E66042"/>
    <w:rsid w:val="00E6609B"/>
    <w:rsid w:val="00E661CD"/>
    <w:rsid w:val="00E6620B"/>
    <w:rsid w:val="00E662C9"/>
    <w:rsid w:val="00E662EC"/>
    <w:rsid w:val="00E66384"/>
    <w:rsid w:val="00E663E1"/>
    <w:rsid w:val="00E66412"/>
    <w:rsid w:val="00E66449"/>
    <w:rsid w:val="00E664DE"/>
    <w:rsid w:val="00E666BA"/>
    <w:rsid w:val="00E666EC"/>
    <w:rsid w:val="00E66711"/>
    <w:rsid w:val="00E66759"/>
    <w:rsid w:val="00E66780"/>
    <w:rsid w:val="00E66782"/>
    <w:rsid w:val="00E667F1"/>
    <w:rsid w:val="00E66800"/>
    <w:rsid w:val="00E66821"/>
    <w:rsid w:val="00E6685C"/>
    <w:rsid w:val="00E66904"/>
    <w:rsid w:val="00E6693F"/>
    <w:rsid w:val="00E669CF"/>
    <w:rsid w:val="00E66AFB"/>
    <w:rsid w:val="00E66B80"/>
    <w:rsid w:val="00E66C76"/>
    <w:rsid w:val="00E66D4D"/>
    <w:rsid w:val="00E66E3D"/>
    <w:rsid w:val="00E66ECB"/>
    <w:rsid w:val="00E66F95"/>
    <w:rsid w:val="00E67000"/>
    <w:rsid w:val="00E6712C"/>
    <w:rsid w:val="00E671E4"/>
    <w:rsid w:val="00E671FE"/>
    <w:rsid w:val="00E6723C"/>
    <w:rsid w:val="00E6724F"/>
    <w:rsid w:val="00E672D4"/>
    <w:rsid w:val="00E67364"/>
    <w:rsid w:val="00E67390"/>
    <w:rsid w:val="00E673F9"/>
    <w:rsid w:val="00E67552"/>
    <w:rsid w:val="00E67584"/>
    <w:rsid w:val="00E675FE"/>
    <w:rsid w:val="00E67658"/>
    <w:rsid w:val="00E67689"/>
    <w:rsid w:val="00E676C7"/>
    <w:rsid w:val="00E6771E"/>
    <w:rsid w:val="00E6776C"/>
    <w:rsid w:val="00E67821"/>
    <w:rsid w:val="00E67916"/>
    <w:rsid w:val="00E67992"/>
    <w:rsid w:val="00E679C1"/>
    <w:rsid w:val="00E679D0"/>
    <w:rsid w:val="00E67A53"/>
    <w:rsid w:val="00E67B05"/>
    <w:rsid w:val="00E67D23"/>
    <w:rsid w:val="00E67D37"/>
    <w:rsid w:val="00E67F0F"/>
    <w:rsid w:val="00E67FDD"/>
    <w:rsid w:val="00E6D04D"/>
    <w:rsid w:val="00E70028"/>
    <w:rsid w:val="00E70037"/>
    <w:rsid w:val="00E7003E"/>
    <w:rsid w:val="00E700B2"/>
    <w:rsid w:val="00E7016C"/>
    <w:rsid w:val="00E701D5"/>
    <w:rsid w:val="00E70257"/>
    <w:rsid w:val="00E7026A"/>
    <w:rsid w:val="00E70282"/>
    <w:rsid w:val="00E70291"/>
    <w:rsid w:val="00E70319"/>
    <w:rsid w:val="00E70346"/>
    <w:rsid w:val="00E703A5"/>
    <w:rsid w:val="00E70468"/>
    <w:rsid w:val="00E70628"/>
    <w:rsid w:val="00E70646"/>
    <w:rsid w:val="00E7064E"/>
    <w:rsid w:val="00E70698"/>
    <w:rsid w:val="00E706BB"/>
    <w:rsid w:val="00E706F9"/>
    <w:rsid w:val="00E70753"/>
    <w:rsid w:val="00E70806"/>
    <w:rsid w:val="00E7093D"/>
    <w:rsid w:val="00E70AC8"/>
    <w:rsid w:val="00E70ACA"/>
    <w:rsid w:val="00E70ACF"/>
    <w:rsid w:val="00E70B52"/>
    <w:rsid w:val="00E70B61"/>
    <w:rsid w:val="00E70C6C"/>
    <w:rsid w:val="00E70C9F"/>
    <w:rsid w:val="00E70CD5"/>
    <w:rsid w:val="00E70CEB"/>
    <w:rsid w:val="00E70DBA"/>
    <w:rsid w:val="00E70DBF"/>
    <w:rsid w:val="00E70EA7"/>
    <w:rsid w:val="00E70EEA"/>
    <w:rsid w:val="00E70F38"/>
    <w:rsid w:val="00E70F55"/>
    <w:rsid w:val="00E70F90"/>
    <w:rsid w:val="00E71020"/>
    <w:rsid w:val="00E71045"/>
    <w:rsid w:val="00E710E5"/>
    <w:rsid w:val="00E71156"/>
    <w:rsid w:val="00E711A7"/>
    <w:rsid w:val="00E712A6"/>
    <w:rsid w:val="00E71339"/>
    <w:rsid w:val="00E7149E"/>
    <w:rsid w:val="00E714A4"/>
    <w:rsid w:val="00E714AF"/>
    <w:rsid w:val="00E71525"/>
    <w:rsid w:val="00E71542"/>
    <w:rsid w:val="00E71548"/>
    <w:rsid w:val="00E7156F"/>
    <w:rsid w:val="00E715C1"/>
    <w:rsid w:val="00E7168F"/>
    <w:rsid w:val="00E71837"/>
    <w:rsid w:val="00E71882"/>
    <w:rsid w:val="00E718AE"/>
    <w:rsid w:val="00E718CC"/>
    <w:rsid w:val="00E7190F"/>
    <w:rsid w:val="00E71924"/>
    <w:rsid w:val="00E71AA4"/>
    <w:rsid w:val="00E71AC4"/>
    <w:rsid w:val="00E71AF6"/>
    <w:rsid w:val="00E71B46"/>
    <w:rsid w:val="00E71BDD"/>
    <w:rsid w:val="00E71BEF"/>
    <w:rsid w:val="00E71C1C"/>
    <w:rsid w:val="00E71CB2"/>
    <w:rsid w:val="00E71CCA"/>
    <w:rsid w:val="00E71D99"/>
    <w:rsid w:val="00E71DB1"/>
    <w:rsid w:val="00E71E69"/>
    <w:rsid w:val="00E71EAD"/>
    <w:rsid w:val="00E71EDD"/>
    <w:rsid w:val="00E71FBE"/>
    <w:rsid w:val="00E7202E"/>
    <w:rsid w:val="00E72050"/>
    <w:rsid w:val="00E720FC"/>
    <w:rsid w:val="00E72135"/>
    <w:rsid w:val="00E72247"/>
    <w:rsid w:val="00E72443"/>
    <w:rsid w:val="00E724F7"/>
    <w:rsid w:val="00E72578"/>
    <w:rsid w:val="00E72618"/>
    <w:rsid w:val="00E72747"/>
    <w:rsid w:val="00E72760"/>
    <w:rsid w:val="00E7284D"/>
    <w:rsid w:val="00E729D9"/>
    <w:rsid w:val="00E72A05"/>
    <w:rsid w:val="00E72A71"/>
    <w:rsid w:val="00E72B0D"/>
    <w:rsid w:val="00E72B19"/>
    <w:rsid w:val="00E72B76"/>
    <w:rsid w:val="00E72BAF"/>
    <w:rsid w:val="00E72CDF"/>
    <w:rsid w:val="00E72D7A"/>
    <w:rsid w:val="00E72DEF"/>
    <w:rsid w:val="00E72E35"/>
    <w:rsid w:val="00E72E66"/>
    <w:rsid w:val="00E72ED8"/>
    <w:rsid w:val="00E72F14"/>
    <w:rsid w:val="00E72FC8"/>
    <w:rsid w:val="00E72FD5"/>
    <w:rsid w:val="00E73022"/>
    <w:rsid w:val="00E7305A"/>
    <w:rsid w:val="00E73111"/>
    <w:rsid w:val="00E7313A"/>
    <w:rsid w:val="00E73173"/>
    <w:rsid w:val="00E731DC"/>
    <w:rsid w:val="00E73200"/>
    <w:rsid w:val="00E73234"/>
    <w:rsid w:val="00E7326C"/>
    <w:rsid w:val="00E7335A"/>
    <w:rsid w:val="00E73361"/>
    <w:rsid w:val="00E73455"/>
    <w:rsid w:val="00E734B9"/>
    <w:rsid w:val="00E73533"/>
    <w:rsid w:val="00E736A3"/>
    <w:rsid w:val="00E738D7"/>
    <w:rsid w:val="00E738D8"/>
    <w:rsid w:val="00E73936"/>
    <w:rsid w:val="00E73A39"/>
    <w:rsid w:val="00E73AB5"/>
    <w:rsid w:val="00E73ABF"/>
    <w:rsid w:val="00E73C3B"/>
    <w:rsid w:val="00E73C56"/>
    <w:rsid w:val="00E73D03"/>
    <w:rsid w:val="00E73D4B"/>
    <w:rsid w:val="00E73EC6"/>
    <w:rsid w:val="00E74057"/>
    <w:rsid w:val="00E7415B"/>
    <w:rsid w:val="00E74164"/>
    <w:rsid w:val="00E7416A"/>
    <w:rsid w:val="00E741EE"/>
    <w:rsid w:val="00E742A6"/>
    <w:rsid w:val="00E742B2"/>
    <w:rsid w:val="00E742D4"/>
    <w:rsid w:val="00E7438B"/>
    <w:rsid w:val="00E74394"/>
    <w:rsid w:val="00E74431"/>
    <w:rsid w:val="00E74466"/>
    <w:rsid w:val="00E7449D"/>
    <w:rsid w:val="00E744E8"/>
    <w:rsid w:val="00E7451E"/>
    <w:rsid w:val="00E74538"/>
    <w:rsid w:val="00E7457C"/>
    <w:rsid w:val="00E745C2"/>
    <w:rsid w:val="00E7470F"/>
    <w:rsid w:val="00E74730"/>
    <w:rsid w:val="00E74736"/>
    <w:rsid w:val="00E74762"/>
    <w:rsid w:val="00E747B6"/>
    <w:rsid w:val="00E74802"/>
    <w:rsid w:val="00E74804"/>
    <w:rsid w:val="00E7486E"/>
    <w:rsid w:val="00E7487A"/>
    <w:rsid w:val="00E74921"/>
    <w:rsid w:val="00E74A13"/>
    <w:rsid w:val="00E74A24"/>
    <w:rsid w:val="00E74A45"/>
    <w:rsid w:val="00E74A6A"/>
    <w:rsid w:val="00E74A75"/>
    <w:rsid w:val="00E74AB8"/>
    <w:rsid w:val="00E74B47"/>
    <w:rsid w:val="00E74B7E"/>
    <w:rsid w:val="00E74D71"/>
    <w:rsid w:val="00E74DDB"/>
    <w:rsid w:val="00E74E1E"/>
    <w:rsid w:val="00E74EF6"/>
    <w:rsid w:val="00E74FB7"/>
    <w:rsid w:val="00E75062"/>
    <w:rsid w:val="00E7507B"/>
    <w:rsid w:val="00E75080"/>
    <w:rsid w:val="00E75189"/>
    <w:rsid w:val="00E75197"/>
    <w:rsid w:val="00E751D1"/>
    <w:rsid w:val="00E75294"/>
    <w:rsid w:val="00E752BC"/>
    <w:rsid w:val="00E752C2"/>
    <w:rsid w:val="00E7533E"/>
    <w:rsid w:val="00E75389"/>
    <w:rsid w:val="00E753DB"/>
    <w:rsid w:val="00E754A9"/>
    <w:rsid w:val="00E75524"/>
    <w:rsid w:val="00E756F1"/>
    <w:rsid w:val="00E75768"/>
    <w:rsid w:val="00E757C7"/>
    <w:rsid w:val="00E75984"/>
    <w:rsid w:val="00E7599B"/>
    <w:rsid w:val="00E75B6C"/>
    <w:rsid w:val="00E75C86"/>
    <w:rsid w:val="00E75CEB"/>
    <w:rsid w:val="00E75D4F"/>
    <w:rsid w:val="00E75D7C"/>
    <w:rsid w:val="00E75D7F"/>
    <w:rsid w:val="00E75D94"/>
    <w:rsid w:val="00E75DCB"/>
    <w:rsid w:val="00E75EA1"/>
    <w:rsid w:val="00E75EB9"/>
    <w:rsid w:val="00E75EC1"/>
    <w:rsid w:val="00E75F5D"/>
    <w:rsid w:val="00E75FB0"/>
    <w:rsid w:val="00E75FB9"/>
    <w:rsid w:val="00E75FD4"/>
    <w:rsid w:val="00E76036"/>
    <w:rsid w:val="00E76043"/>
    <w:rsid w:val="00E76146"/>
    <w:rsid w:val="00E761A9"/>
    <w:rsid w:val="00E761D6"/>
    <w:rsid w:val="00E761F8"/>
    <w:rsid w:val="00E76249"/>
    <w:rsid w:val="00E76372"/>
    <w:rsid w:val="00E763D0"/>
    <w:rsid w:val="00E76506"/>
    <w:rsid w:val="00E7650C"/>
    <w:rsid w:val="00E7678F"/>
    <w:rsid w:val="00E76793"/>
    <w:rsid w:val="00E767A3"/>
    <w:rsid w:val="00E767A6"/>
    <w:rsid w:val="00E767B3"/>
    <w:rsid w:val="00E767EC"/>
    <w:rsid w:val="00E768B6"/>
    <w:rsid w:val="00E769AB"/>
    <w:rsid w:val="00E769FC"/>
    <w:rsid w:val="00E76A3A"/>
    <w:rsid w:val="00E76A40"/>
    <w:rsid w:val="00E76C65"/>
    <w:rsid w:val="00E76CE3"/>
    <w:rsid w:val="00E76D6D"/>
    <w:rsid w:val="00E76DB4"/>
    <w:rsid w:val="00E76EBE"/>
    <w:rsid w:val="00E76ED9"/>
    <w:rsid w:val="00E76EF8"/>
    <w:rsid w:val="00E76FFB"/>
    <w:rsid w:val="00E77037"/>
    <w:rsid w:val="00E7706A"/>
    <w:rsid w:val="00E770F4"/>
    <w:rsid w:val="00E771FC"/>
    <w:rsid w:val="00E77379"/>
    <w:rsid w:val="00E77520"/>
    <w:rsid w:val="00E775F4"/>
    <w:rsid w:val="00E7765A"/>
    <w:rsid w:val="00E776CE"/>
    <w:rsid w:val="00E77778"/>
    <w:rsid w:val="00E7785A"/>
    <w:rsid w:val="00E77865"/>
    <w:rsid w:val="00E77893"/>
    <w:rsid w:val="00E77BE3"/>
    <w:rsid w:val="00E77CBA"/>
    <w:rsid w:val="00E77CDC"/>
    <w:rsid w:val="00E77DB7"/>
    <w:rsid w:val="00E77DC1"/>
    <w:rsid w:val="00E77DCC"/>
    <w:rsid w:val="00E77EA0"/>
    <w:rsid w:val="00E77F43"/>
    <w:rsid w:val="00E77FCC"/>
    <w:rsid w:val="00E80135"/>
    <w:rsid w:val="00E80160"/>
    <w:rsid w:val="00E80210"/>
    <w:rsid w:val="00E8021E"/>
    <w:rsid w:val="00E80377"/>
    <w:rsid w:val="00E80413"/>
    <w:rsid w:val="00E80428"/>
    <w:rsid w:val="00E8044E"/>
    <w:rsid w:val="00E80464"/>
    <w:rsid w:val="00E80492"/>
    <w:rsid w:val="00E8049B"/>
    <w:rsid w:val="00E804D9"/>
    <w:rsid w:val="00E805DF"/>
    <w:rsid w:val="00E806A1"/>
    <w:rsid w:val="00E80753"/>
    <w:rsid w:val="00E807DB"/>
    <w:rsid w:val="00E808A1"/>
    <w:rsid w:val="00E80A04"/>
    <w:rsid w:val="00E80A42"/>
    <w:rsid w:val="00E80B50"/>
    <w:rsid w:val="00E80BF2"/>
    <w:rsid w:val="00E80C0D"/>
    <w:rsid w:val="00E80C74"/>
    <w:rsid w:val="00E80CF5"/>
    <w:rsid w:val="00E80D70"/>
    <w:rsid w:val="00E80E6F"/>
    <w:rsid w:val="00E80EE6"/>
    <w:rsid w:val="00E80F3D"/>
    <w:rsid w:val="00E80F54"/>
    <w:rsid w:val="00E80FD1"/>
    <w:rsid w:val="00E8105C"/>
    <w:rsid w:val="00E81088"/>
    <w:rsid w:val="00E81097"/>
    <w:rsid w:val="00E811A0"/>
    <w:rsid w:val="00E811E3"/>
    <w:rsid w:val="00E8132F"/>
    <w:rsid w:val="00E81365"/>
    <w:rsid w:val="00E8138B"/>
    <w:rsid w:val="00E81394"/>
    <w:rsid w:val="00E813FB"/>
    <w:rsid w:val="00E8142E"/>
    <w:rsid w:val="00E81540"/>
    <w:rsid w:val="00E815EC"/>
    <w:rsid w:val="00E81631"/>
    <w:rsid w:val="00E816B1"/>
    <w:rsid w:val="00E816B7"/>
    <w:rsid w:val="00E816F0"/>
    <w:rsid w:val="00E8171D"/>
    <w:rsid w:val="00E817BC"/>
    <w:rsid w:val="00E818A9"/>
    <w:rsid w:val="00E818B6"/>
    <w:rsid w:val="00E81940"/>
    <w:rsid w:val="00E819CF"/>
    <w:rsid w:val="00E81ABE"/>
    <w:rsid w:val="00E81B7B"/>
    <w:rsid w:val="00E81C8B"/>
    <w:rsid w:val="00E81CC2"/>
    <w:rsid w:val="00E81D2A"/>
    <w:rsid w:val="00E81E91"/>
    <w:rsid w:val="00E81FF7"/>
    <w:rsid w:val="00E8204E"/>
    <w:rsid w:val="00E820C8"/>
    <w:rsid w:val="00E820F4"/>
    <w:rsid w:val="00E82124"/>
    <w:rsid w:val="00E82128"/>
    <w:rsid w:val="00E82136"/>
    <w:rsid w:val="00E82181"/>
    <w:rsid w:val="00E82202"/>
    <w:rsid w:val="00E82271"/>
    <w:rsid w:val="00E82322"/>
    <w:rsid w:val="00E82346"/>
    <w:rsid w:val="00E8238F"/>
    <w:rsid w:val="00E823A4"/>
    <w:rsid w:val="00E823B6"/>
    <w:rsid w:val="00E82417"/>
    <w:rsid w:val="00E82446"/>
    <w:rsid w:val="00E82565"/>
    <w:rsid w:val="00E825BE"/>
    <w:rsid w:val="00E825BF"/>
    <w:rsid w:val="00E8262C"/>
    <w:rsid w:val="00E826BE"/>
    <w:rsid w:val="00E826DA"/>
    <w:rsid w:val="00E82745"/>
    <w:rsid w:val="00E82783"/>
    <w:rsid w:val="00E827B8"/>
    <w:rsid w:val="00E827F2"/>
    <w:rsid w:val="00E8287B"/>
    <w:rsid w:val="00E829AA"/>
    <w:rsid w:val="00E829D6"/>
    <w:rsid w:val="00E82C23"/>
    <w:rsid w:val="00E82C24"/>
    <w:rsid w:val="00E82D1B"/>
    <w:rsid w:val="00E82D2A"/>
    <w:rsid w:val="00E82D6F"/>
    <w:rsid w:val="00E82E54"/>
    <w:rsid w:val="00E82EAE"/>
    <w:rsid w:val="00E82EBE"/>
    <w:rsid w:val="00E83042"/>
    <w:rsid w:val="00E8306E"/>
    <w:rsid w:val="00E830E6"/>
    <w:rsid w:val="00E831F8"/>
    <w:rsid w:val="00E8332C"/>
    <w:rsid w:val="00E8333C"/>
    <w:rsid w:val="00E83368"/>
    <w:rsid w:val="00E8338A"/>
    <w:rsid w:val="00E83477"/>
    <w:rsid w:val="00E835C2"/>
    <w:rsid w:val="00E835C6"/>
    <w:rsid w:val="00E83626"/>
    <w:rsid w:val="00E8362D"/>
    <w:rsid w:val="00E8363B"/>
    <w:rsid w:val="00E83656"/>
    <w:rsid w:val="00E836EB"/>
    <w:rsid w:val="00E83710"/>
    <w:rsid w:val="00E8388A"/>
    <w:rsid w:val="00E838CE"/>
    <w:rsid w:val="00E83B04"/>
    <w:rsid w:val="00E83B1F"/>
    <w:rsid w:val="00E83B52"/>
    <w:rsid w:val="00E83B8A"/>
    <w:rsid w:val="00E83BC2"/>
    <w:rsid w:val="00E83C36"/>
    <w:rsid w:val="00E83D1E"/>
    <w:rsid w:val="00E83D47"/>
    <w:rsid w:val="00E83DA4"/>
    <w:rsid w:val="00E83E80"/>
    <w:rsid w:val="00E83E8B"/>
    <w:rsid w:val="00E83F37"/>
    <w:rsid w:val="00E83FB6"/>
    <w:rsid w:val="00E840EF"/>
    <w:rsid w:val="00E841BA"/>
    <w:rsid w:val="00E8422D"/>
    <w:rsid w:val="00E8424B"/>
    <w:rsid w:val="00E84350"/>
    <w:rsid w:val="00E845B4"/>
    <w:rsid w:val="00E8463A"/>
    <w:rsid w:val="00E84879"/>
    <w:rsid w:val="00E84923"/>
    <w:rsid w:val="00E84937"/>
    <w:rsid w:val="00E8497F"/>
    <w:rsid w:val="00E849B6"/>
    <w:rsid w:val="00E84A7F"/>
    <w:rsid w:val="00E84ADB"/>
    <w:rsid w:val="00E84B59"/>
    <w:rsid w:val="00E84B8A"/>
    <w:rsid w:val="00E84BFD"/>
    <w:rsid w:val="00E84C09"/>
    <w:rsid w:val="00E84DC4"/>
    <w:rsid w:val="00E84F19"/>
    <w:rsid w:val="00E84F2B"/>
    <w:rsid w:val="00E84F5A"/>
    <w:rsid w:val="00E85029"/>
    <w:rsid w:val="00E8502C"/>
    <w:rsid w:val="00E8502E"/>
    <w:rsid w:val="00E8512B"/>
    <w:rsid w:val="00E851BF"/>
    <w:rsid w:val="00E851CA"/>
    <w:rsid w:val="00E85325"/>
    <w:rsid w:val="00E8537C"/>
    <w:rsid w:val="00E853A4"/>
    <w:rsid w:val="00E853F3"/>
    <w:rsid w:val="00E85433"/>
    <w:rsid w:val="00E85467"/>
    <w:rsid w:val="00E854C1"/>
    <w:rsid w:val="00E854C7"/>
    <w:rsid w:val="00E854FD"/>
    <w:rsid w:val="00E854FE"/>
    <w:rsid w:val="00E85566"/>
    <w:rsid w:val="00E856DC"/>
    <w:rsid w:val="00E8570C"/>
    <w:rsid w:val="00E85711"/>
    <w:rsid w:val="00E8573A"/>
    <w:rsid w:val="00E858BD"/>
    <w:rsid w:val="00E858DA"/>
    <w:rsid w:val="00E858EB"/>
    <w:rsid w:val="00E8598C"/>
    <w:rsid w:val="00E859AE"/>
    <w:rsid w:val="00E859FB"/>
    <w:rsid w:val="00E85AF6"/>
    <w:rsid w:val="00E85B1E"/>
    <w:rsid w:val="00E85C80"/>
    <w:rsid w:val="00E85CB9"/>
    <w:rsid w:val="00E85D04"/>
    <w:rsid w:val="00E85D11"/>
    <w:rsid w:val="00E85D34"/>
    <w:rsid w:val="00E85D8E"/>
    <w:rsid w:val="00E85DF8"/>
    <w:rsid w:val="00E85F86"/>
    <w:rsid w:val="00E86000"/>
    <w:rsid w:val="00E8631E"/>
    <w:rsid w:val="00E8634F"/>
    <w:rsid w:val="00E863EB"/>
    <w:rsid w:val="00E86407"/>
    <w:rsid w:val="00E86442"/>
    <w:rsid w:val="00E864BF"/>
    <w:rsid w:val="00E8655D"/>
    <w:rsid w:val="00E865E1"/>
    <w:rsid w:val="00E86626"/>
    <w:rsid w:val="00E8679F"/>
    <w:rsid w:val="00E867B2"/>
    <w:rsid w:val="00E867FA"/>
    <w:rsid w:val="00E8685A"/>
    <w:rsid w:val="00E86A2D"/>
    <w:rsid w:val="00E86A47"/>
    <w:rsid w:val="00E86A84"/>
    <w:rsid w:val="00E86BB3"/>
    <w:rsid w:val="00E86BD4"/>
    <w:rsid w:val="00E86BDA"/>
    <w:rsid w:val="00E86BFA"/>
    <w:rsid w:val="00E86CFB"/>
    <w:rsid w:val="00E86DE4"/>
    <w:rsid w:val="00E86E14"/>
    <w:rsid w:val="00E86EEE"/>
    <w:rsid w:val="00E86FC1"/>
    <w:rsid w:val="00E86FF8"/>
    <w:rsid w:val="00E87036"/>
    <w:rsid w:val="00E87053"/>
    <w:rsid w:val="00E87071"/>
    <w:rsid w:val="00E8708B"/>
    <w:rsid w:val="00E87138"/>
    <w:rsid w:val="00E87172"/>
    <w:rsid w:val="00E8718A"/>
    <w:rsid w:val="00E871A1"/>
    <w:rsid w:val="00E871E7"/>
    <w:rsid w:val="00E87311"/>
    <w:rsid w:val="00E87364"/>
    <w:rsid w:val="00E873CB"/>
    <w:rsid w:val="00E87457"/>
    <w:rsid w:val="00E8745C"/>
    <w:rsid w:val="00E874CE"/>
    <w:rsid w:val="00E87542"/>
    <w:rsid w:val="00E876AF"/>
    <w:rsid w:val="00E876D6"/>
    <w:rsid w:val="00E87741"/>
    <w:rsid w:val="00E877B4"/>
    <w:rsid w:val="00E877F2"/>
    <w:rsid w:val="00E8780B"/>
    <w:rsid w:val="00E87827"/>
    <w:rsid w:val="00E87870"/>
    <w:rsid w:val="00E87977"/>
    <w:rsid w:val="00E879FC"/>
    <w:rsid w:val="00E87AA8"/>
    <w:rsid w:val="00E87AC9"/>
    <w:rsid w:val="00E87B4C"/>
    <w:rsid w:val="00E87B78"/>
    <w:rsid w:val="00E87C1E"/>
    <w:rsid w:val="00E87D45"/>
    <w:rsid w:val="00E87D72"/>
    <w:rsid w:val="00E87DE7"/>
    <w:rsid w:val="00E87E41"/>
    <w:rsid w:val="00E87F0E"/>
    <w:rsid w:val="00E87F0F"/>
    <w:rsid w:val="00E90010"/>
    <w:rsid w:val="00E9007A"/>
    <w:rsid w:val="00E9035B"/>
    <w:rsid w:val="00E9044E"/>
    <w:rsid w:val="00E904F1"/>
    <w:rsid w:val="00E904FF"/>
    <w:rsid w:val="00E905E9"/>
    <w:rsid w:val="00E90635"/>
    <w:rsid w:val="00E9077F"/>
    <w:rsid w:val="00E907FA"/>
    <w:rsid w:val="00E90820"/>
    <w:rsid w:val="00E9089A"/>
    <w:rsid w:val="00E9091D"/>
    <w:rsid w:val="00E9097C"/>
    <w:rsid w:val="00E90A7D"/>
    <w:rsid w:val="00E90A8A"/>
    <w:rsid w:val="00E90B20"/>
    <w:rsid w:val="00E90B27"/>
    <w:rsid w:val="00E90B97"/>
    <w:rsid w:val="00E90BD3"/>
    <w:rsid w:val="00E90CA9"/>
    <w:rsid w:val="00E90D5F"/>
    <w:rsid w:val="00E90D9E"/>
    <w:rsid w:val="00E90DA1"/>
    <w:rsid w:val="00E90E29"/>
    <w:rsid w:val="00E90E96"/>
    <w:rsid w:val="00E91054"/>
    <w:rsid w:val="00E91130"/>
    <w:rsid w:val="00E91286"/>
    <w:rsid w:val="00E9137C"/>
    <w:rsid w:val="00E913E6"/>
    <w:rsid w:val="00E914E0"/>
    <w:rsid w:val="00E914EE"/>
    <w:rsid w:val="00E91870"/>
    <w:rsid w:val="00E91953"/>
    <w:rsid w:val="00E91955"/>
    <w:rsid w:val="00E919B9"/>
    <w:rsid w:val="00E91A13"/>
    <w:rsid w:val="00E91A50"/>
    <w:rsid w:val="00E91A69"/>
    <w:rsid w:val="00E91B3D"/>
    <w:rsid w:val="00E91B69"/>
    <w:rsid w:val="00E91B90"/>
    <w:rsid w:val="00E91BFE"/>
    <w:rsid w:val="00E91C03"/>
    <w:rsid w:val="00E91D21"/>
    <w:rsid w:val="00E91EA5"/>
    <w:rsid w:val="00E920E1"/>
    <w:rsid w:val="00E92124"/>
    <w:rsid w:val="00E92159"/>
    <w:rsid w:val="00E92170"/>
    <w:rsid w:val="00E92186"/>
    <w:rsid w:val="00E9219B"/>
    <w:rsid w:val="00E921EF"/>
    <w:rsid w:val="00E921FD"/>
    <w:rsid w:val="00E9230C"/>
    <w:rsid w:val="00E923CD"/>
    <w:rsid w:val="00E92432"/>
    <w:rsid w:val="00E92438"/>
    <w:rsid w:val="00E924DD"/>
    <w:rsid w:val="00E92617"/>
    <w:rsid w:val="00E92623"/>
    <w:rsid w:val="00E92654"/>
    <w:rsid w:val="00E926D4"/>
    <w:rsid w:val="00E926E4"/>
    <w:rsid w:val="00E92808"/>
    <w:rsid w:val="00E9283C"/>
    <w:rsid w:val="00E92852"/>
    <w:rsid w:val="00E92863"/>
    <w:rsid w:val="00E92978"/>
    <w:rsid w:val="00E92AC3"/>
    <w:rsid w:val="00E92AC5"/>
    <w:rsid w:val="00E92B41"/>
    <w:rsid w:val="00E92CD1"/>
    <w:rsid w:val="00E92F07"/>
    <w:rsid w:val="00E92FCC"/>
    <w:rsid w:val="00E930B3"/>
    <w:rsid w:val="00E930E8"/>
    <w:rsid w:val="00E93170"/>
    <w:rsid w:val="00E93230"/>
    <w:rsid w:val="00E9328D"/>
    <w:rsid w:val="00E93297"/>
    <w:rsid w:val="00E9330D"/>
    <w:rsid w:val="00E93351"/>
    <w:rsid w:val="00E9338E"/>
    <w:rsid w:val="00E933AE"/>
    <w:rsid w:val="00E93477"/>
    <w:rsid w:val="00E9348F"/>
    <w:rsid w:val="00E934B0"/>
    <w:rsid w:val="00E934E4"/>
    <w:rsid w:val="00E9352F"/>
    <w:rsid w:val="00E9354F"/>
    <w:rsid w:val="00E93640"/>
    <w:rsid w:val="00E936C8"/>
    <w:rsid w:val="00E936CE"/>
    <w:rsid w:val="00E93798"/>
    <w:rsid w:val="00E938BA"/>
    <w:rsid w:val="00E938D7"/>
    <w:rsid w:val="00E939BC"/>
    <w:rsid w:val="00E93AF6"/>
    <w:rsid w:val="00E93BDA"/>
    <w:rsid w:val="00E93CBE"/>
    <w:rsid w:val="00E93CF1"/>
    <w:rsid w:val="00E93DF7"/>
    <w:rsid w:val="00E93E38"/>
    <w:rsid w:val="00E93E3C"/>
    <w:rsid w:val="00E93F89"/>
    <w:rsid w:val="00E93FF9"/>
    <w:rsid w:val="00E94000"/>
    <w:rsid w:val="00E9417B"/>
    <w:rsid w:val="00E942EF"/>
    <w:rsid w:val="00E943C8"/>
    <w:rsid w:val="00E9445F"/>
    <w:rsid w:val="00E94460"/>
    <w:rsid w:val="00E9448B"/>
    <w:rsid w:val="00E944A0"/>
    <w:rsid w:val="00E944F7"/>
    <w:rsid w:val="00E945AD"/>
    <w:rsid w:val="00E945EE"/>
    <w:rsid w:val="00E946C0"/>
    <w:rsid w:val="00E9477F"/>
    <w:rsid w:val="00E94794"/>
    <w:rsid w:val="00E947B4"/>
    <w:rsid w:val="00E947B9"/>
    <w:rsid w:val="00E947D8"/>
    <w:rsid w:val="00E94888"/>
    <w:rsid w:val="00E9489A"/>
    <w:rsid w:val="00E948BA"/>
    <w:rsid w:val="00E949A7"/>
    <w:rsid w:val="00E94ACB"/>
    <w:rsid w:val="00E94B23"/>
    <w:rsid w:val="00E94BCB"/>
    <w:rsid w:val="00E94BE5"/>
    <w:rsid w:val="00E94BE6"/>
    <w:rsid w:val="00E94C06"/>
    <w:rsid w:val="00E94D29"/>
    <w:rsid w:val="00E94D64"/>
    <w:rsid w:val="00E94D9D"/>
    <w:rsid w:val="00E94EE6"/>
    <w:rsid w:val="00E94F95"/>
    <w:rsid w:val="00E94FE4"/>
    <w:rsid w:val="00E950DA"/>
    <w:rsid w:val="00E950EF"/>
    <w:rsid w:val="00E9510F"/>
    <w:rsid w:val="00E9519D"/>
    <w:rsid w:val="00E951B6"/>
    <w:rsid w:val="00E9524D"/>
    <w:rsid w:val="00E95304"/>
    <w:rsid w:val="00E9539E"/>
    <w:rsid w:val="00E9543B"/>
    <w:rsid w:val="00E95490"/>
    <w:rsid w:val="00E954BE"/>
    <w:rsid w:val="00E9554C"/>
    <w:rsid w:val="00E95550"/>
    <w:rsid w:val="00E95561"/>
    <w:rsid w:val="00E955B2"/>
    <w:rsid w:val="00E955F8"/>
    <w:rsid w:val="00E95645"/>
    <w:rsid w:val="00E95753"/>
    <w:rsid w:val="00E9587A"/>
    <w:rsid w:val="00E95886"/>
    <w:rsid w:val="00E958D1"/>
    <w:rsid w:val="00E958DE"/>
    <w:rsid w:val="00E9590B"/>
    <w:rsid w:val="00E9597D"/>
    <w:rsid w:val="00E959BB"/>
    <w:rsid w:val="00E959C0"/>
    <w:rsid w:val="00E95A59"/>
    <w:rsid w:val="00E95AA5"/>
    <w:rsid w:val="00E95B82"/>
    <w:rsid w:val="00E95C1C"/>
    <w:rsid w:val="00E95C29"/>
    <w:rsid w:val="00E95D17"/>
    <w:rsid w:val="00E95D2A"/>
    <w:rsid w:val="00E95DBA"/>
    <w:rsid w:val="00E95F03"/>
    <w:rsid w:val="00E95F11"/>
    <w:rsid w:val="00E95FEF"/>
    <w:rsid w:val="00E961AE"/>
    <w:rsid w:val="00E961C0"/>
    <w:rsid w:val="00E961E1"/>
    <w:rsid w:val="00E961EC"/>
    <w:rsid w:val="00E961EF"/>
    <w:rsid w:val="00E96221"/>
    <w:rsid w:val="00E96284"/>
    <w:rsid w:val="00E96346"/>
    <w:rsid w:val="00E963D7"/>
    <w:rsid w:val="00E964EC"/>
    <w:rsid w:val="00E9656D"/>
    <w:rsid w:val="00E965C4"/>
    <w:rsid w:val="00E96613"/>
    <w:rsid w:val="00E966A0"/>
    <w:rsid w:val="00E966CA"/>
    <w:rsid w:val="00E96712"/>
    <w:rsid w:val="00E96739"/>
    <w:rsid w:val="00E96751"/>
    <w:rsid w:val="00E96758"/>
    <w:rsid w:val="00E9679B"/>
    <w:rsid w:val="00E9679D"/>
    <w:rsid w:val="00E967D7"/>
    <w:rsid w:val="00E967E5"/>
    <w:rsid w:val="00E96810"/>
    <w:rsid w:val="00E96819"/>
    <w:rsid w:val="00E96824"/>
    <w:rsid w:val="00E968B6"/>
    <w:rsid w:val="00E968C1"/>
    <w:rsid w:val="00E9694A"/>
    <w:rsid w:val="00E96983"/>
    <w:rsid w:val="00E96B6E"/>
    <w:rsid w:val="00E96B92"/>
    <w:rsid w:val="00E96BB7"/>
    <w:rsid w:val="00E96BF4"/>
    <w:rsid w:val="00E96C54"/>
    <w:rsid w:val="00E96D65"/>
    <w:rsid w:val="00E96D73"/>
    <w:rsid w:val="00E96DE2"/>
    <w:rsid w:val="00E96E81"/>
    <w:rsid w:val="00E96E8D"/>
    <w:rsid w:val="00E96EBF"/>
    <w:rsid w:val="00E96EE8"/>
    <w:rsid w:val="00E96F20"/>
    <w:rsid w:val="00E970A9"/>
    <w:rsid w:val="00E9715D"/>
    <w:rsid w:val="00E972DE"/>
    <w:rsid w:val="00E97317"/>
    <w:rsid w:val="00E9731A"/>
    <w:rsid w:val="00E9739F"/>
    <w:rsid w:val="00E973D2"/>
    <w:rsid w:val="00E97406"/>
    <w:rsid w:val="00E9752E"/>
    <w:rsid w:val="00E97593"/>
    <w:rsid w:val="00E975B0"/>
    <w:rsid w:val="00E975E5"/>
    <w:rsid w:val="00E9763E"/>
    <w:rsid w:val="00E97756"/>
    <w:rsid w:val="00E9777F"/>
    <w:rsid w:val="00E97789"/>
    <w:rsid w:val="00E978E8"/>
    <w:rsid w:val="00E9792C"/>
    <w:rsid w:val="00E97A0C"/>
    <w:rsid w:val="00E97A33"/>
    <w:rsid w:val="00E97A4C"/>
    <w:rsid w:val="00E97AA4"/>
    <w:rsid w:val="00E97B0B"/>
    <w:rsid w:val="00E97B70"/>
    <w:rsid w:val="00E97D16"/>
    <w:rsid w:val="00E97E51"/>
    <w:rsid w:val="00E97EC2"/>
    <w:rsid w:val="00E97F23"/>
    <w:rsid w:val="00E97FB9"/>
    <w:rsid w:val="00E97FC5"/>
    <w:rsid w:val="00EA0003"/>
    <w:rsid w:val="00EA0017"/>
    <w:rsid w:val="00EA002D"/>
    <w:rsid w:val="00EA005D"/>
    <w:rsid w:val="00EA012C"/>
    <w:rsid w:val="00EA012F"/>
    <w:rsid w:val="00EA015E"/>
    <w:rsid w:val="00EA0234"/>
    <w:rsid w:val="00EA0244"/>
    <w:rsid w:val="00EA02CC"/>
    <w:rsid w:val="00EA0336"/>
    <w:rsid w:val="00EA036E"/>
    <w:rsid w:val="00EA040E"/>
    <w:rsid w:val="00EA0433"/>
    <w:rsid w:val="00EA0461"/>
    <w:rsid w:val="00EA0483"/>
    <w:rsid w:val="00EA048A"/>
    <w:rsid w:val="00EA0494"/>
    <w:rsid w:val="00EA058B"/>
    <w:rsid w:val="00EA0769"/>
    <w:rsid w:val="00EA0776"/>
    <w:rsid w:val="00EA0792"/>
    <w:rsid w:val="00EA0846"/>
    <w:rsid w:val="00EA0866"/>
    <w:rsid w:val="00EA0877"/>
    <w:rsid w:val="00EA08E8"/>
    <w:rsid w:val="00EA09B7"/>
    <w:rsid w:val="00EA09BE"/>
    <w:rsid w:val="00EA0ABE"/>
    <w:rsid w:val="00EA0AD1"/>
    <w:rsid w:val="00EA0C40"/>
    <w:rsid w:val="00EA0C79"/>
    <w:rsid w:val="00EA0C84"/>
    <w:rsid w:val="00EA0D09"/>
    <w:rsid w:val="00EA0DAE"/>
    <w:rsid w:val="00EA0EC0"/>
    <w:rsid w:val="00EA0EF8"/>
    <w:rsid w:val="00EA104E"/>
    <w:rsid w:val="00EA1142"/>
    <w:rsid w:val="00EA1196"/>
    <w:rsid w:val="00EA11E5"/>
    <w:rsid w:val="00EA123A"/>
    <w:rsid w:val="00EA1295"/>
    <w:rsid w:val="00EA14F0"/>
    <w:rsid w:val="00EA14F2"/>
    <w:rsid w:val="00EA1550"/>
    <w:rsid w:val="00EA15FE"/>
    <w:rsid w:val="00EA16D1"/>
    <w:rsid w:val="00EA1842"/>
    <w:rsid w:val="00EA1946"/>
    <w:rsid w:val="00EA1958"/>
    <w:rsid w:val="00EA1961"/>
    <w:rsid w:val="00EA1A27"/>
    <w:rsid w:val="00EA1AF4"/>
    <w:rsid w:val="00EA1B91"/>
    <w:rsid w:val="00EA1BFC"/>
    <w:rsid w:val="00EA1C19"/>
    <w:rsid w:val="00EA1C3A"/>
    <w:rsid w:val="00EA1CD3"/>
    <w:rsid w:val="00EA1CDE"/>
    <w:rsid w:val="00EA1CF3"/>
    <w:rsid w:val="00EA1D8B"/>
    <w:rsid w:val="00EA1EC4"/>
    <w:rsid w:val="00EA1F6D"/>
    <w:rsid w:val="00EA1F75"/>
    <w:rsid w:val="00EA2099"/>
    <w:rsid w:val="00EA2114"/>
    <w:rsid w:val="00EA219D"/>
    <w:rsid w:val="00EA21F4"/>
    <w:rsid w:val="00EA2368"/>
    <w:rsid w:val="00EA23CF"/>
    <w:rsid w:val="00EA2406"/>
    <w:rsid w:val="00EA2420"/>
    <w:rsid w:val="00EA245F"/>
    <w:rsid w:val="00EA2488"/>
    <w:rsid w:val="00EA24E7"/>
    <w:rsid w:val="00EA2546"/>
    <w:rsid w:val="00EA2551"/>
    <w:rsid w:val="00EA259E"/>
    <w:rsid w:val="00EA25BE"/>
    <w:rsid w:val="00EA261A"/>
    <w:rsid w:val="00EA263E"/>
    <w:rsid w:val="00EA2661"/>
    <w:rsid w:val="00EA267B"/>
    <w:rsid w:val="00EA26BB"/>
    <w:rsid w:val="00EA27D4"/>
    <w:rsid w:val="00EA27ED"/>
    <w:rsid w:val="00EA2836"/>
    <w:rsid w:val="00EA2856"/>
    <w:rsid w:val="00EA288B"/>
    <w:rsid w:val="00EA2908"/>
    <w:rsid w:val="00EA2A0C"/>
    <w:rsid w:val="00EA2A24"/>
    <w:rsid w:val="00EA2A2E"/>
    <w:rsid w:val="00EA2A91"/>
    <w:rsid w:val="00EA2B04"/>
    <w:rsid w:val="00EA2D5A"/>
    <w:rsid w:val="00EA2E7B"/>
    <w:rsid w:val="00EA2EDF"/>
    <w:rsid w:val="00EA2EE6"/>
    <w:rsid w:val="00EA3021"/>
    <w:rsid w:val="00EA308C"/>
    <w:rsid w:val="00EA30F4"/>
    <w:rsid w:val="00EA318E"/>
    <w:rsid w:val="00EA3212"/>
    <w:rsid w:val="00EA32CB"/>
    <w:rsid w:val="00EA33A6"/>
    <w:rsid w:val="00EA3461"/>
    <w:rsid w:val="00EA3499"/>
    <w:rsid w:val="00EA34F6"/>
    <w:rsid w:val="00EA3518"/>
    <w:rsid w:val="00EA36C2"/>
    <w:rsid w:val="00EA3751"/>
    <w:rsid w:val="00EA3786"/>
    <w:rsid w:val="00EA379A"/>
    <w:rsid w:val="00EA37B4"/>
    <w:rsid w:val="00EA37FD"/>
    <w:rsid w:val="00EA386F"/>
    <w:rsid w:val="00EA38FF"/>
    <w:rsid w:val="00EA39AF"/>
    <w:rsid w:val="00EA3A3B"/>
    <w:rsid w:val="00EA3AE8"/>
    <w:rsid w:val="00EA3AEF"/>
    <w:rsid w:val="00EA3B47"/>
    <w:rsid w:val="00EA3BEB"/>
    <w:rsid w:val="00EA3C18"/>
    <w:rsid w:val="00EA3CA3"/>
    <w:rsid w:val="00EA3D35"/>
    <w:rsid w:val="00EA3D48"/>
    <w:rsid w:val="00EA3F24"/>
    <w:rsid w:val="00EA3FE1"/>
    <w:rsid w:val="00EA3FFB"/>
    <w:rsid w:val="00EA4140"/>
    <w:rsid w:val="00EA4453"/>
    <w:rsid w:val="00EA4481"/>
    <w:rsid w:val="00EA4488"/>
    <w:rsid w:val="00EA464D"/>
    <w:rsid w:val="00EA46E4"/>
    <w:rsid w:val="00EA46FB"/>
    <w:rsid w:val="00EA474A"/>
    <w:rsid w:val="00EA47A5"/>
    <w:rsid w:val="00EA47BF"/>
    <w:rsid w:val="00EA4818"/>
    <w:rsid w:val="00EA48A1"/>
    <w:rsid w:val="00EA48A9"/>
    <w:rsid w:val="00EA49A6"/>
    <w:rsid w:val="00EA4B77"/>
    <w:rsid w:val="00EA4B7A"/>
    <w:rsid w:val="00EA4BA2"/>
    <w:rsid w:val="00EA4BE1"/>
    <w:rsid w:val="00EA4BFA"/>
    <w:rsid w:val="00EA4C32"/>
    <w:rsid w:val="00EA4D16"/>
    <w:rsid w:val="00EA4DC4"/>
    <w:rsid w:val="00EA4DE3"/>
    <w:rsid w:val="00EA4E5C"/>
    <w:rsid w:val="00EA4E76"/>
    <w:rsid w:val="00EA4E90"/>
    <w:rsid w:val="00EA4E95"/>
    <w:rsid w:val="00EA4EB5"/>
    <w:rsid w:val="00EA4ED8"/>
    <w:rsid w:val="00EA4EE2"/>
    <w:rsid w:val="00EA503B"/>
    <w:rsid w:val="00EA506A"/>
    <w:rsid w:val="00EA50A9"/>
    <w:rsid w:val="00EA5136"/>
    <w:rsid w:val="00EA51B2"/>
    <w:rsid w:val="00EA521E"/>
    <w:rsid w:val="00EA522A"/>
    <w:rsid w:val="00EA52E4"/>
    <w:rsid w:val="00EA553B"/>
    <w:rsid w:val="00EA5562"/>
    <w:rsid w:val="00EA5580"/>
    <w:rsid w:val="00EA564C"/>
    <w:rsid w:val="00EA5772"/>
    <w:rsid w:val="00EA594E"/>
    <w:rsid w:val="00EA5967"/>
    <w:rsid w:val="00EA5968"/>
    <w:rsid w:val="00EA59E8"/>
    <w:rsid w:val="00EA5A78"/>
    <w:rsid w:val="00EA5B41"/>
    <w:rsid w:val="00EA5B88"/>
    <w:rsid w:val="00EA5B8F"/>
    <w:rsid w:val="00EA5C84"/>
    <w:rsid w:val="00EA5D33"/>
    <w:rsid w:val="00EA5D39"/>
    <w:rsid w:val="00EA5E70"/>
    <w:rsid w:val="00EA5EB6"/>
    <w:rsid w:val="00EA5EF5"/>
    <w:rsid w:val="00EA5F10"/>
    <w:rsid w:val="00EA5F3E"/>
    <w:rsid w:val="00EA5FCC"/>
    <w:rsid w:val="00EA607F"/>
    <w:rsid w:val="00EA60A3"/>
    <w:rsid w:val="00EA60AB"/>
    <w:rsid w:val="00EA614C"/>
    <w:rsid w:val="00EA623A"/>
    <w:rsid w:val="00EA6252"/>
    <w:rsid w:val="00EA6274"/>
    <w:rsid w:val="00EA62CD"/>
    <w:rsid w:val="00EA63AC"/>
    <w:rsid w:val="00EA646F"/>
    <w:rsid w:val="00EA6511"/>
    <w:rsid w:val="00EA651B"/>
    <w:rsid w:val="00EA65AF"/>
    <w:rsid w:val="00EA66CB"/>
    <w:rsid w:val="00EA6707"/>
    <w:rsid w:val="00EA6720"/>
    <w:rsid w:val="00EA6802"/>
    <w:rsid w:val="00EA6817"/>
    <w:rsid w:val="00EA6846"/>
    <w:rsid w:val="00EA6970"/>
    <w:rsid w:val="00EA697B"/>
    <w:rsid w:val="00EA6A31"/>
    <w:rsid w:val="00EA6A37"/>
    <w:rsid w:val="00EA6AA3"/>
    <w:rsid w:val="00EA6AE5"/>
    <w:rsid w:val="00EA6B19"/>
    <w:rsid w:val="00EA6B8D"/>
    <w:rsid w:val="00EA6C08"/>
    <w:rsid w:val="00EA6C7B"/>
    <w:rsid w:val="00EA6CFF"/>
    <w:rsid w:val="00EA6D0B"/>
    <w:rsid w:val="00EA6D6F"/>
    <w:rsid w:val="00EA6DF8"/>
    <w:rsid w:val="00EA6E05"/>
    <w:rsid w:val="00EA6F00"/>
    <w:rsid w:val="00EA6F7C"/>
    <w:rsid w:val="00EA718D"/>
    <w:rsid w:val="00EA71EE"/>
    <w:rsid w:val="00EA7235"/>
    <w:rsid w:val="00EA7242"/>
    <w:rsid w:val="00EA7399"/>
    <w:rsid w:val="00EA7472"/>
    <w:rsid w:val="00EA7501"/>
    <w:rsid w:val="00EA757B"/>
    <w:rsid w:val="00EA760A"/>
    <w:rsid w:val="00EA7687"/>
    <w:rsid w:val="00EA7722"/>
    <w:rsid w:val="00EA792B"/>
    <w:rsid w:val="00EA7946"/>
    <w:rsid w:val="00EA79B7"/>
    <w:rsid w:val="00EA79CE"/>
    <w:rsid w:val="00EA79E6"/>
    <w:rsid w:val="00EA7A2E"/>
    <w:rsid w:val="00EA7AAB"/>
    <w:rsid w:val="00EA7B46"/>
    <w:rsid w:val="00EA7BCC"/>
    <w:rsid w:val="00EA7C24"/>
    <w:rsid w:val="00EA7CAD"/>
    <w:rsid w:val="00EA7D75"/>
    <w:rsid w:val="00EA7DD8"/>
    <w:rsid w:val="00EA7E65"/>
    <w:rsid w:val="00EA7EBF"/>
    <w:rsid w:val="00EA7FDA"/>
    <w:rsid w:val="00EB001E"/>
    <w:rsid w:val="00EB0091"/>
    <w:rsid w:val="00EB00BA"/>
    <w:rsid w:val="00EB0159"/>
    <w:rsid w:val="00EB0185"/>
    <w:rsid w:val="00EB02C1"/>
    <w:rsid w:val="00EB0398"/>
    <w:rsid w:val="00EB0413"/>
    <w:rsid w:val="00EB0513"/>
    <w:rsid w:val="00EB051E"/>
    <w:rsid w:val="00EB0591"/>
    <w:rsid w:val="00EB0597"/>
    <w:rsid w:val="00EB06A7"/>
    <w:rsid w:val="00EB06C9"/>
    <w:rsid w:val="00EB06E8"/>
    <w:rsid w:val="00EB075C"/>
    <w:rsid w:val="00EB07C6"/>
    <w:rsid w:val="00EB096F"/>
    <w:rsid w:val="00EB09E9"/>
    <w:rsid w:val="00EB0A18"/>
    <w:rsid w:val="00EB0ADF"/>
    <w:rsid w:val="00EB0B62"/>
    <w:rsid w:val="00EB0BFE"/>
    <w:rsid w:val="00EB0CC4"/>
    <w:rsid w:val="00EB0D68"/>
    <w:rsid w:val="00EB0EE4"/>
    <w:rsid w:val="00EB0F9A"/>
    <w:rsid w:val="00EB1080"/>
    <w:rsid w:val="00EB115E"/>
    <w:rsid w:val="00EB12A2"/>
    <w:rsid w:val="00EB13DE"/>
    <w:rsid w:val="00EB13F3"/>
    <w:rsid w:val="00EB142F"/>
    <w:rsid w:val="00EB14AB"/>
    <w:rsid w:val="00EB14AD"/>
    <w:rsid w:val="00EB150E"/>
    <w:rsid w:val="00EB1537"/>
    <w:rsid w:val="00EB153E"/>
    <w:rsid w:val="00EB15D8"/>
    <w:rsid w:val="00EB1616"/>
    <w:rsid w:val="00EB1756"/>
    <w:rsid w:val="00EB186F"/>
    <w:rsid w:val="00EB1954"/>
    <w:rsid w:val="00EB1959"/>
    <w:rsid w:val="00EB19BA"/>
    <w:rsid w:val="00EB19EA"/>
    <w:rsid w:val="00EB1AB8"/>
    <w:rsid w:val="00EB1AFA"/>
    <w:rsid w:val="00EB1BA0"/>
    <w:rsid w:val="00EB1BF7"/>
    <w:rsid w:val="00EB1CC4"/>
    <w:rsid w:val="00EB1D06"/>
    <w:rsid w:val="00EB1D14"/>
    <w:rsid w:val="00EB1D92"/>
    <w:rsid w:val="00EB1DAB"/>
    <w:rsid w:val="00EB1DF0"/>
    <w:rsid w:val="00EB1E44"/>
    <w:rsid w:val="00EB1E66"/>
    <w:rsid w:val="00EB1F21"/>
    <w:rsid w:val="00EB1F58"/>
    <w:rsid w:val="00EB1F76"/>
    <w:rsid w:val="00EB1F9B"/>
    <w:rsid w:val="00EB20F3"/>
    <w:rsid w:val="00EB211C"/>
    <w:rsid w:val="00EB2143"/>
    <w:rsid w:val="00EB21BE"/>
    <w:rsid w:val="00EB21EC"/>
    <w:rsid w:val="00EB2212"/>
    <w:rsid w:val="00EB225B"/>
    <w:rsid w:val="00EB22DA"/>
    <w:rsid w:val="00EB235E"/>
    <w:rsid w:val="00EB23A5"/>
    <w:rsid w:val="00EB23CC"/>
    <w:rsid w:val="00EB24BE"/>
    <w:rsid w:val="00EB24ED"/>
    <w:rsid w:val="00EB250D"/>
    <w:rsid w:val="00EB2544"/>
    <w:rsid w:val="00EB2555"/>
    <w:rsid w:val="00EB2624"/>
    <w:rsid w:val="00EB2685"/>
    <w:rsid w:val="00EB2717"/>
    <w:rsid w:val="00EB2797"/>
    <w:rsid w:val="00EB27D9"/>
    <w:rsid w:val="00EB2873"/>
    <w:rsid w:val="00EB28CF"/>
    <w:rsid w:val="00EB290D"/>
    <w:rsid w:val="00EB2975"/>
    <w:rsid w:val="00EB2A6E"/>
    <w:rsid w:val="00EB2ACF"/>
    <w:rsid w:val="00EB2ADB"/>
    <w:rsid w:val="00EB2BBA"/>
    <w:rsid w:val="00EB2C38"/>
    <w:rsid w:val="00EB2D05"/>
    <w:rsid w:val="00EB2D26"/>
    <w:rsid w:val="00EB2F38"/>
    <w:rsid w:val="00EB3134"/>
    <w:rsid w:val="00EB323D"/>
    <w:rsid w:val="00EB327B"/>
    <w:rsid w:val="00EB32F0"/>
    <w:rsid w:val="00EB3322"/>
    <w:rsid w:val="00EB3341"/>
    <w:rsid w:val="00EB33BA"/>
    <w:rsid w:val="00EB33C7"/>
    <w:rsid w:val="00EB33D0"/>
    <w:rsid w:val="00EB3454"/>
    <w:rsid w:val="00EB3578"/>
    <w:rsid w:val="00EB357A"/>
    <w:rsid w:val="00EB362A"/>
    <w:rsid w:val="00EB376A"/>
    <w:rsid w:val="00EB37A4"/>
    <w:rsid w:val="00EB3871"/>
    <w:rsid w:val="00EB391B"/>
    <w:rsid w:val="00EB3999"/>
    <w:rsid w:val="00EB39FE"/>
    <w:rsid w:val="00EB3A1C"/>
    <w:rsid w:val="00EB3A7F"/>
    <w:rsid w:val="00EB3A90"/>
    <w:rsid w:val="00EB3B18"/>
    <w:rsid w:val="00EB3B76"/>
    <w:rsid w:val="00EB3BBB"/>
    <w:rsid w:val="00EB3C81"/>
    <w:rsid w:val="00EB3C83"/>
    <w:rsid w:val="00EB3CCD"/>
    <w:rsid w:val="00EB3D5E"/>
    <w:rsid w:val="00EB3D6E"/>
    <w:rsid w:val="00EB3EC4"/>
    <w:rsid w:val="00EB3F7E"/>
    <w:rsid w:val="00EB3F82"/>
    <w:rsid w:val="00EB4184"/>
    <w:rsid w:val="00EB4194"/>
    <w:rsid w:val="00EB4218"/>
    <w:rsid w:val="00EB4236"/>
    <w:rsid w:val="00EB429F"/>
    <w:rsid w:val="00EB42BF"/>
    <w:rsid w:val="00EB42FD"/>
    <w:rsid w:val="00EB4317"/>
    <w:rsid w:val="00EB434E"/>
    <w:rsid w:val="00EB4398"/>
    <w:rsid w:val="00EB43C2"/>
    <w:rsid w:val="00EB4424"/>
    <w:rsid w:val="00EB45D4"/>
    <w:rsid w:val="00EB4625"/>
    <w:rsid w:val="00EB467E"/>
    <w:rsid w:val="00EB46BE"/>
    <w:rsid w:val="00EB4729"/>
    <w:rsid w:val="00EB4799"/>
    <w:rsid w:val="00EB47EE"/>
    <w:rsid w:val="00EB47F5"/>
    <w:rsid w:val="00EB488B"/>
    <w:rsid w:val="00EB48AF"/>
    <w:rsid w:val="00EB491E"/>
    <w:rsid w:val="00EB4927"/>
    <w:rsid w:val="00EB498E"/>
    <w:rsid w:val="00EB4B00"/>
    <w:rsid w:val="00EB4B4B"/>
    <w:rsid w:val="00EB4B5F"/>
    <w:rsid w:val="00EB4C58"/>
    <w:rsid w:val="00EB4C62"/>
    <w:rsid w:val="00EB4C90"/>
    <w:rsid w:val="00EB4D31"/>
    <w:rsid w:val="00EB4D73"/>
    <w:rsid w:val="00EB4DC4"/>
    <w:rsid w:val="00EB4E4E"/>
    <w:rsid w:val="00EB4F9D"/>
    <w:rsid w:val="00EB5002"/>
    <w:rsid w:val="00EB5025"/>
    <w:rsid w:val="00EB5086"/>
    <w:rsid w:val="00EB50C1"/>
    <w:rsid w:val="00EB51EF"/>
    <w:rsid w:val="00EB5203"/>
    <w:rsid w:val="00EB5224"/>
    <w:rsid w:val="00EB52A1"/>
    <w:rsid w:val="00EB52EB"/>
    <w:rsid w:val="00EB5395"/>
    <w:rsid w:val="00EB53F1"/>
    <w:rsid w:val="00EB5606"/>
    <w:rsid w:val="00EB570C"/>
    <w:rsid w:val="00EB5940"/>
    <w:rsid w:val="00EB5ABC"/>
    <w:rsid w:val="00EB5AC4"/>
    <w:rsid w:val="00EB5B1B"/>
    <w:rsid w:val="00EB5BBF"/>
    <w:rsid w:val="00EB5C12"/>
    <w:rsid w:val="00EB5D57"/>
    <w:rsid w:val="00EB5D59"/>
    <w:rsid w:val="00EB5D72"/>
    <w:rsid w:val="00EB5D9F"/>
    <w:rsid w:val="00EB5E42"/>
    <w:rsid w:val="00EB5EDB"/>
    <w:rsid w:val="00EB5EF0"/>
    <w:rsid w:val="00EB5FD0"/>
    <w:rsid w:val="00EB6011"/>
    <w:rsid w:val="00EB601C"/>
    <w:rsid w:val="00EB6103"/>
    <w:rsid w:val="00EB61E1"/>
    <w:rsid w:val="00EB64A3"/>
    <w:rsid w:val="00EB64C1"/>
    <w:rsid w:val="00EB64D0"/>
    <w:rsid w:val="00EB6582"/>
    <w:rsid w:val="00EB6597"/>
    <w:rsid w:val="00EB659E"/>
    <w:rsid w:val="00EB66C1"/>
    <w:rsid w:val="00EB66D1"/>
    <w:rsid w:val="00EB6777"/>
    <w:rsid w:val="00EB67D0"/>
    <w:rsid w:val="00EB67ED"/>
    <w:rsid w:val="00EB6835"/>
    <w:rsid w:val="00EB6840"/>
    <w:rsid w:val="00EB6847"/>
    <w:rsid w:val="00EB689A"/>
    <w:rsid w:val="00EB694C"/>
    <w:rsid w:val="00EB6A3C"/>
    <w:rsid w:val="00EB6A6E"/>
    <w:rsid w:val="00EB6A75"/>
    <w:rsid w:val="00EB6AD6"/>
    <w:rsid w:val="00EB6D07"/>
    <w:rsid w:val="00EB6D22"/>
    <w:rsid w:val="00EB6DA7"/>
    <w:rsid w:val="00EB6EF3"/>
    <w:rsid w:val="00EB6F08"/>
    <w:rsid w:val="00EB6F50"/>
    <w:rsid w:val="00EB701B"/>
    <w:rsid w:val="00EB7054"/>
    <w:rsid w:val="00EB70BA"/>
    <w:rsid w:val="00EB7104"/>
    <w:rsid w:val="00EB7153"/>
    <w:rsid w:val="00EB7200"/>
    <w:rsid w:val="00EB7273"/>
    <w:rsid w:val="00EB73E1"/>
    <w:rsid w:val="00EB7414"/>
    <w:rsid w:val="00EB7415"/>
    <w:rsid w:val="00EB74A7"/>
    <w:rsid w:val="00EB7520"/>
    <w:rsid w:val="00EB76AC"/>
    <w:rsid w:val="00EB7825"/>
    <w:rsid w:val="00EB7946"/>
    <w:rsid w:val="00EB7A25"/>
    <w:rsid w:val="00EB7AA3"/>
    <w:rsid w:val="00EB7ABB"/>
    <w:rsid w:val="00EB7AC2"/>
    <w:rsid w:val="00EB7AD5"/>
    <w:rsid w:val="00EB7B22"/>
    <w:rsid w:val="00EB7B78"/>
    <w:rsid w:val="00EB7B9E"/>
    <w:rsid w:val="00EB7BB0"/>
    <w:rsid w:val="00EB7CD5"/>
    <w:rsid w:val="00EB7DA9"/>
    <w:rsid w:val="00EB7E4F"/>
    <w:rsid w:val="00EB7EA8"/>
    <w:rsid w:val="00EB7F71"/>
    <w:rsid w:val="00EB7FE4"/>
    <w:rsid w:val="00EB7FEA"/>
    <w:rsid w:val="00EB7FF2"/>
    <w:rsid w:val="00EB7FF3"/>
    <w:rsid w:val="00EC0013"/>
    <w:rsid w:val="00EC003B"/>
    <w:rsid w:val="00EC0069"/>
    <w:rsid w:val="00EC0073"/>
    <w:rsid w:val="00EC0102"/>
    <w:rsid w:val="00EC01A9"/>
    <w:rsid w:val="00EC01C8"/>
    <w:rsid w:val="00EC01D7"/>
    <w:rsid w:val="00EC01E8"/>
    <w:rsid w:val="00EC022B"/>
    <w:rsid w:val="00EC0262"/>
    <w:rsid w:val="00EC0284"/>
    <w:rsid w:val="00EC02A1"/>
    <w:rsid w:val="00EC02A9"/>
    <w:rsid w:val="00EC031A"/>
    <w:rsid w:val="00EC033B"/>
    <w:rsid w:val="00EC03B9"/>
    <w:rsid w:val="00EC0401"/>
    <w:rsid w:val="00EC041D"/>
    <w:rsid w:val="00EC0485"/>
    <w:rsid w:val="00EC073E"/>
    <w:rsid w:val="00EC0927"/>
    <w:rsid w:val="00EC09A6"/>
    <w:rsid w:val="00EC09F2"/>
    <w:rsid w:val="00EC0A14"/>
    <w:rsid w:val="00EC0A87"/>
    <w:rsid w:val="00EC0B1E"/>
    <w:rsid w:val="00EC0B3F"/>
    <w:rsid w:val="00EC0BDD"/>
    <w:rsid w:val="00EC0C0A"/>
    <w:rsid w:val="00EC0D60"/>
    <w:rsid w:val="00EC0D89"/>
    <w:rsid w:val="00EC0D9E"/>
    <w:rsid w:val="00EC0E70"/>
    <w:rsid w:val="00EC0FF3"/>
    <w:rsid w:val="00EC106D"/>
    <w:rsid w:val="00EC1077"/>
    <w:rsid w:val="00EC112A"/>
    <w:rsid w:val="00EC1196"/>
    <w:rsid w:val="00EC11AE"/>
    <w:rsid w:val="00EC11C3"/>
    <w:rsid w:val="00EC1274"/>
    <w:rsid w:val="00EC128D"/>
    <w:rsid w:val="00EC12BE"/>
    <w:rsid w:val="00EC12F8"/>
    <w:rsid w:val="00EC13BC"/>
    <w:rsid w:val="00EC13C3"/>
    <w:rsid w:val="00EC1429"/>
    <w:rsid w:val="00EC153D"/>
    <w:rsid w:val="00EC160C"/>
    <w:rsid w:val="00EC169C"/>
    <w:rsid w:val="00EC16A4"/>
    <w:rsid w:val="00EC175B"/>
    <w:rsid w:val="00EC17BC"/>
    <w:rsid w:val="00EC17D0"/>
    <w:rsid w:val="00EC1845"/>
    <w:rsid w:val="00EC18A0"/>
    <w:rsid w:val="00EC1958"/>
    <w:rsid w:val="00EC19DD"/>
    <w:rsid w:val="00EC1A39"/>
    <w:rsid w:val="00EC1A70"/>
    <w:rsid w:val="00EC1A98"/>
    <w:rsid w:val="00EC1AF4"/>
    <w:rsid w:val="00EC1B79"/>
    <w:rsid w:val="00EC1BDA"/>
    <w:rsid w:val="00EC1CE0"/>
    <w:rsid w:val="00EC1D94"/>
    <w:rsid w:val="00EC1E30"/>
    <w:rsid w:val="00EC1E41"/>
    <w:rsid w:val="00EC1E97"/>
    <w:rsid w:val="00EC21B6"/>
    <w:rsid w:val="00EC2272"/>
    <w:rsid w:val="00EC231E"/>
    <w:rsid w:val="00EC2394"/>
    <w:rsid w:val="00EC23F8"/>
    <w:rsid w:val="00EC2489"/>
    <w:rsid w:val="00EC24A2"/>
    <w:rsid w:val="00EC257D"/>
    <w:rsid w:val="00EC26D7"/>
    <w:rsid w:val="00EC277B"/>
    <w:rsid w:val="00EC2834"/>
    <w:rsid w:val="00EC292D"/>
    <w:rsid w:val="00EC29F2"/>
    <w:rsid w:val="00EC2AD4"/>
    <w:rsid w:val="00EC2BA6"/>
    <w:rsid w:val="00EC2C32"/>
    <w:rsid w:val="00EC2D44"/>
    <w:rsid w:val="00EC2E81"/>
    <w:rsid w:val="00EC2EE7"/>
    <w:rsid w:val="00EC2F15"/>
    <w:rsid w:val="00EC2F59"/>
    <w:rsid w:val="00EC2FBD"/>
    <w:rsid w:val="00EC2FDB"/>
    <w:rsid w:val="00EC30E4"/>
    <w:rsid w:val="00EC30F1"/>
    <w:rsid w:val="00EC321A"/>
    <w:rsid w:val="00EC325F"/>
    <w:rsid w:val="00EC3342"/>
    <w:rsid w:val="00EC3366"/>
    <w:rsid w:val="00EC337C"/>
    <w:rsid w:val="00EC3482"/>
    <w:rsid w:val="00EC3492"/>
    <w:rsid w:val="00EC352B"/>
    <w:rsid w:val="00EC358F"/>
    <w:rsid w:val="00EC3628"/>
    <w:rsid w:val="00EC3734"/>
    <w:rsid w:val="00EC3801"/>
    <w:rsid w:val="00EC3823"/>
    <w:rsid w:val="00EC38F5"/>
    <w:rsid w:val="00EC397E"/>
    <w:rsid w:val="00EC39CD"/>
    <w:rsid w:val="00EC3B8C"/>
    <w:rsid w:val="00EC3BA2"/>
    <w:rsid w:val="00EC3DC5"/>
    <w:rsid w:val="00EC3E91"/>
    <w:rsid w:val="00EC3EB8"/>
    <w:rsid w:val="00EC3ED8"/>
    <w:rsid w:val="00EC3F3E"/>
    <w:rsid w:val="00EC3F5F"/>
    <w:rsid w:val="00EC3F79"/>
    <w:rsid w:val="00EC3F95"/>
    <w:rsid w:val="00EC402A"/>
    <w:rsid w:val="00EC403F"/>
    <w:rsid w:val="00EC40F8"/>
    <w:rsid w:val="00EC416D"/>
    <w:rsid w:val="00EC41EB"/>
    <w:rsid w:val="00EC4242"/>
    <w:rsid w:val="00EC43AB"/>
    <w:rsid w:val="00EC43C3"/>
    <w:rsid w:val="00EC43F6"/>
    <w:rsid w:val="00EC4442"/>
    <w:rsid w:val="00EC445C"/>
    <w:rsid w:val="00EC44BE"/>
    <w:rsid w:val="00EC4500"/>
    <w:rsid w:val="00EC458C"/>
    <w:rsid w:val="00EC45BF"/>
    <w:rsid w:val="00EC45EA"/>
    <w:rsid w:val="00EC465D"/>
    <w:rsid w:val="00EC46C2"/>
    <w:rsid w:val="00EC4706"/>
    <w:rsid w:val="00EC479E"/>
    <w:rsid w:val="00EC47E3"/>
    <w:rsid w:val="00EC483E"/>
    <w:rsid w:val="00EC4978"/>
    <w:rsid w:val="00EC498A"/>
    <w:rsid w:val="00EC49E8"/>
    <w:rsid w:val="00EC4A08"/>
    <w:rsid w:val="00EC4AC9"/>
    <w:rsid w:val="00EC4C50"/>
    <w:rsid w:val="00EC4CF8"/>
    <w:rsid w:val="00EC4D10"/>
    <w:rsid w:val="00EC4D12"/>
    <w:rsid w:val="00EC4E8E"/>
    <w:rsid w:val="00EC4ED5"/>
    <w:rsid w:val="00EC504E"/>
    <w:rsid w:val="00EC505E"/>
    <w:rsid w:val="00EC50C3"/>
    <w:rsid w:val="00EC50FA"/>
    <w:rsid w:val="00EC5127"/>
    <w:rsid w:val="00EC5189"/>
    <w:rsid w:val="00EC520E"/>
    <w:rsid w:val="00EC5220"/>
    <w:rsid w:val="00EC5239"/>
    <w:rsid w:val="00EC53C5"/>
    <w:rsid w:val="00EC5430"/>
    <w:rsid w:val="00EC5470"/>
    <w:rsid w:val="00EC5475"/>
    <w:rsid w:val="00EC5493"/>
    <w:rsid w:val="00EC5687"/>
    <w:rsid w:val="00EC568A"/>
    <w:rsid w:val="00EC57E8"/>
    <w:rsid w:val="00EC581D"/>
    <w:rsid w:val="00EC58DE"/>
    <w:rsid w:val="00EC596C"/>
    <w:rsid w:val="00EC599F"/>
    <w:rsid w:val="00EC59C1"/>
    <w:rsid w:val="00EC59C2"/>
    <w:rsid w:val="00EC5A41"/>
    <w:rsid w:val="00EC5A4F"/>
    <w:rsid w:val="00EC5A90"/>
    <w:rsid w:val="00EC5AF5"/>
    <w:rsid w:val="00EC5B62"/>
    <w:rsid w:val="00EC5B87"/>
    <w:rsid w:val="00EC5D0F"/>
    <w:rsid w:val="00EC5D2B"/>
    <w:rsid w:val="00EC5DB6"/>
    <w:rsid w:val="00EC5E00"/>
    <w:rsid w:val="00EC5E40"/>
    <w:rsid w:val="00EC5EB2"/>
    <w:rsid w:val="00EC5EEF"/>
    <w:rsid w:val="00EC5FF5"/>
    <w:rsid w:val="00EC6060"/>
    <w:rsid w:val="00EC60D4"/>
    <w:rsid w:val="00EC60EF"/>
    <w:rsid w:val="00EC615E"/>
    <w:rsid w:val="00EC618E"/>
    <w:rsid w:val="00EC61B7"/>
    <w:rsid w:val="00EC6218"/>
    <w:rsid w:val="00EC6219"/>
    <w:rsid w:val="00EC623E"/>
    <w:rsid w:val="00EC62BD"/>
    <w:rsid w:val="00EC63B6"/>
    <w:rsid w:val="00EC6410"/>
    <w:rsid w:val="00EC6435"/>
    <w:rsid w:val="00EC6494"/>
    <w:rsid w:val="00EC6503"/>
    <w:rsid w:val="00EC6548"/>
    <w:rsid w:val="00EC65E2"/>
    <w:rsid w:val="00EC660F"/>
    <w:rsid w:val="00EC6673"/>
    <w:rsid w:val="00EC6680"/>
    <w:rsid w:val="00EC67A9"/>
    <w:rsid w:val="00EC67C7"/>
    <w:rsid w:val="00EC681A"/>
    <w:rsid w:val="00EC6951"/>
    <w:rsid w:val="00EC698F"/>
    <w:rsid w:val="00EC6A59"/>
    <w:rsid w:val="00EC6A7F"/>
    <w:rsid w:val="00EC6B55"/>
    <w:rsid w:val="00EC6B6C"/>
    <w:rsid w:val="00EC6B7A"/>
    <w:rsid w:val="00EC6BF9"/>
    <w:rsid w:val="00EC6C0B"/>
    <w:rsid w:val="00EC6D16"/>
    <w:rsid w:val="00EC6D29"/>
    <w:rsid w:val="00EC6E3A"/>
    <w:rsid w:val="00EC6EC0"/>
    <w:rsid w:val="00EC6F06"/>
    <w:rsid w:val="00EC6F12"/>
    <w:rsid w:val="00EC6FD6"/>
    <w:rsid w:val="00EC7065"/>
    <w:rsid w:val="00EC7080"/>
    <w:rsid w:val="00EC7088"/>
    <w:rsid w:val="00EC7195"/>
    <w:rsid w:val="00EC71DE"/>
    <w:rsid w:val="00EC7269"/>
    <w:rsid w:val="00EC72B2"/>
    <w:rsid w:val="00EC73C3"/>
    <w:rsid w:val="00EC7427"/>
    <w:rsid w:val="00EC743C"/>
    <w:rsid w:val="00EC74BB"/>
    <w:rsid w:val="00EC7519"/>
    <w:rsid w:val="00EC7598"/>
    <w:rsid w:val="00EC75B5"/>
    <w:rsid w:val="00EC7641"/>
    <w:rsid w:val="00EC7657"/>
    <w:rsid w:val="00EC76C7"/>
    <w:rsid w:val="00EC7788"/>
    <w:rsid w:val="00EC7933"/>
    <w:rsid w:val="00EC7A46"/>
    <w:rsid w:val="00EC7AA5"/>
    <w:rsid w:val="00EC7B6D"/>
    <w:rsid w:val="00EC7BC8"/>
    <w:rsid w:val="00EC7BE7"/>
    <w:rsid w:val="00EC7D38"/>
    <w:rsid w:val="00EC7DE4"/>
    <w:rsid w:val="00EC7E1E"/>
    <w:rsid w:val="00EC7E52"/>
    <w:rsid w:val="00EC7E56"/>
    <w:rsid w:val="00ED0010"/>
    <w:rsid w:val="00ED00C3"/>
    <w:rsid w:val="00ED0172"/>
    <w:rsid w:val="00ED037D"/>
    <w:rsid w:val="00ED041C"/>
    <w:rsid w:val="00ED043B"/>
    <w:rsid w:val="00ED045E"/>
    <w:rsid w:val="00ED04AF"/>
    <w:rsid w:val="00ED04BC"/>
    <w:rsid w:val="00ED0504"/>
    <w:rsid w:val="00ED057D"/>
    <w:rsid w:val="00ED05BE"/>
    <w:rsid w:val="00ED0706"/>
    <w:rsid w:val="00ED07CA"/>
    <w:rsid w:val="00ED0890"/>
    <w:rsid w:val="00ED08C0"/>
    <w:rsid w:val="00ED0933"/>
    <w:rsid w:val="00ED097E"/>
    <w:rsid w:val="00ED09E3"/>
    <w:rsid w:val="00ED0A0B"/>
    <w:rsid w:val="00ED0A22"/>
    <w:rsid w:val="00ED0AEB"/>
    <w:rsid w:val="00ED0BBA"/>
    <w:rsid w:val="00ED0C40"/>
    <w:rsid w:val="00ED0C4B"/>
    <w:rsid w:val="00ED0C86"/>
    <w:rsid w:val="00ED0C89"/>
    <w:rsid w:val="00ED0CED"/>
    <w:rsid w:val="00ED0E66"/>
    <w:rsid w:val="00ED0E6F"/>
    <w:rsid w:val="00ED0E87"/>
    <w:rsid w:val="00ED0FB4"/>
    <w:rsid w:val="00ED10F1"/>
    <w:rsid w:val="00ED11EA"/>
    <w:rsid w:val="00ED127B"/>
    <w:rsid w:val="00ED132B"/>
    <w:rsid w:val="00ED1377"/>
    <w:rsid w:val="00ED14D1"/>
    <w:rsid w:val="00ED14FE"/>
    <w:rsid w:val="00ED1509"/>
    <w:rsid w:val="00ED1595"/>
    <w:rsid w:val="00ED15AE"/>
    <w:rsid w:val="00ED1623"/>
    <w:rsid w:val="00ED165A"/>
    <w:rsid w:val="00ED168A"/>
    <w:rsid w:val="00ED1753"/>
    <w:rsid w:val="00ED1831"/>
    <w:rsid w:val="00ED187A"/>
    <w:rsid w:val="00ED190F"/>
    <w:rsid w:val="00ED1928"/>
    <w:rsid w:val="00ED1993"/>
    <w:rsid w:val="00ED1A74"/>
    <w:rsid w:val="00ED1B94"/>
    <w:rsid w:val="00ED1C24"/>
    <w:rsid w:val="00ED1C33"/>
    <w:rsid w:val="00ED1C44"/>
    <w:rsid w:val="00ED1C59"/>
    <w:rsid w:val="00ED1C8E"/>
    <w:rsid w:val="00ED1CFF"/>
    <w:rsid w:val="00ED1E99"/>
    <w:rsid w:val="00ED1F8E"/>
    <w:rsid w:val="00ED208A"/>
    <w:rsid w:val="00ED218D"/>
    <w:rsid w:val="00ED2191"/>
    <w:rsid w:val="00ED2288"/>
    <w:rsid w:val="00ED2361"/>
    <w:rsid w:val="00ED2423"/>
    <w:rsid w:val="00ED244E"/>
    <w:rsid w:val="00ED245D"/>
    <w:rsid w:val="00ED255D"/>
    <w:rsid w:val="00ED25DC"/>
    <w:rsid w:val="00ED2734"/>
    <w:rsid w:val="00ED283C"/>
    <w:rsid w:val="00ED2873"/>
    <w:rsid w:val="00ED287D"/>
    <w:rsid w:val="00ED2994"/>
    <w:rsid w:val="00ED29B3"/>
    <w:rsid w:val="00ED29DE"/>
    <w:rsid w:val="00ED2AF7"/>
    <w:rsid w:val="00ED2B4F"/>
    <w:rsid w:val="00ED2BA1"/>
    <w:rsid w:val="00ED2BB9"/>
    <w:rsid w:val="00ED2C36"/>
    <w:rsid w:val="00ED2D46"/>
    <w:rsid w:val="00ED2D79"/>
    <w:rsid w:val="00ED2D9F"/>
    <w:rsid w:val="00ED2E08"/>
    <w:rsid w:val="00ED2F76"/>
    <w:rsid w:val="00ED2FA9"/>
    <w:rsid w:val="00ED3046"/>
    <w:rsid w:val="00ED3059"/>
    <w:rsid w:val="00ED305E"/>
    <w:rsid w:val="00ED3079"/>
    <w:rsid w:val="00ED30C3"/>
    <w:rsid w:val="00ED30E7"/>
    <w:rsid w:val="00ED31C3"/>
    <w:rsid w:val="00ED32A8"/>
    <w:rsid w:val="00ED33D2"/>
    <w:rsid w:val="00ED3403"/>
    <w:rsid w:val="00ED34EA"/>
    <w:rsid w:val="00ED3545"/>
    <w:rsid w:val="00ED3554"/>
    <w:rsid w:val="00ED3561"/>
    <w:rsid w:val="00ED35DA"/>
    <w:rsid w:val="00ED360D"/>
    <w:rsid w:val="00ED366A"/>
    <w:rsid w:val="00ED37C2"/>
    <w:rsid w:val="00ED380D"/>
    <w:rsid w:val="00ED3827"/>
    <w:rsid w:val="00ED392D"/>
    <w:rsid w:val="00ED3937"/>
    <w:rsid w:val="00ED396D"/>
    <w:rsid w:val="00ED397F"/>
    <w:rsid w:val="00ED3A06"/>
    <w:rsid w:val="00ED3A1A"/>
    <w:rsid w:val="00ED3AAE"/>
    <w:rsid w:val="00ED3B28"/>
    <w:rsid w:val="00ED3B6D"/>
    <w:rsid w:val="00ED3B9B"/>
    <w:rsid w:val="00ED3D2F"/>
    <w:rsid w:val="00ED3DB6"/>
    <w:rsid w:val="00ED3DBB"/>
    <w:rsid w:val="00ED3DC7"/>
    <w:rsid w:val="00ED3E4C"/>
    <w:rsid w:val="00ED3E6F"/>
    <w:rsid w:val="00ED3F57"/>
    <w:rsid w:val="00ED3FA2"/>
    <w:rsid w:val="00ED3FD8"/>
    <w:rsid w:val="00ED4012"/>
    <w:rsid w:val="00ED4164"/>
    <w:rsid w:val="00ED4214"/>
    <w:rsid w:val="00ED4254"/>
    <w:rsid w:val="00ED4289"/>
    <w:rsid w:val="00ED42AA"/>
    <w:rsid w:val="00ED42D6"/>
    <w:rsid w:val="00ED433A"/>
    <w:rsid w:val="00ED4352"/>
    <w:rsid w:val="00ED438B"/>
    <w:rsid w:val="00ED43B4"/>
    <w:rsid w:val="00ED44FA"/>
    <w:rsid w:val="00ED4510"/>
    <w:rsid w:val="00ED451F"/>
    <w:rsid w:val="00ED4565"/>
    <w:rsid w:val="00ED457E"/>
    <w:rsid w:val="00ED45D8"/>
    <w:rsid w:val="00ED462E"/>
    <w:rsid w:val="00ED4649"/>
    <w:rsid w:val="00ED4669"/>
    <w:rsid w:val="00ED467B"/>
    <w:rsid w:val="00ED46AE"/>
    <w:rsid w:val="00ED4702"/>
    <w:rsid w:val="00ED4725"/>
    <w:rsid w:val="00ED4753"/>
    <w:rsid w:val="00ED47D8"/>
    <w:rsid w:val="00ED47EE"/>
    <w:rsid w:val="00ED4828"/>
    <w:rsid w:val="00ED4838"/>
    <w:rsid w:val="00ED48F8"/>
    <w:rsid w:val="00ED4989"/>
    <w:rsid w:val="00ED498C"/>
    <w:rsid w:val="00ED4A7E"/>
    <w:rsid w:val="00ED4A88"/>
    <w:rsid w:val="00ED4AA7"/>
    <w:rsid w:val="00ED4AC9"/>
    <w:rsid w:val="00ED4B86"/>
    <w:rsid w:val="00ED4BC9"/>
    <w:rsid w:val="00ED4CE2"/>
    <w:rsid w:val="00ED4D01"/>
    <w:rsid w:val="00ED4D5D"/>
    <w:rsid w:val="00ED4D73"/>
    <w:rsid w:val="00ED4DA2"/>
    <w:rsid w:val="00ED4E22"/>
    <w:rsid w:val="00ED4F2F"/>
    <w:rsid w:val="00ED4FB8"/>
    <w:rsid w:val="00ED504A"/>
    <w:rsid w:val="00ED527A"/>
    <w:rsid w:val="00ED52D3"/>
    <w:rsid w:val="00ED5313"/>
    <w:rsid w:val="00ED537F"/>
    <w:rsid w:val="00ED5388"/>
    <w:rsid w:val="00ED539C"/>
    <w:rsid w:val="00ED53A1"/>
    <w:rsid w:val="00ED53F7"/>
    <w:rsid w:val="00ED54E4"/>
    <w:rsid w:val="00ED5512"/>
    <w:rsid w:val="00ED559B"/>
    <w:rsid w:val="00ED56A9"/>
    <w:rsid w:val="00ED5921"/>
    <w:rsid w:val="00ED5969"/>
    <w:rsid w:val="00ED59D5"/>
    <w:rsid w:val="00ED59FD"/>
    <w:rsid w:val="00ED5A5E"/>
    <w:rsid w:val="00ED5A6F"/>
    <w:rsid w:val="00ED5BB9"/>
    <w:rsid w:val="00ED5C3A"/>
    <w:rsid w:val="00ED5C46"/>
    <w:rsid w:val="00ED5C52"/>
    <w:rsid w:val="00ED5CCC"/>
    <w:rsid w:val="00ED5D2A"/>
    <w:rsid w:val="00ED5D3B"/>
    <w:rsid w:val="00ED5DE1"/>
    <w:rsid w:val="00ED5DE4"/>
    <w:rsid w:val="00ED6015"/>
    <w:rsid w:val="00ED6099"/>
    <w:rsid w:val="00ED61B9"/>
    <w:rsid w:val="00ED61E1"/>
    <w:rsid w:val="00ED620B"/>
    <w:rsid w:val="00ED6211"/>
    <w:rsid w:val="00ED6222"/>
    <w:rsid w:val="00ED629C"/>
    <w:rsid w:val="00ED6356"/>
    <w:rsid w:val="00ED63CD"/>
    <w:rsid w:val="00ED640F"/>
    <w:rsid w:val="00ED6466"/>
    <w:rsid w:val="00ED649A"/>
    <w:rsid w:val="00ED64D5"/>
    <w:rsid w:val="00ED650D"/>
    <w:rsid w:val="00ED659E"/>
    <w:rsid w:val="00ED6665"/>
    <w:rsid w:val="00ED66E6"/>
    <w:rsid w:val="00ED6737"/>
    <w:rsid w:val="00ED67F5"/>
    <w:rsid w:val="00ED682A"/>
    <w:rsid w:val="00ED68EF"/>
    <w:rsid w:val="00ED69CD"/>
    <w:rsid w:val="00ED6A1A"/>
    <w:rsid w:val="00ED6BF0"/>
    <w:rsid w:val="00ED6D03"/>
    <w:rsid w:val="00ED6EA9"/>
    <w:rsid w:val="00ED6F30"/>
    <w:rsid w:val="00ED705A"/>
    <w:rsid w:val="00ED714B"/>
    <w:rsid w:val="00ED7168"/>
    <w:rsid w:val="00ED71A7"/>
    <w:rsid w:val="00ED7236"/>
    <w:rsid w:val="00ED72F3"/>
    <w:rsid w:val="00ED7307"/>
    <w:rsid w:val="00ED7345"/>
    <w:rsid w:val="00ED73BE"/>
    <w:rsid w:val="00ED73D7"/>
    <w:rsid w:val="00ED7469"/>
    <w:rsid w:val="00ED74A9"/>
    <w:rsid w:val="00ED7551"/>
    <w:rsid w:val="00ED7595"/>
    <w:rsid w:val="00ED7662"/>
    <w:rsid w:val="00ED776B"/>
    <w:rsid w:val="00ED7782"/>
    <w:rsid w:val="00ED778D"/>
    <w:rsid w:val="00ED77D1"/>
    <w:rsid w:val="00ED77DA"/>
    <w:rsid w:val="00ED7844"/>
    <w:rsid w:val="00ED78B6"/>
    <w:rsid w:val="00ED7A84"/>
    <w:rsid w:val="00ED7AEA"/>
    <w:rsid w:val="00ED7B4F"/>
    <w:rsid w:val="00ED7B83"/>
    <w:rsid w:val="00ED7BC7"/>
    <w:rsid w:val="00ED7D54"/>
    <w:rsid w:val="00ED7D95"/>
    <w:rsid w:val="00ED7E10"/>
    <w:rsid w:val="00ED7E70"/>
    <w:rsid w:val="00ED7EB9"/>
    <w:rsid w:val="00ED7F04"/>
    <w:rsid w:val="00ED7F51"/>
    <w:rsid w:val="00ED7FDE"/>
    <w:rsid w:val="00EE0009"/>
    <w:rsid w:val="00EE006B"/>
    <w:rsid w:val="00EE01BC"/>
    <w:rsid w:val="00EE0233"/>
    <w:rsid w:val="00EE0234"/>
    <w:rsid w:val="00EE028D"/>
    <w:rsid w:val="00EE0326"/>
    <w:rsid w:val="00EE038D"/>
    <w:rsid w:val="00EE0402"/>
    <w:rsid w:val="00EE0512"/>
    <w:rsid w:val="00EE055C"/>
    <w:rsid w:val="00EE05A1"/>
    <w:rsid w:val="00EE075B"/>
    <w:rsid w:val="00EE0785"/>
    <w:rsid w:val="00EE079D"/>
    <w:rsid w:val="00EE07A4"/>
    <w:rsid w:val="00EE0819"/>
    <w:rsid w:val="00EE0886"/>
    <w:rsid w:val="00EE092D"/>
    <w:rsid w:val="00EE0AB2"/>
    <w:rsid w:val="00EE0AC4"/>
    <w:rsid w:val="00EE0B15"/>
    <w:rsid w:val="00EE0B44"/>
    <w:rsid w:val="00EE0B6D"/>
    <w:rsid w:val="00EE0B92"/>
    <w:rsid w:val="00EE0CCE"/>
    <w:rsid w:val="00EE0D23"/>
    <w:rsid w:val="00EE0E33"/>
    <w:rsid w:val="00EE0E5D"/>
    <w:rsid w:val="00EE0EAD"/>
    <w:rsid w:val="00EE0F28"/>
    <w:rsid w:val="00EE1031"/>
    <w:rsid w:val="00EE1032"/>
    <w:rsid w:val="00EE1088"/>
    <w:rsid w:val="00EE1165"/>
    <w:rsid w:val="00EE122B"/>
    <w:rsid w:val="00EE125D"/>
    <w:rsid w:val="00EE1262"/>
    <w:rsid w:val="00EE126B"/>
    <w:rsid w:val="00EE12D3"/>
    <w:rsid w:val="00EE1396"/>
    <w:rsid w:val="00EE13A1"/>
    <w:rsid w:val="00EE13F4"/>
    <w:rsid w:val="00EE1412"/>
    <w:rsid w:val="00EE1420"/>
    <w:rsid w:val="00EE1473"/>
    <w:rsid w:val="00EE1486"/>
    <w:rsid w:val="00EE1495"/>
    <w:rsid w:val="00EE1521"/>
    <w:rsid w:val="00EE1542"/>
    <w:rsid w:val="00EE15CA"/>
    <w:rsid w:val="00EE163F"/>
    <w:rsid w:val="00EE1660"/>
    <w:rsid w:val="00EE1829"/>
    <w:rsid w:val="00EE197B"/>
    <w:rsid w:val="00EE19AA"/>
    <w:rsid w:val="00EE19FB"/>
    <w:rsid w:val="00EE1A6C"/>
    <w:rsid w:val="00EE1A98"/>
    <w:rsid w:val="00EE1A9B"/>
    <w:rsid w:val="00EE1AA2"/>
    <w:rsid w:val="00EE1B6B"/>
    <w:rsid w:val="00EE1B6E"/>
    <w:rsid w:val="00EE1B75"/>
    <w:rsid w:val="00EE1BF1"/>
    <w:rsid w:val="00EE1D5C"/>
    <w:rsid w:val="00EE1DE3"/>
    <w:rsid w:val="00EE1E2E"/>
    <w:rsid w:val="00EE1E47"/>
    <w:rsid w:val="00EE1F2A"/>
    <w:rsid w:val="00EE1F4D"/>
    <w:rsid w:val="00EE1FCA"/>
    <w:rsid w:val="00EE202D"/>
    <w:rsid w:val="00EE20E8"/>
    <w:rsid w:val="00EE216E"/>
    <w:rsid w:val="00EE219B"/>
    <w:rsid w:val="00EE21E8"/>
    <w:rsid w:val="00EE227A"/>
    <w:rsid w:val="00EE2314"/>
    <w:rsid w:val="00EE2341"/>
    <w:rsid w:val="00EE2454"/>
    <w:rsid w:val="00EE24A3"/>
    <w:rsid w:val="00EE24D7"/>
    <w:rsid w:val="00EE2512"/>
    <w:rsid w:val="00EE2558"/>
    <w:rsid w:val="00EE2613"/>
    <w:rsid w:val="00EE2614"/>
    <w:rsid w:val="00EE2646"/>
    <w:rsid w:val="00EE266D"/>
    <w:rsid w:val="00EE26B7"/>
    <w:rsid w:val="00EE276A"/>
    <w:rsid w:val="00EE2798"/>
    <w:rsid w:val="00EE29A3"/>
    <w:rsid w:val="00EE2ABC"/>
    <w:rsid w:val="00EE2B41"/>
    <w:rsid w:val="00EE2B49"/>
    <w:rsid w:val="00EE2B5D"/>
    <w:rsid w:val="00EE2BB9"/>
    <w:rsid w:val="00EE2BC2"/>
    <w:rsid w:val="00EE2BC5"/>
    <w:rsid w:val="00EE2CBF"/>
    <w:rsid w:val="00EE2CD4"/>
    <w:rsid w:val="00EE2E4C"/>
    <w:rsid w:val="00EE2E5C"/>
    <w:rsid w:val="00EE2F3D"/>
    <w:rsid w:val="00EE2FAA"/>
    <w:rsid w:val="00EE303A"/>
    <w:rsid w:val="00EE3064"/>
    <w:rsid w:val="00EE30E5"/>
    <w:rsid w:val="00EE31AA"/>
    <w:rsid w:val="00EE31E6"/>
    <w:rsid w:val="00EE3282"/>
    <w:rsid w:val="00EE3327"/>
    <w:rsid w:val="00EE3453"/>
    <w:rsid w:val="00EE34A5"/>
    <w:rsid w:val="00EE352A"/>
    <w:rsid w:val="00EE354A"/>
    <w:rsid w:val="00EE3599"/>
    <w:rsid w:val="00EE3652"/>
    <w:rsid w:val="00EE386C"/>
    <w:rsid w:val="00EE390C"/>
    <w:rsid w:val="00EE391D"/>
    <w:rsid w:val="00EE3928"/>
    <w:rsid w:val="00EE3956"/>
    <w:rsid w:val="00EE39F3"/>
    <w:rsid w:val="00EE3A25"/>
    <w:rsid w:val="00EE3A73"/>
    <w:rsid w:val="00EE3AE2"/>
    <w:rsid w:val="00EE3B52"/>
    <w:rsid w:val="00EE3E30"/>
    <w:rsid w:val="00EE3E42"/>
    <w:rsid w:val="00EE3F49"/>
    <w:rsid w:val="00EE3F73"/>
    <w:rsid w:val="00EE40F9"/>
    <w:rsid w:val="00EE41BA"/>
    <w:rsid w:val="00EE4261"/>
    <w:rsid w:val="00EE4307"/>
    <w:rsid w:val="00EE432B"/>
    <w:rsid w:val="00EE447F"/>
    <w:rsid w:val="00EE44FC"/>
    <w:rsid w:val="00EE4503"/>
    <w:rsid w:val="00EE4526"/>
    <w:rsid w:val="00EE4527"/>
    <w:rsid w:val="00EE458D"/>
    <w:rsid w:val="00EE4737"/>
    <w:rsid w:val="00EE474B"/>
    <w:rsid w:val="00EE479F"/>
    <w:rsid w:val="00EE47D0"/>
    <w:rsid w:val="00EE4910"/>
    <w:rsid w:val="00EE4979"/>
    <w:rsid w:val="00EE4A02"/>
    <w:rsid w:val="00EE4A60"/>
    <w:rsid w:val="00EE4A67"/>
    <w:rsid w:val="00EE4B1D"/>
    <w:rsid w:val="00EE4BE1"/>
    <w:rsid w:val="00EE4CCC"/>
    <w:rsid w:val="00EE4DBA"/>
    <w:rsid w:val="00EE4DEF"/>
    <w:rsid w:val="00EE4E1A"/>
    <w:rsid w:val="00EE4F0A"/>
    <w:rsid w:val="00EE5005"/>
    <w:rsid w:val="00EE50C2"/>
    <w:rsid w:val="00EE5188"/>
    <w:rsid w:val="00EE51D8"/>
    <w:rsid w:val="00EE526C"/>
    <w:rsid w:val="00EE52A7"/>
    <w:rsid w:val="00EE5326"/>
    <w:rsid w:val="00EE5347"/>
    <w:rsid w:val="00EE535F"/>
    <w:rsid w:val="00EE538A"/>
    <w:rsid w:val="00EE53CE"/>
    <w:rsid w:val="00EE5417"/>
    <w:rsid w:val="00EE5437"/>
    <w:rsid w:val="00EE5545"/>
    <w:rsid w:val="00EE55BD"/>
    <w:rsid w:val="00EE55C5"/>
    <w:rsid w:val="00EE565C"/>
    <w:rsid w:val="00EE5661"/>
    <w:rsid w:val="00EE56B7"/>
    <w:rsid w:val="00EE56C9"/>
    <w:rsid w:val="00EE57C0"/>
    <w:rsid w:val="00EE5869"/>
    <w:rsid w:val="00EE58B9"/>
    <w:rsid w:val="00EE5D6D"/>
    <w:rsid w:val="00EE5DC5"/>
    <w:rsid w:val="00EE5E05"/>
    <w:rsid w:val="00EE5E0B"/>
    <w:rsid w:val="00EE5EBF"/>
    <w:rsid w:val="00EE5F4C"/>
    <w:rsid w:val="00EE5FCC"/>
    <w:rsid w:val="00EE603F"/>
    <w:rsid w:val="00EE60D8"/>
    <w:rsid w:val="00EE60EC"/>
    <w:rsid w:val="00EE6266"/>
    <w:rsid w:val="00EE6275"/>
    <w:rsid w:val="00EE6304"/>
    <w:rsid w:val="00EE633C"/>
    <w:rsid w:val="00EE63FA"/>
    <w:rsid w:val="00EE644F"/>
    <w:rsid w:val="00EE6451"/>
    <w:rsid w:val="00EE6506"/>
    <w:rsid w:val="00EE653E"/>
    <w:rsid w:val="00EE6562"/>
    <w:rsid w:val="00EE6571"/>
    <w:rsid w:val="00EE659E"/>
    <w:rsid w:val="00EE65E9"/>
    <w:rsid w:val="00EE6640"/>
    <w:rsid w:val="00EE6684"/>
    <w:rsid w:val="00EE66CD"/>
    <w:rsid w:val="00EE6784"/>
    <w:rsid w:val="00EE67D4"/>
    <w:rsid w:val="00EE6839"/>
    <w:rsid w:val="00EE68BF"/>
    <w:rsid w:val="00EE68F5"/>
    <w:rsid w:val="00EE692C"/>
    <w:rsid w:val="00EE6968"/>
    <w:rsid w:val="00EE69C3"/>
    <w:rsid w:val="00EE6A7A"/>
    <w:rsid w:val="00EE6AD9"/>
    <w:rsid w:val="00EE6B2D"/>
    <w:rsid w:val="00EE6BA9"/>
    <w:rsid w:val="00EE6BAB"/>
    <w:rsid w:val="00EE6CA2"/>
    <w:rsid w:val="00EE6CC7"/>
    <w:rsid w:val="00EE6E19"/>
    <w:rsid w:val="00EE6E52"/>
    <w:rsid w:val="00EE6FC3"/>
    <w:rsid w:val="00EE7075"/>
    <w:rsid w:val="00EE70BF"/>
    <w:rsid w:val="00EE70C2"/>
    <w:rsid w:val="00EE71D7"/>
    <w:rsid w:val="00EE727D"/>
    <w:rsid w:val="00EE7390"/>
    <w:rsid w:val="00EE73CE"/>
    <w:rsid w:val="00EE73F9"/>
    <w:rsid w:val="00EE7416"/>
    <w:rsid w:val="00EE743B"/>
    <w:rsid w:val="00EE7514"/>
    <w:rsid w:val="00EE751D"/>
    <w:rsid w:val="00EE76AE"/>
    <w:rsid w:val="00EE7885"/>
    <w:rsid w:val="00EE78DB"/>
    <w:rsid w:val="00EE7924"/>
    <w:rsid w:val="00EE7983"/>
    <w:rsid w:val="00EE7998"/>
    <w:rsid w:val="00EE7A69"/>
    <w:rsid w:val="00EE7A6A"/>
    <w:rsid w:val="00EE7A7B"/>
    <w:rsid w:val="00EE7BFB"/>
    <w:rsid w:val="00EE7C22"/>
    <w:rsid w:val="00EE7CF9"/>
    <w:rsid w:val="00EE7DA8"/>
    <w:rsid w:val="00EE7E0A"/>
    <w:rsid w:val="00EE7E14"/>
    <w:rsid w:val="00EE7F89"/>
    <w:rsid w:val="00EF001F"/>
    <w:rsid w:val="00EF00B6"/>
    <w:rsid w:val="00EF00D1"/>
    <w:rsid w:val="00EF010E"/>
    <w:rsid w:val="00EF01D9"/>
    <w:rsid w:val="00EF02FD"/>
    <w:rsid w:val="00EF0353"/>
    <w:rsid w:val="00EF0377"/>
    <w:rsid w:val="00EF03CF"/>
    <w:rsid w:val="00EF050F"/>
    <w:rsid w:val="00EF06C4"/>
    <w:rsid w:val="00EF07C2"/>
    <w:rsid w:val="00EF0824"/>
    <w:rsid w:val="00EF0886"/>
    <w:rsid w:val="00EF094C"/>
    <w:rsid w:val="00EF09CB"/>
    <w:rsid w:val="00EF0C33"/>
    <w:rsid w:val="00EF0C84"/>
    <w:rsid w:val="00EF0CC0"/>
    <w:rsid w:val="00EF0CF1"/>
    <w:rsid w:val="00EF0D17"/>
    <w:rsid w:val="00EF0DFF"/>
    <w:rsid w:val="00EF0E29"/>
    <w:rsid w:val="00EF0E2F"/>
    <w:rsid w:val="00EF0E52"/>
    <w:rsid w:val="00EF0E78"/>
    <w:rsid w:val="00EF0F98"/>
    <w:rsid w:val="00EF0FB1"/>
    <w:rsid w:val="00EF1154"/>
    <w:rsid w:val="00EF11DE"/>
    <w:rsid w:val="00EF1254"/>
    <w:rsid w:val="00EF1288"/>
    <w:rsid w:val="00EF1297"/>
    <w:rsid w:val="00EF12BC"/>
    <w:rsid w:val="00EF139B"/>
    <w:rsid w:val="00EF13CF"/>
    <w:rsid w:val="00EF13F1"/>
    <w:rsid w:val="00EF1412"/>
    <w:rsid w:val="00EF1478"/>
    <w:rsid w:val="00EF14F3"/>
    <w:rsid w:val="00EF1547"/>
    <w:rsid w:val="00EF1569"/>
    <w:rsid w:val="00EF171C"/>
    <w:rsid w:val="00EF172F"/>
    <w:rsid w:val="00EF173D"/>
    <w:rsid w:val="00EF1844"/>
    <w:rsid w:val="00EF184E"/>
    <w:rsid w:val="00EF1991"/>
    <w:rsid w:val="00EF199D"/>
    <w:rsid w:val="00EF19DA"/>
    <w:rsid w:val="00EF1A1E"/>
    <w:rsid w:val="00EF1B22"/>
    <w:rsid w:val="00EF1B7E"/>
    <w:rsid w:val="00EF1C4E"/>
    <w:rsid w:val="00EF1C63"/>
    <w:rsid w:val="00EF1C8A"/>
    <w:rsid w:val="00EF1CA7"/>
    <w:rsid w:val="00EF1CC2"/>
    <w:rsid w:val="00EF1D27"/>
    <w:rsid w:val="00EF1D8A"/>
    <w:rsid w:val="00EF1D9F"/>
    <w:rsid w:val="00EF1E12"/>
    <w:rsid w:val="00EF1EBF"/>
    <w:rsid w:val="00EF1ED4"/>
    <w:rsid w:val="00EF1FAF"/>
    <w:rsid w:val="00EF2008"/>
    <w:rsid w:val="00EF202F"/>
    <w:rsid w:val="00EF21EF"/>
    <w:rsid w:val="00EF22E2"/>
    <w:rsid w:val="00EF23E3"/>
    <w:rsid w:val="00EF24C2"/>
    <w:rsid w:val="00EF256D"/>
    <w:rsid w:val="00EF2639"/>
    <w:rsid w:val="00EF26B8"/>
    <w:rsid w:val="00EF26E6"/>
    <w:rsid w:val="00EF275A"/>
    <w:rsid w:val="00EF2837"/>
    <w:rsid w:val="00EF2897"/>
    <w:rsid w:val="00EF28D2"/>
    <w:rsid w:val="00EF2938"/>
    <w:rsid w:val="00EF29BE"/>
    <w:rsid w:val="00EF2B13"/>
    <w:rsid w:val="00EF2B44"/>
    <w:rsid w:val="00EF2B67"/>
    <w:rsid w:val="00EF2BFE"/>
    <w:rsid w:val="00EF2C8D"/>
    <w:rsid w:val="00EF2CA2"/>
    <w:rsid w:val="00EF2E53"/>
    <w:rsid w:val="00EF2E65"/>
    <w:rsid w:val="00EF2E75"/>
    <w:rsid w:val="00EF2E9D"/>
    <w:rsid w:val="00EF2EF3"/>
    <w:rsid w:val="00EF2EFB"/>
    <w:rsid w:val="00EF2F60"/>
    <w:rsid w:val="00EF2FB3"/>
    <w:rsid w:val="00EF300F"/>
    <w:rsid w:val="00EF3098"/>
    <w:rsid w:val="00EF30B3"/>
    <w:rsid w:val="00EF312E"/>
    <w:rsid w:val="00EF32AA"/>
    <w:rsid w:val="00EF338C"/>
    <w:rsid w:val="00EF33CB"/>
    <w:rsid w:val="00EF3520"/>
    <w:rsid w:val="00EF354C"/>
    <w:rsid w:val="00EF36C7"/>
    <w:rsid w:val="00EF3716"/>
    <w:rsid w:val="00EF375A"/>
    <w:rsid w:val="00EF3839"/>
    <w:rsid w:val="00EF3860"/>
    <w:rsid w:val="00EF3866"/>
    <w:rsid w:val="00EF391F"/>
    <w:rsid w:val="00EF3930"/>
    <w:rsid w:val="00EF399A"/>
    <w:rsid w:val="00EF3A05"/>
    <w:rsid w:val="00EF3A22"/>
    <w:rsid w:val="00EF3A83"/>
    <w:rsid w:val="00EF3B0F"/>
    <w:rsid w:val="00EF3B33"/>
    <w:rsid w:val="00EF3B7C"/>
    <w:rsid w:val="00EF3C0D"/>
    <w:rsid w:val="00EF3C40"/>
    <w:rsid w:val="00EF3CAF"/>
    <w:rsid w:val="00EF3CC1"/>
    <w:rsid w:val="00EF3CEB"/>
    <w:rsid w:val="00EF3CF0"/>
    <w:rsid w:val="00EF3DCE"/>
    <w:rsid w:val="00EF3EBB"/>
    <w:rsid w:val="00EF3F05"/>
    <w:rsid w:val="00EF409C"/>
    <w:rsid w:val="00EF40A2"/>
    <w:rsid w:val="00EF40F5"/>
    <w:rsid w:val="00EF41A3"/>
    <w:rsid w:val="00EF41E3"/>
    <w:rsid w:val="00EF4224"/>
    <w:rsid w:val="00EF422C"/>
    <w:rsid w:val="00EF42F9"/>
    <w:rsid w:val="00EF43C1"/>
    <w:rsid w:val="00EF43D0"/>
    <w:rsid w:val="00EF43ED"/>
    <w:rsid w:val="00EF4456"/>
    <w:rsid w:val="00EF4498"/>
    <w:rsid w:val="00EF44D7"/>
    <w:rsid w:val="00EF4520"/>
    <w:rsid w:val="00EF455F"/>
    <w:rsid w:val="00EF45D7"/>
    <w:rsid w:val="00EF4615"/>
    <w:rsid w:val="00EF469A"/>
    <w:rsid w:val="00EF46A1"/>
    <w:rsid w:val="00EF4751"/>
    <w:rsid w:val="00EF4822"/>
    <w:rsid w:val="00EF4839"/>
    <w:rsid w:val="00EF4959"/>
    <w:rsid w:val="00EF49B1"/>
    <w:rsid w:val="00EF4A43"/>
    <w:rsid w:val="00EF4A9B"/>
    <w:rsid w:val="00EF4AFB"/>
    <w:rsid w:val="00EF4B7F"/>
    <w:rsid w:val="00EF4BDD"/>
    <w:rsid w:val="00EF4C4E"/>
    <w:rsid w:val="00EF4C8A"/>
    <w:rsid w:val="00EF4D24"/>
    <w:rsid w:val="00EF4D53"/>
    <w:rsid w:val="00EF4D9A"/>
    <w:rsid w:val="00EF4E1D"/>
    <w:rsid w:val="00EF4E84"/>
    <w:rsid w:val="00EF4F16"/>
    <w:rsid w:val="00EF4FBA"/>
    <w:rsid w:val="00EF5006"/>
    <w:rsid w:val="00EF50D4"/>
    <w:rsid w:val="00EF521A"/>
    <w:rsid w:val="00EF52E8"/>
    <w:rsid w:val="00EF5361"/>
    <w:rsid w:val="00EF536A"/>
    <w:rsid w:val="00EF5412"/>
    <w:rsid w:val="00EF5418"/>
    <w:rsid w:val="00EF545B"/>
    <w:rsid w:val="00EF54B9"/>
    <w:rsid w:val="00EF553D"/>
    <w:rsid w:val="00EF559E"/>
    <w:rsid w:val="00EF566B"/>
    <w:rsid w:val="00EF5674"/>
    <w:rsid w:val="00EF574F"/>
    <w:rsid w:val="00EF57E9"/>
    <w:rsid w:val="00EF586E"/>
    <w:rsid w:val="00EF5878"/>
    <w:rsid w:val="00EF5895"/>
    <w:rsid w:val="00EF5897"/>
    <w:rsid w:val="00EF59B6"/>
    <w:rsid w:val="00EF59D2"/>
    <w:rsid w:val="00EF59DC"/>
    <w:rsid w:val="00EF5ADF"/>
    <w:rsid w:val="00EF5B02"/>
    <w:rsid w:val="00EF5B83"/>
    <w:rsid w:val="00EF5CEA"/>
    <w:rsid w:val="00EF5D52"/>
    <w:rsid w:val="00EF5D61"/>
    <w:rsid w:val="00EF5DED"/>
    <w:rsid w:val="00EF5F25"/>
    <w:rsid w:val="00EF5FC8"/>
    <w:rsid w:val="00EF5FDB"/>
    <w:rsid w:val="00EF60B6"/>
    <w:rsid w:val="00EF611C"/>
    <w:rsid w:val="00EF6181"/>
    <w:rsid w:val="00EF619D"/>
    <w:rsid w:val="00EF61C9"/>
    <w:rsid w:val="00EF61E5"/>
    <w:rsid w:val="00EF634D"/>
    <w:rsid w:val="00EF6434"/>
    <w:rsid w:val="00EF64B9"/>
    <w:rsid w:val="00EF64FC"/>
    <w:rsid w:val="00EF6578"/>
    <w:rsid w:val="00EF6611"/>
    <w:rsid w:val="00EF66CA"/>
    <w:rsid w:val="00EF6720"/>
    <w:rsid w:val="00EF67DC"/>
    <w:rsid w:val="00EF67FF"/>
    <w:rsid w:val="00EF6835"/>
    <w:rsid w:val="00EF686C"/>
    <w:rsid w:val="00EF68EC"/>
    <w:rsid w:val="00EF68ED"/>
    <w:rsid w:val="00EF68F4"/>
    <w:rsid w:val="00EF6A7A"/>
    <w:rsid w:val="00EF6AA5"/>
    <w:rsid w:val="00EF6B6B"/>
    <w:rsid w:val="00EF6BFB"/>
    <w:rsid w:val="00EF6C0D"/>
    <w:rsid w:val="00EF6D04"/>
    <w:rsid w:val="00EF6DC7"/>
    <w:rsid w:val="00EF6E3A"/>
    <w:rsid w:val="00EF6F78"/>
    <w:rsid w:val="00EF6F7B"/>
    <w:rsid w:val="00EF6FF1"/>
    <w:rsid w:val="00EF7087"/>
    <w:rsid w:val="00EF708E"/>
    <w:rsid w:val="00EF70BE"/>
    <w:rsid w:val="00EF713C"/>
    <w:rsid w:val="00EF7273"/>
    <w:rsid w:val="00EF7276"/>
    <w:rsid w:val="00EF72C1"/>
    <w:rsid w:val="00EF72D0"/>
    <w:rsid w:val="00EF7394"/>
    <w:rsid w:val="00EF747D"/>
    <w:rsid w:val="00EF7488"/>
    <w:rsid w:val="00EF75BB"/>
    <w:rsid w:val="00EF75FD"/>
    <w:rsid w:val="00EF7684"/>
    <w:rsid w:val="00EF76D2"/>
    <w:rsid w:val="00EF77AB"/>
    <w:rsid w:val="00EF77AD"/>
    <w:rsid w:val="00EF77B3"/>
    <w:rsid w:val="00EF7823"/>
    <w:rsid w:val="00EF7882"/>
    <w:rsid w:val="00EF7923"/>
    <w:rsid w:val="00EF793C"/>
    <w:rsid w:val="00EF79C3"/>
    <w:rsid w:val="00EF7A69"/>
    <w:rsid w:val="00EF7AA6"/>
    <w:rsid w:val="00EF7AF3"/>
    <w:rsid w:val="00EF7B33"/>
    <w:rsid w:val="00EF7BA2"/>
    <w:rsid w:val="00EF7F7B"/>
    <w:rsid w:val="00EF7FDD"/>
    <w:rsid w:val="00F0001D"/>
    <w:rsid w:val="00F00034"/>
    <w:rsid w:val="00F0005F"/>
    <w:rsid w:val="00F0017B"/>
    <w:rsid w:val="00F00214"/>
    <w:rsid w:val="00F0022B"/>
    <w:rsid w:val="00F00268"/>
    <w:rsid w:val="00F00321"/>
    <w:rsid w:val="00F00422"/>
    <w:rsid w:val="00F00433"/>
    <w:rsid w:val="00F00507"/>
    <w:rsid w:val="00F0053B"/>
    <w:rsid w:val="00F00643"/>
    <w:rsid w:val="00F006F2"/>
    <w:rsid w:val="00F007E7"/>
    <w:rsid w:val="00F008A7"/>
    <w:rsid w:val="00F0090D"/>
    <w:rsid w:val="00F0091C"/>
    <w:rsid w:val="00F00957"/>
    <w:rsid w:val="00F0096E"/>
    <w:rsid w:val="00F00AF3"/>
    <w:rsid w:val="00F00B4A"/>
    <w:rsid w:val="00F00C4E"/>
    <w:rsid w:val="00F00C62"/>
    <w:rsid w:val="00F00CC1"/>
    <w:rsid w:val="00F00D37"/>
    <w:rsid w:val="00F00E48"/>
    <w:rsid w:val="00F00E66"/>
    <w:rsid w:val="00F00F1B"/>
    <w:rsid w:val="00F00F1D"/>
    <w:rsid w:val="00F00F1F"/>
    <w:rsid w:val="00F00F5C"/>
    <w:rsid w:val="00F010A5"/>
    <w:rsid w:val="00F010DC"/>
    <w:rsid w:val="00F010F7"/>
    <w:rsid w:val="00F0111A"/>
    <w:rsid w:val="00F0119B"/>
    <w:rsid w:val="00F011AC"/>
    <w:rsid w:val="00F011B0"/>
    <w:rsid w:val="00F0123F"/>
    <w:rsid w:val="00F0126F"/>
    <w:rsid w:val="00F01332"/>
    <w:rsid w:val="00F01370"/>
    <w:rsid w:val="00F015D4"/>
    <w:rsid w:val="00F01641"/>
    <w:rsid w:val="00F01702"/>
    <w:rsid w:val="00F01715"/>
    <w:rsid w:val="00F017F9"/>
    <w:rsid w:val="00F01982"/>
    <w:rsid w:val="00F019AA"/>
    <w:rsid w:val="00F01C12"/>
    <w:rsid w:val="00F01C2F"/>
    <w:rsid w:val="00F01C36"/>
    <w:rsid w:val="00F01C46"/>
    <w:rsid w:val="00F01D26"/>
    <w:rsid w:val="00F01D96"/>
    <w:rsid w:val="00F01E13"/>
    <w:rsid w:val="00F01EEE"/>
    <w:rsid w:val="00F01F1D"/>
    <w:rsid w:val="00F01FE1"/>
    <w:rsid w:val="00F02021"/>
    <w:rsid w:val="00F0207E"/>
    <w:rsid w:val="00F02242"/>
    <w:rsid w:val="00F02282"/>
    <w:rsid w:val="00F023AB"/>
    <w:rsid w:val="00F023C0"/>
    <w:rsid w:val="00F023F3"/>
    <w:rsid w:val="00F0248C"/>
    <w:rsid w:val="00F024C8"/>
    <w:rsid w:val="00F02545"/>
    <w:rsid w:val="00F02573"/>
    <w:rsid w:val="00F025DD"/>
    <w:rsid w:val="00F027A1"/>
    <w:rsid w:val="00F027A2"/>
    <w:rsid w:val="00F027B8"/>
    <w:rsid w:val="00F02967"/>
    <w:rsid w:val="00F02A94"/>
    <w:rsid w:val="00F02AA0"/>
    <w:rsid w:val="00F02AD6"/>
    <w:rsid w:val="00F02BB3"/>
    <w:rsid w:val="00F02C5A"/>
    <w:rsid w:val="00F02C5E"/>
    <w:rsid w:val="00F02C8F"/>
    <w:rsid w:val="00F02CEA"/>
    <w:rsid w:val="00F02D9E"/>
    <w:rsid w:val="00F02E5E"/>
    <w:rsid w:val="00F02E6D"/>
    <w:rsid w:val="00F02ECA"/>
    <w:rsid w:val="00F02FE0"/>
    <w:rsid w:val="00F03043"/>
    <w:rsid w:val="00F0319E"/>
    <w:rsid w:val="00F0329A"/>
    <w:rsid w:val="00F0329B"/>
    <w:rsid w:val="00F03368"/>
    <w:rsid w:val="00F03378"/>
    <w:rsid w:val="00F0348B"/>
    <w:rsid w:val="00F034A5"/>
    <w:rsid w:val="00F0353F"/>
    <w:rsid w:val="00F03561"/>
    <w:rsid w:val="00F0360B"/>
    <w:rsid w:val="00F0365C"/>
    <w:rsid w:val="00F03675"/>
    <w:rsid w:val="00F036A6"/>
    <w:rsid w:val="00F0385D"/>
    <w:rsid w:val="00F03872"/>
    <w:rsid w:val="00F038D7"/>
    <w:rsid w:val="00F0397B"/>
    <w:rsid w:val="00F03A0E"/>
    <w:rsid w:val="00F03AA5"/>
    <w:rsid w:val="00F03AA8"/>
    <w:rsid w:val="00F03BA1"/>
    <w:rsid w:val="00F03C51"/>
    <w:rsid w:val="00F03EC9"/>
    <w:rsid w:val="00F03F0D"/>
    <w:rsid w:val="00F03F5A"/>
    <w:rsid w:val="00F04043"/>
    <w:rsid w:val="00F04053"/>
    <w:rsid w:val="00F0407D"/>
    <w:rsid w:val="00F040D9"/>
    <w:rsid w:val="00F0415A"/>
    <w:rsid w:val="00F04165"/>
    <w:rsid w:val="00F041EA"/>
    <w:rsid w:val="00F0434D"/>
    <w:rsid w:val="00F043B0"/>
    <w:rsid w:val="00F043BC"/>
    <w:rsid w:val="00F043DD"/>
    <w:rsid w:val="00F04430"/>
    <w:rsid w:val="00F04635"/>
    <w:rsid w:val="00F047C9"/>
    <w:rsid w:val="00F047DB"/>
    <w:rsid w:val="00F04866"/>
    <w:rsid w:val="00F0491F"/>
    <w:rsid w:val="00F04ACA"/>
    <w:rsid w:val="00F04B54"/>
    <w:rsid w:val="00F04B6B"/>
    <w:rsid w:val="00F04BB1"/>
    <w:rsid w:val="00F04BE1"/>
    <w:rsid w:val="00F04C7B"/>
    <w:rsid w:val="00F04C8E"/>
    <w:rsid w:val="00F04D63"/>
    <w:rsid w:val="00F04E61"/>
    <w:rsid w:val="00F04E62"/>
    <w:rsid w:val="00F04EA1"/>
    <w:rsid w:val="00F04FA0"/>
    <w:rsid w:val="00F04FAA"/>
    <w:rsid w:val="00F04FC5"/>
    <w:rsid w:val="00F0503B"/>
    <w:rsid w:val="00F05143"/>
    <w:rsid w:val="00F052CF"/>
    <w:rsid w:val="00F0540B"/>
    <w:rsid w:val="00F0550E"/>
    <w:rsid w:val="00F0556B"/>
    <w:rsid w:val="00F055C3"/>
    <w:rsid w:val="00F0562E"/>
    <w:rsid w:val="00F05664"/>
    <w:rsid w:val="00F056CA"/>
    <w:rsid w:val="00F056ED"/>
    <w:rsid w:val="00F05789"/>
    <w:rsid w:val="00F057D0"/>
    <w:rsid w:val="00F0583F"/>
    <w:rsid w:val="00F058B1"/>
    <w:rsid w:val="00F05931"/>
    <w:rsid w:val="00F059FB"/>
    <w:rsid w:val="00F05B5C"/>
    <w:rsid w:val="00F05B60"/>
    <w:rsid w:val="00F05CA1"/>
    <w:rsid w:val="00F05D03"/>
    <w:rsid w:val="00F05D5A"/>
    <w:rsid w:val="00F05DCD"/>
    <w:rsid w:val="00F05E06"/>
    <w:rsid w:val="00F05E10"/>
    <w:rsid w:val="00F05E19"/>
    <w:rsid w:val="00F05E79"/>
    <w:rsid w:val="00F06104"/>
    <w:rsid w:val="00F06206"/>
    <w:rsid w:val="00F06214"/>
    <w:rsid w:val="00F0627E"/>
    <w:rsid w:val="00F06318"/>
    <w:rsid w:val="00F06357"/>
    <w:rsid w:val="00F06397"/>
    <w:rsid w:val="00F063BF"/>
    <w:rsid w:val="00F06462"/>
    <w:rsid w:val="00F06473"/>
    <w:rsid w:val="00F0654C"/>
    <w:rsid w:val="00F0659C"/>
    <w:rsid w:val="00F065A9"/>
    <w:rsid w:val="00F06626"/>
    <w:rsid w:val="00F0668E"/>
    <w:rsid w:val="00F06780"/>
    <w:rsid w:val="00F06796"/>
    <w:rsid w:val="00F06891"/>
    <w:rsid w:val="00F06A29"/>
    <w:rsid w:val="00F06A84"/>
    <w:rsid w:val="00F06B33"/>
    <w:rsid w:val="00F06C2B"/>
    <w:rsid w:val="00F06C60"/>
    <w:rsid w:val="00F06D33"/>
    <w:rsid w:val="00F06E5D"/>
    <w:rsid w:val="00F06E69"/>
    <w:rsid w:val="00F06ED7"/>
    <w:rsid w:val="00F06F15"/>
    <w:rsid w:val="00F06F1C"/>
    <w:rsid w:val="00F06FD8"/>
    <w:rsid w:val="00F0709C"/>
    <w:rsid w:val="00F07226"/>
    <w:rsid w:val="00F07249"/>
    <w:rsid w:val="00F072BD"/>
    <w:rsid w:val="00F0730C"/>
    <w:rsid w:val="00F0730F"/>
    <w:rsid w:val="00F073DA"/>
    <w:rsid w:val="00F07447"/>
    <w:rsid w:val="00F0745C"/>
    <w:rsid w:val="00F074C6"/>
    <w:rsid w:val="00F0753E"/>
    <w:rsid w:val="00F07551"/>
    <w:rsid w:val="00F075A1"/>
    <w:rsid w:val="00F075E4"/>
    <w:rsid w:val="00F07624"/>
    <w:rsid w:val="00F0763E"/>
    <w:rsid w:val="00F0767F"/>
    <w:rsid w:val="00F07681"/>
    <w:rsid w:val="00F07747"/>
    <w:rsid w:val="00F07770"/>
    <w:rsid w:val="00F07857"/>
    <w:rsid w:val="00F07874"/>
    <w:rsid w:val="00F07894"/>
    <w:rsid w:val="00F0792E"/>
    <w:rsid w:val="00F07956"/>
    <w:rsid w:val="00F07960"/>
    <w:rsid w:val="00F07991"/>
    <w:rsid w:val="00F07AF0"/>
    <w:rsid w:val="00F07B17"/>
    <w:rsid w:val="00F07B42"/>
    <w:rsid w:val="00F07BDF"/>
    <w:rsid w:val="00F07BF7"/>
    <w:rsid w:val="00F07D09"/>
    <w:rsid w:val="00F07EF6"/>
    <w:rsid w:val="00F07F18"/>
    <w:rsid w:val="00F07F5E"/>
    <w:rsid w:val="00F1009A"/>
    <w:rsid w:val="00F100FD"/>
    <w:rsid w:val="00F10141"/>
    <w:rsid w:val="00F1016C"/>
    <w:rsid w:val="00F101B9"/>
    <w:rsid w:val="00F102DA"/>
    <w:rsid w:val="00F1035C"/>
    <w:rsid w:val="00F1035D"/>
    <w:rsid w:val="00F103CD"/>
    <w:rsid w:val="00F10473"/>
    <w:rsid w:val="00F104D7"/>
    <w:rsid w:val="00F1056D"/>
    <w:rsid w:val="00F1063E"/>
    <w:rsid w:val="00F1066F"/>
    <w:rsid w:val="00F1084C"/>
    <w:rsid w:val="00F1086E"/>
    <w:rsid w:val="00F10A91"/>
    <w:rsid w:val="00F10AEC"/>
    <w:rsid w:val="00F10AF2"/>
    <w:rsid w:val="00F10BA0"/>
    <w:rsid w:val="00F10C8E"/>
    <w:rsid w:val="00F10D85"/>
    <w:rsid w:val="00F10DDB"/>
    <w:rsid w:val="00F10E30"/>
    <w:rsid w:val="00F10F38"/>
    <w:rsid w:val="00F10F40"/>
    <w:rsid w:val="00F10F59"/>
    <w:rsid w:val="00F10FAF"/>
    <w:rsid w:val="00F10FB0"/>
    <w:rsid w:val="00F1103F"/>
    <w:rsid w:val="00F1110D"/>
    <w:rsid w:val="00F11141"/>
    <w:rsid w:val="00F1121D"/>
    <w:rsid w:val="00F11365"/>
    <w:rsid w:val="00F11418"/>
    <w:rsid w:val="00F114B4"/>
    <w:rsid w:val="00F11562"/>
    <w:rsid w:val="00F115B1"/>
    <w:rsid w:val="00F115D2"/>
    <w:rsid w:val="00F115FC"/>
    <w:rsid w:val="00F1173C"/>
    <w:rsid w:val="00F117B9"/>
    <w:rsid w:val="00F1184A"/>
    <w:rsid w:val="00F11886"/>
    <w:rsid w:val="00F1194D"/>
    <w:rsid w:val="00F11983"/>
    <w:rsid w:val="00F119CB"/>
    <w:rsid w:val="00F119E6"/>
    <w:rsid w:val="00F11AB6"/>
    <w:rsid w:val="00F11B21"/>
    <w:rsid w:val="00F11B75"/>
    <w:rsid w:val="00F11BA5"/>
    <w:rsid w:val="00F11BB7"/>
    <w:rsid w:val="00F11BFE"/>
    <w:rsid w:val="00F11C90"/>
    <w:rsid w:val="00F11DE2"/>
    <w:rsid w:val="00F11DFF"/>
    <w:rsid w:val="00F11F36"/>
    <w:rsid w:val="00F11F4C"/>
    <w:rsid w:val="00F11F72"/>
    <w:rsid w:val="00F12062"/>
    <w:rsid w:val="00F12074"/>
    <w:rsid w:val="00F120AF"/>
    <w:rsid w:val="00F121E0"/>
    <w:rsid w:val="00F121F4"/>
    <w:rsid w:val="00F12297"/>
    <w:rsid w:val="00F122B0"/>
    <w:rsid w:val="00F12311"/>
    <w:rsid w:val="00F123A0"/>
    <w:rsid w:val="00F12445"/>
    <w:rsid w:val="00F124B0"/>
    <w:rsid w:val="00F12603"/>
    <w:rsid w:val="00F1268D"/>
    <w:rsid w:val="00F126E0"/>
    <w:rsid w:val="00F12718"/>
    <w:rsid w:val="00F127A1"/>
    <w:rsid w:val="00F127B1"/>
    <w:rsid w:val="00F127D1"/>
    <w:rsid w:val="00F128C9"/>
    <w:rsid w:val="00F129CD"/>
    <w:rsid w:val="00F12AFC"/>
    <w:rsid w:val="00F12B46"/>
    <w:rsid w:val="00F12C7A"/>
    <w:rsid w:val="00F12CBF"/>
    <w:rsid w:val="00F12DBB"/>
    <w:rsid w:val="00F12E32"/>
    <w:rsid w:val="00F12EF0"/>
    <w:rsid w:val="00F12FD2"/>
    <w:rsid w:val="00F130CE"/>
    <w:rsid w:val="00F13174"/>
    <w:rsid w:val="00F1317C"/>
    <w:rsid w:val="00F1320D"/>
    <w:rsid w:val="00F132BC"/>
    <w:rsid w:val="00F1346E"/>
    <w:rsid w:val="00F134B5"/>
    <w:rsid w:val="00F13503"/>
    <w:rsid w:val="00F135A3"/>
    <w:rsid w:val="00F135F5"/>
    <w:rsid w:val="00F13626"/>
    <w:rsid w:val="00F13743"/>
    <w:rsid w:val="00F1378D"/>
    <w:rsid w:val="00F1399D"/>
    <w:rsid w:val="00F13A3D"/>
    <w:rsid w:val="00F13AEA"/>
    <w:rsid w:val="00F13B04"/>
    <w:rsid w:val="00F13C13"/>
    <w:rsid w:val="00F13C89"/>
    <w:rsid w:val="00F13D83"/>
    <w:rsid w:val="00F13D8B"/>
    <w:rsid w:val="00F13EE6"/>
    <w:rsid w:val="00F13EF9"/>
    <w:rsid w:val="00F13F32"/>
    <w:rsid w:val="00F13F75"/>
    <w:rsid w:val="00F13FC9"/>
    <w:rsid w:val="00F13FE2"/>
    <w:rsid w:val="00F14058"/>
    <w:rsid w:val="00F1406E"/>
    <w:rsid w:val="00F14105"/>
    <w:rsid w:val="00F14330"/>
    <w:rsid w:val="00F14390"/>
    <w:rsid w:val="00F14490"/>
    <w:rsid w:val="00F14496"/>
    <w:rsid w:val="00F14497"/>
    <w:rsid w:val="00F144D1"/>
    <w:rsid w:val="00F144DF"/>
    <w:rsid w:val="00F145A0"/>
    <w:rsid w:val="00F145A9"/>
    <w:rsid w:val="00F145CD"/>
    <w:rsid w:val="00F1468F"/>
    <w:rsid w:val="00F146C1"/>
    <w:rsid w:val="00F14730"/>
    <w:rsid w:val="00F14779"/>
    <w:rsid w:val="00F147F7"/>
    <w:rsid w:val="00F1483B"/>
    <w:rsid w:val="00F1484F"/>
    <w:rsid w:val="00F1489F"/>
    <w:rsid w:val="00F14930"/>
    <w:rsid w:val="00F14953"/>
    <w:rsid w:val="00F14AAC"/>
    <w:rsid w:val="00F14ABB"/>
    <w:rsid w:val="00F14AD0"/>
    <w:rsid w:val="00F14BB0"/>
    <w:rsid w:val="00F14D12"/>
    <w:rsid w:val="00F14D19"/>
    <w:rsid w:val="00F14EC0"/>
    <w:rsid w:val="00F14F5F"/>
    <w:rsid w:val="00F14FE2"/>
    <w:rsid w:val="00F15070"/>
    <w:rsid w:val="00F15095"/>
    <w:rsid w:val="00F1509D"/>
    <w:rsid w:val="00F150EB"/>
    <w:rsid w:val="00F150EE"/>
    <w:rsid w:val="00F152A1"/>
    <w:rsid w:val="00F1534D"/>
    <w:rsid w:val="00F1537F"/>
    <w:rsid w:val="00F154B7"/>
    <w:rsid w:val="00F1552D"/>
    <w:rsid w:val="00F1553F"/>
    <w:rsid w:val="00F1557B"/>
    <w:rsid w:val="00F155BC"/>
    <w:rsid w:val="00F155F7"/>
    <w:rsid w:val="00F15662"/>
    <w:rsid w:val="00F1571D"/>
    <w:rsid w:val="00F157B8"/>
    <w:rsid w:val="00F15873"/>
    <w:rsid w:val="00F158F0"/>
    <w:rsid w:val="00F15B51"/>
    <w:rsid w:val="00F15C47"/>
    <w:rsid w:val="00F15CBF"/>
    <w:rsid w:val="00F15CC2"/>
    <w:rsid w:val="00F15DD0"/>
    <w:rsid w:val="00F15E21"/>
    <w:rsid w:val="00F15E58"/>
    <w:rsid w:val="00F15EB8"/>
    <w:rsid w:val="00F15EED"/>
    <w:rsid w:val="00F15F9C"/>
    <w:rsid w:val="00F16084"/>
    <w:rsid w:val="00F160ED"/>
    <w:rsid w:val="00F1611C"/>
    <w:rsid w:val="00F16176"/>
    <w:rsid w:val="00F1618B"/>
    <w:rsid w:val="00F1628D"/>
    <w:rsid w:val="00F163C3"/>
    <w:rsid w:val="00F16443"/>
    <w:rsid w:val="00F1650A"/>
    <w:rsid w:val="00F1651E"/>
    <w:rsid w:val="00F165E6"/>
    <w:rsid w:val="00F16605"/>
    <w:rsid w:val="00F16669"/>
    <w:rsid w:val="00F1675A"/>
    <w:rsid w:val="00F16778"/>
    <w:rsid w:val="00F1677C"/>
    <w:rsid w:val="00F16849"/>
    <w:rsid w:val="00F168BB"/>
    <w:rsid w:val="00F16942"/>
    <w:rsid w:val="00F16948"/>
    <w:rsid w:val="00F1696E"/>
    <w:rsid w:val="00F16976"/>
    <w:rsid w:val="00F16B8E"/>
    <w:rsid w:val="00F16C76"/>
    <w:rsid w:val="00F16C77"/>
    <w:rsid w:val="00F16C8C"/>
    <w:rsid w:val="00F16D93"/>
    <w:rsid w:val="00F16E33"/>
    <w:rsid w:val="00F16E49"/>
    <w:rsid w:val="00F16E74"/>
    <w:rsid w:val="00F16E7F"/>
    <w:rsid w:val="00F16EF4"/>
    <w:rsid w:val="00F16F06"/>
    <w:rsid w:val="00F16F1F"/>
    <w:rsid w:val="00F16F9E"/>
    <w:rsid w:val="00F16FDD"/>
    <w:rsid w:val="00F17086"/>
    <w:rsid w:val="00F170C7"/>
    <w:rsid w:val="00F17155"/>
    <w:rsid w:val="00F171F4"/>
    <w:rsid w:val="00F17295"/>
    <w:rsid w:val="00F17354"/>
    <w:rsid w:val="00F17372"/>
    <w:rsid w:val="00F17420"/>
    <w:rsid w:val="00F174B0"/>
    <w:rsid w:val="00F17504"/>
    <w:rsid w:val="00F1752E"/>
    <w:rsid w:val="00F17602"/>
    <w:rsid w:val="00F1762A"/>
    <w:rsid w:val="00F17693"/>
    <w:rsid w:val="00F176B8"/>
    <w:rsid w:val="00F176C8"/>
    <w:rsid w:val="00F17705"/>
    <w:rsid w:val="00F1771B"/>
    <w:rsid w:val="00F177E0"/>
    <w:rsid w:val="00F1788C"/>
    <w:rsid w:val="00F179AC"/>
    <w:rsid w:val="00F179BB"/>
    <w:rsid w:val="00F17AB4"/>
    <w:rsid w:val="00F17B0C"/>
    <w:rsid w:val="00F17B14"/>
    <w:rsid w:val="00F17B16"/>
    <w:rsid w:val="00F17B7B"/>
    <w:rsid w:val="00F17B7D"/>
    <w:rsid w:val="00F17BE0"/>
    <w:rsid w:val="00F17CBB"/>
    <w:rsid w:val="00F17D3D"/>
    <w:rsid w:val="00F17D9E"/>
    <w:rsid w:val="00F17DEE"/>
    <w:rsid w:val="00F17E2C"/>
    <w:rsid w:val="00F17EC3"/>
    <w:rsid w:val="00F20017"/>
    <w:rsid w:val="00F2005A"/>
    <w:rsid w:val="00F20064"/>
    <w:rsid w:val="00F200CE"/>
    <w:rsid w:val="00F20104"/>
    <w:rsid w:val="00F201A3"/>
    <w:rsid w:val="00F201FA"/>
    <w:rsid w:val="00F20218"/>
    <w:rsid w:val="00F20321"/>
    <w:rsid w:val="00F2036B"/>
    <w:rsid w:val="00F20436"/>
    <w:rsid w:val="00F20449"/>
    <w:rsid w:val="00F205EA"/>
    <w:rsid w:val="00F205ED"/>
    <w:rsid w:val="00F2067B"/>
    <w:rsid w:val="00F20721"/>
    <w:rsid w:val="00F20765"/>
    <w:rsid w:val="00F20781"/>
    <w:rsid w:val="00F20806"/>
    <w:rsid w:val="00F20820"/>
    <w:rsid w:val="00F208A8"/>
    <w:rsid w:val="00F209E5"/>
    <w:rsid w:val="00F20A05"/>
    <w:rsid w:val="00F20B35"/>
    <w:rsid w:val="00F20B4C"/>
    <w:rsid w:val="00F20BEB"/>
    <w:rsid w:val="00F20C2E"/>
    <w:rsid w:val="00F20C49"/>
    <w:rsid w:val="00F20D1C"/>
    <w:rsid w:val="00F20D9D"/>
    <w:rsid w:val="00F20DAC"/>
    <w:rsid w:val="00F20DC9"/>
    <w:rsid w:val="00F20DF0"/>
    <w:rsid w:val="00F20E5D"/>
    <w:rsid w:val="00F20E74"/>
    <w:rsid w:val="00F20FC5"/>
    <w:rsid w:val="00F2103A"/>
    <w:rsid w:val="00F21048"/>
    <w:rsid w:val="00F2104D"/>
    <w:rsid w:val="00F2105D"/>
    <w:rsid w:val="00F21060"/>
    <w:rsid w:val="00F210C6"/>
    <w:rsid w:val="00F210DF"/>
    <w:rsid w:val="00F2119F"/>
    <w:rsid w:val="00F211C5"/>
    <w:rsid w:val="00F21218"/>
    <w:rsid w:val="00F21229"/>
    <w:rsid w:val="00F21299"/>
    <w:rsid w:val="00F212FD"/>
    <w:rsid w:val="00F213CB"/>
    <w:rsid w:val="00F21428"/>
    <w:rsid w:val="00F21440"/>
    <w:rsid w:val="00F214A4"/>
    <w:rsid w:val="00F2151D"/>
    <w:rsid w:val="00F21531"/>
    <w:rsid w:val="00F2153A"/>
    <w:rsid w:val="00F215E2"/>
    <w:rsid w:val="00F21698"/>
    <w:rsid w:val="00F21699"/>
    <w:rsid w:val="00F216A1"/>
    <w:rsid w:val="00F21718"/>
    <w:rsid w:val="00F21740"/>
    <w:rsid w:val="00F21788"/>
    <w:rsid w:val="00F21793"/>
    <w:rsid w:val="00F217A6"/>
    <w:rsid w:val="00F217B8"/>
    <w:rsid w:val="00F217F6"/>
    <w:rsid w:val="00F218AE"/>
    <w:rsid w:val="00F218B3"/>
    <w:rsid w:val="00F21926"/>
    <w:rsid w:val="00F21971"/>
    <w:rsid w:val="00F2198B"/>
    <w:rsid w:val="00F219E8"/>
    <w:rsid w:val="00F21A02"/>
    <w:rsid w:val="00F21A2F"/>
    <w:rsid w:val="00F21A37"/>
    <w:rsid w:val="00F21AB8"/>
    <w:rsid w:val="00F21B3D"/>
    <w:rsid w:val="00F21DC2"/>
    <w:rsid w:val="00F21DC5"/>
    <w:rsid w:val="00F21F64"/>
    <w:rsid w:val="00F21FA2"/>
    <w:rsid w:val="00F2221D"/>
    <w:rsid w:val="00F222FD"/>
    <w:rsid w:val="00F22347"/>
    <w:rsid w:val="00F2254D"/>
    <w:rsid w:val="00F2258D"/>
    <w:rsid w:val="00F2260B"/>
    <w:rsid w:val="00F22736"/>
    <w:rsid w:val="00F227C2"/>
    <w:rsid w:val="00F22930"/>
    <w:rsid w:val="00F229F0"/>
    <w:rsid w:val="00F22A8F"/>
    <w:rsid w:val="00F22AD1"/>
    <w:rsid w:val="00F22AEC"/>
    <w:rsid w:val="00F22B20"/>
    <w:rsid w:val="00F22B48"/>
    <w:rsid w:val="00F22B7E"/>
    <w:rsid w:val="00F22B91"/>
    <w:rsid w:val="00F22BCD"/>
    <w:rsid w:val="00F22C8E"/>
    <w:rsid w:val="00F22CE2"/>
    <w:rsid w:val="00F22D58"/>
    <w:rsid w:val="00F22D5D"/>
    <w:rsid w:val="00F22D71"/>
    <w:rsid w:val="00F22E4A"/>
    <w:rsid w:val="00F22E55"/>
    <w:rsid w:val="00F22EBE"/>
    <w:rsid w:val="00F22F3C"/>
    <w:rsid w:val="00F22FBD"/>
    <w:rsid w:val="00F22FC4"/>
    <w:rsid w:val="00F23183"/>
    <w:rsid w:val="00F232D7"/>
    <w:rsid w:val="00F232F5"/>
    <w:rsid w:val="00F2333F"/>
    <w:rsid w:val="00F2337F"/>
    <w:rsid w:val="00F23390"/>
    <w:rsid w:val="00F23427"/>
    <w:rsid w:val="00F23479"/>
    <w:rsid w:val="00F234A6"/>
    <w:rsid w:val="00F23543"/>
    <w:rsid w:val="00F2354E"/>
    <w:rsid w:val="00F23621"/>
    <w:rsid w:val="00F23656"/>
    <w:rsid w:val="00F23680"/>
    <w:rsid w:val="00F23716"/>
    <w:rsid w:val="00F23728"/>
    <w:rsid w:val="00F23754"/>
    <w:rsid w:val="00F2382F"/>
    <w:rsid w:val="00F238EA"/>
    <w:rsid w:val="00F23A3C"/>
    <w:rsid w:val="00F23A53"/>
    <w:rsid w:val="00F23A8C"/>
    <w:rsid w:val="00F23AE0"/>
    <w:rsid w:val="00F23C0C"/>
    <w:rsid w:val="00F23C8F"/>
    <w:rsid w:val="00F23D73"/>
    <w:rsid w:val="00F23D7D"/>
    <w:rsid w:val="00F23DA0"/>
    <w:rsid w:val="00F23DA9"/>
    <w:rsid w:val="00F23DBC"/>
    <w:rsid w:val="00F23DC5"/>
    <w:rsid w:val="00F23E31"/>
    <w:rsid w:val="00F23E41"/>
    <w:rsid w:val="00F23EC6"/>
    <w:rsid w:val="00F23FD9"/>
    <w:rsid w:val="00F2402C"/>
    <w:rsid w:val="00F2406F"/>
    <w:rsid w:val="00F24083"/>
    <w:rsid w:val="00F24163"/>
    <w:rsid w:val="00F2419D"/>
    <w:rsid w:val="00F241B0"/>
    <w:rsid w:val="00F241B1"/>
    <w:rsid w:val="00F241CD"/>
    <w:rsid w:val="00F241D9"/>
    <w:rsid w:val="00F242A8"/>
    <w:rsid w:val="00F243A1"/>
    <w:rsid w:val="00F2440B"/>
    <w:rsid w:val="00F244CB"/>
    <w:rsid w:val="00F245D7"/>
    <w:rsid w:val="00F2465D"/>
    <w:rsid w:val="00F2468D"/>
    <w:rsid w:val="00F2477A"/>
    <w:rsid w:val="00F2478F"/>
    <w:rsid w:val="00F248B9"/>
    <w:rsid w:val="00F249DA"/>
    <w:rsid w:val="00F24A04"/>
    <w:rsid w:val="00F24AB2"/>
    <w:rsid w:val="00F24C00"/>
    <w:rsid w:val="00F24C2E"/>
    <w:rsid w:val="00F24C30"/>
    <w:rsid w:val="00F24C3A"/>
    <w:rsid w:val="00F24CF6"/>
    <w:rsid w:val="00F24E05"/>
    <w:rsid w:val="00F24E53"/>
    <w:rsid w:val="00F24E64"/>
    <w:rsid w:val="00F25043"/>
    <w:rsid w:val="00F25051"/>
    <w:rsid w:val="00F2506D"/>
    <w:rsid w:val="00F25295"/>
    <w:rsid w:val="00F25528"/>
    <w:rsid w:val="00F2553D"/>
    <w:rsid w:val="00F255FE"/>
    <w:rsid w:val="00F25644"/>
    <w:rsid w:val="00F25789"/>
    <w:rsid w:val="00F257AF"/>
    <w:rsid w:val="00F2585E"/>
    <w:rsid w:val="00F25869"/>
    <w:rsid w:val="00F25918"/>
    <w:rsid w:val="00F25A03"/>
    <w:rsid w:val="00F25B1D"/>
    <w:rsid w:val="00F25C4C"/>
    <w:rsid w:val="00F25C51"/>
    <w:rsid w:val="00F25D6A"/>
    <w:rsid w:val="00F25D9E"/>
    <w:rsid w:val="00F25E88"/>
    <w:rsid w:val="00F25EC9"/>
    <w:rsid w:val="00F25F14"/>
    <w:rsid w:val="00F2609E"/>
    <w:rsid w:val="00F260F6"/>
    <w:rsid w:val="00F2616E"/>
    <w:rsid w:val="00F2624E"/>
    <w:rsid w:val="00F26272"/>
    <w:rsid w:val="00F2627C"/>
    <w:rsid w:val="00F262CC"/>
    <w:rsid w:val="00F262CE"/>
    <w:rsid w:val="00F262FC"/>
    <w:rsid w:val="00F26352"/>
    <w:rsid w:val="00F26377"/>
    <w:rsid w:val="00F26396"/>
    <w:rsid w:val="00F2639D"/>
    <w:rsid w:val="00F263D1"/>
    <w:rsid w:val="00F26504"/>
    <w:rsid w:val="00F265D8"/>
    <w:rsid w:val="00F26615"/>
    <w:rsid w:val="00F2669A"/>
    <w:rsid w:val="00F266C6"/>
    <w:rsid w:val="00F266E4"/>
    <w:rsid w:val="00F2671E"/>
    <w:rsid w:val="00F267B5"/>
    <w:rsid w:val="00F267D0"/>
    <w:rsid w:val="00F267FA"/>
    <w:rsid w:val="00F26808"/>
    <w:rsid w:val="00F268D9"/>
    <w:rsid w:val="00F26927"/>
    <w:rsid w:val="00F26A5B"/>
    <w:rsid w:val="00F26A83"/>
    <w:rsid w:val="00F26A99"/>
    <w:rsid w:val="00F26B66"/>
    <w:rsid w:val="00F26BBD"/>
    <w:rsid w:val="00F26C04"/>
    <w:rsid w:val="00F26C21"/>
    <w:rsid w:val="00F26C43"/>
    <w:rsid w:val="00F26D15"/>
    <w:rsid w:val="00F26DAC"/>
    <w:rsid w:val="00F26EE5"/>
    <w:rsid w:val="00F26F88"/>
    <w:rsid w:val="00F270B1"/>
    <w:rsid w:val="00F271D8"/>
    <w:rsid w:val="00F271DE"/>
    <w:rsid w:val="00F2735B"/>
    <w:rsid w:val="00F273B4"/>
    <w:rsid w:val="00F273D3"/>
    <w:rsid w:val="00F2752F"/>
    <w:rsid w:val="00F27534"/>
    <w:rsid w:val="00F2754D"/>
    <w:rsid w:val="00F27567"/>
    <w:rsid w:val="00F275FF"/>
    <w:rsid w:val="00F2760D"/>
    <w:rsid w:val="00F2769E"/>
    <w:rsid w:val="00F276B4"/>
    <w:rsid w:val="00F2776B"/>
    <w:rsid w:val="00F277EA"/>
    <w:rsid w:val="00F27821"/>
    <w:rsid w:val="00F2788F"/>
    <w:rsid w:val="00F2793E"/>
    <w:rsid w:val="00F27A2F"/>
    <w:rsid w:val="00F27A87"/>
    <w:rsid w:val="00F27AA7"/>
    <w:rsid w:val="00F27B67"/>
    <w:rsid w:val="00F27B6C"/>
    <w:rsid w:val="00F27C23"/>
    <w:rsid w:val="00F27C72"/>
    <w:rsid w:val="00F27D5D"/>
    <w:rsid w:val="00F27D64"/>
    <w:rsid w:val="00F27D82"/>
    <w:rsid w:val="00F27E12"/>
    <w:rsid w:val="00F27E85"/>
    <w:rsid w:val="00F27EAC"/>
    <w:rsid w:val="00F27F4F"/>
    <w:rsid w:val="00F3003B"/>
    <w:rsid w:val="00F301F8"/>
    <w:rsid w:val="00F30240"/>
    <w:rsid w:val="00F30251"/>
    <w:rsid w:val="00F30282"/>
    <w:rsid w:val="00F303B9"/>
    <w:rsid w:val="00F3040E"/>
    <w:rsid w:val="00F30452"/>
    <w:rsid w:val="00F304A5"/>
    <w:rsid w:val="00F304AD"/>
    <w:rsid w:val="00F304DC"/>
    <w:rsid w:val="00F30509"/>
    <w:rsid w:val="00F30525"/>
    <w:rsid w:val="00F30565"/>
    <w:rsid w:val="00F306F4"/>
    <w:rsid w:val="00F3070F"/>
    <w:rsid w:val="00F30803"/>
    <w:rsid w:val="00F30871"/>
    <w:rsid w:val="00F3089A"/>
    <w:rsid w:val="00F309AD"/>
    <w:rsid w:val="00F30AB0"/>
    <w:rsid w:val="00F30AC4"/>
    <w:rsid w:val="00F30ADA"/>
    <w:rsid w:val="00F30B56"/>
    <w:rsid w:val="00F30C0A"/>
    <w:rsid w:val="00F30C18"/>
    <w:rsid w:val="00F30C28"/>
    <w:rsid w:val="00F30CBA"/>
    <w:rsid w:val="00F30D61"/>
    <w:rsid w:val="00F30E16"/>
    <w:rsid w:val="00F30ECD"/>
    <w:rsid w:val="00F30EE6"/>
    <w:rsid w:val="00F30EF4"/>
    <w:rsid w:val="00F30FF9"/>
    <w:rsid w:val="00F3100F"/>
    <w:rsid w:val="00F3106A"/>
    <w:rsid w:val="00F31093"/>
    <w:rsid w:val="00F31165"/>
    <w:rsid w:val="00F3123F"/>
    <w:rsid w:val="00F3124A"/>
    <w:rsid w:val="00F3135B"/>
    <w:rsid w:val="00F31374"/>
    <w:rsid w:val="00F3138A"/>
    <w:rsid w:val="00F313BE"/>
    <w:rsid w:val="00F313C2"/>
    <w:rsid w:val="00F3143E"/>
    <w:rsid w:val="00F31464"/>
    <w:rsid w:val="00F314F7"/>
    <w:rsid w:val="00F315B0"/>
    <w:rsid w:val="00F31607"/>
    <w:rsid w:val="00F3160D"/>
    <w:rsid w:val="00F3163D"/>
    <w:rsid w:val="00F316C4"/>
    <w:rsid w:val="00F316EC"/>
    <w:rsid w:val="00F31740"/>
    <w:rsid w:val="00F31838"/>
    <w:rsid w:val="00F31894"/>
    <w:rsid w:val="00F318BD"/>
    <w:rsid w:val="00F31A8A"/>
    <w:rsid w:val="00F31A9F"/>
    <w:rsid w:val="00F31AEE"/>
    <w:rsid w:val="00F31C7C"/>
    <w:rsid w:val="00F31CB8"/>
    <w:rsid w:val="00F31D13"/>
    <w:rsid w:val="00F31F10"/>
    <w:rsid w:val="00F31FC9"/>
    <w:rsid w:val="00F31FE8"/>
    <w:rsid w:val="00F31FF6"/>
    <w:rsid w:val="00F3216F"/>
    <w:rsid w:val="00F3217E"/>
    <w:rsid w:val="00F3221B"/>
    <w:rsid w:val="00F322AD"/>
    <w:rsid w:val="00F322C4"/>
    <w:rsid w:val="00F32319"/>
    <w:rsid w:val="00F32352"/>
    <w:rsid w:val="00F32354"/>
    <w:rsid w:val="00F32385"/>
    <w:rsid w:val="00F323FC"/>
    <w:rsid w:val="00F32443"/>
    <w:rsid w:val="00F32466"/>
    <w:rsid w:val="00F32484"/>
    <w:rsid w:val="00F32494"/>
    <w:rsid w:val="00F3254F"/>
    <w:rsid w:val="00F325AC"/>
    <w:rsid w:val="00F325E7"/>
    <w:rsid w:val="00F32712"/>
    <w:rsid w:val="00F32746"/>
    <w:rsid w:val="00F32767"/>
    <w:rsid w:val="00F3282F"/>
    <w:rsid w:val="00F3294C"/>
    <w:rsid w:val="00F329D1"/>
    <w:rsid w:val="00F32A53"/>
    <w:rsid w:val="00F32B0E"/>
    <w:rsid w:val="00F32B46"/>
    <w:rsid w:val="00F32B5A"/>
    <w:rsid w:val="00F32B80"/>
    <w:rsid w:val="00F32C03"/>
    <w:rsid w:val="00F32C6D"/>
    <w:rsid w:val="00F32CB2"/>
    <w:rsid w:val="00F32D3E"/>
    <w:rsid w:val="00F32D6A"/>
    <w:rsid w:val="00F32DBA"/>
    <w:rsid w:val="00F32DEF"/>
    <w:rsid w:val="00F32E18"/>
    <w:rsid w:val="00F32EE5"/>
    <w:rsid w:val="00F32F26"/>
    <w:rsid w:val="00F32F63"/>
    <w:rsid w:val="00F32F7B"/>
    <w:rsid w:val="00F32FF2"/>
    <w:rsid w:val="00F33220"/>
    <w:rsid w:val="00F3325F"/>
    <w:rsid w:val="00F3332D"/>
    <w:rsid w:val="00F33342"/>
    <w:rsid w:val="00F3342E"/>
    <w:rsid w:val="00F3354D"/>
    <w:rsid w:val="00F33689"/>
    <w:rsid w:val="00F336B5"/>
    <w:rsid w:val="00F33703"/>
    <w:rsid w:val="00F33832"/>
    <w:rsid w:val="00F33836"/>
    <w:rsid w:val="00F338DD"/>
    <w:rsid w:val="00F33946"/>
    <w:rsid w:val="00F33967"/>
    <w:rsid w:val="00F33A24"/>
    <w:rsid w:val="00F33AA4"/>
    <w:rsid w:val="00F33B59"/>
    <w:rsid w:val="00F33B5E"/>
    <w:rsid w:val="00F33B83"/>
    <w:rsid w:val="00F33C65"/>
    <w:rsid w:val="00F33D1F"/>
    <w:rsid w:val="00F33DC8"/>
    <w:rsid w:val="00F33E50"/>
    <w:rsid w:val="00F33E51"/>
    <w:rsid w:val="00F33E9D"/>
    <w:rsid w:val="00F33EB0"/>
    <w:rsid w:val="00F33EE4"/>
    <w:rsid w:val="00F33F73"/>
    <w:rsid w:val="00F33F85"/>
    <w:rsid w:val="00F33F8D"/>
    <w:rsid w:val="00F34074"/>
    <w:rsid w:val="00F3411A"/>
    <w:rsid w:val="00F34206"/>
    <w:rsid w:val="00F342AD"/>
    <w:rsid w:val="00F3436C"/>
    <w:rsid w:val="00F34380"/>
    <w:rsid w:val="00F34514"/>
    <w:rsid w:val="00F34542"/>
    <w:rsid w:val="00F34562"/>
    <w:rsid w:val="00F3457C"/>
    <w:rsid w:val="00F345F8"/>
    <w:rsid w:val="00F3469E"/>
    <w:rsid w:val="00F346E3"/>
    <w:rsid w:val="00F3472A"/>
    <w:rsid w:val="00F347D4"/>
    <w:rsid w:val="00F34820"/>
    <w:rsid w:val="00F34838"/>
    <w:rsid w:val="00F3486E"/>
    <w:rsid w:val="00F34879"/>
    <w:rsid w:val="00F348A3"/>
    <w:rsid w:val="00F348E3"/>
    <w:rsid w:val="00F348F3"/>
    <w:rsid w:val="00F3492F"/>
    <w:rsid w:val="00F349B9"/>
    <w:rsid w:val="00F349FD"/>
    <w:rsid w:val="00F34B8B"/>
    <w:rsid w:val="00F34BD7"/>
    <w:rsid w:val="00F34C49"/>
    <w:rsid w:val="00F34C85"/>
    <w:rsid w:val="00F34CD5"/>
    <w:rsid w:val="00F34E55"/>
    <w:rsid w:val="00F34F28"/>
    <w:rsid w:val="00F34FC7"/>
    <w:rsid w:val="00F350C6"/>
    <w:rsid w:val="00F35118"/>
    <w:rsid w:val="00F35136"/>
    <w:rsid w:val="00F351A5"/>
    <w:rsid w:val="00F351BE"/>
    <w:rsid w:val="00F351D0"/>
    <w:rsid w:val="00F352C1"/>
    <w:rsid w:val="00F35318"/>
    <w:rsid w:val="00F35331"/>
    <w:rsid w:val="00F35422"/>
    <w:rsid w:val="00F3546B"/>
    <w:rsid w:val="00F354C1"/>
    <w:rsid w:val="00F354DF"/>
    <w:rsid w:val="00F3570C"/>
    <w:rsid w:val="00F3582E"/>
    <w:rsid w:val="00F358DD"/>
    <w:rsid w:val="00F358EC"/>
    <w:rsid w:val="00F35947"/>
    <w:rsid w:val="00F35AEF"/>
    <w:rsid w:val="00F35AFF"/>
    <w:rsid w:val="00F35B2A"/>
    <w:rsid w:val="00F35C88"/>
    <w:rsid w:val="00F35CE7"/>
    <w:rsid w:val="00F35DA4"/>
    <w:rsid w:val="00F35E24"/>
    <w:rsid w:val="00F35FE8"/>
    <w:rsid w:val="00F35FEE"/>
    <w:rsid w:val="00F36009"/>
    <w:rsid w:val="00F36036"/>
    <w:rsid w:val="00F3603D"/>
    <w:rsid w:val="00F360C9"/>
    <w:rsid w:val="00F36182"/>
    <w:rsid w:val="00F36189"/>
    <w:rsid w:val="00F361CE"/>
    <w:rsid w:val="00F362DE"/>
    <w:rsid w:val="00F362FC"/>
    <w:rsid w:val="00F36368"/>
    <w:rsid w:val="00F363E3"/>
    <w:rsid w:val="00F36449"/>
    <w:rsid w:val="00F36549"/>
    <w:rsid w:val="00F3658F"/>
    <w:rsid w:val="00F36639"/>
    <w:rsid w:val="00F3664E"/>
    <w:rsid w:val="00F3665B"/>
    <w:rsid w:val="00F3676B"/>
    <w:rsid w:val="00F3682C"/>
    <w:rsid w:val="00F3683A"/>
    <w:rsid w:val="00F368F0"/>
    <w:rsid w:val="00F3695D"/>
    <w:rsid w:val="00F36A53"/>
    <w:rsid w:val="00F36A68"/>
    <w:rsid w:val="00F36AD5"/>
    <w:rsid w:val="00F36B20"/>
    <w:rsid w:val="00F36BCE"/>
    <w:rsid w:val="00F36C1F"/>
    <w:rsid w:val="00F36C36"/>
    <w:rsid w:val="00F36C9C"/>
    <w:rsid w:val="00F36D93"/>
    <w:rsid w:val="00F36DEA"/>
    <w:rsid w:val="00F36E0B"/>
    <w:rsid w:val="00F36F35"/>
    <w:rsid w:val="00F36F4C"/>
    <w:rsid w:val="00F36FF8"/>
    <w:rsid w:val="00F37025"/>
    <w:rsid w:val="00F37097"/>
    <w:rsid w:val="00F370BB"/>
    <w:rsid w:val="00F3719D"/>
    <w:rsid w:val="00F371B8"/>
    <w:rsid w:val="00F3730A"/>
    <w:rsid w:val="00F37520"/>
    <w:rsid w:val="00F376E1"/>
    <w:rsid w:val="00F37739"/>
    <w:rsid w:val="00F37742"/>
    <w:rsid w:val="00F3777C"/>
    <w:rsid w:val="00F3791E"/>
    <w:rsid w:val="00F3794D"/>
    <w:rsid w:val="00F3798F"/>
    <w:rsid w:val="00F379D0"/>
    <w:rsid w:val="00F37C51"/>
    <w:rsid w:val="00F37C74"/>
    <w:rsid w:val="00F37C89"/>
    <w:rsid w:val="00F37C91"/>
    <w:rsid w:val="00F37CD3"/>
    <w:rsid w:val="00F37D43"/>
    <w:rsid w:val="00F37D46"/>
    <w:rsid w:val="00F37D89"/>
    <w:rsid w:val="00F37E82"/>
    <w:rsid w:val="00F37E95"/>
    <w:rsid w:val="00F37F33"/>
    <w:rsid w:val="00F37F89"/>
    <w:rsid w:val="00F4015C"/>
    <w:rsid w:val="00F40171"/>
    <w:rsid w:val="00F40223"/>
    <w:rsid w:val="00F40313"/>
    <w:rsid w:val="00F40446"/>
    <w:rsid w:val="00F404E6"/>
    <w:rsid w:val="00F40627"/>
    <w:rsid w:val="00F406C9"/>
    <w:rsid w:val="00F406CB"/>
    <w:rsid w:val="00F407ED"/>
    <w:rsid w:val="00F4088C"/>
    <w:rsid w:val="00F4093A"/>
    <w:rsid w:val="00F40940"/>
    <w:rsid w:val="00F40A30"/>
    <w:rsid w:val="00F40CE0"/>
    <w:rsid w:val="00F40DE5"/>
    <w:rsid w:val="00F40E10"/>
    <w:rsid w:val="00F40E3F"/>
    <w:rsid w:val="00F40E4A"/>
    <w:rsid w:val="00F40E85"/>
    <w:rsid w:val="00F40E9F"/>
    <w:rsid w:val="00F40ED1"/>
    <w:rsid w:val="00F40EE2"/>
    <w:rsid w:val="00F40F2E"/>
    <w:rsid w:val="00F41007"/>
    <w:rsid w:val="00F410DB"/>
    <w:rsid w:val="00F410DE"/>
    <w:rsid w:val="00F4125A"/>
    <w:rsid w:val="00F412D1"/>
    <w:rsid w:val="00F413AE"/>
    <w:rsid w:val="00F4151A"/>
    <w:rsid w:val="00F4173A"/>
    <w:rsid w:val="00F417F2"/>
    <w:rsid w:val="00F41807"/>
    <w:rsid w:val="00F41814"/>
    <w:rsid w:val="00F418D0"/>
    <w:rsid w:val="00F418EE"/>
    <w:rsid w:val="00F41922"/>
    <w:rsid w:val="00F419E4"/>
    <w:rsid w:val="00F41A08"/>
    <w:rsid w:val="00F41A11"/>
    <w:rsid w:val="00F41B25"/>
    <w:rsid w:val="00F41B50"/>
    <w:rsid w:val="00F41B63"/>
    <w:rsid w:val="00F41C6E"/>
    <w:rsid w:val="00F41E5F"/>
    <w:rsid w:val="00F41F2D"/>
    <w:rsid w:val="00F41F6E"/>
    <w:rsid w:val="00F420B5"/>
    <w:rsid w:val="00F420CC"/>
    <w:rsid w:val="00F4217C"/>
    <w:rsid w:val="00F421B5"/>
    <w:rsid w:val="00F4225F"/>
    <w:rsid w:val="00F42268"/>
    <w:rsid w:val="00F422CD"/>
    <w:rsid w:val="00F42340"/>
    <w:rsid w:val="00F42382"/>
    <w:rsid w:val="00F4243F"/>
    <w:rsid w:val="00F4244A"/>
    <w:rsid w:val="00F42541"/>
    <w:rsid w:val="00F4257D"/>
    <w:rsid w:val="00F42588"/>
    <w:rsid w:val="00F425F6"/>
    <w:rsid w:val="00F42687"/>
    <w:rsid w:val="00F426AD"/>
    <w:rsid w:val="00F426B5"/>
    <w:rsid w:val="00F42753"/>
    <w:rsid w:val="00F427A8"/>
    <w:rsid w:val="00F427D2"/>
    <w:rsid w:val="00F4287B"/>
    <w:rsid w:val="00F428FF"/>
    <w:rsid w:val="00F42948"/>
    <w:rsid w:val="00F42A89"/>
    <w:rsid w:val="00F42ADF"/>
    <w:rsid w:val="00F42B8B"/>
    <w:rsid w:val="00F42BEB"/>
    <w:rsid w:val="00F42DA0"/>
    <w:rsid w:val="00F42F15"/>
    <w:rsid w:val="00F42F9C"/>
    <w:rsid w:val="00F42FFC"/>
    <w:rsid w:val="00F4300A"/>
    <w:rsid w:val="00F430D9"/>
    <w:rsid w:val="00F43219"/>
    <w:rsid w:val="00F4322F"/>
    <w:rsid w:val="00F43243"/>
    <w:rsid w:val="00F43275"/>
    <w:rsid w:val="00F432F8"/>
    <w:rsid w:val="00F43454"/>
    <w:rsid w:val="00F43462"/>
    <w:rsid w:val="00F4352E"/>
    <w:rsid w:val="00F436F6"/>
    <w:rsid w:val="00F43756"/>
    <w:rsid w:val="00F43761"/>
    <w:rsid w:val="00F43812"/>
    <w:rsid w:val="00F439F1"/>
    <w:rsid w:val="00F43A57"/>
    <w:rsid w:val="00F43B1B"/>
    <w:rsid w:val="00F43BA1"/>
    <w:rsid w:val="00F43BA6"/>
    <w:rsid w:val="00F43BCB"/>
    <w:rsid w:val="00F43BF6"/>
    <w:rsid w:val="00F43C06"/>
    <w:rsid w:val="00F43C1A"/>
    <w:rsid w:val="00F43C99"/>
    <w:rsid w:val="00F43CB9"/>
    <w:rsid w:val="00F43D25"/>
    <w:rsid w:val="00F43D64"/>
    <w:rsid w:val="00F43D6D"/>
    <w:rsid w:val="00F43DB7"/>
    <w:rsid w:val="00F43DF0"/>
    <w:rsid w:val="00F43E00"/>
    <w:rsid w:val="00F43F94"/>
    <w:rsid w:val="00F43F9A"/>
    <w:rsid w:val="00F43FD2"/>
    <w:rsid w:val="00F43FDA"/>
    <w:rsid w:val="00F43FF4"/>
    <w:rsid w:val="00F44121"/>
    <w:rsid w:val="00F44278"/>
    <w:rsid w:val="00F44366"/>
    <w:rsid w:val="00F4449E"/>
    <w:rsid w:val="00F44525"/>
    <w:rsid w:val="00F44594"/>
    <w:rsid w:val="00F445A7"/>
    <w:rsid w:val="00F445F6"/>
    <w:rsid w:val="00F44752"/>
    <w:rsid w:val="00F44841"/>
    <w:rsid w:val="00F44965"/>
    <w:rsid w:val="00F44A19"/>
    <w:rsid w:val="00F44A3F"/>
    <w:rsid w:val="00F44AB6"/>
    <w:rsid w:val="00F44ADD"/>
    <w:rsid w:val="00F44AE7"/>
    <w:rsid w:val="00F44B00"/>
    <w:rsid w:val="00F44B11"/>
    <w:rsid w:val="00F44BBD"/>
    <w:rsid w:val="00F44BFC"/>
    <w:rsid w:val="00F44C20"/>
    <w:rsid w:val="00F44C64"/>
    <w:rsid w:val="00F44D54"/>
    <w:rsid w:val="00F45078"/>
    <w:rsid w:val="00F450B3"/>
    <w:rsid w:val="00F45140"/>
    <w:rsid w:val="00F45194"/>
    <w:rsid w:val="00F45211"/>
    <w:rsid w:val="00F4521C"/>
    <w:rsid w:val="00F45297"/>
    <w:rsid w:val="00F4533C"/>
    <w:rsid w:val="00F45342"/>
    <w:rsid w:val="00F4538A"/>
    <w:rsid w:val="00F453B4"/>
    <w:rsid w:val="00F453BF"/>
    <w:rsid w:val="00F45430"/>
    <w:rsid w:val="00F4548E"/>
    <w:rsid w:val="00F454BB"/>
    <w:rsid w:val="00F45528"/>
    <w:rsid w:val="00F455A0"/>
    <w:rsid w:val="00F455CA"/>
    <w:rsid w:val="00F456AA"/>
    <w:rsid w:val="00F456C2"/>
    <w:rsid w:val="00F456C8"/>
    <w:rsid w:val="00F456E1"/>
    <w:rsid w:val="00F45702"/>
    <w:rsid w:val="00F4572D"/>
    <w:rsid w:val="00F4578B"/>
    <w:rsid w:val="00F4591D"/>
    <w:rsid w:val="00F45999"/>
    <w:rsid w:val="00F45A93"/>
    <w:rsid w:val="00F45B99"/>
    <w:rsid w:val="00F45BBF"/>
    <w:rsid w:val="00F45C1E"/>
    <w:rsid w:val="00F45D56"/>
    <w:rsid w:val="00F45D5C"/>
    <w:rsid w:val="00F45E0A"/>
    <w:rsid w:val="00F45E4D"/>
    <w:rsid w:val="00F45ECF"/>
    <w:rsid w:val="00F45F35"/>
    <w:rsid w:val="00F4600D"/>
    <w:rsid w:val="00F4606A"/>
    <w:rsid w:val="00F461AD"/>
    <w:rsid w:val="00F46289"/>
    <w:rsid w:val="00F462AF"/>
    <w:rsid w:val="00F462F8"/>
    <w:rsid w:val="00F4639F"/>
    <w:rsid w:val="00F46487"/>
    <w:rsid w:val="00F4648F"/>
    <w:rsid w:val="00F46517"/>
    <w:rsid w:val="00F466DB"/>
    <w:rsid w:val="00F467CE"/>
    <w:rsid w:val="00F467E4"/>
    <w:rsid w:val="00F4690D"/>
    <w:rsid w:val="00F469EA"/>
    <w:rsid w:val="00F46A89"/>
    <w:rsid w:val="00F46B8D"/>
    <w:rsid w:val="00F46B91"/>
    <w:rsid w:val="00F46B99"/>
    <w:rsid w:val="00F46BF2"/>
    <w:rsid w:val="00F46C62"/>
    <w:rsid w:val="00F46CB2"/>
    <w:rsid w:val="00F46CBC"/>
    <w:rsid w:val="00F46CC2"/>
    <w:rsid w:val="00F46CD0"/>
    <w:rsid w:val="00F46CE7"/>
    <w:rsid w:val="00F46DE6"/>
    <w:rsid w:val="00F46E97"/>
    <w:rsid w:val="00F46EE4"/>
    <w:rsid w:val="00F46F14"/>
    <w:rsid w:val="00F46F18"/>
    <w:rsid w:val="00F47037"/>
    <w:rsid w:val="00F47047"/>
    <w:rsid w:val="00F4706B"/>
    <w:rsid w:val="00F470A1"/>
    <w:rsid w:val="00F470BA"/>
    <w:rsid w:val="00F472D2"/>
    <w:rsid w:val="00F472F9"/>
    <w:rsid w:val="00F47361"/>
    <w:rsid w:val="00F473BB"/>
    <w:rsid w:val="00F474D0"/>
    <w:rsid w:val="00F474E0"/>
    <w:rsid w:val="00F474E4"/>
    <w:rsid w:val="00F4758B"/>
    <w:rsid w:val="00F475A8"/>
    <w:rsid w:val="00F4760A"/>
    <w:rsid w:val="00F47690"/>
    <w:rsid w:val="00F476D4"/>
    <w:rsid w:val="00F4773D"/>
    <w:rsid w:val="00F47784"/>
    <w:rsid w:val="00F47837"/>
    <w:rsid w:val="00F478D6"/>
    <w:rsid w:val="00F47974"/>
    <w:rsid w:val="00F479E0"/>
    <w:rsid w:val="00F47A51"/>
    <w:rsid w:val="00F47A69"/>
    <w:rsid w:val="00F47CE6"/>
    <w:rsid w:val="00F47D2D"/>
    <w:rsid w:val="00F47D62"/>
    <w:rsid w:val="00F47E54"/>
    <w:rsid w:val="00F47E5A"/>
    <w:rsid w:val="00F47F6A"/>
    <w:rsid w:val="00F5003A"/>
    <w:rsid w:val="00F5003E"/>
    <w:rsid w:val="00F500F8"/>
    <w:rsid w:val="00F5012D"/>
    <w:rsid w:val="00F501A5"/>
    <w:rsid w:val="00F501CD"/>
    <w:rsid w:val="00F50267"/>
    <w:rsid w:val="00F5027E"/>
    <w:rsid w:val="00F502D2"/>
    <w:rsid w:val="00F50347"/>
    <w:rsid w:val="00F503F6"/>
    <w:rsid w:val="00F50449"/>
    <w:rsid w:val="00F50494"/>
    <w:rsid w:val="00F504E0"/>
    <w:rsid w:val="00F50588"/>
    <w:rsid w:val="00F50848"/>
    <w:rsid w:val="00F508C0"/>
    <w:rsid w:val="00F50907"/>
    <w:rsid w:val="00F5098F"/>
    <w:rsid w:val="00F509F1"/>
    <w:rsid w:val="00F50A6D"/>
    <w:rsid w:val="00F50A99"/>
    <w:rsid w:val="00F50ADC"/>
    <w:rsid w:val="00F50AF3"/>
    <w:rsid w:val="00F50BAC"/>
    <w:rsid w:val="00F50BFE"/>
    <w:rsid w:val="00F50D78"/>
    <w:rsid w:val="00F50DAF"/>
    <w:rsid w:val="00F50F5E"/>
    <w:rsid w:val="00F50FA8"/>
    <w:rsid w:val="00F50FFA"/>
    <w:rsid w:val="00F5100E"/>
    <w:rsid w:val="00F510A8"/>
    <w:rsid w:val="00F510C5"/>
    <w:rsid w:val="00F5111F"/>
    <w:rsid w:val="00F51298"/>
    <w:rsid w:val="00F5136F"/>
    <w:rsid w:val="00F513F4"/>
    <w:rsid w:val="00F51405"/>
    <w:rsid w:val="00F51458"/>
    <w:rsid w:val="00F5150A"/>
    <w:rsid w:val="00F5162A"/>
    <w:rsid w:val="00F51659"/>
    <w:rsid w:val="00F516C5"/>
    <w:rsid w:val="00F516D6"/>
    <w:rsid w:val="00F516EB"/>
    <w:rsid w:val="00F516EC"/>
    <w:rsid w:val="00F517B6"/>
    <w:rsid w:val="00F517CA"/>
    <w:rsid w:val="00F51806"/>
    <w:rsid w:val="00F51825"/>
    <w:rsid w:val="00F518BE"/>
    <w:rsid w:val="00F51909"/>
    <w:rsid w:val="00F51989"/>
    <w:rsid w:val="00F51A42"/>
    <w:rsid w:val="00F51A88"/>
    <w:rsid w:val="00F51AB9"/>
    <w:rsid w:val="00F51B9E"/>
    <w:rsid w:val="00F51C75"/>
    <w:rsid w:val="00F51D3A"/>
    <w:rsid w:val="00F51DA2"/>
    <w:rsid w:val="00F51E60"/>
    <w:rsid w:val="00F51F4D"/>
    <w:rsid w:val="00F51FAC"/>
    <w:rsid w:val="00F51FDF"/>
    <w:rsid w:val="00F52033"/>
    <w:rsid w:val="00F5218D"/>
    <w:rsid w:val="00F5222C"/>
    <w:rsid w:val="00F52288"/>
    <w:rsid w:val="00F523A6"/>
    <w:rsid w:val="00F52440"/>
    <w:rsid w:val="00F52450"/>
    <w:rsid w:val="00F524A9"/>
    <w:rsid w:val="00F52562"/>
    <w:rsid w:val="00F525F0"/>
    <w:rsid w:val="00F52645"/>
    <w:rsid w:val="00F5265F"/>
    <w:rsid w:val="00F526E1"/>
    <w:rsid w:val="00F527B8"/>
    <w:rsid w:val="00F527DE"/>
    <w:rsid w:val="00F528A9"/>
    <w:rsid w:val="00F52A0B"/>
    <w:rsid w:val="00F52A41"/>
    <w:rsid w:val="00F52AD8"/>
    <w:rsid w:val="00F52BD8"/>
    <w:rsid w:val="00F52C1A"/>
    <w:rsid w:val="00F52CA6"/>
    <w:rsid w:val="00F52DFA"/>
    <w:rsid w:val="00F52E07"/>
    <w:rsid w:val="00F52E72"/>
    <w:rsid w:val="00F52E7A"/>
    <w:rsid w:val="00F52F31"/>
    <w:rsid w:val="00F52F38"/>
    <w:rsid w:val="00F52F91"/>
    <w:rsid w:val="00F5304C"/>
    <w:rsid w:val="00F53181"/>
    <w:rsid w:val="00F53259"/>
    <w:rsid w:val="00F532BA"/>
    <w:rsid w:val="00F532FD"/>
    <w:rsid w:val="00F53366"/>
    <w:rsid w:val="00F533FE"/>
    <w:rsid w:val="00F5341E"/>
    <w:rsid w:val="00F534F5"/>
    <w:rsid w:val="00F535BA"/>
    <w:rsid w:val="00F535DE"/>
    <w:rsid w:val="00F535E2"/>
    <w:rsid w:val="00F53602"/>
    <w:rsid w:val="00F5361E"/>
    <w:rsid w:val="00F5367E"/>
    <w:rsid w:val="00F5370A"/>
    <w:rsid w:val="00F53753"/>
    <w:rsid w:val="00F537E9"/>
    <w:rsid w:val="00F537F5"/>
    <w:rsid w:val="00F53862"/>
    <w:rsid w:val="00F5386F"/>
    <w:rsid w:val="00F5390E"/>
    <w:rsid w:val="00F5399F"/>
    <w:rsid w:val="00F539AF"/>
    <w:rsid w:val="00F539C2"/>
    <w:rsid w:val="00F53A1B"/>
    <w:rsid w:val="00F53AB7"/>
    <w:rsid w:val="00F53AF4"/>
    <w:rsid w:val="00F53BF6"/>
    <w:rsid w:val="00F53C5A"/>
    <w:rsid w:val="00F53DF4"/>
    <w:rsid w:val="00F53EFF"/>
    <w:rsid w:val="00F5401B"/>
    <w:rsid w:val="00F540E7"/>
    <w:rsid w:val="00F54176"/>
    <w:rsid w:val="00F54239"/>
    <w:rsid w:val="00F54290"/>
    <w:rsid w:val="00F54448"/>
    <w:rsid w:val="00F544BB"/>
    <w:rsid w:val="00F544C9"/>
    <w:rsid w:val="00F54543"/>
    <w:rsid w:val="00F54567"/>
    <w:rsid w:val="00F545A4"/>
    <w:rsid w:val="00F5466E"/>
    <w:rsid w:val="00F5476D"/>
    <w:rsid w:val="00F5477E"/>
    <w:rsid w:val="00F5478F"/>
    <w:rsid w:val="00F54822"/>
    <w:rsid w:val="00F54882"/>
    <w:rsid w:val="00F548D7"/>
    <w:rsid w:val="00F54910"/>
    <w:rsid w:val="00F54A15"/>
    <w:rsid w:val="00F54A32"/>
    <w:rsid w:val="00F54A7E"/>
    <w:rsid w:val="00F54AA2"/>
    <w:rsid w:val="00F54ACF"/>
    <w:rsid w:val="00F54AE7"/>
    <w:rsid w:val="00F54B65"/>
    <w:rsid w:val="00F54C08"/>
    <w:rsid w:val="00F54C6E"/>
    <w:rsid w:val="00F54CBA"/>
    <w:rsid w:val="00F54DF1"/>
    <w:rsid w:val="00F54DF4"/>
    <w:rsid w:val="00F54E4C"/>
    <w:rsid w:val="00F54EC2"/>
    <w:rsid w:val="00F54F29"/>
    <w:rsid w:val="00F54FB5"/>
    <w:rsid w:val="00F550D1"/>
    <w:rsid w:val="00F5510B"/>
    <w:rsid w:val="00F5535A"/>
    <w:rsid w:val="00F55381"/>
    <w:rsid w:val="00F553B1"/>
    <w:rsid w:val="00F55469"/>
    <w:rsid w:val="00F554C0"/>
    <w:rsid w:val="00F5554D"/>
    <w:rsid w:val="00F555E4"/>
    <w:rsid w:val="00F55626"/>
    <w:rsid w:val="00F55672"/>
    <w:rsid w:val="00F55707"/>
    <w:rsid w:val="00F55735"/>
    <w:rsid w:val="00F5575E"/>
    <w:rsid w:val="00F55794"/>
    <w:rsid w:val="00F557B0"/>
    <w:rsid w:val="00F55833"/>
    <w:rsid w:val="00F55876"/>
    <w:rsid w:val="00F5587D"/>
    <w:rsid w:val="00F558D4"/>
    <w:rsid w:val="00F55A62"/>
    <w:rsid w:val="00F55A9C"/>
    <w:rsid w:val="00F55AF7"/>
    <w:rsid w:val="00F55B3F"/>
    <w:rsid w:val="00F55B90"/>
    <w:rsid w:val="00F55C06"/>
    <w:rsid w:val="00F55DFC"/>
    <w:rsid w:val="00F5605C"/>
    <w:rsid w:val="00F5608E"/>
    <w:rsid w:val="00F56133"/>
    <w:rsid w:val="00F5628D"/>
    <w:rsid w:val="00F562E0"/>
    <w:rsid w:val="00F56313"/>
    <w:rsid w:val="00F563E6"/>
    <w:rsid w:val="00F5664A"/>
    <w:rsid w:val="00F56739"/>
    <w:rsid w:val="00F567CF"/>
    <w:rsid w:val="00F5689C"/>
    <w:rsid w:val="00F56960"/>
    <w:rsid w:val="00F56998"/>
    <w:rsid w:val="00F56B0A"/>
    <w:rsid w:val="00F56B50"/>
    <w:rsid w:val="00F56BA0"/>
    <w:rsid w:val="00F56BCF"/>
    <w:rsid w:val="00F56C50"/>
    <w:rsid w:val="00F56C99"/>
    <w:rsid w:val="00F56D15"/>
    <w:rsid w:val="00F56D17"/>
    <w:rsid w:val="00F56D66"/>
    <w:rsid w:val="00F56D6B"/>
    <w:rsid w:val="00F56DE2"/>
    <w:rsid w:val="00F56DF1"/>
    <w:rsid w:val="00F56E3C"/>
    <w:rsid w:val="00F56E4B"/>
    <w:rsid w:val="00F56E64"/>
    <w:rsid w:val="00F56EAD"/>
    <w:rsid w:val="00F56EE5"/>
    <w:rsid w:val="00F56F40"/>
    <w:rsid w:val="00F56F94"/>
    <w:rsid w:val="00F56FA3"/>
    <w:rsid w:val="00F5704D"/>
    <w:rsid w:val="00F570AD"/>
    <w:rsid w:val="00F57138"/>
    <w:rsid w:val="00F5714B"/>
    <w:rsid w:val="00F57250"/>
    <w:rsid w:val="00F573B8"/>
    <w:rsid w:val="00F57432"/>
    <w:rsid w:val="00F574A7"/>
    <w:rsid w:val="00F574F2"/>
    <w:rsid w:val="00F5752D"/>
    <w:rsid w:val="00F57557"/>
    <w:rsid w:val="00F5757C"/>
    <w:rsid w:val="00F57593"/>
    <w:rsid w:val="00F57733"/>
    <w:rsid w:val="00F5773D"/>
    <w:rsid w:val="00F57779"/>
    <w:rsid w:val="00F5778A"/>
    <w:rsid w:val="00F578B8"/>
    <w:rsid w:val="00F579AA"/>
    <w:rsid w:val="00F57A32"/>
    <w:rsid w:val="00F57A56"/>
    <w:rsid w:val="00F57A8B"/>
    <w:rsid w:val="00F57ACA"/>
    <w:rsid w:val="00F57B4B"/>
    <w:rsid w:val="00F57B50"/>
    <w:rsid w:val="00F57C2A"/>
    <w:rsid w:val="00F57DAC"/>
    <w:rsid w:val="00F57EDD"/>
    <w:rsid w:val="00F57FCE"/>
    <w:rsid w:val="00F6018D"/>
    <w:rsid w:val="00F60192"/>
    <w:rsid w:val="00F601AF"/>
    <w:rsid w:val="00F6029F"/>
    <w:rsid w:val="00F60313"/>
    <w:rsid w:val="00F6039F"/>
    <w:rsid w:val="00F6043B"/>
    <w:rsid w:val="00F604C8"/>
    <w:rsid w:val="00F604EC"/>
    <w:rsid w:val="00F6056C"/>
    <w:rsid w:val="00F6068A"/>
    <w:rsid w:val="00F606D6"/>
    <w:rsid w:val="00F60719"/>
    <w:rsid w:val="00F60815"/>
    <w:rsid w:val="00F608FA"/>
    <w:rsid w:val="00F6091A"/>
    <w:rsid w:val="00F60942"/>
    <w:rsid w:val="00F60952"/>
    <w:rsid w:val="00F609B1"/>
    <w:rsid w:val="00F60A25"/>
    <w:rsid w:val="00F60A38"/>
    <w:rsid w:val="00F60AD5"/>
    <w:rsid w:val="00F60BE8"/>
    <w:rsid w:val="00F60DB7"/>
    <w:rsid w:val="00F60E2B"/>
    <w:rsid w:val="00F60ED6"/>
    <w:rsid w:val="00F60EE0"/>
    <w:rsid w:val="00F60F35"/>
    <w:rsid w:val="00F60F9D"/>
    <w:rsid w:val="00F61031"/>
    <w:rsid w:val="00F6108A"/>
    <w:rsid w:val="00F612A2"/>
    <w:rsid w:val="00F612FE"/>
    <w:rsid w:val="00F6143E"/>
    <w:rsid w:val="00F6146F"/>
    <w:rsid w:val="00F614AA"/>
    <w:rsid w:val="00F61545"/>
    <w:rsid w:val="00F615B8"/>
    <w:rsid w:val="00F61638"/>
    <w:rsid w:val="00F61723"/>
    <w:rsid w:val="00F61754"/>
    <w:rsid w:val="00F61972"/>
    <w:rsid w:val="00F61B63"/>
    <w:rsid w:val="00F61B74"/>
    <w:rsid w:val="00F61B88"/>
    <w:rsid w:val="00F61BED"/>
    <w:rsid w:val="00F61CC6"/>
    <w:rsid w:val="00F61CF0"/>
    <w:rsid w:val="00F61D11"/>
    <w:rsid w:val="00F61D30"/>
    <w:rsid w:val="00F61D51"/>
    <w:rsid w:val="00F61D84"/>
    <w:rsid w:val="00F61D8B"/>
    <w:rsid w:val="00F61E26"/>
    <w:rsid w:val="00F61E9A"/>
    <w:rsid w:val="00F61F85"/>
    <w:rsid w:val="00F6202D"/>
    <w:rsid w:val="00F62249"/>
    <w:rsid w:val="00F622B2"/>
    <w:rsid w:val="00F6235D"/>
    <w:rsid w:val="00F623C5"/>
    <w:rsid w:val="00F62457"/>
    <w:rsid w:val="00F62467"/>
    <w:rsid w:val="00F625D4"/>
    <w:rsid w:val="00F62715"/>
    <w:rsid w:val="00F6279D"/>
    <w:rsid w:val="00F627B9"/>
    <w:rsid w:val="00F627ED"/>
    <w:rsid w:val="00F6290E"/>
    <w:rsid w:val="00F629E6"/>
    <w:rsid w:val="00F62A01"/>
    <w:rsid w:val="00F62A8F"/>
    <w:rsid w:val="00F62B84"/>
    <w:rsid w:val="00F62BAE"/>
    <w:rsid w:val="00F62C41"/>
    <w:rsid w:val="00F62C92"/>
    <w:rsid w:val="00F62C95"/>
    <w:rsid w:val="00F62D36"/>
    <w:rsid w:val="00F62E45"/>
    <w:rsid w:val="00F62F07"/>
    <w:rsid w:val="00F62F0D"/>
    <w:rsid w:val="00F62F2D"/>
    <w:rsid w:val="00F62F47"/>
    <w:rsid w:val="00F63098"/>
    <w:rsid w:val="00F630FC"/>
    <w:rsid w:val="00F6311E"/>
    <w:rsid w:val="00F631A2"/>
    <w:rsid w:val="00F6321F"/>
    <w:rsid w:val="00F6324D"/>
    <w:rsid w:val="00F63331"/>
    <w:rsid w:val="00F6337C"/>
    <w:rsid w:val="00F63382"/>
    <w:rsid w:val="00F633BE"/>
    <w:rsid w:val="00F633D6"/>
    <w:rsid w:val="00F6346F"/>
    <w:rsid w:val="00F634A8"/>
    <w:rsid w:val="00F634A9"/>
    <w:rsid w:val="00F634C3"/>
    <w:rsid w:val="00F634FA"/>
    <w:rsid w:val="00F635B4"/>
    <w:rsid w:val="00F635F5"/>
    <w:rsid w:val="00F6368F"/>
    <w:rsid w:val="00F636D3"/>
    <w:rsid w:val="00F6380C"/>
    <w:rsid w:val="00F63825"/>
    <w:rsid w:val="00F63873"/>
    <w:rsid w:val="00F6394F"/>
    <w:rsid w:val="00F639E6"/>
    <w:rsid w:val="00F63A2E"/>
    <w:rsid w:val="00F63A53"/>
    <w:rsid w:val="00F63AC3"/>
    <w:rsid w:val="00F63B31"/>
    <w:rsid w:val="00F63B4E"/>
    <w:rsid w:val="00F63C2B"/>
    <w:rsid w:val="00F63E96"/>
    <w:rsid w:val="00F63F76"/>
    <w:rsid w:val="00F63FE7"/>
    <w:rsid w:val="00F64035"/>
    <w:rsid w:val="00F64042"/>
    <w:rsid w:val="00F6408F"/>
    <w:rsid w:val="00F640F5"/>
    <w:rsid w:val="00F6413E"/>
    <w:rsid w:val="00F641DE"/>
    <w:rsid w:val="00F641F8"/>
    <w:rsid w:val="00F64255"/>
    <w:rsid w:val="00F64279"/>
    <w:rsid w:val="00F64293"/>
    <w:rsid w:val="00F6429D"/>
    <w:rsid w:val="00F6432A"/>
    <w:rsid w:val="00F643AA"/>
    <w:rsid w:val="00F643C2"/>
    <w:rsid w:val="00F644F5"/>
    <w:rsid w:val="00F64549"/>
    <w:rsid w:val="00F645D4"/>
    <w:rsid w:val="00F6465E"/>
    <w:rsid w:val="00F646FB"/>
    <w:rsid w:val="00F64704"/>
    <w:rsid w:val="00F64867"/>
    <w:rsid w:val="00F648C1"/>
    <w:rsid w:val="00F648F9"/>
    <w:rsid w:val="00F64A18"/>
    <w:rsid w:val="00F64A36"/>
    <w:rsid w:val="00F64A82"/>
    <w:rsid w:val="00F64AB1"/>
    <w:rsid w:val="00F64AE2"/>
    <w:rsid w:val="00F64B2F"/>
    <w:rsid w:val="00F64B9E"/>
    <w:rsid w:val="00F64CCD"/>
    <w:rsid w:val="00F64CF9"/>
    <w:rsid w:val="00F64D07"/>
    <w:rsid w:val="00F64D7E"/>
    <w:rsid w:val="00F64DF9"/>
    <w:rsid w:val="00F64E65"/>
    <w:rsid w:val="00F64EAE"/>
    <w:rsid w:val="00F64F30"/>
    <w:rsid w:val="00F65023"/>
    <w:rsid w:val="00F65069"/>
    <w:rsid w:val="00F65079"/>
    <w:rsid w:val="00F65151"/>
    <w:rsid w:val="00F65180"/>
    <w:rsid w:val="00F6519F"/>
    <w:rsid w:val="00F651F1"/>
    <w:rsid w:val="00F6522F"/>
    <w:rsid w:val="00F65291"/>
    <w:rsid w:val="00F653C3"/>
    <w:rsid w:val="00F654AD"/>
    <w:rsid w:val="00F65538"/>
    <w:rsid w:val="00F6556D"/>
    <w:rsid w:val="00F6560F"/>
    <w:rsid w:val="00F65645"/>
    <w:rsid w:val="00F6564D"/>
    <w:rsid w:val="00F6564F"/>
    <w:rsid w:val="00F65669"/>
    <w:rsid w:val="00F656BB"/>
    <w:rsid w:val="00F656E9"/>
    <w:rsid w:val="00F65733"/>
    <w:rsid w:val="00F657D3"/>
    <w:rsid w:val="00F658A4"/>
    <w:rsid w:val="00F658CF"/>
    <w:rsid w:val="00F65940"/>
    <w:rsid w:val="00F6594E"/>
    <w:rsid w:val="00F6596E"/>
    <w:rsid w:val="00F65984"/>
    <w:rsid w:val="00F65A30"/>
    <w:rsid w:val="00F65B17"/>
    <w:rsid w:val="00F65B85"/>
    <w:rsid w:val="00F65BAE"/>
    <w:rsid w:val="00F65BFA"/>
    <w:rsid w:val="00F65C06"/>
    <w:rsid w:val="00F65D4C"/>
    <w:rsid w:val="00F65DDC"/>
    <w:rsid w:val="00F65EE8"/>
    <w:rsid w:val="00F6601A"/>
    <w:rsid w:val="00F660A7"/>
    <w:rsid w:val="00F661AE"/>
    <w:rsid w:val="00F66317"/>
    <w:rsid w:val="00F663E3"/>
    <w:rsid w:val="00F663F6"/>
    <w:rsid w:val="00F6644E"/>
    <w:rsid w:val="00F664B9"/>
    <w:rsid w:val="00F665DB"/>
    <w:rsid w:val="00F6661F"/>
    <w:rsid w:val="00F666C5"/>
    <w:rsid w:val="00F66707"/>
    <w:rsid w:val="00F66746"/>
    <w:rsid w:val="00F6676D"/>
    <w:rsid w:val="00F667C0"/>
    <w:rsid w:val="00F66860"/>
    <w:rsid w:val="00F66868"/>
    <w:rsid w:val="00F668AF"/>
    <w:rsid w:val="00F668DE"/>
    <w:rsid w:val="00F6691D"/>
    <w:rsid w:val="00F66959"/>
    <w:rsid w:val="00F66A25"/>
    <w:rsid w:val="00F66A33"/>
    <w:rsid w:val="00F66A34"/>
    <w:rsid w:val="00F66B31"/>
    <w:rsid w:val="00F66B65"/>
    <w:rsid w:val="00F66BC4"/>
    <w:rsid w:val="00F66C14"/>
    <w:rsid w:val="00F66C1B"/>
    <w:rsid w:val="00F66C35"/>
    <w:rsid w:val="00F66CC1"/>
    <w:rsid w:val="00F66D25"/>
    <w:rsid w:val="00F66D30"/>
    <w:rsid w:val="00F66D3E"/>
    <w:rsid w:val="00F66D79"/>
    <w:rsid w:val="00F66E12"/>
    <w:rsid w:val="00F66E33"/>
    <w:rsid w:val="00F66E7A"/>
    <w:rsid w:val="00F66EBE"/>
    <w:rsid w:val="00F66EDF"/>
    <w:rsid w:val="00F66F0D"/>
    <w:rsid w:val="00F66F16"/>
    <w:rsid w:val="00F66F1F"/>
    <w:rsid w:val="00F67031"/>
    <w:rsid w:val="00F67083"/>
    <w:rsid w:val="00F67115"/>
    <w:rsid w:val="00F671B8"/>
    <w:rsid w:val="00F67243"/>
    <w:rsid w:val="00F67251"/>
    <w:rsid w:val="00F6728C"/>
    <w:rsid w:val="00F672FC"/>
    <w:rsid w:val="00F67710"/>
    <w:rsid w:val="00F6775A"/>
    <w:rsid w:val="00F678B0"/>
    <w:rsid w:val="00F679AC"/>
    <w:rsid w:val="00F67A46"/>
    <w:rsid w:val="00F67A9B"/>
    <w:rsid w:val="00F67AC5"/>
    <w:rsid w:val="00F67AEA"/>
    <w:rsid w:val="00F67BFA"/>
    <w:rsid w:val="00F67C64"/>
    <w:rsid w:val="00F67CA7"/>
    <w:rsid w:val="00F67CC4"/>
    <w:rsid w:val="00F67CEF"/>
    <w:rsid w:val="00F67D80"/>
    <w:rsid w:val="00F67D98"/>
    <w:rsid w:val="00F67DA7"/>
    <w:rsid w:val="00F67DD4"/>
    <w:rsid w:val="00F67E8B"/>
    <w:rsid w:val="00F67EFB"/>
    <w:rsid w:val="00F67F07"/>
    <w:rsid w:val="00F67FD4"/>
    <w:rsid w:val="00F70072"/>
    <w:rsid w:val="00F7007C"/>
    <w:rsid w:val="00F700FF"/>
    <w:rsid w:val="00F70110"/>
    <w:rsid w:val="00F70202"/>
    <w:rsid w:val="00F70242"/>
    <w:rsid w:val="00F7026C"/>
    <w:rsid w:val="00F70276"/>
    <w:rsid w:val="00F7029A"/>
    <w:rsid w:val="00F702EB"/>
    <w:rsid w:val="00F70344"/>
    <w:rsid w:val="00F7035E"/>
    <w:rsid w:val="00F7039D"/>
    <w:rsid w:val="00F70464"/>
    <w:rsid w:val="00F7046A"/>
    <w:rsid w:val="00F70475"/>
    <w:rsid w:val="00F7047F"/>
    <w:rsid w:val="00F70591"/>
    <w:rsid w:val="00F7063B"/>
    <w:rsid w:val="00F70839"/>
    <w:rsid w:val="00F7084D"/>
    <w:rsid w:val="00F708BF"/>
    <w:rsid w:val="00F7097C"/>
    <w:rsid w:val="00F70A69"/>
    <w:rsid w:val="00F70ABE"/>
    <w:rsid w:val="00F70B56"/>
    <w:rsid w:val="00F70BA1"/>
    <w:rsid w:val="00F70BD5"/>
    <w:rsid w:val="00F70C6E"/>
    <w:rsid w:val="00F70CEB"/>
    <w:rsid w:val="00F70D3D"/>
    <w:rsid w:val="00F70DAD"/>
    <w:rsid w:val="00F70E62"/>
    <w:rsid w:val="00F70F66"/>
    <w:rsid w:val="00F70FD1"/>
    <w:rsid w:val="00F7102B"/>
    <w:rsid w:val="00F7109E"/>
    <w:rsid w:val="00F710C1"/>
    <w:rsid w:val="00F711F3"/>
    <w:rsid w:val="00F71292"/>
    <w:rsid w:val="00F713ED"/>
    <w:rsid w:val="00F7142D"/>
    <w:rsid w:val="00F71471"/>
    <w:rsid w:val="00F7152B"/>
    <w:rsid w:val="00F71621"/>
    <w:rsid w:val="00F717FB"/>
    <w:rsid w:val="00F71922"/>
    <w:rsid w:val="00F71949"/>
    <w:rsid w:val="00F7196A"/>
    <w:rsid w:val="00F719B9"/>
    <w:rsid w:val="00F719C9"/>
    <w:rsid w:val="00F71A09"/>
    <w:rsid w:val="00F71A30"/>
    <w:rsid w:val="00F71A4A"/>
    <w:rsid w:val="00F71B20"/>
    <w:rsid w:val="00F71B58"/>
    <w:rsid w:val="00F71C74"/>
    <w:rsid w:val="00F71C79"/>
    <w:rsid w:val="00F71C8C"/>
    <w:rsid w:val="00F71E25"/>
    <w:rsid w:val="00F71E8A"/>
    <w:rsid w:val="00F71F53"/>
    <w:rsid w:val="00F7213F"/>
    <w:rsid w:val="00F72170"/>
    <w:rsid w:val="00F72232"/>
    <w:rsid w:val="00F722FB"/>
    <w:rsid w:val="00F7241E"/>
    <w:rsid w:val="00F724FD"/>
    <w:rsid w:val="00F725FF"/>
    <w:rsid w:val="00F726C6"/>
    <w:rsid w:val="00F72752"/>
    <w:rsid w:val="00F727EA"/>
    <w:rsid w:val="00F7282F"/>
    <w:rsid w:val="00F72908"/>
    <w:rsid w:val="00F72938"/>
    <w:rsid w:val="00F729E0"/>
    <w:rsid w:val="00F72A13"/>
    <w:rsid w:val="00F72B4A"/>
    <w:rsid w:val="00F72C24"/>
    <w:rsid w:val="00F72CDD"/>
    <w:rsid w:val="00F72D47"/>
    <w:rsid w:val="00F72EF9"/>
    <w:rsid w:val="00F72F19"/>
    <w:rsid w:val="00F72F20"/>
    <w:rsid w:val="00F72F2B"/>
    <w:rsid w:val="00F730F9"/>
    <w:rsid w:val="00F7311F"/>
    <w:rsid w:val="00F7320E"/>
    <w:rsid w:val="00F732CD"/>
    <w:rsid w:val="00F73361"/>
    <w:rsid w:val="00F7344F"/>
    <w:rsid w:val="00F73486"/>
    <w:rsid w:val="00F73547"/>
    <w:rsid w:val="00F735A4"/>
    <w:rsid w:val="00F735FD"/>
    <w:rsid w:val="00F73707"/>
    <w:rsid w:val="00F73798"/>
    <w:rsid w:val="00F737DD"/>
    <w:rsid w:val="00F737E6"/>
    <w:rsid w:val="00F73811"/>
    <w:rsid w:val="00F7383A"/>
    <w:rsid w:val="00F73869"/>
    <w:rsid w:val="00F738AD"/>
    <w:rsid w:val="00F738C7"/>
    <w:rsid w:val="00F73996"/>
    <w:rsid w:val="00F739DB"/>
    <w:rsid w:val="00F73A7F"/>
    <w:rsid w:val="00F73AB8"/>
    <w:rsid w:val="00F73AFA"/>
    <w:rsid w:val="00F73B32"/>
    <w:rsid w:val="00F73BB6"/>
    <w:rsid w:val="00F73BCF"/>
    <w:rsid w:val="00F73BDE"/>
    <w:rsid w:val="00F73CD5"/>
    <w:rsid w:val="00F73CE4"/>
    <w:rsid w:val="00F73E47"/>
    <w:rsid w:val="00F73EE4"/>
    <w:rsid w:val="00F73EEE"/>
    <w:rsid w:val="00F742B3"/>
    <w:rsid w:val="00F74354"/>
    <w:rsid w:val="00F744E0"/>
    <w:rsid w:val="00F747C7"/>
    <w:rsid w:val="00F747DE"/>
    <w:rsid w:val="00F74862"/>
    <w:rsid w:val="00F7486B"/>
    <w:rsid w:val="00F748A1"/>
    <w:rsid w:val="00F748CB"/>
    <w:rsid w:val="00F74A1A"/>
    <w:rsid w:val="00F74A81"/>
    <w:rsid w:val="00F74BB4"/>
    <w:rsid w:val="00F74C4A"/>
    <w:rsid w:val="00F74CF0"/>
    <w:rsid w:val="00F74CF7"/>
    <w:rsid w:val="00F74D68"/>
    <w:rsid w:val="00F74D82"/>
    <w:rsid w:val="00F74D88"/>
    <w:rsid w:val="00F74E77"/>
    <w:rsid w:val="00F74EC6"/>
    <w:rsid w:val="00F74F56"/>
    <w:rsid w:val="00F74F8D"/>
    <w:rsid w:val="00F7503F"/>
    <w:rsid w:val="00F75056"/>
    <w:rsid w:val="00F75072"/>
    <w:rsid w:val="00F7507F"/>
    <w:rsid w:val="00F750EE"/>
    <w:rsid w:val="00F75133"/>
    <w:rsid w:val="00F751ED"/>
    <w:rsid w:val="00F75339"/>
    <w:rsid w:val="00F7541B"/>
    <w:rsid w:val="00F754CD"/>
    <w:rsid w:val="00F754CF"/>
    <w:rsid w:val="00F75502"/>
    <w:rsid w:val="00F75598"/>
    <w:rsid w:val="00F755DB"/>
    <w:rsid w:val="00F756D0"/>
    <w:rsid w:val="00F756FC"/>
    <w:rsid w:val="00F75758"/>
    <w:rsid w:val="00F757D2"/>
    <w:rsid w:val="00F7585B"/>
    <w:rsid w:val="00F75899"/>
    <w:rsid w:val="00F759D4"/>
    <w:rsid w:val="00F75B08"/>
    <w:rsid w:val="00F75BA3"/>
    <w:rsid w:val="00F75C36"/>
    <w:rsid w:val="00F75C76"/>
    <w:rsid w:val="00F75C82"/>
    <w:rsid w:val="00F75CBF"/>
    <w:rsid w:val="00F75CC1"/>
    <w:rsid w:val="00F75D77"/>
    <w:rsid w:val="00F75D7F"/>
    <w:rsid w:val="00F75D8E"/>
    <w:rsid w:val="00F75DDD"/>
    <w:rsid w:val="00F75E11"/>
    <w:rsid w:val="00F75E5F"/>
    <w:rsid w:val="00F75ECE"/>
    <w:rsid w:val="00F75F09"/>
    <w:rsid w:val="00F75F28"/>
    <w:rsid w:val="00F75F7C"/>
    <w:rsid w:val="00F75F8D"/>
    <w:rsid w:val="00F76033"/>
    <w:rsid w:val="00F760A8"/>
    <w:rsid w:val="00F761EE"/>
    <w:rsid w:val="00F7620F"/>
    <w:rsid w:val="00F76241"/>
    <w:rsid w:val="00F762F6"/>
    <w:rsid w:val="00F76328"/>
    <w:rsid w:val="00F76349"/>
    <w:rsid w:val="00F7644D"/>
    <w:rsid w:val="00F764BA"/>
    <w:rsid w:val="00F764CC"/>
    <w:rsid w:val="00F76597"/>
    <w:rsid w:val="00F766E8"/>
    <w:rsid w:val="00F7677E"/>
    <w:rsid w:val="00F767CD"/>
    <w:rsid w:val="00F76805"/>
    <w:rsid w:val="00F76916"/>
    <w:rsid w:val="00F7696B"/>
    <w:rsid w:val="00F769C9"/>
    <w:rsid w:val="00F76A18"/>
    <w:rsid w:val="00F76A28"/>
    <w:rsid w:val="00F76A3D"/>
    <w:rsid w:val="00F76AAD"/>
    <w:rsid w:val="00F76BAD"/>
    <w:rsid w:val="00F76BB0"/>
    <w:rsid w:val="00F76BF6"/>
    <w:rsid w:val="00F76C10"/>
    <w:rsid w:val="00F76CCA"/>
    <w:rsid w:val="00F76D25"/>
    <w:rsid w:val="00F76D3D"/>
    <w:rsid w:val="00F76D70"/>
    <w:rsid w:val="00F76DF6"/>
    <w:rsid w:val="00F76F8F"/>
    <w:rsid w:val="00F77003"/>
    <w:rsid w:val="00F770D7"/>
    <w:rsid w:val="00F77117"/>
    <w:rsid w:val="00F77128"/>
    <w:rsid w:val="00F77212"/>
    <w:rsid w:val="00F77277"/>
    <w:rsid w:val="00F772C9"/>
    <w:rsid w:val="00F772F7"/>
    <w:rsid w:val="00F774AE"/>
    <w:rsid w:val="00F77506"/>
    <w:rsid w:val="00F77532"/>
    <w:rsid w:val="00F77762"/>
    <w:rsid w:val="00F77769"/>
    <w:rsid w:val="00F7778E"/>
    <w:rsid w:val="00F77845"/>
    <w:rsid w:val="00F77855"/>
    <w:rsid w:val="00F778C3"/>
    <w:rsid w:val="00F779A6"/>
    <w:rsid w:val="00F779AE"/>
    <w:rsid w:val="00F779C6"/>
    <w:rsid w:val="00F779FB"/>
    <w:rsid w:val="00F77A19"/>
    <w:rsid w:val="00F77A39"/>
    <w:rsid w:val="00F77B67"/>
    <w:rsid w:val="00F77CB2"/>
    <w:rsid w:val="00F77CF7"/>
    <w:rsid w:val="00F77D52"/>
    <w:rsid w:val="00F77D7A"/>
    <w:rsid w:val="00F77DA9"/>
    <w:rsid w:val="00F77F10"/>
    <w:rsid w:val="00F77F72"/>
    <w:rsid w:val="00F77FAB"/>
    <w:rsid w:val="00F801CD"/>
    <w:rsid w:val="00F80259"/>
    <w:rsid w:val="00F802CA"/>
    <w:rsid w:val="00F8030C"/>
    <w:rsid w:val="00F80348"/>
    <w:rsid w:val="00F803EE"/>
    <w:rsid w:val="00F80429"/>
    <w:rsid w:val="00F8043C"/>
    <w:rsid w:val="00F8045C"/>
    <w:rsid w:val="00F80712"/>
    <w:rsid w:val="00F808DC"/>
    <w:rsid w:val="00F809CD"/>
    <w:rsid w:val="00F80AD0"/>
    <w:rsid w:val="00F80B27"/>
    <w:rsid w:val="00F80B72"/>
    <w:rsid w:val="00F80C0B"/>
    <w:rsid w:val="00F80CF6"/>
    <w:rsid w:val="00F80D44"/>
    <w:rsid w:val="00F80F1F"/>
    <w:rsid w:val="00F80F52"/>
    <w:rsid w:val="00F80FD3"/>
    <w:rsid w:val="00F80FEB"/>
    <w:rsid w:val="00F81002"/>
    <w:rsid w:val="00F81232"/>
    <w:rsid w:val="00F81252"/>
    <w:rsid w:val="00F812B1"/>
    <w:rsid w:val="00F812FC"/>
    <w:rsid w:val="00F8136C"/>
    <w:rsid w:val="00F81455"/>
    <w:rsid w:val="00F81497"/>
    <w:rsid w:val="00F814FF"/>
    <w:rsid w:val="00F81536"/>
    <w:rsid w:val="00F815D8"/>
    <w:rsid w:val="00F8164E"/>
    <w:rsid w:val="00F81681"/>
    <w:rsid w:val="00F8168B"/>
    <w:rsid w:val="00F816A3"/>
    <w:rsid w:val="00F81769"/>
    <w:rsid w:val="00F81864"/>
    <w:rsid w:val="00F81887"/>
    <w:rsid w:val="00F81988"/>
    <w:rsid w:val="00F81996"/>
    <w:rsid w:val="00F819F7"/>
    <w:rsid w:val="00F81AB8"/>
    <w:rsid w:val="00F81ADB"/>
    <w:rsid w:val="00F81BB2"/>
    <w:rsid w:val="00F81C08"/>
    <w:rsid w:val="00F81C4C"/>
    <w:rsid w:val="00F81CCD"/>
    <w:rsid w:val="00F81D22"/>
    <w:rsid w:val="00F81D4D"/>
    <w:rsid w:val="00F81D89"/>
    <w:rsid w:val="00F81DD8"/>
    <w:rsid w:val="00F81E91"/>
    <w:rsid w:val="00F81E93"/>
    <w:rsid w:val="00F81F7F"/>
    <w:rsid w:val="00F81F84"/>
    <w:rsid w:val="00F81F86"/>
    <w:rsid w:val="00F81FE7"/>
    <w:rsid w:val="00F82001"/>
    <w:rsid w:val="00F820C3"/>
    <w:rsid w:val="00F820F6"/>
    <w:rsid w:val="00F821F8"/>
    <w:rsid w:val="00F82249"/>
    <w:rsid w:val="00F82268"/>
    <w:rsid w:val="00F822C9"/>
    <w:rsid w:val="00F822F9"/>
    <w:rsid w:val="00F824B4"/>
    <w:rsid w:val="00F824BC"/>
    <w:rsid w:val="00F824C5"/>
    <w:rsid w:val="00F824CD"/>
    <w:rsid w:val="00F82630"/>
    <w:rsid w:val="00F8267D"/>
    <w:rsid w:val="00F826A0"/>
    <w:rsid w:val="00F826DD"/>
    <w:rsid w:val="00F82700"/>
    <w:rsid w:val="00F82732"/>
    <w:rsid w:val="00F82747"/>
    <w:rsid w:val="00F82756"/>
    <w:rsid w:val="00F8277C"/>
    <w:rsid w:val="00F8287D"/>
    <w:rsid w:val="00F828A6"/>
    <w:rsid w:val="00F828B3"/>
    <w:rsid w:val="00F828BC"/>
    <w:rsid w:val="00F829E0"/>
    <w:rsid w:val="00F82A12"/>
    <w:rsid w:val="00F82A66"/>
    <w:rsid w:val="00F82AAC"/>
    <w:rsid w:val="00F82B1C"/>
    <w:rsid w:val="00F82B71"/>
    <w:rsid w:val="00F82B9D"/>
    <w:rsid w:val="00F82C69"/>
    <w:rsid w:val="00F82CE2"/>
    <w:rsid w:val="00F82D72"/>
    <w:rsid w:val="00F82D84"/>
    <w:rsid w:val="00F82DC9"/>
    <w:rsid w:val="00F82E6A"/>
    <w:rsid w:val="00F82E80"/>
    <w:rsid w:val="00F82E98"/>
    <w:rsid w:val="00F82EF4"/>
    <w:rsid w:val="00F82F24"/>
    <w:rsid w:val="00F82F98"/>
    <w:rsid w:val="00F82FDC"/>
    <w:rsid w:val="00F8304F"/>
    <w:rsid w:val="00F83054"/>
    <w:rsid w:val="00F83062"/>
    <w:rsid w:val="00F8312C"/>
    <w:rsid w:val="00F8313A"/>
    <w:rsid w:val="00F831C7"/>
    <w:rsid w:val="00F83221"/>
    <w:rsid w:val="00F8323F"/>
    <w:rsid w:val="00F832A2"/>
    <w:rsid w:val="00F83403"/>
    <w:rsid w:val="00F83429"/>
    <w:rsid w:val="00F8347D"/>
    <w:rsid w:val="00F83506"/>
    <w:rsid w:val="00F8352A"/>
    <w:rsid w:val="00F83772"/>
    <w:rsid w:val="00F8378A"/>
    <w:rsid w:val="00F837F1"/>
    <w:rsid w:val="00F83897"/>
    <w:rsid w:val="00F838F7"/>
    <w:rsid w:val="00F83900"/>
    <w:rsid w:val="00F83951"/>
    <w:rsid w:val="00F839D4"/>
    <w:rsid w:val="00F83A0C"/>
    <w:rsid w:val="00F83A54"/>
    <w:rsid w:val="00F83BB9"/>
    <w:rsid w:val="00F83C0F"/>
    <w:rsid w:val="00F83C3B"/>
    <w:rsid w:val="00F83C46"/>
    <w:rsid w:val="00F83C9A"/>
    <w:rsid w:val="00F83D3F"/>
    <w:rsid w:val="00F83DAA"/>
    <w:rsid w:val="00F83E7E"/>
    <w:rsid w:val="00F83F8D"/>
    <w:rsid w:val="00F84043"/>
    <w:rsid w:val="00F84121"/>
    <w:rsid w:val="00F841E6"/>
    <w:rsid w:val="00F84223"/>
    <w:rsid w:val="00F842A9"/>
    <w:rsid w:val="00F84303"/>
    <w:rsid w:val="00F8441E"/>
    <w:rsid w:val="00F84425"/>
    <w:rsid w:val="00F84439"/>
    <w:rsid w:val="00F84480"/>
    <w:rsid w:val="00F8450E"/>
    <w:rsid w:val="00F84541"/>
    <w:rsid w:val="00F8457C"/>
    <w:rsid w:val="00F8459F"/>
    <w:rsid w:val="00F845D8"/>
    <w:rsid w:val="00F84674"/>
    <w:rsid w:val="00F84732"/>
    <w:rsid w:val="00F8477C"/>
    <w:rsid w:val="00F847DF"/>
    <w:rsid w:val="00F84908"/>
    <w:rsid w:val="00F8494F"/>
    <w:rsid w:val="00F84958"/>
    <w:rsid w:val="00F849A4"/>
    <w:rsid w:val="00F84AA7"/>
    <w:rsid w:val="00F84B0C"/>
    <w:rsid w:val="00F84B95"/>
    <w:rsid w:val="00F84B97"/>
    <w:rsid w:val="00F84BB5"/>
    <w:rsid w:val="00F84C5F"/>
    <w:rsid w:val="00F84C84"/>
    <w:rsid w:val="00F84CD3"/>
    <w:rsid w:val="00F84D10"/>
    <w:rsid w:val="00F84D35"/>
    <w:rsid w:val="00F84E01"/>
    <w:rsid w:val="00F84E1E"/>
    <w:rsid w:val="00F84F2D"/>
    <w:rsid w:val="00F84F40"/>
    <w:rsid w:val="00F84F74"/>
    <w:rsid w:val="00F84FEA"/>
    <w:rsid w:val="00F84FF7"/>
    <w:rsid w:val="00F85197"/>
    <w:rsid w:val="00F851A4"/>
    <w:rsid w:val="00F851FA"/>
    <w:rsid w:val="00F85237"/>
    <w:rsid w:val="00F85292"/>
    <w:rsid w:val="00F8530E"/>
    <w:rsid w:val="00F85361"/>
    <w:rsid w:val="00F85398"/>
    <w:rsid w:val="00F8542F"/>
    <w:rsid w:val="00F8543A"/>
    <w:rsid w:val="00F8546B"/>
    <w:rsid w:val="00F85566"/>
    <w:rsid w:val="00F855A1"/>
    <w:rsid w:val="00F856A5"/>
    <w:rsid w:val="00F856D8"/>
    <w:rsid w:val="00F856FA"/>
    <w:rsid w:val="00F857BA"/>
    <w:rsid w:val="00F857BE"/>
    <w:rsid w:val="00F857E6"/>
    <w:rsid w:val="00F85832"/>
    <w:rsid w:val="00F858BF"/>
    <w:rsid w:val="00F85918"/>
    <w:rsid w:val="00F859E9"/>
    <w:rsid w:val="00F85B2E"/>
    <w:rsid w:val="00F85B57"/>
    <w:rsid w:val="00F85B71"/>
    <w:rsid w:val="00F85B78"/>
    <w:rsid w:val="00F85BA3"/>
    <w:rsid w:val="00F85CCA"/>
    <w:rsid w:val="00F85D26"/>
    <w:rsid w:val="00F85D39"/>
    <w:rsid w:val="00F85D55"/>
    <w:rsid w:val="00F85E0A"/>
    <w:rsid w:val="00F85E31"/>
    <w:rsid w:val="00F85EF7"/>
    <w:rsid w:val="00F85F39"/>
    <w:rsid w:val="00F85F8C"/>
    <w:rsid w:val="00F85FB9"/>
    <w:rsid w:val="00F85FCB"/>
    <w:rsid w:val="00F86084"/>
    <w:rsid w:val="00F86122"/>
    <w:rsid w:val="00F8616A"/>
    <w:rsid w:val="00F86336"/>
    <w:rsid w:val="00F8636F"/>
    <w:rsid w:val="00F86390"/>
    <w:rsid w:val="00F86415"/>
    <w:rsid w:val="00F864CF"/>
    <w:rsid w:val="00F864DF"/>
    <w:rsid w:val="00F86542"/>
    <w:rsid w:val="00F86555"/>
    <w:rsid w:val="00F86586"/>
    <w:rsid w:val="00F865E4"/>
    <w:rsid w:val="00F8660F"/>
    <w:rsid w:val="00F86691"/>
    <w:rsid w:val="00F866D8"/>
    <w:rsid w:val="00F86788"/>
    <w:rsid w:val="00F8678E"/>
    <w:rsid w:val="00F86794"/>
    <w:rsid w:val="00F86847"/>
    <w:rsid w:val="00F86933"/>
    <w:rsid w:val="00F86994"/>
    <w:rsid w:val="00F86A79"/>
    <w:rsid w:val="00F86AA4"/>
    <w:rsid w:val="00F86AAC"/>
    <w:rsid w:val="00F86B03"/>
    <w:rsid w:val="00F86BFB"/>
    <w:rsid w:val="00F86C2C"/>
    <w:rsid w:val="00F86C4A"/>
    <w:rsid w:val="00F86C9A"/>
    <w:rsid w:val="00F86CE7"/>
    <w:rsid w:val="00F86DC5"/>
    <w:rsid w:val="00F86DDA"/>
    <w:rsid w:val="00F86E1C"/>
    <w:rsid w:val="00F86E3D"/>
    <w:rsid w:val="00F86E7D"/>
    <w:rsid w:val="00F86F28"/>
    <w:rsid w:val="00F86FC7"/>
    <w:rsid w:val="00F86FC8"/>
    <w:rsid w:val="00F86FEF"/>
    <w:rsid w:val="00F870B9"/>
    <w:rsid w:val="00F87121"/>
    <w:rsid w:val="00F87193"/>
    <w:rsid w:val="00F871F4"/>
    <w:rsid w:val="00F8723A"/>
    <w:rsid w:val="00F872A8"/>
    <w:rsid w:val="00F87315"/>
    <w:rsid w:val="00F87448"/>
    <w:rsid w:val="00F874BD"/>
    <w:rsid w:val="00F87515"/>
    <w:rsid w:val="00F87656"/>
    <w:rsid w:val="00F876AD"/>
    <w:rsid w:val="00F876C1"/>
    <w:rsid w:val="00F87745"/>
    <w:rsid w:val="00F87795"/>
    <w:rsid w:val="00F877DA"/>
    <w:rsid w:val="00F87A63"/>
    <w:rsid w:val="00F87A9B"/>
    <w:rsid w:val="00F87AB9"/>
    <w:rsid w:val="00F87B1F"/>
    <w:rsid w:val="00F87B49"/>
    <w:rsid w:val="00F87B7B"/>
    <w:rsid w:val="00F87BD1"/>
    <w:rsid w:val="00F87C76"/>
    <w:rsid w:val="00F87C96"/>
    <w:rsid w:val="00F87CE8"/>
    <w:rsid w:val="00F87DDA"/>
    <w:rsid w:val="00F87E3A"/>
    <w:rsid w:val="00F87E60"/>
    <w:rsid w:val="00F87EDD"/>
    <w:rsid w:val="00F87F5F"/>
    <w:rsid w:val="00F87FB8"/>
    <w:rsid w:val="00F90059"/>
    <w:rsid w:val="00F900C8"/>
    <w:rsid w:val="00F900E9"/>
    <w:rsid w:val="00F90125"/>
    <w:rsid w:val="00F901A8"/>
    <w:rsid w:val="00F9026F"/>
    <w:rsid w:val="00F902A7"/>
    <w:rsid w:val="00F902DC"/>
    <w:rsid w:val="00F90332"/>
    <w:rsid w:val="00F90341"/>
    <w:rsid w:val="00F903D7"/>
    <w:rsid w:val="00F90469"/>
    <w:rsid w:val="00F905FE"/>
    <w:rsid w:val="00F90A22"/>
    <w:rsid w:val="00F90A5D"/>
    <w:rsid w:val="00F90A9D"/>
    <w:rsid w:val="00F90AF5"/>
    <w:rsid w:val="00F90C5D"/>
    <w:rsid w:val="00F90CDE"/>
    <w:rsid w:val="00F90D95"/>
    <w:rsid w:val="00F90DC3"/>
    <w:rsid w:val="00F90DD4"/>
    <w:rsid w:val="00F90E39"/>
    <w:rsid w:val="00F90F27"/>
    <w:rsid w:val="00F90FF7"/>
    <w:rsid w:val="00F91075"/>
    <w:rsid w:val="00F9109F"/>
    <w:rsid w:val="00F910D8"/>
    <w:rsid w:val="00F9115A"/>
    <w:rsid w:val="00F911CD"/>
    <w:rsid w:val="00F91200"/>
    <w:rsid w:val="00F9123C"/>
    <w:rsid w:val="00F91328"/>
    <w:rsid w:val="00F9150D"/>
    <w:rsid w:val="00F91591"/>
    <w:rsid w:val="00F9162B"/>
    <w:rsid w:val="00F9168F"/>
    <w:rsid w:val="00F916E3"/>
    <w:rsid w:val="00F9175D"/>
    <w:rsid w:val="00F917BA"/>
    <w:rsid w:val="00F918A9"/>
    <w:rsid w:val="00F91916"/>
    <w:rsid w:val="00F919DE"/>
    <w:rsid w:val="00F91AEE"/>
    <w:rsid w:val="00F91C15"/>
    <w:rsid w:val="00F91C5F"/>
    <w:rsid w:val="00F91C64"/>
    <w:rsid w:val="00F91DA7"/>
    <w:rsid w:val="00F91DC4"/>
    <w:rsid w:val="00F91DCC"/>
    <w:rsid w:val="00F91E3C"/>
    <w:rsid w:val="00F91EC8"/>
    <w:rsid w:val="00F91ED5"/>
    <w:rsid w:val="00F91EE5"/>
    <w:rsid w:val="00F91F1D"/>
    <w:rsid w:val="00F91F72"/>
    <w:rsid w:val="00F91F8E"/>
    <w:rsid w:val="00F91FE6"/>
    <w:rsid w:val="00F9202A"/>
    <w:rsid w:val="00F92036"/>
    <w:rsid w:val="00F920B7"/>
    <w:rsid w:val="00F920DB"/>
    <w:rsid w:val="00F92193"/>
    <w:rsid w:val="00F9226F"/>
    <w:rsid w:val="00F922C3"/>
    <w:rsid w:val="00F922DF"/>
    <w:rsid w:val="00F92407"/>
    <w:rsid w:val="00F92525"/>
    <w:rsid w:val="00F9266B"/>
    <w:rsid w:val="00F9269A"/>
    <w:rsid w:val="00F926F6"/>
    <w:rsid w:val="00F9286F"/>
    <w:rsid w:val="00F92898"/>
    <w:rsid w:val="00F928A2"/>
    <w:rsid w:val="00F92911"/>
    <w:rsid w:val="00F92971"/>
    <w:rsid w:val="00F92982"/>
    <w:rsid w:val="00F92984"/>
    <w:rsid w:val="00F92A92"/>
    <w:rsid w:val="00F92AE9"/>
    <w:rsid w:val="00F92B1B"/>
    <w:rsid w:val="00F92B75"/>
    <w:rsid w:val="00F92C67"/>
    <w:rsid w:val="00F92C6D"/>
    <w:rsid w:val="00F92D91"/>
    <w:rsid w:val="00F92E41"/>
    <w:rsid w:val="00F92E4E"/>
    <w:rsid w:val="00F92EEB"/>
    <w:rsid w:val="00F92EFB"/>
    <w:rsid w:val="00F92F2F"/>
    <w:rsid w:val="00F92F83"/>
    <w:rsid w:val="00F92F91"/>
    <w:rsid w:val="00F92FDE"/>
    <w:rsid w:val="00F92FE5"/>
    <w:rsid w:val="00F93083"/>
    <w:rsid w:val="00F930E2"/>
    <w:rsid w:val="00F93127"/>
    <w:rsid w:val="00F9317D"/>
    <w:rsid w:val="00F9332E"/>
    <w:rsid w:val="00F93344"/>
    <w:rsid w:val="00F93375"/>
    <w:rsid w:val="00F9344B"/>
    <w:rsid w:val="00F934D1"/>
    <w:rsid w:val="00F9350F"/>
    <w:rsid w:val="00F93535"/>
    <w:rsid w:val="00F93580"/>
    <w:rsid w:val="00F93594"/>
    <w:rsid w:val="00F935B3"/>
    <w:rsid w:val="00F935BD"/>
    <w:rsid w:val="00F93611"/>
    <w:rsid w:val="00F93614"/>
    <w:rsid w:val="00F93652"/>
    <w:rsid w:val="00F9373E"/>
    <w:rsid w:val="00F9386B"/>
    <w:rsid w:val="00F938CC"/>
    <w:rsid w:val="00F93934"/>
    <w:rsid w:val="00F939F8"/>
    <w:rsid w:val="00F93B42"/>
    <w:rsid w:val="00F93EEB"/>
    <w:rsid w:val="00F9403F"/>
    <w:rsid w:val="00F9406A"/>
    <w:rsid w:val="00F9414E"/>
    <w:rsid w:val="00F9417C"/>
    <w:rsid w:val="00F941A1"/>
    <w:rsid w:val="00F9431A"/>
    <w:rsid w:val="00F94334"/>
    <w:rsid w:val="00F94366"/>
    <w:rsid w:val="00F943DA"/>
    <w:rsid w:val="00F94489"/>
    <w:rsid w:val="00F94496"/>
    <w:rsid w:val="00F944C7"/>
    <w:rsid w:val="00F944F2"/>
    <w:rsid w:val="00F94529"/>
    <w:rsid w:val="00F9457C"/>
    <w:rsid w:val="00F94603"/>
    <w:rsid w:val="00F94687"/>
    <w:rsid w:val="00F9475C"/>
    <w:rsid w:val="00F94912"/>
    <w:rsid w:val="00F94994"/>
    <w:rsid w:val="00F94AA5"/>
    <w:rsid w:val="00F94B1C"/>
    <w:rsid w:val="00F94BA4"/>
    <w:rsid w:val="00F94BD0"/>
    <w:rsid w:val="00F94BD5"/>
    <w:rsid w:val="00F94BEB"/>
    <w:rsid w:val="00F94D5D"/>
    <w:rsid w:val="00F94DAE"/>
    <w:rsid w:val="00F94E88"/>
    <w:rsid w:val="00F94EE5"/>
    <w:rsid w:val="00F95029"/>
    <w:rsid w:val="00F9511B"/>
    <w:rsid w:val="00F95196"/>
    <w:rsid w:val="00F951B3"/>
    <w:rsid w:val="00F95220"/>
    <w:rsid w:val="00F952CB"/>
    <w:rsid w:val="00F95373"/>
    <w:rsid w:val="00F953A4"/>
    <w:rsid w:val="00F953E5"/>
    <w:rsid w:val="00F95496"/>
    <w:rsid w:val="00F95510"/>
    <w:rsid w:val="00F95519"/>
    <w:rsid w:val="00F95594"/>
    <w:rsid w:val="00F9562F"/>
    <w:rsid w:val="00F95855"/>
    <w:rsid w:val="00F9589D"/>
    <w:rsid w:val="00F959C0"/>
    <w:rsid w:val="00F95A48"/>
    <w:rsid w:val="00F95AB6"/>
    <w:rsid w:val="00F95B18"/>
    <w:rsid w:val="00F95B97"/>
    <w:rsid w:val="00F95BA9"/>
    <w:rsid w:val="00F95C61"/>
    <w:rsid w:val="00F95C94"/>
    <w:rsid w:val="00F95DCA"/>
    <w:rsid w:val="00F95E3F"/>
    <w:rsid w:val="00F95E5A"/>
    <w:rsid w:val="00F95E81"/>
    <w:rsid w:val="00F95F3D"/>
    <w:rsid w:val="00F95FFE"/>
    <w:rsid w:val="00F96015"/>
    <w:rsid w:val="00F96022"/>
    <w:rsid w:val="00F960C5"/>
    <w:rsid w:val="00F960E1"/>
    <w:rsid w:val="00F9611F"/>
    <w:rsid w:val="00F96168"/>
    <w:rsid w:val="00F9625D"/>
    <w:rsid w:val="00F9648A"/>
    <w:rsid w:val="00F964BD"/>
    <w:rsid w:val="00F9650A"/>
    <w:rsid w:val="00F96605"/>
    <w:rsid w:val="00F96620"/>
    <w:rsid w:val="00F966A9"/>
    <w:rsid w:val="00F966ED"/>
    <w:rsid w:val="00F96873"/>
    <w:rsid w:val="00F9689F"/>
    <w:rsid w:val="00F968D0"/>
    <w:rsid w:val="00F969F8"/>
    <w:rsid w:val="00F96AE9"/>
    <w:rsid w:val="00F96B05"/>
    <w:rsid w:val="00F96C3F"/>
    <w:rsid w:val="00F96C60"/>
    <w:rsid w:val="00F96C6B"/>
    <w:rsid w:val="00F96D3E"/>
    <w:rsid w:val="00F96E3F"/>
    <w:rsid w:val="00F96EF0"/>
    <w:rsid w:val="00F96F32"/>
    <w:rsid w:val="00F96F68"/>
    <w:rsid w:val="00F96F8A"/>
    <w:rsid w:val="00F970B3"/>
    <w:rsid w:val="00F9716D"/>
    <w:rsid w:val="00F971B7"/>
    <w:rsid w:val="00F97342"/>
    <w:rsid w:val="00F9737E"/>
    <w:rsid w:val="00F973A2"/>
    <w:rsid w:val="00F973CE"/>
    <w:rsid w:val="00F973DA"/>
    <w:rsid w:val="00F97463"/>
    <w:rsid w:val="00F97471"/>
    <w:rsid w:val="00F974A8"/>
    <w:rsid w:val="00F97513"/>
    <w:rsid w:val="00F97548"/>
    <w:rsid w:val="00F97590"/>
    <w:rsid w:val="00F975D7"/>
    <w:rsid w:val="00F975FC"/>
    <w:rsid w:val="00F97639"/>
    <w:rsid w:val="00F976DB"/>
    <w:rsid w:val="00F9778A"/>
    <w:rsid w:val="00F97798"/>
    <w:rsid w:val="00F97861"/>
    <w:rsid w:val="00F978C0"/>
    <w:rsid w:val="00F9796C"/>
    <w:rsid w:val="00F97A1D"/>
    <w:rsid w:val="00F97A6C"/>
    <w:rsid w:val="00F97B39"/>
    <w:rsid w:val="00F97B57"/>
    <w:rsid w:val="00F97B5F"/>
    <w:rsid w:val="00F97BB2"/>
    <w:rsid w:val="00F97C61"/>
    <w:rsid w:val="00F97CB7"/>
    <w:rsid w:val="00F97CFA"/>
    <w:rsid w:val="00F97D2E"/>
    <w:rsid w:val="00F97DF9"/>
    <w:rsid w:val="00F97EA7"/>
    <w:rsid w:val="00F97F35"/>
    <w:rsid w:val="00F97F60"/>
    <w:rsid w:val="00FA0084"/>
    <w:rsid w:val="00FA0156"/>
    <w:rsid w:val="00FA023F"/>
    <w:rsid w:val="00FA02A3"/>
    <w:rsid w:val="00FA0338"/>
    <w:rsid w:val="00FA0399"/>
    <w:rsid w:val="00FA0419"/>
    <w:rsid w:val="00FA048A"/>
    <w:rsid w:val="00FA049B"/>
    <w:rsid w:val="00FA04AD"/>
    <w:rsid w:val="00FA0563"/>
    <w:rsid w:val="00FA06C2"/>
    <w:rsid w:val="00FA0743"/>
    <w:rsid w:val="00FA0744"/>
    <w:rsid w:val="00FA07C2"/>
    <w:rsid w:val="00FA086C"/>
    <w:rsid w:val="00FA0881"/>
    <w:rsid w:val="00FA089A"/>
    <w:rsid w:val="00FA08A5"/>
    <w:rsid w:val="00FA0910"/>
    <w:rsid w:val="00FA0958"/>
    <w:rsid w:val="00FA0974"/>
    <w:rsid w:val="00FA0992"/>
    <w:rsid w:val="00FA09DF"/>
    <w:rsid w:val="00FA09EB"/>
    <w:rsid w:val="00FA0AA4"/>
    <w:rsid w:val="00FA0AE3"/>
    <w:rsid w:val="00FA0B57"/>
    <w:rsid w:val="00FA0B63"/>
    <w:rsid w:val="00FA0B73"/>
    <w:rsid w:val="00FA0BB9"/>
    <w:rsid w:val="00FA0D0E"/>
    <w:rsid w:val="00FA0D45"/>
    <w:rsid w:val="00FA0E60"/>
    <w:rsid w:val="00FA0EA2"/>
    <w:rsid w:val="00FA0FB4"/>
    <w:rsid w:val="00FA114C"/>
    <w:rsid w:val="00FA11D0"/>
    <w:rsid w:val="00FA123D"/>
    <w:rsid w:val="00FA132C"/>
    <w:rsid w:val="00FA1330"/>
    <w:rsid w:val="00FA1458"/>
    <w:rsid w:val="00FA1522"/>
    <w:rsid w:val="00FA152E"/>
    <w:rsid w:val="00FA1627"/>
    <w:rsid w:val="00FA1640"/>
    <w:rsid w:val="00FA1659"/>
    <w:rsid w:val="00FA1702"/>
    <w:rsid w:val="00FA17AD"/>
    <w:rsid w:val="00FA186A"/>
    <w:rsid w:val="00FA1872"/>
    <w:rsid w:val="00FA1873"/>
    <w:rsid w:val="00FA1919"/>
    <w:rsid w:val="00FA19EE"/>
    <w:rsid w:val="00FA1A1D"/>
    <w:rsid w:val="00FA1A2E"/>
    <w:rsid w:val="00FA1A32"/>
    <w:rsid w:val="00FA1A38"/>
    <w:rsid w:val="00FA1A47"/>
    <w:rsid w:val="00FA1A7D"/>
    <w:rsid w:val="00FA1AC7"/>
    <w:rsid w:val="00FA1ADC"/>
    <w:rsid w:val="00FA1B1A"/>
    <w:rsid w:val="00FA1B1F"/>
    <w:rsid w:val="00FA1B49"/>
    <w:rsid w:val="00FA1B96"/>
    <w:rsid w:val="00FA1BB8"/>
    <w:rsid w:val="00FA1C25"/>
    <w:rsid w:val="00FA1C56"/>
    <w:rsid w:val="00FA1D5D"/>
    <w:rsid w:val="00FA1D8A"/>
    <w:rsid w:val="00FA1E37"/>
    <w:rsid w:val="00FA1FA0"/>
    <w:rsid w:val="00FA2023"/>
    <w:rsid w:val="00FA2049"/>
    <w:rsid w:val="00FA2091"/>
    <w:rsid w:val="00FA216C"/>
    <w:rsid w:val="00FA21AE"/>
    <w:rsid w:val="00FA2283"/>
    <w:rsid w:val="00FA22D4"/>
    <w:rsid w:val="00FA22EE"/>
    <w:rsid w:val="00FA24A0"/>
    <w:rsid w:val="00FA24DC"/>
    <w:rsid w:val="00FA25C1"/>
    <w:rsid w:val="00FA271B"/>
    <w:rsid w:val="00FA2736"/>
    <w:rsid w:val="00FA2750"/>
    <w:rsid w:val="00FA2839"/>
    <w:rsid w:val="00FA28AC"/>
    <w:rsid w:val="00FA2909"/>
    <w:rsid w:val="00FA298E"/>
    <w:rsid w:val="00FA2A12"/>
    <w:rsid w:val="00FA2AA9"/>
    <w:rsid w:val="00FA2AE8"/>
    <w:rsid w:val="00FA2B89"/>
    <w:rsid w:val="00FA2BE4"/>
    <w:rsid w:val="00FA2CF4"/>
    <w:rsid w:val="00FA2D10"/>
    <w:rsid w:val="00FA2D42"/>
    <w:rsid w:val="00FA2DCE"/>
    <w:rsid w:val="00FA2DE0"/>
    <w:rsid w:val="00FA2E0E"/>
    <w:rsid w:val="00FA2E11"/>
    <w:rsid w:val="00FA2E42"/>
    <w:rsid w:val="00FA2EB6"/>
    <w:rsid w:val="00FA2EEB"/>
    <w:rsid w:val="00FA2FD0"/>
    <w:rsid w:val="00FA2FD5"/>
    <w:rsid w:val="00FA30B8"/>
    <w:rsid w:val="00FA31DB"/>
    <w:rsid w:val="00FA31E3"/>
    <w:rsid w:val="00FA3366"/>
    <w:rsid w:val="00FA3528"/>
    <w:rsid w:val="00FA3587"/>
    <w:rsid w:val="00FA361A"/>
    <w:rsid w:val="00FA3698"/>
    <w:rsid w:val="00FA36A7"/>
    <w:rsid w:val="00FA3793"/>
    <w:rsid w:val="00FA3794"/>
    <w:rsid w:val="00FA37C9"/>
    <w:rsid w:val="00FA3886"/>
    <w:rsid w:val="00FA3894"/>
    <w:rsid w:val="00FA392D"/>
    <w:rsid w:val="00FA3989"/>
    <w:rsid w:val="00FA3A46"/>
    <w:rsid w:val="00FA3AAA"/>
    <w:rsid w:val="00FA3AE8"/>
    <w:rsid w:val="00FA3B11"/>
    <w:rsid w:val="00FA3BA6"/>
    <w:rsid w:val="00FA3BE6"/>
    <w:rsid w:val="00FA3C78"/>
    <w:rsid w:val="00FA3CD0"/>
    <w:rsid w:val="00FA3E3F"/>
    <w:rsid w:val="00FA3E71"/>
    <w:rsid w:val="00FA3EA1"/>
    <w:rsid w:val="00FA3F26"/>
    <w:rsid w:val="00FA3F2F"/>
    <w:rsid w:val="00FA3F43"/>
    <w:rsid w:val="00FA3FBA"/>
    <w:rsid w:val="00FA3FEA"/>
    <w:rsid w:val="00FA406F"/>
    <w:rsid w:val="00FA40B0"/>
    <w:rsid w:val="00FA40BE"/>
    <w:rsid w:val="00FA4114"/>
    <w:rsid w:val="00FA419F"/>
    <w:rsid w:val="00FA4266"/>
    <w:rsid w:val="00FA428C"/>
    <w:rsid w:val="00FA42BC"/>
    <w:rsid w:val="00FA453C"/>
    <w:rsid w:val="00FA45D4"/>
    <w:rsid w:val="00FA45D8"/>
    <w:rsid w:val="00FA4611"/>
    <w:rsid w:val="00FA478D"/>
    <w:rsid w:val="00FA480A"/>
    <w:rsid w:val="00FA488B"/>
    <w:rsid w:val="00FA4A6E"/>
    <w:rsid w:val="00FA4AA5"/>
    <w:rsid w:val="00FA4AEF"/>
    <w:rsid w:val="00FA4B85"/>
    <w:rsid w:val="00FA4B88"/>
    <w:rsid w:val="00FA4B99"/>
    <w:rsid w:val="00FA4C4B"/>
    <w:rsid w:val="00FA4CE9"/>
    <w:rsid w:val="00FA4D61"/>
    <w:rsid w:val="00FA4D9D"/>
    <w:rsid w:val="00FA4DF4"/>
    <w:rsid w:val="00FA4EAB"/>
    <w:rsid w:val="00FA4ED5"/>
    <w:rsid w:val="00FA4EEB"/>
    <w:rsid w:val="00FA4F0D"/>
    <w:rsid w:val="00FA517B"/>
    <w:rsid w:val="00FA51E4"/>
    <w:rsid w:val="00FA520C"/>
    <w:rsid w:val="00FA53E7"/>
    <w:rsid w:val="00FA53F0"/>
    <w:rsid w:val="00FA54D4"/>
    <w:rsid w:val="00FA5575"/>
    <w:rsid w:val="00FA5624"/>
    <w:rsid w:val="00FA5657"/>
    <w:rsid w:val="00FA56F2"/>
    <w:rsid w:val="00FA57A4"/>
    <w:rsid w:val="00FA5859"/>
    <w:rsid w:val="00FA5967"/>
    <w:rsid w:val="00FA597B"/>
    <w:rsid w:val="00FA5A47"/>
    <w:rsid w:val="00FA5B68"/>
    <w:rsid w:val="00FA5CD0"/>
    <w:rsid w:val="00FA5D16"/>
    <w:rsid w:val="00FA5D79"/>
    <w:rsid w:val="00FA5DAF"/>
    <w:rsid w:val="00FA5E28"/>
    <w:rsid w:val="00FA6002"/>
    <w:rsid w:val="00FA6051"/>
    <w:rsid w:val="00FA6063"/>
    <w:rsid w:val="00FA6112"/>
    <w:rsid w:val="00FA6128"/>
    <w:rsid w:val="00FA6140"/>
    <w:rsid w:val="00FA6187"/>
    <w:rsid w:val="00FA624C"/>
    <w:rsid w:val="00FA625F"/>
    <w:rsid w:val="00FA6348"/>
    <w:rsid w:val="00FA636B"/>
    <w:rsid w:val="00FA6370"/>
    <w:rsid w:val="00FA63E2"/>
    <w:rsid w:val="00FA641F"/>
    <w:rsid w:val="00FA6426"/>
    <w:rsid w:val="00FA645D"/>
    <w:rsid w:val="00FA6511"/>
    <w:rsid w:val="00FA6635"/>
    <w:rsid w:val="00FA6736"/>
    <w:rsid w:val="00FA67D4"/>
    <w:rsid w:val="00FA692E"/>
    <w:rsid w:val="00FA6948"/>
    <w:rsid w:val="00FA69CB"/>
    <w:rsid w:val="00FA69E1"/>
    <w:rsid w:val="00FA6B5F"/>
    <w:rsid w:val="00FA6B6A"/>
    <w:rsid w:val="00FA6B85"/>
    <w:rsid w:val="00FA6BAA"/>
    <w:rsid w:val="00FA6BFF"/>
    <w:rsid w:val="00FA6C20"/>
    <w:rsid w:val="00FA6CA2"/>
    <w:rsid w:val="00FA6D1D"/>
    <w:rsid w:val="00FA6DE4"/>
    <w:rsid w:val="00FA6F65"/>
    <w:rsid w:val="00FA6FD2"/>
    <w:rsid w:val="00FA70F2"/>
    <w:rsid w:val="00FA712E"/>
    <w:rsid w:val="00FA7228"/>
    <w:rsid w:val="00FA7351"/>
    <w:rsid w:val="00FA73E5"/>
    <w:rsid w:val="00FA74DA"/>
    <w:rsid w:val="00FA74DB"/>
    <w:rsid w:val="00FA7679"/>
    <w:rsid w:val="00FA76A1"/>
    <w:rsid w:val="00FA76A9"/>
    <w:rsid w:val="00FA7701"/>
    <w:rsid w:val="00FA78A2"/>
    <w:rsid w:val="00FA7946"/>
    <w:rsid w:val="00FA79BE"/>
    <w:rsid w:val="00FA79D0"/>
    <w:rsid w:val="00FA7A66"/>
    <w:rsid w:val="00FA7A72"/>
    <w:rsid w:val="00FA7A7B"/>
    <w:rsid w:val="00FA7A8A"/>
    <w:rsid w:val="00FA7B91"/>
    <w:rsid w:val="00FA7BF8"/>
    <w:rsid w:val="00FA7C24"/>
    <w:rsid w:val="00FA7C91"/>
    <w:rsid w:val="00FA7CC7"/>
    <w:rsid w:val="00FA7D21"/>
    <w:rsid w:val="00FA7D31"/>
    <w:rsid w:val="00FA7D78"/>
    <w:rsid w:val="00FA7DD3"/>
    <w:rsid w:val="00FA7E8A"/>
    <w:rsid w:val="00FA7EBE"/>
    <w:rsid w:val="00FA7EFA"/>
    <w:rsid w:val="00FB005B"/>
    <w:rsid w:val="00FB00ED"/>
    <w:rsid w:val="00FB0174"/>
    <w:rsid w:val="00FB0295"/>
    <w:rsid w:val="00FB02B5"/>
    <w:rsid w:val="00FB0405"/>
    <w:rsid w:val="00FB05AD"/>
    <w:rsid w:val="00FB05C5"/>
    <w:rsid w:val="00FB06CC"/>
    <w:rsid w:val="00FB0826"/>
    <w:rsid w:val="00FB085A"/>
    <w:rsid w:val="00FB0946"/>
    <w:rsid w:val="00FB0956"/>
    <w:rsid w:val="00FB096F"/>
    <w:rsid w:val="00FB09B0"/>
    <w:rsid w:val="00FB0A6F"/>
    <w:rsid w:val="00FB0B18"/>
    <w:rsid w:val="00FB0C39"/>
    <w:rsid w:val="00FB0C48"/>
    <w:rsid w:val="00FB0CE6"/>
    <w:rsid w:val="00FB0E81"/>
    <w:rsid w:val="00FB0EEE"/>
    <w:rsid w:val="00FB0F28"/>
    <w:rsid w:val="00FB0F3B"/>
    <w:rsid w:val="00FB0F97"/>
    <w:rsid w:val="00FB0FCC"/>
    <w:rsid w:val="00FB0FDC"/>
    <w:rsid w:val="00FB1080"/>
    <w:rsid w:val="00FB10BC"/>
    <w:rsid w:val="00FB11AF"/>
    <w:rsid w:val="00FB12B4"/>
    <w:rsid w:val="00FB1309"/>
    <w:rsid w:val="00FB13BA"/>
    <w:rsid w:val="00FB143F"/>
    <w:rsid w:val="00FB1480"/>
    <w:rsid w:val="00FB14E6"/>
    <w:rsid w:val="00FB159D"/>
    <w:rsid w:val="00FB1698"/>
    <w:rsid w:val="00FB1775"/>
    <w:rsid w:val="00FB1835"/>
    <w:rsid w:val="00FB186A"/>
    <w:rsid w:val="00FB18E2"/>
    <w:rsid w:val="00FB1912"/>
    <w:rsid w:val="00FB1977"/>
    <w:rsid w:val="00FB19E8"/>
    <w:rsid w:val="00FB1A7A"/>
    <w:rsid w:val="00FB1A80"/>
    <w:rsid w:val="00FB1AC0"/>
    <w:rsid w:val="00FB1B12"/>
    <w:rsid w:val="00FB1B9B"/>
    <w:rsid w:val="00FB1BDC"/>
    <w:rsid w:val="00FB1C08"/>
    <w:rsid w:val="00FB1C92"/>
    <w:rsid w:val="00FB1CA5"/>
    <w:rsid w:val="00FB1CC9"/>
    <w:rsid w:val="00FB1D70"/>
    <w:rsid w:val="00FB1DD6"/>
    <w:rsid w:val="00FB1E25"/>
    <w:rsid w:val="00FB1E5A"/>
    <w:rsid w:val="00FB1EA4"/>
    <w:rsid w:val="00FB1EDD"/>
    <w:rsid w:val="00FB1FB0"/>
    <w:rsid w:val="00FB207E"/>
    <w:rsid w:val="00FB2117"/>
    <w:rsid w:val="00FB2183"/>
    <w:rsid w:val="00FB21ED"/>
    <w:rsid w:val="00FB21FB"/>
    <w:rsid w:val="00FB2250"/>
    <w:rsid w:val="00FB22C6"/>
    <w:rsid w:val="00FB2327"/>
    <w:rsid w:val="00FB23C7"/>
    <w:rsid w:val="00FB23DB"/>
    <w:rsid w:val="00FB240E"/>
    <w:rsid w:val="00FB246E"/>
    <w:rsid w:val="00FB2489"/>
    <w:rsid w:val="00FB24B3"/>
    <w:rsid w:val="00FB259C"/>
    <w:rsid w:val="00FB2673"/>
    <w:rsid w:val="00FB286A"/>
    <w:rsid w:val="00FB2899"/>
    <w:rsid w:val="00FB28CF"/>
    <w:rsid w:val="00FB2906"/>
    <w:rsid w:val="00FB292E"/>
    <w:rsid w:val="00FB293A"/>
    <w:rsid w:val="00FB2973"/>
    <w:rsid w:val="00FB298D"/>
    <w:rsid w:val="00FB2A11"/>
    <w:rsid w:val="00FB2A22"/>
    <w:rsid w:val="00FB2AA0"/>
    <w:rsid w:val="00FB2B2D"/>
    <w:rsid w:val="00FB2B9B"/>
    <w:rsid w:val="00FB2C81"/>
    <w:rsid w:val="00FB2CFD"/>
    <w:rsid w:val="00FB2D1A"/>
    <w:rsid w:val="00FB2E76"/>
    <w:rsid w:val="00FB2EA0"/>
    <w:rsid w:val="00FB3013"/>
    <w:rsid w:val="00FB30DC"/>
    <w:rsid w:val="00FB312B"/>
    <w:rsid w:val="00FB31A3"/>
    <w:rsid w:val="00FB31B7"/>
    <w:rsid w:val="00FB3213"/>
    <w:rsid w:val="00FB3271"/>
    <w:rsid w:val="00FB32BE"/>
    <w:rsid w:val="00FB335F"/>
    <w:rsid w:val="00FB3391"/>
    <w:rsid w:val="00FB347A"/>
    <w:rsid w:val="00FB34C5"/>
    <w:rsid w:val="00FB3685"/>
    <w:rsid w:val="00FB368E"/>
    <w:rsid w:val="00FB36B2"/>
    <w:rsid w:val="00FB372C"/>
    <w:rsid w:val="00FB377A"/>
    <w:rsid w:val="00FB384D"/>
    <w:rsid w:val="00FB385E"/>
    <w:rsid w:val="00FB38EA"/>
    <w:rsid w:val="00FB38FF"/>
    <w:rsid w:val="00FB3A4C"/>
    <w:rsid w:val="00FB3B5A"/>
    <w:rsid w:val="00FB3C0A"/>
    <w:rsid w:val="00FB3C2E"/>
    <w:rsid w:val="00FB3D3D"/>
    <w:rsid w:val="00FB3D9A"/>
    <w:rsid w:val="00FB3DC1"/>
    <w:rsid w:val="00FB3F2B"/>
    <w:rsid w:val="00FB4005"/>
    <w:rsid w:val="00FB4122"/>
    <w:rsid w:val="00FB4259"/>
    <w:rsid w:val="00FB429F"/>
    <w:rsid w:val="00FB42A7"/>
    <w:rsid w:val="00FB430B"/>
    <w:rsid w:val="00FB43D3"/>
    <w:rsid w:val="00FB443E"/>
    <w:rsid w:val="00FB4466"/>
    <w:rsid w:val="00FB4475"/>
    <w:rsid w:val="00FB44F9"/>
    <w:rsid w:val="00FB4541"/>
    <w:rsid w:val="00FB471A"/>
    <w:rsid w:val="00FB4726"/>
    <w:rsid w:val="00FB495C"/>
    <w:rsid w:val="00FB49CC"/>
    <w:rsid w:val="00FB4AB9"/>
    <w:rsid w:val="00FB4B3B"/>
    <w:rsid w:val="00FB4B62"/>
    <w:rsid w:val="00FB4B80"/>
    <w:rsid w:val="00FB4B9B"/>
    <w:rsid w:val="00FB4C3C"/>
    <w:rsid w:val="00FB4D05"/>
    <w:rsid w:val="00FB4D38"/>
    <w:rsid w:val="00FB4DB8"/>
    <w:rsid w:val="00FB4FB0"/>
    <w:rsid w:val="00FB4FCA"/>
    <w:rsid w:val="00FB51F3"/>
    <w:rsid w:val="00FB5254"/>
    <w:rsid w:val="00FB5266"/>
    <w:rsid w:val="00FB52A4"/>
    <w:rsid w:val="00FB549F"/>
    <w:rsid w:val="00FB5541"/>
    <w:rsid w:val="00FB5546"/>
    <w:rsid w:val="00FB55BF"/>
    <w:rsid w:val="00FB5666"/>
    <w:rsid w:val="00FB5681"/>
    <w:rsid w:val="00FB56A0"/>
    <w:rsid w:val="00FB581C"/>
    <w:rsid w:val="00FB58AA"/>
    <w:rsid w:val="00FB590C"/>
    <w:rsid w:val="00FB5B9D"/>
    <w:rsid w:val="00FB5BA5"/>
    <w:rsid w:val="00FB5C04"/>
    <w:rsid w:val="00FB5C31"/>
    <w:rsid w:val="00FB5C48"/>
    <w:rsid w:val="00FB5C4C"/>
    <w:rsid w:val="00FB5C57"/>
    <w:rsid w:val="00FB5C6A"/>
    <w:rsid w:val="00FB5C78"/>
    <w:rsid w:val="00FB5CC4"/>
    <w:rsid w:val="00FB5DDA"/>
    <w:rsid w:val="00FB5E6E"/>
    <w:rsid w:val="00FB5E77"/>
    <w:rsid w:val="00FB5EBB"/>
    <w:rsid w:val="00FB5F4A"/>
    <w:rsid w:val="00FB5FD4"/>
    <w:rsid w:val="00FB5FDB"/>
    <w:rsid w:val="00FB610B"/>
    <w:rsid w:val="00FB61BF"/>
    <w:rsid w:val="00FB62DA"/>
    <w:rsid w:val="00FB6301"/>
    <w:rsid w:val="00FB6417"/>
    <w:rsid w:val="00FB64A8"/>
    <w:rsid w:val="00FB6502"/>
    <w:rsid w:val="00FB6752"/>
    <w:rsid w:val="00FB6907"/>
    <w:rsid w:val="00FB6910"/>
    <w:rsid w:val="00FB6918"/>
    <w:rsid w:val="00FB696D"/>
    <w:rsid w:val="00FB6990"/>
    <w:rsid w:val="00FB69A6"/>
    <w:rsid w:val="00FB69D0"/>
    <w:rsid w:val="00FB6A2E"/>
    <w:rsid w:val="00FB6B18"/>
    <w:rsid w:val="00FB6B65"/>
    <w:rsid w:val="00FB6B82"/>
    <w:rsid w:val="00FB6B91"/>
    <w:rsid w:val="00FB6BB1"/>
    <w:rsid w:val="00FB6C61"/>
    <w:rsid w:val="00FB6CB9"/>
    <w:rsid w:val="00FB6D1D"/>
    <w:rsid w:val="00FB6DEC"/>
    <w:rsid w:val="00FB6E5B"/>
    <w:rsid w:val="00FB7005"/>
    <w:rsid w:val="00FB7076"/>
    <w:rsid w:val="00FB707B"/>
    <w:rsid w:val="00FB712F"/>
    <w:rsid w:val="00FB71B8"/>
    <w:rsid w:val="00FB71EA"/>
    <w:rsid w:val="00FB7250"/>
    <w:rsid w:val="00FB730A"/>
    <w:rsid w:val="00FB7345"/>
    <w:rsid w:val="00FB739B"/>
    <w:rsid w:val="00FB74EF"/>
    <w:rsid w:val="00FB75A4"/>
    <w:rsid w:val="00FB766C"/>
    <w:rsid w:val="00FB769B"/>
    <w:rsid w:val="00FB76F7"/>
    <w:rsid w:val="00FB773D"/>
    <w:rsid w:val="00FB777D"/>
    <w:rsid w:val="00FB779D"/>
    <w:rsid w:val="00FB77A3"/>
    <w:rsid w:val="00FB780A"/>
    <w:rsid w:val="00FB7819"/>
    <w:rsid w:val="00FB788E"/>
    <w:rsid w:val="00FB78A1"/>
    <w:rsid w:val="00FB79E5"/>
    <w:rsid w:val="00FB7A5E"/>
    <w:rsid w:val="00FB7A83"/>
    <w:rsid w:val="00FB7B37"/>
    <w:rsid w:val="00FB7C48"/>
    <w:rsid w:val="00FB7C69"/>
    <w:rsid w:val="00FB7C93"/>
    <w:rsid w:val="00FB7D73"/>
    <w:rsid w:val="00FB7DC9"/>
    <w:rsid w:val="00FB7E97"/>
    <w:rsid w:val="00FB7FAF"/>
    <w:rsid w:val="00FB7FC6"/>
    <w:rsid w:val="00FC0082"/>
    <w:rsid w:val="00FC0100"/>
    <w:rsid w:val="00FC01D7"/>
    <w:rsid w:val="00FC023A"/>
    <w:rsid w:val="00FC0355"/>
    <w:rsid w:val="00FC0461"/>
    <w:rsid w:val="00FC0496"/>
    <w:rsid w:val="00FC0577"/>
    <w:rsid w:val="00FC0678"/>
    <w:rsid w:val="00FC0689"/>
    <w:rsid w:val="00FC068D"/>
    <w:rsid w:val="00FC0742"/>
    <w:rsid w:val="00FC0831"/>
    <w:rsid w:val="00FC0927"/>
    <w:rsid w:val="00FC09F3"/>
    <w:rsid w:val="00FC0B7D"/>
    <w:rsid w:val="00FC0BC5"/>
    <w:rsid w:val="00FC0BF0"/>
    <w:rsid w:val="00FC0CED"/>
    <w:rsid w:val="00FC0D0B"/>
    <w:rsid w:val="00FC0D73"/>
    <w:rsid w:val="00FC0DD9"/>
    <w:rsid w:val="00FC0E6A"/>
    <w:rsid w:val="00FC0E93"/>
    <w:rsid w:val="00FC0F59"/>
    <w:rsid w:val="00FC0F5A"/>
    <w:rsid w:val="00FC0F82"/>
    <w:rsid w:val="00FC0FFF"/>
    <w:rsid w:val="00FC10A0"/>
    <w:rsid w:val="00FC11F7"/>
    <w:rsid w:val="00FC120B"/>
    <w:rsid w:val="00FC1214"/>
    <w:rsid w:val="00FC1285"/>
    <w:rsid w:val="00FC135E"/>
    <w:rsid w:val="00FC13D1"/>
    <w:rsid w:val="00FC13E6"/>
    <w:rsid w:val="00FC1436"/>
    <w:rsid w:val="00FC157A"/>
    <w:rsid w:val="00FC1677"/>
    <w:rsid w:val="00FC1699"/>
    <w:rsid w:val="00FC169C"/>
    <w:rsid w:val="00FC16AC"/>
    <w:rsid w:val="00FC176D"/>
    <w:rsid w:val="00FC17F9"/>
    <w:rsid w:val="00FC189B"/>
    <w:rsid w:val="00FC191D"/>
    <w:rsid w:val="00FC1984"/>
    <w:rsid w:val="00FC1A79"/>
    <w:rsid w:val="00FC1AB3"/>
    <w:rsid w:val="00FC1ACB"/>
    <w:rsid w:val="00FC1B15"/>
    <w:rsid w:val="00FC1B83"/>
    <w:rsid w:val="00FC1BFF"/>
    <w:rsid w:val="00FC1CB2"/>
    <w:rsid w:val="00FC1D7E"/>
    <w:rsid w:val="00FC1D9D"/>
    <w:rsid w:val="00FC1DF7"/>
    <w:rsid w:val="00FC1E33"/>
    <w:rsid w:val="00FC1E80"/>
    <w:rsid w:val="00FC1EA7"/>
    <w:rsid w:val="00FC1F0F"/>
    <w:rsid w:val="00FC1FD2"/>
    <w:rsid w:val="00FC2039"/>
    <w:rsid w:val="00FC207A"/>
    <w:rsid w:val="00FC21E2"/>
    <w:rsid w:val="00FC22C1"/>
    <w:rsid w:val="00FC2525"/>
    <w:rsid w:val="00FC2586"/>
    <w:rsid w:val="00FC2714"/>
    <w:rsid w:val="00FC2775"/>
    <w:rsid w:val="00FC285A"/>
    <w:rsid w:val="00FC28BC"/>
    <w:rsid w:val="00FC29BB"/>
    <w:rsid w:val="00FC29E4"/>
    <w:rsid w:val="00FC2B2C"/>
    <w:rsid w:val="00FC2C81"/>
    <w:rsid w:val="00FC2D22"/>
    <w:rsid w:val="00FC2E85"/>
    <w:rsid w:val="00FC2FB7"/>
    <w:rsid w:val="00FC2FE0"/>
    <w:rsid w:val="00FC305E"/>
    <w:rsid w:val="00FC312C"/>
    <w:rsid w:val="00FC313B"/>
    <w:rsid w:val="00FC3141"/>
    <w:rsid w:val="00FC318D"/>
    <w:rsid w:val="00FC323A"/>
    <w:rsid w:val="00FC3250"/>
    <w:rsid w:val="00FC3317"/>
    <w:rsid w:val="00FC3342"/>
    <w:rsid w:val="00FC33DB"/>
    <w:rsid w:val="00FC3449"/>
    <w:rsid w:val="00FC3509"/>
    <w:rsid w:val="00FC3646"/>
    <w:rsid w:val="00FC37D7"/>
    <w:rsid w:val="00FC37F2"/>
    <w:rsid w:val="00FC3920"/>
    <w:rsid w:val="00FC398D"/>
    <w:rsid w:val="00FC3B18"/>
    <w:rsid w:val="00FC3BB6"/>
    <w:rsid w:val="00FC3C28"/>
    <w:rsid w:val="00FC3CBE"/>
    <w:rsid w:val="00FC3E00"/>
    <w:rsid w:val="00FC4048"/>
    <w:rsid w:val="00FC418B"/>
    <w:rsid w:val="00FC4205"/>
    <w:rsid w:val="00FC4210"/>
    <w:rsid w:val="00FC4212"/>
    <w:rsid w:val="00FC428E"/>
    <w:rsid w:val="00FC436E"/>
    <w:rsid w:val="00FC4378"/>
    <w:rsid w:val="00FC437F"/>
    <w:rsid w:val="00FC43F0"/>
    <w:rsid w:val="00FC4406"/>
    <w:rsid w:val="00FC4425"/>
    <w:rsid w:val="00FC44E5"/>
    <w:rsid w:val="00FC46F1"/>
    <w:rsid w:val="00FC478A"/>
    <w:rsid w:val="00FC47DB"/>
    <w:rsid w:val="00FC4878"/>
    <w:rsid w:val="00FC491F"/>
    <w:rsid w:val="00FC49E6"/>
    <w:rsid w:val="00FC4A4F"/>
    <w:rsid w:val="00FC4B5C"/>
    <w:rsid w:val="00FC4C14"/>
    <w:rsid w:val="00FC4C60"/>
    <w:rsid w:val="00FC4C64"/>
    <w:rsid w:val="00FC4CC2"/>
    <w:rsid w:val="00FC4DD1"/>
    <w:rsid w:val="00FC4E9C"/>
    <w:rsid w:val="00FC4F36"/>
    <w:rsid w:val="00FC5011"/>
    <w:rsid w:val="00FC5079"/>
    <w:rsid w:val="00FC5144"/>
    <w:rsid w:val="00FC5151"/>
    <w:rsid w:val="00FC51A5"/>
    <w:rsid w:val="00FC51B0"/>
    <w:rsid w:val="00FC51F0"/>
    <w:rsid w:val="00FC5313"/>
    <w:rsid w:val="00FC5326"/>
    <w:rsid w:val="00FC5405"/>
    <w:rsid w:val="00FC541C"/>
    <w:rsid w:val="00FC541F"/>
    <w:rsid w:val="00FC54B6"/>
    <w:rsid w:val="00FC5515"/>
    <w:rsid w:val="00FC5576"/>
    <w:rsid w:val="00FC55B8"/>
    <w:rsid w:val="00FC5663"/>
    <w:rsid w:val="00FC5739"/>
    <w:rsid w:val="00FC579F"/>
    <w:rsid w:val="00FC58D1"/>
    <w:rsid w:val="00FC5945"/>
    <w:rsid w:val="00FC59A7"/>
    <w:rsid w:val="00FC59EC"/>
    <w:rsid w:val="00FC5A0B"/>
    <w:rsid w:val="00FC5A43"/>
    <w:rsid w:val="00FC5B9D"/>
    <w:rsid w:val="00FC5CB1"/>
    <w:rsid w:val="00FC5DC4"/>
    <w:rsid w:val="00FC5DC7"/>
    <w:rsid w:val="00FC5DD1"/>
    <w:rsid w:val="00FC5E11"/>
    <w:rsid w:val="00FC5E61"/>
    <w:rsid w:val="00FC5EC4"/>
    <w:rsid w:val="00FC5F47"/>
    <w:rsid w:val="00FC5FD8"/>
    <w:rsid w:val="00FC610B"/>
    <w:rsid w:val="00FC6158"/>
    <w:rsid w:val="00FC617F"/>
    <w:rsid w:val="00FC6192"/>
    <w:rsid w:val="00FC61B0"/>
    <w:rsid w:val="00FC6222"/>
    <w:rsid w:val="00FC626F"/>
    <w:rsid w:val="00FC62DD"/>
    <w:rsid w:val="00FC6317"/>
    <w:rsid w:val="00FC6358"/>
    <w:rsid w:val="00FC6366"/>
    <w:rsid w:val="00FC63A1"/>
    <w:rsid w:val="00FC63BC"/>
    <w:rsid w:val="00FC6494"/>
    <w:rsid w:val="00FC64DB"/>
    <w:rsid w:val="00FC650E"/>
    <w:rsid w:val="00FC656A"/>
    <w:rsid w:val="00FC6678"/>
    <w:rsid w:val="00FC669B"/>
    <w:rsid w:val="00FC680A"/>
    <w:rsid w:val="00FC681D"/>
    <w:rsid w:val="00FC6822"/>
    <w:rsid w:val="00FC682C"/>
    <w:rsid w:val="00FC68A1"/>
    <w:rsid w:val="00FC68F4"/>
    <w:rsid w:val="00FC6931"/>
    <w:rsid w:val="00FC69B1"/>
    <w:rsid w:val="00FC6ABE"/>
    <w:rsid w:val="00FC6AFB"/>
    <w:rsid w:val="00FC6B2D"/>
    <w:rsid w:val="00FC6B87"/>
    <w:rsid w:val="00FC6BA9"/>
    <w:rsid w:val="00FC6C1C"/>
    <w:rsid w:val="00FC6C2F"/>
    <w:rsid w:val="00FC6D84"/>
    <w:rsid w:val="00FC6D99"/>
    <w:rsid w:val="00FC6DEF"/>
    <w:rsid w:val="00FC6DFC"/>
    <w:rsid w:val="00FC6E38"/>
    <w:rsid w:val="00FC6F26"/>
    <w:rsid w:val="00FC6F56"/>
    <w:rsid w:val="00FC6F83"/>
    <w:rsid w:val="00FC6FA7"/>
    <w:rsid w:val="00FC6FB8"/>
    <w:rsid w:val="00FC6FC1"/>
    <w:rsid w:val="00FC6FED"/>
    <w:rsid w:val="00FC7154"/>
    <w:rsid w:val="00FC7215"/>
    <w:rsid w:val="00FC7367"/>
    <w:rsid w:val="00FC7371"/>
    <w:rsid w:val="00FC741F"/>
    <w:rsid w:val="00FC7479"/>
    <w:rsid w:val="00FC7497"/>
    <w:rsid w:val="00FC74C2"/>
    <w:rsid w:val="00FC76AC"/>
    <w:rsid w:val="00FC77AD"/>
    <w:rsid w:val="00FC780D"/>
    <w:rsid w:val="00FC7834"/>
    <w:rsid w:val="00FC7871"/>
    <w:rsid w:val="00FC78E0"/>
    <w:rsid w:val="00FC7940"/>
    <w:rsid w:val="00FC7965"/>
    <w:rsid w:val="00FC798D"/>
    <w:rsid w:val="00FC79B0"/>
    <w:rsid w:val="00FC7A64"/>
    <w:rsid w:val="00FC7A87"/>
    <w:rsid w:val="00FC7AE7"/>
    <w:rsid w:val="00FC7AE8"/>
    <w:rsid w:val="00FC7B27"/>
    <w:rsid w:val="00FC7BEB"/>
    <w:rsid w:val="00FC7CAD"/>
    <w:rsid w:val="00FC7CB1"/>
    <w:rsid w:val="00FC7CB9"/>
    <w:rsid w:val="00FC7D12"/>
    <w:rsid w:val="00FC7D37"/>
    <w:rsid w:val="00FC7D4F"/>
    <w:rsid w:val="00FC7DE2"/>
    <w:rsid w:val="00FD0018"/>
    <w:rsid w:val="00FD0242"/>
    <w:rsid w:val="00FD026E"/>
    <w:rsid w:val="00FD027B"/>
    <w:rsid w:val="00FD03CA"/>
    <w:rsid w:val="00FD0439"/>
    <w:rsid w:val="00FD044F"/>
    <w:rsid w:val="00FD049D"/>
    <w:rsid w:val="00FD05B8"/>
    <w:rsid w:val="00FD07A0"/>
    <w:rsid w:val="00FD07B3"/>
    <w:rsid w:val="00FD07B9"/>
    <w:rsid w:val="00FD0877"/>
    <w:rsid w:val="00FD0885"/>
    <w:rsid w:val="00FD08A4"/>
    <w:rsid w:val="00FD08B8"/>
    <w:rsid w:val="00FD08E7"/>
    <w:rsid w:val="00FD092E"/>
    <w:rsid w:val="00FD095E"/>
    <w:rsid w:val="00FD09C8"/>
    <w:rsid w:val="00FD09FB"/>
    <w:rsid w:val="00FD0B3A"/>
    <w:rsid w:val="00FD0B6B"/>
    <w:rsid w:val="00FD0C8D"/>
    <w:rsid w:val="00FD0DCB"/>
    <w:rsid w:val="00FD0E20"/>
    <w:rsid w:val="00FD0F9E"/>
    <w:rsid w:val="00FD1073"/>
    <w:rsid w:val="00FD1161"/>
    <w:rsid w:val="00FD11A6"/>
    <w:rsid w:val="00FD11D2"/>
    <w:rsid w:val="00FD12A7"/>
    <w:rsid w:val="00FD12E4"/>
    <w:rsid w:val="00FD145E"/>
    <w:rsid w:val="00FD1492"/>
    <w:rsid w:val="00FD1581"/>
    <w:rsid w:val="00FD166B"/>
    <w:rsid w:val="00FD16AC"/>
    <w:rsid w:val="00FD16FB"/>
    <w:rsid w:val="00FD1726"/>
    <w:rsid w:val="00FD1752"/>
    <w:rsid w:val="00FD18C0"/>
    <w:rsid w:val="00FD18EF"/>
    <w:rsid w:val="00FD1912"/>
    <w:rsid w:val="00FD197B"/>
    <w:rsid w:val="00FD19C1"/>
    <w:rsid w:val="00FD19EA"/>
    <w:rsid w:val="00FD1A27"/>
    <w:rsid w:val="00FD1A3E"/>
    <w:rsid w:val="00FD1A90"/>
    <w:rsid w:val="00FD1C90"/>
    <w:rsid w:val="00FD1CAC"/>
    <w:rsid w:val="00FD1D42"/>
    <w:rsid w:val="00FD1D95"/>
    <w:rsid w:val="00FD1DA9"/>
    <w:rsid w:val="00FD1F2E"/>
    <w:rsid w:val="00FD1F85"/>
    <w:rsid w:val="00FD1FD2"/>
    <w:rsid w:val="00FD20DB"/>
    <w:rsid w:val="00FD222F"/>
    <w:rsid w:val="00FD229D"/>
    <w:rsid w:val="00FD22C8"/>
    <w:rsid w:val="00FD2348"/>
    <w:rsid w:val="00FD2363"/>
    <w:rsid w:val="00FD23D0"/>
    <w:rsid w:val="00FD23D8"/>
    <w:rsid w:val="00FD2417"/>
    <w:rsid w:val="00FD259E"/>
    <w:rsid w:val="00FD2638"/>
    <w:rsid w:val="00FD2642"/>
    <w:rsid w:val="00FD280D"/>
    <w:rsid w:val="00FD28B0"/>
    <w:rsid w:val="00FD2907"/>
    <w:rsid w:val="00FD2948"/>
    <w:rsid w:val="00FD2A4B"/>
    <w:rsid w:val="00FD2B41"/>
    <w:rsid w:val="00FD2CCF"/>
    <w:rsid w:val="00FD2CD3"/>
    <w:rsid w:val="00FD2CD9"/>
    <w:rsid w:val="00FD2DDE"/>
    <w:rsid w:val="00FD2E2C"/>
    <w:rsid w:val="00FD2E4F"/>
    <w:rsid w:val="00FD2F27"/>
    <w:rsid w:val="00FD2F98"/>
    <w:rsid w:val="00FD2FCC"/>
    <w:rsid w:val="00FD3010"/>
    <w:rsid w:val="00FD3133"/>
    <w:rsid w:val="00FD33B3"/>
    <w:rsid w:val="00FD345D"/>
    <w:rsid w:val="00FD34AF"/>
    <w:rsid w:val="00FD34F2"/>
    <w:rsid w:val="00FD352D"/>
    <w:rsid w:val="00FD35FF"/>
    <w:rsid w:val="00FD361F"/>
    <w:rsid w:val="00FD36D5"/>
    <w:rsid w:val="00FD36F9"/>
    <w:rsid w:val="00FD3758"/>
    <w:rsid w:val="00FD38C3"/>
    <w:rsid w:val="00FD38E0"/>
    <w:rsid w:val="00FD3943"/>
    <w:rsid w:val="00FD3946"/>
    <w:rsid w:val="00FD39B1"/>
    <w:rsid w:val="00FD39CC"/>
    <w:rsid w:val="00FD3AD3"/>
    <w:rsid w:val="00FD3B05"/>
    <w:rsid w:val="00FD3B18"/>
    <w:rsid w:val="00FD3B72"/>
    <w:rsid w:val="00FD3C47"/>
    <w:rsid w:val="00FD3C50"/>
    <w:rsid w:val="00FD3DCC"/>
    <w:rsid w:val="00FD3E83"/>
    <w:rsid w:val="00FD3F99"/>
    <w:rsid w:val="00FD3FDD"/>
    <w:rsid w:val="00FD3FF4"/>
    <w:rsid w:val="00FD4154"/>
    <w:rsid w:val="00FD4192"/>
    <w:rsid w:val="00FD4217"/>
    <w:rsid w:val="00FD4330"/>
    <w:rsid w:val="00FD4355"/>
    <w:rsid w:val="00FD4389"/>
    <w:rsid w:val="00FD449D"/>
    <w:rsid w:val="00FD44A2"/>
    <w:rsid w:val="00FD4573"/>
    <w:rsid w:val="00FD45B3"/>
    <w:rsid w:val="00FD461A"/>
    <w:rsid w:val="00FD46EA"/>
    <w:rsid w:val="00FD47B8"/>
    <w:rsid w:val="00FD47BE"/>
    <w:rsid w:val="00FD47CE"/>
    <w:rsid w:val="00FD483F"/>
    <w:rsid w:val="00FD492E"/>
    <w:rsid w:val="00FD4939"/>
    <w:rsid w:val="00FD49A5"/>
    <w:rsid w:val="00FD49E1"/>
    <w:rsid w:val="00FD4A45"/>
    <w:rsid w:val="00FD4C0E"/>
    <w:rsid w:val="00FD4D2E"/>
    <w:rsid w:val="00FD4D4B"/>
    <w:rsid w:val="00FD4D8E"/>
    <w:rsid w:val="00FD4DB6"/>
    <w:rsid w:val="00FD4E1E"/>
    <w:rsid w:val="00FD4E4A"/>
    <w:rsid w:val="00FD4EB3"/>
    <w:rsid w:val="00FD4F91"/>
    <w:rsid w:val="00FD51A0"/>
    <w:rsid w:val="00FD51FE"/>
    <w:rsid w:val="00FD5278"/>
    <w:rsid w:val="00FD52E4"/>
    <w:rsid w:val="00FD537C"/>
    <w:rsid w:val="00FD538E"/>
    <w:rsid w:val="00FD53FB"/>
    <w:rsid w:val="00FD5475"/>
    <w:rsid w:val="00FD548D"/>
    <w:rsid w:val="00FD54A8"/>
    <w:rsid w:val="00FD54C3"/>
    <w:rsid w:val="00FD552C"/>
    <w:rsid w:val="00FD55AC"/>
    <w:rsid w:val="00FD5600"/>
    <w:rsid w:val="00FD565C"/>
    <w:rsid w:val="00FD5692"/>
    <w:rsid w:val="00FD569A"/>
    <w:rsid w:val="00FD57F5"/>
    <w:rsid w:val="00FD58A2"/>
    <w:rsid w:val="00FD5AA8"/>
    <w:rsid w:val="00FD5AF3"/>
    <w:rsid w:val="00FD5B07"/>
    <w:rsid w:val="00FD5C45"/>
    <w:rsid w:val="00FD5CB0"/>
    <w:rsid w:val="00FD5D06"/>
    <w:rsid w:val="00FD5D81"/>
    <w:rsid w:val="00FD5DD2"/>
    <w:rsid w:val="00FD5EB2"/>
    <w:rsid w:val="00FD5F00"/>
    <w:rsid w:val="00FD5F15"/>
    <w:rsid w:val="00FD5F26"/>
    <w:rsid w:val="00FD5F7E"/>
    <w:rsid w:val="00FD5FDF"/>
    <w:rsid w:val="00FD601F"/>
    <w:rsid w:val="00FD6079"/>
    <w:rsid w:val="00FD6166"/>
    <w:rsid w:val="00FD6174"/>
    <w:rsid w:val="00FD6208"/>
    <w:rsid w:val="00FD6279"/>
    <w:rsid w:val="00FD639D"/>
    <w:rsid w:val="00FD63DC"/>
    <w:rsid w:val="00FD6424"/>
    <w:rsid w:val="00FD6450"/>
    <w:rsid w:val="00FD6478"/>
    <w:rsid w:val="00FD65BD"/>
    <w:rsid w:val="00FD65CF"/>
    <w:rsid w:val="00FD65D7"/>
    <w:rsid w:val="00FD6604"/>
    <w:rsid w:val="00FD66B8"/>
    <w:rsid w:val="00FD66CF"/>
    <w:rsid w:val="00FD66D1"/>
    <w:rsid w:val="00FD67B5"/>
    <w:rsid w:val="00FD67E8"/>
    <w:rsid w:val="00FD67FF"/>
    <w:rsid w:val="00FD6889"/>
    <w:rsid w:val="00FD68BD"/>
    <w:rsid w:val="00FD6906"/>
    <w:rsid w:val="00FD6940"/>
    <w:rsid w:val="00FD6966"/>
    <w:rsid w:val="00FD6974"/>
    <w:rsid w:val="00FD69A8"/>
    <w:rsid w:val="00FD6A3C"/>
    <w:rsid w:val="00FD6AC1"/>
    <w:rsid w:val="00FD6B50"/>
    <w:rsid w:val="00FD6BEE"/>
    <w:rsid w:val="00FD6D26"/>
    <w:rsid w:val="00FD6DC0"/>
    <w:rsid w:val="00FD6DC6"/>
    <w:rsid w:val="00FD6EF8"/>
    <w:rsid w:val="00FD6F07"/>
    <w:rsid w:val="00FD6F92"/>
    <w:rsid w:val="00FD6FA3"/>
    <w:rsid w:val="00FD6FA8"/>
    <w:rsid w:val="00FD704F"/>
    <w:rsid w:val="00FD7052"/>
    <w:rsid w:val="00FD7060"/>
    <w:rsid w:val="00FD706A"/>
    <w:rsid w:val="00FD7152"/>
    <w:rsid w:val="00FD729D"/>
    <w:rsid w:val="00FD72C3"/>
    <w:rsid w:val="00FD754C"/>
    <w:rsid w:val="00FD76C7"/>
    <w:rsid w:val="00FD76E7"/>
    <w:rsid w:val="00FD7768"/>
    <w:rsid w:val="00FD79B7"/>
    <w:rsid w:val="00FD7A1A"/>
    <w:rsid w:val="00FD7AB4"/>
    <w:rsid w:val="00FD7AE9"/>
    <w:rsid w:val="00FD7B18"/>
    <w:rsid w:val="00FD7BA7"/>
    <w:rsid w:val="00FD7BB1"/>
    <w:rsid w:val="00FD7CA6"/>
    <w:rsid w:val="00FD7E00"/>
    <w:rsid w:val="00FE00CA"/>
    <w:rsid w:val="00FE0155"/>
    <w:rsid w:val="00FE015D"/>
    <w:rsid w:val="00FE01AA"/>
    <w:rsid w:val="00FE01D7"/>
    <w:rsid w:val="00FE01F6"/>
    <w:rsid w:val="00FE027D"/>
    <w:rsid w:val="00FE02A4"/>
    <w:rsid w:val="00FE030B"/>
    <w:rsid w:val="00FE03BF"/>
    <w:rsid w:val="00FE03EC"/>
    <w:rsid w:val="00FE0416"/>
    <w:rsid w:val="00FE0625"/>
    <w:rsid w:val="00FE06FA"/>
    <w:rsid w:val="00FE0759"/>
    <w:rsid w:val="00FE08A2"/>
    <w:rsid w:val="00FE0A7C"/>
    <w:rsid w:val="00FE0B90"/>
    <w:rsid w:val="00FE0BCB"/>
    <w:rsid w:val="00FE0BEA"/>
    <w:rsid w:val="00FE0C1E"/>
    <w:rsid w:val="00FE0C62"/>
    <w:rsid w:val="00FE0E4A"/>
    <w:rsid w:val="00FE0E50"/>
    <w:rsid w:val="00FE0E51"/>
    <w:rsid w:val="00FE0E94"/>
    <w:rsid w:val="00FE0F84"/>
    <w:rsid w:val="00FE0FC4"/>
    <w:rsid w:val="00FE107C"/>
    <w:rsid w:val="00FE1192"/>
    <w:rsid w:val="00FE11DE"/>
    <w:rsid w:val="00FE12F5"/>
    <w:rsid w:val="00FE1443"/>
    <w:rsid w:val="00FE1611"/>
    <w:rsid w:val="00FE16AE"/>
    <w:rsid w:val="00FE1703"/>
    <w:rsid w:val="00FE1715"/>
    <w:rsid w:val="00FE1722"/>
    <w:rsid w:val="00FE17E2"/>
    <w:rsid w:val="00FE1880"/>
    <w:rsid w:val="00FE1881"/>
    <w:rsid w:val="00FE1891"/>
    <w:rsid w:val="00FE1A25"/>
    <w:rsid w:val="00FE1AF5"/>
    <w:rsid w:val="00FE1B5A"/>
    <w:rsid w:val="00FE1E36"/>
    <w:rsid w:val="00FE1E5C"/>
    <w:rsid w:val="00FE1E9F"/>
    <w:rsid w:val="00FE1EA2"/>
    <w:rsid w:val="00FE1FF8"/>
    <w:rsid w:val="00FE2086"/>
    <w:rsid w:val="00FE20D3"/>
    <w:rsid w:val="00FE20EE"/>
    <w:rsid w:val="00FE210D"/>
    <w:rsid w:val="00FE2118"/>
    <w:rsid w:val="00FE213A"/>
    <w:rsid w:val="00FE21E4"/>
    <w:rsid w:val="00FE2288"/>
    <w:rsid w:val="00FE22B6"/>
    <w:rsid w:val="00FE22B8"/>
    <w:rsid w:val="00FE235F"/>
    <w:rsid w:val="00FE2423"/>
    <w:rsid w:val="00FE2550"/>
    <w:rsid w:val="00FE26E9"/>
    <w:rsid w:val="00FE2750"/>
    <w:rsid w:val="00FE2784"/>
    <w:rsid w:val="00FE279D"/>
    <w:rsid w:val="00FE27CC"/>
    <w:rsid w:val="00FE2A8B"/>
    <w:rsid w:val="00FE2ADC"/>
    <w:rsid w:val="00FE2B5A"/>
    <w:rsid w:val="00FE2D16"/>
    <w:rsid w:val="00FE2E2D"/>
    <w:rsid w:val="00FE2EFC"/>
    <w:rsid w:val="00FE30D1"/>
    <w:rsid w:val="00FE3218"/>
    <w:rsid w:val="00FE3268"/>
    <w:rsid w:val="00FE32F4"/>
    <w:rsid w:val="00FE330C"/>
    <w:rsid w:val="00FE3454"/>
    <w:rsid w:val="00FE35B5"/>
    <w:rsid w:val="00FE382A"/>
    <w:rsid w:val="00FE383F"/>
    <w:rsid w:val="00FE3846"/>
    <w:rsid w:val="00FE3869"/>
    <w:rsid w:val="00FE38A8"/>
    <w:rsid w:val="00FE38BD"/>
    <w:rsid w:val="00FE3936"/>
    <w:rsid w:val="00FE3A23"/>
    <w:rsid w:val="00FE3A5F"/>
    <w:rsid w:val="00FE3A6C"/>
    <w:rsid w:val="00FE3AC0"/>
    <w:rsid w:val="00FE3AC9"/>
    <w:rsid w:val="00FE3B0F"/>
    <w:rsid w:val="00FE3BC4"/>
    <w:rsid w:val="00FE3C61"/>
    <w:rsid w:val="00FE3DA5"/>
    <w:rsid w:val="00FE3EBD"/>
    <w:rsid w:val="00FE3F1F"/>
    <w:rsid w:val="00FE3F2E"/>
    <w:rsid w:val="00FE3F40"/>
    <w:rsid w:val="00FE3F90"/>
    <w:rsid w:val="00FE3FB3"/>
    <w:rsid w:val="00FE3FB9"/>
    <w:rsid w:val="00FE412A"/>
    <w:rsid w:val="00FE4165"/>
    <w:rsid w:val="00FE425D"/>
    <w:rsid w:val="00FE44DF"/>
    <w:rsid w:val="00FE44E9"/>
    <w:rsid w:val="00FE44FD"/>
    <w:rsid w:val="00FE45AC"/>
    <w:rsid w:val="00FE45C4"/>
    <w:rsid w:val="00FE464D"/>
    <w:rsid w:val="00FE473D"/>
    <w:rsid w:val="00FE47A7"/>
    <w:rsid w:val="00FE4832"/>
    <w:rsid w:val="00FE4855"/>
    <w:rsid w:val="00FE486B"/>
    <w:rsid w:val="00FE48A3"/>
    <w:rsid w:val="00FE48DE"/>
    <w:rsid w:val="00FE495A"/>
    <w:rsid w:val="00FE4988"/>
    <w:rsid w:val="00FE4AE7"/>
    <w:rsid w:val="00FE4B51"/>
    <w:rsid w:val="00FE4B80"/>
    <w:rsid w:val="00FE4B84"/>
    <w:rsid w:val="00FE4B97"/>
    <w:rsid w:val="00FE4BA6"/>
    <w:rsid w:val="00FE4CCC"/>
    <w:rsid w:val="00FE4CDE"/>
    <w:rsid w:val="00FE4D20"/>
    <w:rsid w:val="00FE4D46"/>
    <w:rsid w:val="00FE4D53"/>
    <w:rsid w:val="00FE4E90"/>
    <w:rsid w:val="00FE4EFA"/>
    <w:rsid w:val="00FE4F18"/>
    <w:rsid w:val="00FE4F37"/>
    <w:rsid w:val="00FE506B"/>
    <w:rsid w:val="00FE5175"/>
    <w:rsid w:val="00FE5233"/>
    <w:rsid w:val="00FE524C"/>
    <w:rsid w:val="00FE526D"/>
    <w:rsid w:val="00FE52A5"/>
    <w:rsid w:val="00FE52F5"/>
    <w:rsid w:val="00FE5394"/>
    <w:rsid w:val="00FE542E"/>
    <w:rsid w:val="00FE5496"/>
    <w:rsid w:val="00FE5497"/>
    <w:rsid w:val="00FE549D"/>
    <w:rsid w:val="00FE5506"/>
    <w:rsid w:val="00FE5530"/>
    <w:rsid w:val="00FE56A5"/>
    <w:rsid w:val="00FE56F5"/>
    <w:rsid w:val="00FE57D7"/>
    <w:rsid w:val="00FE57EC"/>
    <w:rsid w:val="00FE586E"/>
    <w:rsid w:val="00FE5AB1"/>
    <w:rsid w:val="00FE5AD3"/>
    <w:rsid w:val="00FE5BA8"/>
    <w:rsid w:val="00FE5BB1"/>
    <w:rsid w:val="00FE5CC5"/>
    <w:rsid w:val="00FE5CFA"/>
    <w:rsid w:val="00FE5D53"/>
    <w:rsid w:val="00FE5E65"/>
    <w:rsid w:val="00FE5EE2"/>
    <w:rsid w:val="00FE5F23"/>
    <w:rsid w:val="00FE5FAB"/>
    <w:rsid w:val="00FE6050"/>
    <w:rsid w:val="00FE60DC"/>
    <w:rsid w:val="00FE61EA"/>
    <w:rsid w:val="00FE6203"/>
    <w:rsid w:val="00FE6241"/>
    <w:rsid w:val="00FE6369"/>
    <w:rsid w:val="00FE639A"/>
    <w:rsid w:val="00FE6444"/>
    <w:rsid w:val="00FE64A9"/>
    <w:rsid w:val="00FE64C1"/>
    <w:rsid w:val="00FE64E2"/>
    <w:rsid w:val="00FE64EA"/>
    <w:rsid w:val="00FE65C0"/>
    <w:rsid w:val="00FE6684"/>
    <w:rsid w:val="00FE668E"/>
    <w:rsid w:val="00FE66D5"/>
    <w:rsid w:val="00FE66F8"/>
    <w:rsid w:val="00FE67AB"/>
    <w:rsid w:val="00FE67F6"/>
    <w:rsid w:val="00FE67F7"/>
    <w:rsid w:val="00FE6835"/>
    <w:rsid w:val="00FE685F"/>
    <w:rsid w:val="00FE6908"/>
    <w:rsid w:val="00FE6BC9"/>
    <w:rsid w:val="00FE6BFF"/>
    <w:rsid w:val="00FE6CD7"/>
    <w:rsid w:val="00FE6CEF"/>
    <w:rsid w:val="00FE6D41"/>
    <w:rsid w:val="00FE6DBD"/>
    <w:rsid w:val="00FE6FCB"/>
    <w:rsid w:val="00FE6FD8"/>
    <w:rsid w:val="00FE6FFD"/>
    <w:rsid w:val="00FE7012"/>
    <w:rsid w:val="00FE730F"/>
    <w:rsid w:val="00FE7469"/>
    <w:rsid w:val="00FE74E6"/>
    <w:rsid w:val="00FE74F2"/>
    <w:rsid w:val="00FE7515"/>
    <w:rsid w:val="00FE7571"/>
    <w:rsid w:val="00FE7607"/>
    <w:rsid w:val="00FE7632"/>
    <w:rsid w:val="00FE7765"/>
    <w:rsid w:val="00FE77AC"/>
    <w:rsid w:val="00FE7918"/>
    <w:rsid w:val="00FE79E1"/>
    <w:rsid w:val="00FE7B8F"/>
    <w:rsid w:val="00FE7BD9"/>
    <w:rsid w:val="00FE7BE8"/>
    <w:rsid w:val="00FE7C49"/>
    <w:rsid w:val="00FE7C4C"/>
    <w:rsid w:val="00FE7D14"/>
    <w:rsid w:val="00FE7D19"/>
    <w:rsid w:val="00FE7DEA"/>
    <w:rsid w:val="00FE7E21"/>
    <w:rsid w:val="00FE7E3A"/>
    <w:rsid w:val="00FE7E59"/>
    <w:rsid w:val="00FE7FA7"/>
    <w:rsid w:val="00FF006B"/>
    <w:rsid w:val="00FF028F"/>
    <w:rsid w:val="00FF02E4"/>
    <w:rsid w:val="00FF036E"/>
    <w:rsid w:val="00FF0568"/>
    <w:rsid w:val="00FF0584"/>
    <w:rsid w:val="00FF0671"/>
    <w:rsid w:val="00FF06C8"/>
    <w:rsid w:val="00FF06D9"/>
    <w:rsid w:val="00FF0721"/>
    <w:rsid w:val="00FF072C"/>
    <w:rsid w:val="00FF0859"/>
    <w:rsid w:val="00FF091C"/>
    <w:rsid w:val="00FF0964"/>
    <w:rsid w:val="00FF0974"/>
    <w:rsid w:val="00FF0A43"/>
    <w:rsid w:val="00FF0A7B"/>
    <w:rsid w:val="00FF0A83"/>
    <w:rsid w:val="00FF0BA3"/>
    <w:rsid w:val="00FF0BD4"/>
    <w:rsid w:val="00FF0BD6"/>
    <w:rsid w:val="00FF0BFE"/>
    <w:rsid w:val="00FF0D2C"/>
    <w:rsid w:val="00FF0DCF"/>
    <w:rsid w:val="00FF0DE8"/>
    <w:rsid w:val="00FF0F1B"/>
    <w:rsid w:val="00FF0F3C"/>
    <w:rsid w:val="00FF0F70"/>
    <w:rsid w:val="00FF0FD7"/>
    <w:rsid w:val="00FF1020"/>
    <w:rsid w:val="00FF106A"/>
    <w:rsid w:val="00FF1112"/>
    <w:rsid w:val="00FF111C"/>
    <w:rsid w:val="00FF116F"/>
    <w:rsid w:val="00FF11D8"/>
    <w:rsid w:val="00FF123E"/>
    <w:rsid w:val="00FF13BC"/>
    <w:rsid w:val="00FF14DC"/>
    <w:rsid w:val="00FF1507"/>
    <w:rsid w:val="00FF15A0"/>
    <w:rsid w:val="00FF15B3"/>
    <w:rsid w:val="00FF15B8"/>
    <w:rsid w:val="00FF1619"/>
    <w:rsid w:val="00FF169B"/>
    <w:rsid w:val="00FF1836"/>
    <w:rsid w:val="00FF18F7"/>
    <w:rsid w:val="00FF1964"/>
    <w:rsid w:val="00FF197A"/>
    <w:rsid w:val="00FF1A08"/>
    <w:rsid w:val="00FF1AA6"/>
    <w:rsid w:val="00FF1BEB"/>
    <w:rsid w:val="00FF1D1A"/>
    <w:rsid w:val="00FF1D9A"/>
    <w:rsid w:val="00FF1DA8"/>
    <w:rsid w:val="00FF1DDC"/>
    <w:rsid w:val="00FF1E66"/>
    <w:rsid w:val="00FF1EDD"/>
    <w:rsid w:val="00FF1F8D"/>
    <w:rsid w:val="00FF1FE9"/>
    <w:rsid w:val="00FF2005"/>
    <w:rsid w:val="00FF2097"/>
    <w:rsid w:val="00FF210A"/>
    <w:rsid w:val="00FF21C4"/>
    <w:rsid w:val="00FF21D5"/>
    <w:rsid w:val="00FF222B"/>
    <w:rsid w:val="00FF22AE"/>
    <w:rsid w:val="00FF2347"/>
    <w:rsid w:val="00FF238C"/>
    <w:rsid w:val="00FF2397"/>
    <w:rsid w:val="00FF243B"/>
    <w:rsid w:val="00FF24C4"/>
    <w:rsid w:val="00FF2561"/>
    <w:rsid w:val="00FF257E"/>
    <w:rsid w:val="00FF25ED"/>
    <w:rsid w:val="00FF263A"/>
    <w:rsid w:val="00FF2750"/>
    <w:rsid w:val="00FF279D"/>
    <w:rsid w:val="00FF2847"/>
    <w:rsid w:val="00FF293A"/>
    <w:rsid w:val="00FF293C"/>
    <w:rsid w:val="00FF29D8"/>
    <w:rsid w:val="00FF2A41"/>
    <w:rsid w:val="00FF2A69"/>
    <w:rsid w:val="00FF2A9F"/>
    <w:rsid w:val="00FF2ACC"/>
    <w:rsid w:val="00FF2B1C"/>
    <w:rsid w:val="00FF2BAF"/>
    <w:rsid w:val="00FF2C5B"/>
    <w:rsid w:val="00FF2C95"/>
    <w:rsid w:val="00FF2CF6"/>
    <w:rsid w:val="00FF2DB7"/>
    <w:rsid w:val="00FF3020"/>
    <w:rsid w:val="00FF3021"/>
    <w:rsid w:val="00FF3116"/>
    <w:rsid w:val="00FF317E"/>
    <w:rsid w:val="00FF3290"/>
    <w:rsid w:val="00FF32DC"/>
    <w:rsid w:val="00FF32EC"/>
    <w:rsid w:val="00FF3355"/>
    <w:rsid w:val="00FF35D7"/>
    <w:rsid w:val="00FF3644"/>
    <w:rsid w:val="00FF3936"/>
    <w:rsid w:val="00FF394A"/>
    <w:rsid w:val="00FF3968"/>
    <w:rsid w:val="00FF398F"/>
    <w:rsid w:val="00FF3A69"/>
    <w:rsid w:val="00FF3B43"/>
    <w:rsid w:val="00FF3BDD"/>
    <w:rsid w:val="00FF3BF0"/>
    <w:rsid w:val="00FF3C9A"/>
    <w:rsid w:val="00FF3D58"/>
    <w:rsid w:val="00FF3D75"/>
    <w:rsid w:val="00FF3E36"/>
    <w:rsid w:val="00FF3EE8"/>
    <w:rsid w:val="00FF3EF8"/>
    <w:rsid w:val="00FF3FF4"/>
    <w:rsid w:val="00FF41CD"/>
    <w:rsid w:val="00FF4217"/>
    <w:rsid w:val="00FF42CA"/>
    <w:rsid w:val="00FF4307"/>
    <w:rsid w:val="00FF4342"/>
    <w:rsid w:val="00FF446F"/>
    <w:rsid w:val="00FF44AE"/>
    <w:rsid w:val="00FF451B"/>
    <w:rsid w:val="00FF4573"/>
    <w:rsid w:val="00FF45CC"/>
    <w:rsid w:val="00FF4827"/>
    <w:rsid w:val="00FF48E9"/>
    <w:rsid w:val="00FF48F2"/>
    <w:rsid w:val="00FF48FA"/>
    <w:rsid w:val="00FF49A5"/>
    <w:rsid w:val="00FF49F5"/>
    <w:rsid w:val="00FF4A37"/>
    <w:rsid w:val="00FF4B97"/>
    <w:rsid w:val="00FF4BA4"/>
    <w:rsid w:val="00FF4BDA"/>
    <w:rsid w:val="00FF4C1A"/>
    <w:rsid w:val="00FF4C46"/>
    <w:rsid w:val="00FF4C5C"/>
    <w:rsid w:val="00FF4C63"/>
    <w:rsid w:val="00FF4C67"/>
    <w:rsid w:val="00FF4CEB"/>
    <w:rsid w:val="00FF4E3E"/>
    <w:rsid w:val="00FF4F31"/>
    <w:rsid w:val="00FF4F3F"/>
    <w:rsid w:val="00FF4F89"/>
    <w:rsid w:val="00FF50B6"/>
    <w:rsid w:val="00FF512F"/>
    <w:rsid w:val="00FF52C8"/>
    <w:rsid w:val="00FF5391"/>
    <w:rsid w:val="00FF53AD"/>
    <w:rsid w:val="00FF540D"/>
    <w:rsid w:val="00FF54BA"/>
    <w:rsid w:val="00FF54D7"/>
    <w:rsid w:val="00FF55C4"/>
    <w:rsid w:val="00FF56A0"/>
    <w:rsid w:val="00FF56B2"/>
    <w:rsid w:val="00FF56E7"/>
    <w:rsid w:val="00FF56EB"/>
    <w:rsid w:val="00FF57C8"/>
    <w:rsid w:val="00FF5931"/>
    <w:rsid w:val="00FF593E"/>
    <w:rsid w:val="00FF5995"/>
    <w:rsid w:val="00FF5996"/>
    <w:rsid w:val="00FF5A70"/>
    <w:rsid w:val="00FF5AAF"/>
    <w:rsid w:val="00FF5B7B"/>
    <w:rsid w:val="00FF5B8A"/>
    <w:rsid w:val="00FF5C0C"/>
    <w:rsid w:val="00FF5C5D"/>
    <w:rsid w:val="00FF5C90"/>
    <w:rsid w:val="00FF5CD8"/>
    <w:rsid w:val="00FF5D39"/>
    <w:rsid w:val="00FF5ED8"/>
    <w:rsid w:val="00FF5F7F"/>
    <w:rsid w:val="00FF5F86"/>
    <w:rsid w:val="00FF5FB9"/>
    <w:rsid w:val="00FF5FF8"/>
    <w:rsid w:val="00FF60B2"/>
    <w:rsid w:val="00FF6110"/>
    <w:rsid w:val="00FF611D"/>
    <w:rsid w:val="00FF6144"/>
    <w:rsid w:val="00FF623B"/>
    <w:rsid w:val="00FF63FC"/>
    <w:rsid w:val="00FF6408"/>
    <w:rsid w:val="00FF6463"/>
    <w:rsid w:val="00FF64A5"/>
    <w:rsid w:val="00FF65BE"/>
    <w:rsid w:val="00FF65FB"/>
    <w:rsid w:val="00FF6644"/>
    <w:rsid w:val="00FF6691"/>
    <w:rsid w:val="00FF6709"/>
    <w:rsid w:val="00FF6719"/>
    <w:rsid w:val="00FF6824"/>
    <w:rsid w:val="00FF6A5C"/>
    <w:rsid w:val="00FF6A9C"/>
    <w:rsid w:val="00FF6AEE"/>
    <w:rsid w:val="00FF6B1A"/>
    <w:rsid w:val="00FF6B30"/>
    <w:rsid w:val="00FF6CAF"/>
    <w:rsid w:val="00FF6D1F"/>
    <w:rsid w:val="00FF6D3F"/>
    <w:rsid w:val="00FF6ECC"/>
    <w:rsid w:val="00FF6F3A"/>
    <w:rsid w:val="00FF6F96"/>
    <w:rsid w:val="00FF6FFA"/>
    <w:rsid w:val="00FF70C3"/>
    <w:rsid w:val="00FF70FA"/>
    <w:rsid w:val="00FF7107"/>
    <w:rsid w:val="00FF7173"/>
    <w:rsid w:val="00FF7303"/>
    <w:rsid w:val="00FF7532"/>
    <w:rsid w:val="00FF7628"/>
    <w:rsid w:val="00FF766D"/>
    <w:rsid w:val="00FF78BF"/>
    <w:rsid w:val="00FF7929"/>
    <w:rsid w:val="00FF7977"/>
    <w:rsid w:val="00FF7A80"/>
    <w:rsid w:val="00FF7A98"/>
    <w:rsid w:val="00FF7AD3"/>
    <w:rsid w:val="00FF7B74"/>
    <w:rsid w:val="00FF7BAE"/>
    <w:rsid w:val="00FF7C1C"/>
    <w:rsid w:val="00FF7C57"/>
    <w:rsid w:val="00FF7D4F"/>
    <w:rsid w:val="00FF7DB9"/>
    <w:rsid w:val="00FF7E0B"/>
    <w:rsid w:val="00FF7E59"/>
    <w:rsid w:val="00FF7EAE"/>
    <w:rsid w:val="00FF7F41"/>
    <w:rsid w:val="00FF7FA5"/>
    <w:rsid w:val="0108ECCB"/>
    <w:rsid w:val="010BC08B"/>
    <w:rsid w:val="0124F285"/>
    <w:rsid w:val="01353FFC"/>
    <w:rsid w:val="013B740C"/>
    <w:rsid w:val="015CC342"/>
    <w:rsid w:val="01966611"/>
    <w:rsid w:val="01ABEFD5"/>
    <w:rsid w:val="01CAD0D8"/>
    <w:rsid w:val="02004D42"/>
    <w:rsid w:val="021749F2"/>
    <w:rsid w:val="021C2C44"/>
    <w:rsid w:val="02411DB8"/>
    <w:rsid w:val="024797B0"/>
    <w:rsid w:val="0254DAF0"/>
    <w:rsid w:val="026AE9B8"/>
    <w:rsid w:val="0274CEDD"/>
    <w:rsid w:val="0286AF81"/>
    <w:rsid w:val="028889BA"/>
    <w:rsid w:val="028EA353"/>
    <w:rsid w:val="029F1B08"/>
    <w:rsid w:val="029FC8FC"/>
    <w:rsid w:val="02AF2736"/>
    <w:rsid w:val="02BEA0F5"/>
    <w:rsid w:val="02C03438"/>
    <w:rsid w:val="02D36967"/>
    <w:rsid w:val="02D59D20"/>
    <w:rsid w:val="02D77E18"/>
    <w:rsid w:val="02DF40D1"/>
    <w:rsid w:val="02EC5299"/>
    <w:rsid w:val="02F4AE42"/>
    <w:rsid w:val="02FE47FC"/>
    <w:rsid w:val="0300F9AE"/>
    <w:rsid w:val="0332C1C2"/>
    <w:rsid w:val="033F9979"/>
    <w:rsid w:val="0350C7FD"/>
    <w:rsid w:val="0365FCF5"/>
    <w:rsid w:val="036AED4C"/>
    <w:rsid w:val="0372EADA"/>
    <w:rsid w:val="0385583B"/>
    <w:rsid w:val="038DA9D5"/>
    <w:rsid w:val="03AD2DE0"/>
    <w:rsid w:val="03CF1B5F"/>
    <w:rsid w:val="03DCD8DE"/>
    <w:rsid w:val="03DE9887"/>
    <w:rsid w:val="03E2E7F5"/>
    <w:rsid w:val="03F29B6B"/>
    <w:rsid w:val="0406551A"/>
    <w:rsid w:val="0418E70D"/>
    <w:rsid w:val="042EA17B"/>
    <w:rsid w:val="04459B26"/>
    <w:rsid w:val="0445CB89"/>
    <w:rsid w:val="044A3534"/>
    <w:rsid w:val="045A4BDE"/>
    <w:rsid w:val="046B96EB"/>
    <w:rsid w:val="0470F584"/>
    <w:rsid w:val="0477B6FD"/>
    <w:rsid w:val="0482E7F7"/>
    <w:rsid w:val="0492B1C3"/>
    <w:rsid w:val="04945F35"/>
    <w:rsid w:val="0498AB2C"/>
    <w:rsid w:val="04B4E9FB"/>
    <w:rsid w:val="04F3C5C9"/>
    <w:rsid w:val="04F73500"/>
    <w:rsid w:val="04F9DE49"/>
    <w:rsid w:val="04FA77DB"/>
    <w:rsid w:val="0504CF3F"/>
    <w:rsid w:val="0510B671"/>
    <w:rsid w:val="05133C27"/>
    <w:rsid w:val="051BBC0A"/>
    <w:rsid w:val="0521CD5E"/>
    <w:rsid w:val="052BC335"/>
    <w:rsid w:val="05367671"/>
    <w:rsid w:val="0542EE10"/>
    <w:rsid w:val="0546AB31"/>
    <w:rsid w:val="055B8EA0"/>
    <w:rsid w:val="05636193"/>
    <w:rsid w:val="05684F1F"/>
    <w:rsid w:val="0569834B"/>
    <w:rsid w:val="0576FB05"/>
    <w:rsid w:val="0579F3D1"/>
    <w:rsid w:val="057DCB27"/>
    <w:rsid w:val="0580DF7F"/>
    <w:rsid w:val="05810F76"/>
    <w:rsid w:val="059C1738"/>
    <w:rsid w:val="059F9BAD"/>
    <w:rsid w:val="05B2EF14"/>
    <w:rsid w:val="05CA0F94"/>
    <w:rsid w:val="05D58C1C"/>
    <w:rsid w:val="05D736D1"/>
    <w:rsid w:val="05DD647B"/>
    <w:rsid w:val="05F2DA21"/>
    <w:rsid w:val="06147912"/>
    <w:rsid w:val="061D3747"/>
    <w:rsid w:val="062B26F7"/>
    <w:rsid w:val="063176AE"/>
    <w:rsid w:val="0633FCF6"/>
    <w:rsid w:val="064665CD"/>
    <w:rsid w:val="06487018"/>
    <w:rsid w:val="0652520C"/>
    <w:rsid w:val="065D216C"/>
    <w:rsid w:val="066A3E9F"/>
    <w:rsid w:val="066AC1E7"/>
    <w:rsid w:val="0676A086"/>
    <w:rsid w:val="067EB113"/>
    <w:rsid w:val="067F3830"/>
    <w:rsid w:val="0683899F"/>
    <w:rsid w:val="068F4833"/>
    <w:rsid w:val="069D9152"/>
    <w:rsid w:val="06A765B0"/>
    <w:rsid w:val="06BCD577"/>
    <w:rsid w:val="06BE48AB"/>
    <w:rsid w:val="06CC43C8"/>
    <w:rsid w:val="06EB5113"/>
    <w:rsid w:val="06F95E5F"/>
    <w:rsid w:val="06FCFD66"/>
    <w:rsid w:val="0705F15A"/>
    <w:rsid w:val="071247BF"/>
    <w:rsid w:val="071FBFE6"/>
    <w:rsid w:val="0721380A"/>
    <w:rsid w:val="072C8EAF"/>
    <w:rsid w:val="0739DD02"/>
    <w:rsid w:val="0749EC30"/>
    <w:rsid w:val="075DAB61"/>
    <w:rsid w:val="078F4A2A"/>
    <w:rsid w:val="079AAE2A"/>
    <w:rsid w:val="079BE2E8"/>
    <w:rsid w:val="07A24283"/>
    <w:rsid w:val="07A2D1E1"/>
    <w:rsid w:val="07B1DD4E"/>
    <w:rsid w:val="07B78B3D"/>
    <w:rsid w:val="07C31913"/>
    <w:rsid w:val="07C76D49"/>
    <w:rsid w:val="07D06B23"/>
    <w:rsid w:val="07D4B52D"/>
    <w:rsid w:val="07DF45F4"/>
    <w:rsid w:val="07FD64D3"/>
    <w:rsid w:val="080671D4"/>
    <w:rsid w:val="082EE799"/>
    <w:rsid w:val="0832CE04"/>
    <w:rsid w:val="083E7475"/>
    <w:rsid w:val="083FEED1"/>
    <w:rsid w:val="08412DB7"/>
    <w:rsid w:val="0846086A"/>
    <w:rsid w:val="084B002A"/>
    <w:rsid w:val="085071DA"/>
    <w:rsid w:val="08556D27"/>
    <w:rsid w:val="08595BE0"/>
    <w:rsid w:val="0866B3A7"/>
    <w:rsid w:val="0879F6F4"/>
    <w:rsid w:val="087E8FBD"/>
    <w:rsid w:val="0886A013"/>
    <w:rsid w:val="08873AFA"/>
    <w:rsid w:val="0899E861"/>
    <w:rsid w:val="08AC4DC4"/>
    <w:rsid w:val="08ACED3D"/>
    <w:rsid w:val="08AE1D25"/>
    <w:rsid w:val="08B9ADD6"/>
    <w:rsid w:val="08C16E05"/>
    <w:rsid w:val="08C2BDCB"/>
    <w:rsid w:val="08C916A0"/>
    <w:rsid w:val="08CA0EEA"/>
    <w:rsid w:val="08ECBC2F"/>
    <w:rsid w:val="08F06000"/>
    <w:rsid w:val="08F2888D"/>
    <w:rsid w:val="08F8D622"/>
    <w:rsid w:val="09039997"/>
    <w:rsid w:val="091CB537"/>
    <w:rsid w:val="0946CCFF"/>
    <w:rsid w:val="094A5BC0"/>
    <w:rsid w:val="096968D9"/>
    <w:rsid w:val="096EEE51"/>
    <w:rsid w:val="09ABF01D"/>
    <w:rsid w:val="09B02584"/>
    <w:rsid w:val="09BD6D49"/>
    <w:rsid w:val="09C23C2F"/>
    <w:rsid w:val="09CECB64"/>
    <w:rsid w:val="09E023F4"/>
    <w:rsid w:val="09FCA0A6"/>
    <w:rsid w:val="0A029666"/>
    <w:rsid w:val="0A0B54D1"/>
    <w:rsid w:val="0A0C864E"/>
    <w:rsid w:val="0A150E07"/>
    <w:rsid w:val="0A18E36A"/>
    <w:rsid w:val="0A1F101F"/>
    <w:rsid w:val="0A1F4158"/>
    <w:rsid w:val="0A1F54F6"/>
    <w:rsid w:val="0A2969AB"/>
    <w:rsid w:val="0A38340B"/>
    <w:rsid w:val="0A421F7D"/>
    <w:rsid w:val="0A480F41"/>
    <w:rsid w:val="0A4E01E6"/>
    <w:rsid w:val="0A5BA888"/>
    <w:rsid w:val="0A6C0A05"/>
    <w:rsid w:val="0A82FEBC"/>
    <w:rsid w:val="0AACDB5D"/>
    <w:rsid w:val="0AD6DB56"/>
    <w:rsid w:val="0AD6E36E"/>
    <w:rsid w:val="0ADD09AD"/>
    <w:rsid w:val="0ADE8850"/>
    <w:rsid w:val="0AEF3F69"/>
    <w:rsid w:val="0AF82BD5"/>
    <w:rsid w:val="0AFE0743"/>
    <w:rsid w:val="0B0180C1"/>
    <w:rsid w:val="0B11F1D1"/>
    <w:rsid w:val="0B1B5174"/>
    <w:rsid w:val="0B268FE2"/>
    <w:rsid w:val="0B3C4B2C"/>
    <w:rsid w:val="0B433761"/>
    <w:rsid w:val="0B46718C"/>
    <w:rsid w:val="0B5777CE"/>
    <w:rsid w:val="0B66866E"/>
    <w:rsid w:val="0B70B5F6"/>
    <w:rsid w:val="0B7CEBE6"/>
    <w:rsid w:val="0B8102A2"/>
    <w:rsid w:val="0B8C8EC3"/>
    <w:rsid w:val="0B9EF9C0"/>
    <w:rsid w:val="0B9F0FF7"/>
    <w:rsid w:val="0BC86B96"/>
    <w:rsid w:val="0BF3D3EF"/>
    <w:rsid w:val="0C036DB2"/>
    <w:rsid w:val="0C172ECC"/>
    <w:rsid w:val="0C1CD6EC"/>
    <w:rsid w:val="0C2B63AB"/>
    <w:rsid w:val="0C439F6E"/>
    <w:rsid w:val="0C537E65"/>
    <w:rsid w:val="0C61D529"/>
    <w:rsid w:val="0C655DBF"/>
    <w:rsid w:val="0C75B8DB"/>
    <w:rsid w:val="0C7763A3"/>
    <w:rsid w:val="0CA5C6A5"/>
    <w:rsid w:val="0CB11EFF"/>
    <w:rsid w:val="0CB42397"/>
    <w:rsid w:val="0CB5157F"/>
    <w:rsid w:val="0CBC303A"/>
    <w:rsid w:val="0CD8B84F"/>
    <w:rsid w:val="0CFED497"/>
    <w:rsid w:val="0D068078"/>
    <w:rsid w:val="0D096A85"/>
    <w:rsid w:val="0D0CEAD6"/>
    <w:rsid w:val="0D11E695"/>
    <w:rsid w:val="0D159B19"/>
    <w:rsid w:val="0D1B2C85"/>
    <w:rsid w:val="0D23CC99"/>
    <w:rsid w:val="0D2B6DA3"/>
    <w:rsid w:val="0D2CDA4F"/>
    <w:rsid w:val="0D644E44"/>
    <w:rsid w:val="0D67CCED"/>
    <w:rsid w:val="0D690C44"/>
    <w:rsid w:val="0D6A78EF"/>
    <w:rsid w:val="0D75ADAD"/>
    <w:rsid w:val="0D779365"/>
    <w:rsid w:val="0D851A07"/>
    <w:rsid w:val="0D871A8C"/>
    <w:rsid w:val="0D904938"/>
    <w:rsid w:val="0D966199"/>
    <w:rsid w:val="0D99E6CA"/>
    <w:rsid w:val="0DA1866E"/>
    <w:rsid w:val="0DAF00D9"/>
    <w:rsid w:val="0DB86078"/>
    <w:rsid w:val="0DD3DD5F"/>
    <w:rsid w:val="0DD55F76"/>
    <w:rsid w:val="0DD98DC6"/>
    <w:rsid w:val="0DECDA17"/>
    <w:rsid w:val="0DF747B3"/>
    <w:rsid w:val="0DF88E8D"/>
    <w:rsid w:val="0DF9AC49"/>
    <w:rsid w:val="0DFB2820"/>
    <w:rsid w:val="0DFBB005"/>
    <w:rsid w:val="0DFF2969"/>
    <w:rsid w:val="0E074E45"/>
    <w:rsid w:val="0E0D1C2C"/>
    <w:rsid w:val="0E0FE896"/>
    <w:rsid w:val="0E10A97F"/>
    <w:rsid w:val="0E15768F"/>
    <w:rsid w:val="0E1CC32F"/>
    <w:rsid w:val="0E1F59A3"/>
    <w:rsid w:val="0E2282D1"/>
    <w:rsid w:val="0E2A99A2"/>
    <w:rsid w:val="0E3EF6F7"/>
    <w:rsid w:val="0E4E0967"/>
    <w:rsid w:val="0E5103C7"/>
    <w:rsid w:val="0E59F575"/>
    <w:rsid w:val="0E68A8E6"/>
    <w:rsid w:val="0E7E8493"/>
    <w:rsid w:val="0E8156BA"/>
    <w:rsid w:val="0E8B9003"/>
    <w:rsid w:val="0E95F014"/>
    <w:rsid w:val="0EA80336"/>
    <w:rsid w:val="0EA94940"/>
    <w:rsid w:val="0EAE71DB"/>
    <w:rsid w:val="0EB6196A"/>
    <w:rsid w:val="0ED14BC1"/>
    <w:rsid w:val="0ED164EB"/>
    <w:rsid w:val="0EE88640"/>
    <w:rsid w:val="0EE99D99"/>
    <w:rsid w:val="0EFD5CAD"/>
    <w:rsid w:val="0EFEA31B"/>
    <w:rsid w:val="0F038629"/>
    <w:rsid w:val="0F0A0B54"/>
    <w:rsid w:val="0F0E1FAE"/>
    <w:rsid w:val="0F15F726"/>
    <w:rsid w:val="0F4D106C"/>
    <w:rsid w:val="0F542BE7"/>
    <w:rsid w:val="0F769F42"/>
    <w:rsid w:val="0FA2A499"/>
    <w:rsid w:val="0FAEA58E"/>
    <w:rsid w:val="0FDA1824"/>
    <w:rsid w:val="0FE9F78E"/>
    <w:rsid w:val="0FF11528"/>
    <w:rsid w:val="0FF400A9"/>
    <w:rsid w:val="0FFDBF1C"/>
    <w:rsid w:val="0FFFADFC"/>
    <w:rsid w:val="1002E3F6"/>
    <w:rsid w:val="102C7A7D"/>
    <w:rsid w:val="1031279C"/>
    <w:rsid w:val="103AF0C6"/>
    <w:rsid w:val="10408170"/>
    <w:rsid w:val="104239F6"/>
    <w:rsid w:val="105B14F4"/>
    <w:rsid w:val="106316E2"/>
    <w:rsid w:val="106735F8"/>
    <w:rsid w:val="106E92C8"/>
    <w:rsid w:val="107590F2"/>
    <w:rsid w:val="109BE2BD"/>
    <w:rsid w:val="10A32A05"/>
    <w:rsid w:val="10AC9136"/>
    <w:rsid w:val="10AFEF63"/>
    <w:rsid w:val="10B92202"/>
    <w:rsid w:val="10C353A8"/>
    <w:rsid w:val="10CE7169"/>
    <w:rsid w:val="10D68620"/>
    <w:rsid w:val="10DF5438"/>
    <w:rsid w:val="110C7307"/>
    <w:rsid w:val="113934D4"/>
    <w:rsid w:val="1159131E"/>
    <w:rsid w:val="115A9C7E"/>
    <w:rsid w:val="115E4E81"/>
    <w:rsid w:val="1161873F"/>
    <w:rsid w:val="11729147"/>
    <w:rsid w:val="117C3A7F"/>
    <w:rsid w:val="117D3FFE"/>
    <w:rsid w:val="1182970E"/>
    <w:rsid w:val="118BDFAA"/>
    <w:rsid w:val="119CBA55"/>
    <w:rsid w:val="11A7226B"/>
    <w:rsid w:val="11AEC2AE"/>
    <w:rsid w:val="11C36D29"/>
    <w:rsid w:val="11DBF8D1"/>
    <w:rsid w:val="11DDDAE8"/>
    <w:rsid w:val="11EAE89A"/>
    <w:rsid w:val="11EC6D30"/>
    <w:rsid w:val="11F33EBE"/>
    <w:rsid w:val="11FA44BC"/>
    <w:rsid w:val="120BF45B"/>
    <w:rsid w:val="121D0328"/>
    <w:rsid w:val="121E1619"/>
    <w:rsid w:val="122EBDF9"/>
    <w:rsid w:val="1233268C"/>
    <w:rsid w:val="12469D46"/>
    <w:rsid w:val="12483AB2"/>
    <w:rsid w:val="124B4F12"/>
    <w:rsid w:val="124BAD0B"/>
    <w:rsid w:val="124DD7A3"/>
    <w:rsid w:val="1257177B"/>
    <w:rsid w:val="12645B41"/>
    <w:rsid w:val="1264CE71"/>
    <w:rsid w:val="126A522A"/>
    <w:rsid w:val="12929B39"/>
    <w:rsid w:val="12980AD5"/>
    <w:rsid w:val="12A87243"/>
    <w:rsid w:val="12B86E03"/>
    <w:rsid w:val="12B91D83"/>
    <w:rsid w:val="12C0A046"/>
    <w:rsid w:val="12C2C500"/>
    <w:rsid w:val="12EB9F9F"/>
    <w:rsid w:val="1309E1E7"/>
    <w:rsid w:val="131BA175"/>
    <w:rsid w:val="131BD832"/>
    <w:rsid w:val="132DE477"/>
    <w:rsid w:val="132EB784"/>
    <w:rsid w:val="133875A4"/>
    <w:rsid w:val="13490549"/>
    <w:rsid w:val="13584588"/>
    <w:rsid w:val="1368EA08"/>
    <w:rsid w:val="137FFC9C"/>
    <w:rsid w:val="1383D114"/>
    <w:rsid w:val="13877EAC"/>
    <w:rsid w:val="1387FAF7"/>
    <w:rsid w:val="138AD1A2"/>
    <w:rsid w:val="1396EB06"/>
    <w:rsid w:val="139ADAFA"/>
    <w:rsid w:val="13C5868B"/>
    <w:rsid w:val="13E12413"/>
    <w:rsid w:val="13E41A8A"/>
    <w:rsid w:val="13F00B5D"/>
    <w:rsid w:val="13F65858"/>
    <w:rsid w:val="14025AF0"/>
    <w:rsid w:val="141E06BD"/>
    <w:rsid w:val="1420AD44"/>
    <w:rsid w:val="1424E372"/>
    <w:rsid w:val="1441C9B3"/>
    <w:rsid w:val="144F781B"/>
    <w:rsid w:val="145EECE9"/>
    <w:rsid w:val="148EF55B"/>
    <w:rsid w:val="14B8EB5F"/>
    <w:rsid w:val="14BF9806"/>
    <w:rsid w:val="14C9218B"/>
    <w:rsid w:val="14C99444"/>
    <w:rsid w:val="14CE85CE"/>
    <w:rsid w:val="14DE8961"/>
    <w:rsid w:val="14E263A6"/>
    <w:rsid w:val="14E966AB"/>
    <w:rsid w:val="14E996A7"/>
    <w:rsid w:val="14EE9BA4"/>
    <w:rsid w:val="14EEB9CC"/>
    <w:rsid w:val="14F0E09F"/>
    <w:rsid w:val="14FBC2F7"/>
    <w:rsid w:val="1510B90F"/>
    <w:rsid w:val="1519A07F"/>
    <w:rsid w:val="15203D10"/>
    <w:rsid w:val="1524B38A"/>
    <w:rsid w:val="15269DC2"/>
    <w:rsid w:val="1526AA65"/>
    <w:rsid w:val="15277B37"/>
    <w:rsid w:val="15314A4B"/>
    <w:rsid w:val="1547460A"/>
    <w:rsid w:val="15578474"/>
    <w:rsid w:val="155A1BC5"/>
    <w:rsid w:val="15605F46"/>
    <w:rsid w:val="15710E12"/>
    <w:rsid w:val="15743A76"/>
    <w:rsid w:val="159481E7"/>
    <w:rsid w:val="15A73E71"/>
    <w:rsid w:val="15B600C7"/>
    <w:rsid w:val="15BB0DC2"/>
    <w:rsid w:val="15BCEEB0"/>
    <w:rsid w:val="15BE0D0A"/>
    <w:rsid w:val="15BE2CBD"/>
    <w:rsid w:val="15BF6FA2"/>
    <w:rsid w:val="15C6AEBE"/>
    <w:rsid w:val="15D76C65"/>
    <w:rsid w:val="15E879EC"/>
    <w:rsid w:val="15FD778E"/>
    <w:rsid w:val="1602167A"/>
    <w:rsid w:val="160B174E"/>
    <w:rsid w:val="160D1E3B"/>
    <w:rsid w:val="160F2B61"/>
    <w:rsid w:val="16199305"/>
    <w:rsid w:val="164618FD"/>
    <w:rsid w:val="164968DD"/>
    <w:rsid w:val="166B80B3"/>
    <w:rsid w:val="1675EB4D"/>
    <w:rsid w:val="1685E08B"/>
    <w:rsid w:val="168BD653"/>
    <w:rsid w:val="168C0079"/>
    <w:rsid w:val="168CA1C2"/>
    <w:rsid w:val="169E030E"/>
    <w:rsid w:val="16B81C7A"/>
    <w:rsid w:val="16BE2ED8"/>
    <w:rsid w:val="16C4ABCE"/>
    <w:rsid w:val="16C9D9A4"/>
    <w:rsid w:val="16CC83A8"/>
    <w:rsid w:val="16D1D48E"/>
    <w:rsid w:val="16D6A7CA"/>
    <w:rsid w:val="16EC2D39"/>
    <w:rsid w:val="16FF7064"/>
    <w:rsid w:val="1709AEC2"/>
    <w:rsid w:val="171583B9"/>
    <w:rsid w:val="172B74F0"/>
    <w:rsid w:val="173925E2"/>
    <w:rsid w:val="176ECC8D"/>
    <w:rsid w:val="178FE380"/>
    <w:rsid w:val="17B663D0"/>
    <w:rsid w:val="17B7C151"/>
    <w:rsid w:val="17CA4BB3"/>
    <w:rsid w:val="17CDA729"/>
    <w:rsid w:val="17EB77BE"/>
    <w:rsid w:val="17EFF2B9"/>
    <w:rsid w:val="1801BF7F"/>
    <w:rsid w:val="180B55C8"/>
    <w:rsid w:val="1811C568"/>
    <w:rsid w:val="18290D0D"/>
    <w:rsid w:val="18328DFD"/>
    <w:rsid w:val="183AA995"/>
    <w:rsid w:val="183BF1DC"/>
    <w:rsid w:val="184D4FF7"/>
    <w:rsid w:val="18698DCE"/>
    <w:rsid w:val="18728028"/>
    <w:rsid w:val="1872A8E3"/>
    <w:rsid w:val="188C9B0C"/>
    <w:rsid w:val="188E0181"/>
    <w:rsid w:val="18962B5D"/>
    <w:rsid w:val="18A23391"/>
    <w:rsid w:val="18A63434"/>
    <w:rsid w:val="18B81B8E"/>
    <w:rsid w:val="18BE0FD1"/>
    <w:rsid w:val="18C48102"/>
    <w:rsid w:val="18D73C20"/>
    <w:rsid w:val="18E3E84F"/>
    <w:rsid w:val="18E5A617"/>
    <w:rsid w:val="18EC20A5"/>
    <w:rsid w:val="190543E6"/>
    <w:rsid w:val="190894C2"/>
    <w:rsid w:val="190D856B"/>
    <w:rsid w:val="19102BCF"/>
    <w:rsid w:val="19141851"/>
    <w:rsid w:val="19233A42"/>
    <w:rsid w:val="1926BD8D"/>
    <w:rsid w:val="192F4DE4"/>
    <w:rsid w:val="193F8F67"/>
    <w:rsid w:val="1955024C"/>
    <w:rsid w:val="1962806F"/>
    <w:rsid w:val="196EF798"/>
    <w:rsid w:val="1973A849"/>
    <w:rsid w:val="1974C436"/>
    <w:rsid w:val="197C9223"/>
    <w:rsid w:val="19802617"/>
    <w:rsid w:val="198103F6"/>
    <w:rsid w:val="1984D848"/>
    <w:rsid w:val="198C7151"/>
    <w:rsid w:val="1998423A"/>
    <w:rsid w:val="19AD58CE"/>
    <w:rsid w:val="19C7D672"/>
    <w:rsid w:val="19D6D9E7"/>
    <w:rsid w:val="19D79665"/>
    <w:rsid w:val="19DA0851"/>
    <w:rsid w:val="19E0FBC1"/>
    <w:rsid w:val="19EB4B0F"/>
    <w:rsid w:val="19FB8DF8"/>
    <w:rsid w:val="1A149B8F"/>
    <w:rsid w:val="1A20E763"/>
    <w:rsid w:val="1A2F97EC"/>
    <w:rsid w:val="1A2FED3F"/>
    <w:rsid w:val="1A3AFA6C"/>
    <w:rsid w:val="1A435615"/>
    <w:rsid w:val="1A4AB5E5"/>
    <w:rsid w:val="1A4D394D"/>
    <w:rsid w:val="1A5EBFCC"/>
    <w:rsid w:val="1A62EFBD"/>
    <w:rsid w:val="1A6788C8"/>
    <w:rsid w:val="1A7437CB"/>
    <w:rsid w:val="1A7DB78D"/>
    <w:rsid w:val="1A9511E1"/>
    <w:rsid w:val="1A9DC8E0"/>
    <w:rsid w:val="1AA8BE3C"/>
    <w:rsid w:val="1AA8D41B"/>
    <w:rsid w:val="1AC3F307"/>
    <w:rsid w:val="1AC90836"/>
    <w:rsid w:val="1ACD00E0"/>
    <w:rsid w:val="1ACE5F3A"/>
    <w:rsid w:val="1AE55984"/>
    <w:rsid w:val="1AEF97D3"/>
    <w:rsid w:val="1AF3A6B3"/>
    <w:rsid w:val="1AF76324"/>
    <w:rsid w:val="1B014BC1"/>
    <w:rsid w:val="1B0EB5AC"/>
    <w:rsid w:val="1B14B102"/>
    <w:rsid w:val="1B154158"/>
    <w:rsid w:val="1B16272E"/>
    <w:rsid w:val="1B17268C"/>
    <w:rsid w:val="1B24D920"/>
    <w:rsid w:val="1B3D81DB"/>
    <w:rsid w:val="1B430D6A"/>
    <w:rsid w:val="1B5A070E"/>
    <w:rsid w:val="1B5EC1B3"/>
    <w:rsid w:val="1B5FFB52"/>
    <w:rsid w:val="1B64FEFF"/>
    <w:rsid w:val="1B6B081C"/>
    <w:rsid w:val="1B6D6E6E"/>
    <w:rsid w:val="1B74283C"/>
    <w:rsid w:val="1B7702A3"/>
    <w:rsid w:val="1B7B6EE2"/>
    <w:rsid w:val="1B967828"/>
    <w:rsid w:val="1B996B5C"/>
    <w:rsid w:val="1BACBAB2"/>
    <w:rsid w:val="1BBB7F95"/>
    <w:rsid w:val="1BBDA6E1"/>
    <w:rsid w:val="1BD70AEE"/>
    <w:rsid w:val="1BD7D3BB"/>
    <w:rsid w:val="1BD814D0"/>
    <w:rsid w:val="1BEEC9B8"/>
    <w:rsid w:val="1C017AD9"/>
    <w:rsid w:val="1C13BC0D"/>
    <w:rsid w:val="1C3BF43F"/>
    <w:rsid w:val="1C3E4989"/>
    <w:rsid w:val="1C5DF716"/>
    <w:rsid w:val="1C6FA0CC"/>
    <w:rsid w:val="1C884457"/>
    <w:rsid w:val="1C8D1BCD"/>
    <w:rsid w:val="1C99DD14"/>
    <w:rsid w:val="1CAEDA46"/>
    <w:rsid w:val="1CAF6E88"/>
    <w:rsid w:val="1CB7C8B9"/>
    <w:rsid w:val="1CB7EB04"/>
    <w:rsid w:val="1CBDE638"/>
    <w:rsid w:val="1CC1D188"/>
    <w:rsid w:val="1CC28CC0"/>
    <w:rsid w:val="1CCC0393"/>
    <w:rsid w:val="1CD4F74A"/>
    <w:rsid w:val="1CD6687C"/>
    <w:rsid w:val="1CE452D5"/>
    <w:rsid w:val="1CF0552D"/>
    <w:rsid w:val="1CF1D58C"/>
    <w:rsid w:val="1CF5F777"/>
    <w:rsid w:val="1CFE294F"/>
    <w:rsid w:val="1D0020D6"/>
    <w:rsid w:val="1D04C712"/>
    <w:rsid w:val="1D0A34F1"/>
    <w:rsid w:val="1D1A1B26"/>
    <w:rsid w:val="1D27B0CC"/>
    <w:rsid w:val="1D2B5A60"/>
    <w:rsid w:val="1D317C28"/>
    <w:rsid w:val="1D3259DC"/>
    <w:rsid w:val="1D43842F"/>
    <w:rsid w:val="1D44421F"/>
    <w:rsid w:val="1D46C321"/>
    <w:rsid w:val="1D474EF1"/>
    <w:rsid w:val="1D4C7285"/>
    <w:rsid w:val="1D4EB426"/>
    <w:rsid w:val="1D4F349A"/>
    <w:rsid w:val="1D58287B"/>
    <w:rsid w:val="1D592660"/>
    <w:rsid w:val="1D5F7647"/>
    <w:rsid w:val="1D73DEEE"/>
    <w:rsid w:val="1D78914D"/>
    <w:rsid w:val="1D884912"/>
    <w:rsid w:val="1D885FD5"/>
    <w:rsid w:val="1D97F7E2"/>
    <w:rsid w:val="1DA29B71"/>
    <w:rsid w:val="1DA4A36A"/>
    <w:rsid w:val="1DA82893"/>
    <w:rsid w:val="1DC98C82"/>
    <w:rsid w:val="1DD48F4B"/>
    <w:rsid w:val="1DDA7F34"/>
    <w:rsid w:val="1DE14E29"/>
    <w:rsid w:val="1DE4E5CC"/>
    <w:rsid w:val="1DE9AA44"/>
    <w:rsid w:val="1DEC5064"/>
    <w:rsid w:val="1E07F95C"/>
    <w:rsid w:val="1E0C1501"/>
    <w:rsid w:val="1E0CC8D8"/>
    <w:rsid w:val="1E0CE1CB"/>
    <w:rsid w:val="1E0FF4BF"/>
    <w:rsid w:val="1E150182"/>
    <w:rsid w:val="1E15D046"/>
    <w:rsid w:val="1E1E44F4"/>
    <w:rsid w:val="1E25291F"/>
    <w:rsid w:val="1E2B6726"/>
    <w:rsid w:val="1E35E7D6"/>
    <w:rsid w:val="1E3742CA"/>
    <w:rsid w:val="1E39C2BD"/>
    <w:rsid w:val="1E4A31EF"/>
    <w:rsid w:val="1E74ECFA"/>
    <w:rsid w:val="1E793A78"/>
    <w:rsid w:val="1E96269C"/>
    <w:rsid w:val="1E9A9920"/>
    <w:rsid w:val="1EA34AC1"/>
    <w:rsid w:val="1EAD235F"/>
    <w:rsid w:val="1ECA9E98"/>
    <w:rsid w:val="1EFD719D"/>
    <w:rsid w:val="1F09814A"/>
    <w:rsid w:val="1F17D780"/>
    <w:rsid w:val="1F23DD30"/>
    <w:rsid w:val="1F241056"/>
    <w:rsid w:val="1F256AE2"/>
    <w:rsid w:val="1F5DADC3"/>
    <w:rsid w:val="1F6B10A5"/>
    <w:rsid w:val="1F72C91B"/>
    <w:rsid w:val="1F750C02"/>
    <w:rsid w:val="1F7B9616"/>
    <w:rsid w:val="1F7F8477"/>
    <w:rsid w:val="1F80158B"/>
    <w:rsid w:val="1FB2D81A"/>
    <w:rsid w:val="1FBDBEDE"/>
    <w:rsid w:val="1FD2A733"/>
    <w:rsid w:val="1FD6A439"/>
    <w:rsid w:val="1FE33B67"/>
    <w:rsid w:val="20074C2B"/>
    <w:rsid w:val="200A7A3A"/>
    <w:rsid w:val="200BD4AC"/>
    <w:rsid w:val="2012D23F"/>
    <w:rsid w:val="202A074D"/>
    <w:rsid w:val="20345AD0"/>
    <w:rsid w:val="204AA711"/>
    <w:rsid w:val="20616CAD"/>
    <w:rsid w:val="2072557C"/>
    <w:rsid w:val="2072FB32"/>
    <w:rsid w:val="2074DDC7"/>
    <w:rsid w:val="2078AECE"/>
    <w:rsid w:val="207CC72F"/>
    <w:rsid w:val="207E3B08"/>
    <w:rsid w:val="209457AB"/>
    <w:rsid w:val="20C6D392"/>
    <w:rsid w:val="20E2C63A"/>
    <w:rsid w:val="20E7AA0E"/>
    <w:rsid w:val="20F448D0"/>
    <w:rsid w:val="20F80B2E"/>
    <w:rsid w:val="20FAA20E"/>
    <w:rsid w:val="20FAB077"/>
    <w:rsid w:val="2103FA70"/>
    <w:rsid w:val="210F3089"/>
    <w:rsid w:val="2117352A"/>
    <w:rsid w:val="2125B33B"/>
    <w:rsid w:val="21275FAB"/>
    <w:rsid w:val="212CF9BE"/>
    <w:rsid w:val="212FB115"/>
    <w:rsid w:val="21304DF5"/>
    <w:rsid w:val="2137F1E0"/>
    <w:rsid w:val="213DFA8C"/>
    <w:rsid w:val="2152D558"/>
    <w:rsid w:val="21540722"/>
    <w:rsid w:val="215B6081"/>
    <w:rsid w:val="216076C8"/>
    <w:rsid w:val="21712F2B"/>
    <w:rsid w:val="21823CCB"/>
    <w:rsid w:val="218A7B06"/>
    <w:rsid w:val="2199BED6"/>
    <w:rsid w:val="21B32AC8"/>
    <w:rsid w:val="21C38401"/>
    <w:rsid w:val="21D3885C"/>
    <w:rsid w:val="21F84F3A"/>
    <w:rsid w:val="22039622"/>
    <w:rsid w:val="220758AB"/>
    <w:rsid w:val="2222673B"/>
    <w:rsid w:val="2243DE38"/>
    <w:rsid w:val="2244D4EC"/>
    <w:rsid w:val="2247EB6F"/>
    <w:rsid w:val="224E32E0"/>
    <w:rsid w:val="227D272D"/>
    <w:rsid w:val="227FB40E"/>
    <w:rsid w:val="22856143"/>
    <w:rsid w:val="22902340"/>
    <w:rsid w:val="2291C194"/>
    <w:rsid w:val="2292253B"/>
    <w:rsid w:val="22A2DFA4"/>
    <w:rsid w:val="22A4E8F6"/>
    <w:rsid w:val="22A83CB9"/>
    <w:rsid w:val="22A93EF5"/>
    <w:rsid w:val="22B175D7"/>
    <w:rsid w:val="22DBD649"/>
    <w:rsid w:val="22DEB64F"/>
    <w:rsid w:val="22E3F376"/>
    <w:rsid w:val="22EC33FC"/>
    <w:rsid w:val="22FD5009"/>
    <w:rsid w:val="2300ACEF"/>
    <w:rsid w:val="231298AE"/>
    <w:rsid w:val="2345D66E"/>
    <w:rsid w:val="2352D4D4"/>
    <w:rsid w:val="23531B58"/>
    <w:rsid w:val="23693952"/>
    <w:rsid w:val="23725C93"/>
    <w:rsid w:val="237C2880"/>
    <w:rsid w:val="23881FD0"/>
    <w:rsid w:val="238B036E"/>
    <w:rsid w:val="239D7636"/>
    <w:rsid w:val="23A042D1"/>
    <w:rsid w:val="23A872BC"/>
    <w:rsid w:val="23B8758C"/>
    <w:rsid w:val="23B9545E"/>
    <w:rsid w:val="23BE811F"/>
    <w:rsid w:val="23C55CE3"/>
    <w:rsid w:val="23CB72D0"/>
    <w:rsid w:val="23CDDA56"/>
    <w:rsid w:val="23E8A92F"/>
    <w:rsid w:val="23F1D262"/>
    <w:rsid w:val="23F3FEDD"/>
    <w:rsid w:val="23F8771E"/>
    <w:rsid w:val="23FBBFFE"/>
    <w:rsid w:val="2406BD99"/>
    <w:rsid w:val="2411316E"/>
    <w:rsid w:val="24232787"/>
    <w:rsid w:val="24245386"/>
    <w:rsid w:val="2436BEBB"/>
    <w:rsid w:val="243E9426"/>
    <w:rsid w:val="2441F8F2"/>
    <w:rsid w:val="244BF1B9"/>
    <w:rsid w:val="244D7C42"/>
    <w:rsid w:val="2454BBE4"/>
    <w:rsid w:val="245564B8"/>
    <w:rsid w:val="245DC871"/>
    <w:rsid w:val="2461177B"/>
    <w:rsid w:val="2465AB54"/>
    <w:rsid w:val="249D104B"/>
    <w:rsid w:val="24A59B9B"/>
    <w:rsid w:val="24A64D87"/>
    <w:rsid w:val="24B12700"/>
    <w:rsid w:val="24BF7022"/>
    <w:rsid w:val="24D50432"/>
    <w:rsid w:val="24D56EB7"/>
    <w:rsid w:val="24D83642"/>
    <w:rsid w:val="24D847BB"/>
    <w:rsid w:val="24DB8911"/>
    <w:rsid w:val="24F988BE"/>
    <w:rsid w:val="24FA5177"/>
    <w:rsid w:val="250A15C7"/>
    <w:rsid w:val="250F5279"/>
    <w:rsid w:val="25145368"/>
    <w:rsid w:val="2518B08E"/>
    <w:rsid w:val="251BDF47"/>
    <w:rsid w:val="2531E630"/>
    <w:rsid w:val="25610EC1"/>
    <w:rsid w:val="256E111E"/>
    <w:rsid w:val="257B98CC"/>
    <w:rsid w:val="257C73AA"/>
    <w:rsid w:val="2588DB0A"/>
    <w:rsid w:val="25926DAA"/>
    <w:rsid w:val="25A29433"/>
    <w:rsid w:val="25B057FE"/>
    <w:rsid w:val="25BB0C1F"/>
    <w:rsid w:val="25BD951C"/>
    <w:rsid w:val="25BF83E6"/>
    <w:rsid w:val="25DD101D"/>
    <w:rsid w:val="25E8F0DA"/>
    <w:rsid w:val="25EEFCB9"/>
    <w:rsid w:val="25F523CD"/>
    <w:rsid w:val="261CF6FB"/>
    <w:rsid w:val="2621E0D6"/>
    <w:rsid w:val="2626FB1B"/>
    <w:rsid w:val="2627967C"/>
    <w:rsid w:val="26338443"/>
    <w:rsid w:val="263D856B"/>
    <w:rsid w:val="2649326D"/>
    <w:rsid w:val="264ED090"/>
    <w:rsid w:val="26560339"/>
    <w:rsid w:val="26574EA0"/>
    <w:rsid w:val="2659C595"/>
    <w:rsid w:val="26629A27"/>
    <w:rsid w:val="2664B917"/>
    <w:rsid w:val="266C9F8C"/>
    <w:rsid w:val="267CCE12"/>
    <w:rsid w:val="268250CE"/>
    <w:rsid w:val="26BE406A"/>
    <w:rsid w:val="26D030D9"/>
    <w:rsid w:val="26D18FE5"/>
    <w:rsid w:val="26D3FBC2"/>
    <w:rsid w:val="26DB8A89"/>
    <w:rsid w:val="26FBF859"/>
    <w:rsid w:val="26FF61A2"/>
    <w:rsid w:val="2709A2E8"/>
    <w:rsid w:val="270CFEFD"/>
    <w:rsid w:val="2713524A"/>
    <w:rsid w:val="27287DFC"/>
    <w:rsid w:val="272EA95F"/>
    <w:rsid w:val="273FA3A5"/>
    <w:rsid w:val="27477F64"/>
    <w:rsid w:val="27579E08"/>
    <w:rsid w:val="2765F2D7"/>
    <w:rsid w:val="276C9E0D"/>
    <w:rsid w:val="278BE41B"/>
    <w:rsid w:val="2798B91A"/>
    <w:rsid w:val="27A875B3"/>
    <w:rsid w:val="27B5F4A3"/>
    <w:rsid w:val="27BD977F"/>
    <w:rsid w:val="27C21DEA"/>
    <w:rsid w:val="27CDB846"/>
    <w:rsid w:val="27F23A9A"/>
    <w:rsid w:val="27F50717"/>
    <w:rsid w:val="27F9859D"/>
    <w:rsid w:val="27FDC438"/>
    <w:rsid w:val="2824C23E"/>
    <w:rsid w:val="28326FFD"/>
    <w:rsid w:val="2833BBAA"/>
    <w:rsid w:val="284A2E29"/>
    <w:rsid w:val="28546E28"/>
    <w:rsid w:val="2862B0E8"/>
    <w:rsid w:val="28675342"/>
    <w:rsid w:val="28791B4F"/>
    <w:rsid w:val="28859D72"/>
    <w:rsid w:val="288B8D16"/>
    <w:rsid w:val="288CF65E"/>
    <w:rsid w:val="288D50B6"/>
    <w:rsid w:val="289DC3EA"/>
    <w:rsid w:val="28C363BC"/>
    <w:rsid w:val="28D5D70C"/>
    <w:rsid w:val="28DF36B5"/>
    <w:rsid w:val="28E7B533"/>
    <w:rsid w:val="28EB2A49"/>
    <w:rsid w:val="28F7CB31"/>
    <w:rsid w:val="29125FFA"/>
    <w:rsid w:val="29126769"/>
    <w:rsid w:val="2935FD63"/>
    <w:rsid w:val="293810A4"/>
    <w:rsid w:val="294158A8"/>
    <w:rsid w:val="29416588"/>
    <w:rsid w:val="29551FF1"/>
    <w:rsid w:val="295A2538"/>
    <w:rsid w:val="295FF30B"/>
    <w:rsid w:val="296DFE82"/>
    <w:rsid w:val="29705D68"/>
    <w:rsid w:val="297DDAC8"/>
    <w:rsid w:val="298A1050"/>
    <w:rsid w:val="298E46F4"/>
    <w:rsid w:val="299745F6"/>
    <w:rsid w:val="299BC261"/>
    <w:rsid w:val="299D727A"/>
    <w:rsid w:val="29A23D7C"/>
    <w:rsid w:val="29A36D75"/>
    <w:rsid w:val="29A5E77B"/>
    <w:rsid w:val="29A9FD22"/>
    <w:rsid w:val="29C7901C"/>
    <w:rsid w:val="29CA8D16"/>
    <w:rsid w:val="29F3D562"/>
    <w:rsid w:val="29FB259F"/>
    <w:rsid w:val="29FDB612"/>
    <w:rsid w:val="2A00436C"/>
    <w:rsid w:val="2A08633E"/>
    <w:rsid w:val="2A12324C"/>
    <w:rsid w:val="2A4F2545"/>
    <w:rsid w:val="2A59F586"/>
    <w:rsid w:val="2A74FE69"/>
    <w:rsid w:val="2A7FDED0"/>
    <w:rsid w:val="2A85AE4A"/>
    <w:rsid w:val="2AA9D017"/>
    <w:rsid w:val="2AB02103"/>
    <w:rsid w:val="2AB655C2"/>
    <w:rsid w:val="2AD25F8D"/>
    <w:rsid w:val="2ADDD4BF"/>
    <w:rsid w:val="2AE683BB"/>
    <w:rsid w:val="2B0C9E52"/>
    <w:rsid w:val="2B14B0CB"/>
    <w:rsid w:val="2B315ECB"/>
    <w:rsid w:val="2B33980B"/>
    <w:rsid w:val="2B3DFD7F"/>
    <w:rsid w:val="2B481FD8"/>
    <w:rsid w:val="2B5DE7D9"/>
    <w:rsid w:val="2B64D845"/>
    <w:rsid w:val="2B76504F"/>
    <w:rsid w:val="2B7ACF49"/>
    <w:rsid w:val="2B7F1D04"/>
    <w:rsid w:val="2B9CF67B"/>
    <w:rsid w:val="2BB4B58D"/>
    <w:rsid w:val="2BBBED34"/>
    <w:rsid w:val="2BC2DA4C"/>
    <w:rsid w:val="2BD073C2"/>
    <w:rsid w:val="2BE28522"/>
    <w:rsid w:val="2BE7D8FE"/>
    <w:rsid w:val="2BEFEE2A"/>
    <w:rsid w:val="2BF61A2E"/>
    <w:rsid w:val="2BF653DF"/>
    <w:rsid w:val="2C05E017"/>
    <w:rsid w:val="2C0989BC"/>
    <w:rsid w:val="2C137845"/>
    <w:rsid w:val="2C1A4A7A"/>
    <w:rsid w:val="2C1C9AAF"/>
    <w:rsid w:val="2C2E3796"/>
    <w:rsid w:val="2C62563F"/>
    <w:rsid w:val="2C6D896E"/>
    <w:rsid w:val="2C76A6B4"/>
    <w:rsid w:val="2C9AFABB"/>
    <w:rsid w:val="2CB93307"/>
    <w:rsid w:val="2CC9D6C4"/>
    <w:rsid w:val="2CEB3FEA"/>
    <w:rsid w:val="2CEB6EB1"/>
    <w:rsid w:val="2CED4CDC"/>
    <w:rsid w:val="2CF5E641"/>
    <w:rsid w:val="2D095A8F"/>
    <w:rsid w:val="2D17CF01"/>
    <w:rsid w:val="2D3C6D7A"/>
    <w:rsid w:val="2D47651B"/>
    <w:rsid w:val="2D4AB3B5"/>
    <w:rsid w:val="2D5BEC59"/>
    <w:rsid w:val="2D5C1174"/>
    <w:rsid w:val="2D5C6A12"/>
    <w:rsid w:val="2D641007"/>
    <w:rsid w:val="2D820C79"/>
    <w:rsid w:val="2D92BA3C"/>
    <w:rsid w:val="2D982F5B"/>
    <w:rsid w:val="2D9D1E8D"/>
    <w:rsid w:val="2DA6682F"/>
    <w:rsid w:val="2DD4E503"/>
    <w:rsid w:val="2DE6B6D1"/>
    <w:rsid w:val="2DF738A1"/>
    <w:rsid w:val="2DFE9660"/>
    <w:rsid w:val="2E11C787"/>
    <w:rsid w:val="2E15D11B"/>
    <w:rsid w:val="2E168539"/>
    <w:rsid w:val="2E1ADCEC"/>
    <w:rsid w:val="2E293669"/>
    <w:rsid w:val="2E2E2C91"/>
    <w:rsid w:val="2E40234F"/>
    <w:rsid w:val="2E7717E8"/>
    <w:rsid w:val="2E79B559"/>
    <w:rsid w:val="2E7B30E2"/>
    <w:rsid w:val="2E80A67B"/>
    <w:rsid w:val="2E8868ED"/>
    <w:rsid w:val="2E8975C5"/>
    <w:rsid w:val="2E95AB82"/>
    <w:rsid w:val="2E96CDB5"/>
    <w:rsid w:val="2EA3C5AD"/>
    <w:rsid w:val="2EAE61BF"/>
    <w:rsid w:val="2EC0B59A"/>
    <w:rsid w:val="2EC93E9B"/>
    <w:rsid w:val="2ED9ECD6"/>
    <w:rsid w:val="2EDD74A4"/>
    <w:rsid w:val="2EE775F8"/>
    <w:rsid w:val="2EF8129D"/>
    <w:rsid w:val="2F1111B7"/>
    <w:rsid w:val="2F1257C5"/>
    <w:rsid w:val="2F17EE95"/>
    <w:rsid w:val="2F1AE6BA"/>
    <w:rsid w:val="2F21E7F2"/>
    <w:rsid w:val="2F276B5C"/>
    <w:rsid w:val="2F2F4B5B"/>
    <w:rsid w:val="2F33FBBE"/>
    <w:rsid w:val="2F346638"/>
    <w:rsid w:val="2F45D741"/>
    <w:rsid w:val="2F4C8A8E"/>
    <w:rsid w:val="2F5AA71C"/>
    <w:rsid w:val="2F5E44C2"/>
    <w:rsid w:val="2F62B3F8"/>
    <w:rsid w:val="2F637D6A"/>
    <w:rsid w:val="2F67F1CC"/>
    <w:rsid w:val="2F6B3703"/>
    <w:rsid w:val="2F78ED50"/>
    <w:rsid w:val="2F7D06DB"/>
    <w:rsid w:val="2F918965"/>
    <w:rsid w:val="2FA16806"/>
    <w:rsid w:val="2FA58309"/>
    <w:rsid w:val="2FB475F3"/>
    <w:rsid w:val="2FC17529"/>
    <w:rsid w:val="2FC19EFB"/>
    <w:rsid w:val="2FF43D03"/>
    <w:rsid w:val="2FFB426A"/>
    <w:rsid w:val="3003A20F"/>
    <w:rsid w:val="300D6040"/>
    <w:rsid w:val="3028B6CD"/>
    <w:rsid w:val="302D17B0"/>
    <w:rsid w:val="3032C6D2"/>
    <w:rsid w:val="303D3E55"/>
    <w:rsid w:val="304D89EB"/>
    <w:rsid w:val="3053786B"/>
    <w:rsid w:val="3057FC00"/>
    <w:rsid w:val="306671BD"/>
    <w:rsid w:val="30694F98"/>
    <w:rsid w:val="3070E472"/>
    <w:rsid w:val="3080A147"/>
    <w:rsid w:val="3084FD14"/>
    <w:rsid w:val="30886072"/>
    <w:rsid w:val="308941D3"/>
    <w:rsid w:val="30926CA1"/>
    <w:rsid w:val="30958DF8"/>
    <w:rsid w:val="30A0B742"/>
    <w:rsid w:val="30A28161"/>
    <w:rsid w:val="30A53D71"/>
    <w:rsid w:val="30A70BCA"/>
    <w:rsid w:val="30A9CD1E"/>
    <w:rsid w:val="30C1B3DB"/>
    <w:rsid w:val="30C587AF"/>
    <w:rsid w:val="30CB4A27"/>
    <w:rsid w:val="30CD2191"/>
    <w:rsid w:val="30DDD3E1"/>
    <w:rsid w:val="30E17BF0"/>
    <w:rsid w:val="30EAB5F2"/>
    <w:rsid w:val="30F231C6"/>
    <w:rsid w:val="3106C7DD"/>
    <w:rsid w:val="311F96B6"/>
    <w:rsid w:val="312C4E97"/>
    <w:rsid w:val="313668A8"/>
    <w:rsid w:val="31405FE3"/>
    <w:rsid w:val="31547835"/>
    <w:rsid w:val="3155AD75"/>
    <w:rsid w:val="316532CD"/>
    <w:rsid w:val="317D3FFD"/>
    <w:rsid w:val="317D8C30"/>
    <w:rsid w:val="3193B8DC"/>
    <w:rsid w:val="319610C3"/>
    <w:rsid w:val="3198184A"/>
    <w:rsid w:val="319D8752"/>
    <w:rsid w:val="31A594E9"/>
    <w:rsid w:val="31AEE3F8"/>
    <w:rsid w:val="31B90835"/>
    <w:rsid w:val="31BBBA07"/>
    <w:rsid w:val="31C0D34E"/>
    <w:rsid w:val="31CB4DC5"/>
    <w:rsid w:val="31D68508"/>
    <w:rsid w:val="31E5E19D"/>
    <w:rsid w:val="31EDE087"/>
    <w:rsid w:val="31F6EC5C"/>
    <w:rsid w:val="31F77F85"/>
    <w:rsid w:val="32194FAC"/>
    <w:rsid w:val="321BBAB3"/>
    <w:rsid w:val="321F7AA5"/>
    <w:rsid w:val="3221C5EC"/>
    <w:rsid w:val="322BCA5C"/>
    <w:rsid w:val="3237C670"/>
    <w:rsid w:val="326318E0"/>
    <w:rsid w:val="3272187E"/>
    <w:rsid w:val="3272913A"/>
    <w:rsid w:val="32814CC0"/>
    <w:rsid w:val="32A93847"/>
    <w:rsid w:val="32AD2A21"/>
    <w:rsid w:val="32BCA421"/>
    <w:rsid w:val="32D45416"/>
    <w:rsid w:val="32DC2397"/>
    <w:rsid w:val="32DE5255"/>
    <w:rsid w:val="32E2C0A9"/>
    <w:rsid w:val="32F47E3E"/>
    <w:rsid w:val="32FF36F1"/>
    <w:rsid w:val="33048A49"/>
    <w:rsid w:val="330823A6"/>
    <w:rsid w:val="3312E7AB"/>
    <w:rsid w:val="331AFE57"/>
    <w:rsid w:val="33264003"/>
    <w:rsid w:val="33264626"/>
    <w:rsid w:val="334351D5"/>
    <w:rsid w:val="335376E8"/>
    <w:rsid w:val="33540BA9"/>
    <w:rsid w:val="335906B6"/>
    <w:rsid w:val="33624E15"/>
    <w:rsid w:val="33675208"/>
    <w:rsid w:val="336B9E52"/>
    <w:rsid w:val="33849D30"/>
    <w:rsid w:val="33895E15"/>
    <w:rsid w:val="338A14B5"/>
    <w:rsid w:val="338C641D"/>
    <w:rsid w:val="33AC5F15"/>
    <w:rsid w:val="33AD824A"/>
    <w:rsid w:val="33B58DD7"/>
    <w:rsid w:val="33BCFBC7"/>
    <w:rsid w:val="33C6318A"/>
    <w:rsid w:val="33C7C9A8"/>
    <w:rsid w:val="33C907CC"/>
    <w:rsid w:val="33CC4149"/>
    <w:rsid w:val="33D402FC"/>
    <w:rsid w:val="33DF65AC"/>
    <w:rsid w:val="33EA5254"/>
    <w:rsid w:val="340D687F"/>
    <w:rsid w:val="3411143B"/>
    <w:rsid w:val="341A6ED4"/>
    <w:rsid w:val="34317309"/>
    <w:rsid w:val="34368EB7"/>
    <w:rsid w:val="34408810"/>
    <w:rsid w:val="3448032A"/>
    <w:rsid w:val="34512472"/>
    <w:rsid w:val="3451378C"/>
    <w:rsid w:val="34572C44"/>
    <w:rsid w:val="345D0DF2"/>
    <w:rsid w:val="345DC866"/>
    <w:rsid w:val="3469A829"/>
    <w:rsid w:val="346ADF4D"/>
    <w:rsid w:val="3470407B"/>
    <w:rsid w:val="34774E57"/>
    <w:rsid w:val="34843F06"/>
    <w:rsid w:val="3486D78C"/>
    <w:rsid w:val="34B77B51"/>
    <w:rsid w:val="34C898CC"/>
    <w:rsid w:val="34D05429"/>
    <w:rsid w:val="34DE6946"/>
    <w:rsid w:val="34DF2DB0"/>
    <w:rsid w:val="34DFBA02"/>
    <w:rsid w:val="34E63223"/>
    <w:rsid w:val="3500958D"/>
    <w:rsid w:val="35161EC1"/>
    <w:rsid w:val="351C3D55"/>
    <w:rsid w:val="353929A9"/>
    <w:rsid w:val="35548694"/>
    <w:rsid w:val="3568EA0A"/>
    <w:rsid w:val="356DD7B3"/>
    <w:rsid w:val="3579D7AD"/>
    <w:rsid w:val="3583118C"/>
    <w:rsid w:val="358424D7"/>
    <w:rsid w:val="3596BB3B"/>
    <w:rsid w:val="3598DA35"/>
    <w:rsid w:val="35AD7D26"/>
    <w:rsid w:val="35B7EA0E"/>
    <w:rsid w:val="35BD3FE1"/>
    <w:rsid w:val="35EBF952"/>
    <w:rsid w:val="35EEEC57"/>
    <w:rsid w:val="360E8181"/>
    <w:rsid w:val="361156AB"/>
    <w:rsid w:val="36195850"/>
    <w:rsid w:val="36317857"/>
    <w:rsid w:val="3634DDDC"/>
    <w:rsid w:val="364CF19D"/>
    <w:rsid w:val="3661E3C4"/>
    <w:rsid w:val="36711348"/>
    <w:rsid w:val="36987707"/>
    <w:rsid w:val="369D84DF"/>
    <w:rsid w:val="36A58B02"/>
    <w:rsid w:val="36A7C052"/>
    <w:rsid w:val="36A7C0CC"/>
    <w:rsid w:val="36ADFEE6"/>
    <w:rsid w:val="36B9D3C4"/>
    <w:rsid w:val="36BF4666"/>
    <w:rsid w:val="36D4B9F3"/>
    <w:rsid w:val="3704AE43"/>
    <w:rsid w:val="37080191"/>
    <w:rsid w:val="370A898A"/>
    <w:rsid w:val="3713377E"/>
    <w:rsid w:val="3713F626"/>
    <w:rsid w:val="37196A65"/>
    <w:rsid w:val="3719DA1F"/>
    <w:rsid w:val="372629E6"/>
    <w:rsid w:val="37321BDE"/>
    <w:rsid w:val="3741F1CB"/>
    <w:rsid w:val="374FF042"/>
    <w:rsid w:val="375D7EF2"/>
    <w:rsid w:val="3773B451"/>
    <w:rsid w:val="37832B18"/>
    <w:rsid w:val="3788F6C7"/>
    <w:rsid w:val="378AF62C"/>
    <w:rsid w:val="37955241"/>
    <w:rsid w:val="379C01FD"/>
    <w:rsid w:val="379E3C04"/>
    <w:rsid w:val="37A798B9"/>
    <w:rsid w:val="37AF245F"/>
    <w:rsid w:val="37C8D140"/>
    <w:rsid w:val="37CE325F"/>
    <w:rsid w:val="37D6605A"/>
    <w:rsid w:val="37D745E7"/>
    <w:rsid w:val="37DD6CAD"/>
    <w:rsid w:val="37EC0A0C"/>
    <w:rsid w:val="37ED10C2"/>
    <w:rsid w:val="37FC88C6"/>
    <w:rsid w:val="37FE6839"/>
    <w:rsid w:val="3814B8BF"/>
    <w:rsid w:val="381F7A3B"/>
    <w:rsid w:val="3829B0E9"/>
    <w:rsid w:val="382D8534"/>
    <w:rsid w:val="382EB61D"/>
    <w:rsid w:val="383D09FF"/>
    <w:rsid w:val="384B11B6"/>
    <w:rsid w:val="385E9CDE"/>
    <w:rsid w:val="386426BB"/>
    <w:rsid w:val="38667BB0"/>
    <w:rsid w:val="386AC824"/>
    <w:rsid w:val="38735101"/>
    <w:rsid w:val="38825132"/>
    <w:rsid w:val="3886D936"/>
    <w:rsid w:val="388C6083"/>
    <w:rsid w:val="388FB046"/>
    <w:rsid w:val="3891FC02"/>
    <w:rsid w:val="38A50043"/>
    <w:rsid w:val="38B2C987"/>
    <w:rsid w:val="38F80C0C"/>
    <w:rsid w:val="39064028"/>
    <w:rsid w:val="39149180"/>
    <w:rsid w:val="391A7651"/>
    <w:rsid w:val="391B187A"/>
    <w:rsid w:val="391C13B2"/>
    <w:rsid w:val="391F5802"/>
    <w:rsid w:val="392BFA49"/>
    <w:rsid w:val="393BFD8F"/>
    <w:rsid w:val="3969657E"/>
    <w:rsid w:val="396DBEF9"/>
    <w:rsid w:val="3976EBCA"/>
    <w:rsid w:val="397E274C"/>
    <w:rsid w:val="3983AC4B"/>
    <w:rsid w:val="3995D0CE"/>
    <w:rsid w:val="39AAED26"/>
    <w:rsid w:val="39B2BD9C"/>
    <w:rsid w:val="39B3D579"/>
    <w:rsid w:val="39B7E23D"/>
    <w:rsid w:val="39CD0604"/>
    <w:rsid w:val="39D3C8AC"/>
    <w:rsid w:val="39E494DF"/>
    <w:rsid w:val="39EFA937"/>
    <w:rsid w:val="39FA0228"/>
    <w:rsid w:val="39FF9729"/>
    <w:rsid w:val="3A27205E"/>
    <w:rsid w:val="3A340B9E"/>
    <w:rsid w:val="3A3C6FEB"/>
    <w:rsid w:val="3A4E265B"/>
    <w:rsid w:val="3A53AF9A"/>
    <w:rsid w:val="3A6F4BFE"/>
    <w:rsid w:val="3A7AB966"/>
    <w:rsid w:val="3A7BD792"/>
    <w:rsid w:val="3A85A168"/>
    <w:rsid w:val="3A9F65FB"/>
    <w:rsid w:val="3AB1B447"/>
    <w:rsid w:val="3AB4D4AA"/>
    <w:rsid w:val="3AC00C38"/>
    <w:rsid w:val="3AC09089"/>
    <w:rsid w:val="3AC6140E"/>
    <w:rsid w:val="3AE731CF"/>
    <w:rsid w:val="3B01E701"/>
    <w:rsid w:val="3B0561F4"/>
    <w:rsid w:val="3B07C37E"/>
    <w:rsid w:val="3B0E2CF2"/>
    <w:rsid w:val="3B16268F"/>
    <w:rsid w:val="3B1848F9"/>
    <w:rsid w:val="3B3285EA"/>
    <w:rsid w:val="3B4DD160"/>
    <w:rsid w:val="3B4E2C06"/>
    <w:rsid w:val="3B53C8F2"/>
    <w:rsid w:val="3B5DB815"/>
    <w:rsid w:val="3B6B6006"/>
    <w:rsid w:val="3B70043B"/>
    <w:rsid w:val="3B70DCCF"/>
    <w:rsid w:val="3B782522"/>
    <w:rsid w:val="3B809B09"/>
    <w:rsid w:val="3B80AB26"/>
    <w:rsid w:val="3B95C43C"/>
    <w:rsid w:val="3B96A432"/>
    <w:rsid w:val="3BA73965"/>
    <w:rsid w:val="3BAB15F0"/>
    <w:rsid w:val="3BB3EAA2"/>
    <w:rsid w:val="3BB812BA"/>
    <w:rsid w:val="3BD3F630"/>
    <w:rsid w:val="3BD45E3F"/>
    <w:rsid w:val="3BEA4A9F"/>
    <w:rsid w:val="3C07242B"/>
    <w:rsid w:val="3C128754"/>
    <w:rsid w:val="3C1E2B13"/>
    <w:rsid w:val="3C220536"/>
    <w:rsid w:val="3C248CE8"/>
    <w:rsid w:val="3C2DDD67"/>
    <w:rsid w:val="3C4C06AE"/>
    <w:rsid w:val="3C4D2F48"/>
    <w:rsid w:val="3C5BBEF7"/>
    <w:rsid w:val="3C68B787"/>
    <w:rsid w:val="3C74D9BC"/>
    <w:rsid w:val="3C84DFEB"/>
    <w:rsid w:val="3C962C3A"/>
    <w:rsid w:val="3CA1DC92"/>
    <w:rsid w:val="3CA49E84"/>
    <w:rsid w:val="3CBB02B9"/>
    <w:rsid w:val="3CDA93A6"/>
    <w:rsid w:val="3D0C1CB6"/>
    <w:rsid w:val="3D0FF57A"/>
    <w:rsid w:val="3D24AB5E"/>
    <w:rsid w:val="3D33ED56"/>
    <w:rsid w:val="3D37E7A1"/>
    <w:rsid w:val="3D3A4C89"/>
    <w:rsid w:val="3D3DE231"/>
    <w:rsid w:val="3D70FE84"/>
    <w:rsid w:val="3D755356"/>
    <w:rsid w:val="3D97169C"/>
    <w:rsid w:val="3D9F5470"/>
    <w:rsid w:val="3DA2C840"/>
    <w:rsid w:val="3DAD2D7A"/>
    <w:rsid w:val="3DC03EE9"/>
    <w:rsid w:val="3DCCD698"/>
    <w:rsid w:val="3DDD4682"/>
    <w:rsid w:val="3DE1C65D"/>
    <w:rsid w:val="3E06BF17"/>
    <w:rsid w:val="3E06FDF7"/>
    <w:rsid w:val="3E0A10B3"/>
    <w:rsid w:val="3E0AE513"/>
    <w:rsid w:val="3E1BD163"/>
    <w:rsid w:val="3E24550D"/>
    <w:rsid w:val="3E2EF8E6"/>
    <w:rsid w:val="3E38245D"/>
    <w:rsid w:val="3E3DCFF4"/>
    <w:rsid w:val="3E4D9633"/>
    <w:rsid w:val="3E5324E9"/>
    <w:rsid w:val="3E54FFCD"/>
    <w:rsid w:val="3E5D1F24"/>
    <w:rsid w:val="3E67A0D5"/>
    <w:rsid w:val="3E6ABCA3"/>
    <w:rsid w:val="3E77700C"/>
    <w:rsid w:val="3E8E3511"/>
    <w:rsid w:val="3E923389"/>
    <w:rsid w:val="3E936E48"/>
    <w:rsid w:val="3EA382C9"/>
    <w:rsid w:val="3EB3D9FC"/>
    <w:rsid w:val="3EC92131"/>
    <w:rsid w:val="3ECE4717"/>
    <w:rsid w:val="3ED52FAB"/>
    <w:rsid w:val="3EE5AAB0"/>
    <w:rsid w:val="3EEA51DC"/>
    <w:rsid w:val="3EEC486E"/>
    <w:rsid w:val="3EF8DCDE"/>
    <w:rsid w:val="3F000ECA"/>
    <w:rsid w:val="3F17FE7E"/>
    <w:rsid w:val="3F4096E8"/>
    <w:rsid w:val="3F40C8B0"/>
    <w:rsid w:val="3F4242BF"/>
    <w:rsid w:val="3F4F3B21"/>
    <w:rsid w:val="3F58BE9E"/>
    <w:rsid w:val="3F715DB4"/>
    <w:rsid w:val="3F81E09C"/>
    <w:rsid w:val="3F8B3F0C"/>
    <w:rsid w:val="3F8C7216"/>
    <w:rsid w:val="3F993757"/>
    <w:rsid w:val="3F9F416B"/>
    <w:rsid w:val="3FA6FE06"/>
    <w:rsid w:val="3FA71537"/>
    <w:rsid w:val="3FB3DF47"/>
    <w:rsid w:val="3FB6796E"/>
    <w:rsid w:val="3FC43563"/>
    <w:rsid w:val="3FEDAAB9"/>
    <w:rsid w:val="3FEFC682"/>
    <w:rsid w:val="3FFEE3D7"/>
    <w:rsid w:val="400AF85A"/>
    <w:rsid w:val="4014BF5A"/>
    <w:rsid w:val="4021A177"/>
    <w:rsid w:val="403042CB"/>
    <w:rsid w:val="404E4537"/>
    <w:rsid w:val="406AF84E"/>
    <w:rsid w:val="40737E29"/>
    <w:rsid w:val="40949F11"/>
    <w:rsid w:val="409D7381"/>
    <w:rsid w:val="40A7D281"/>
    <w:rsid w:val="40A7ECCC"/>
    <w:rsid w:val="40AD4C01"/>
    <w:rsid w:val="40B976CB"/>
    <w:rsid w:val="40D82FAA"/>
    <w:rsid w:val="40DD67F9"/>
    <w:rsid w:val="40DE6570"/>
    <w:rsid w:val="40F6B971"/>
    <w:rsid w:val="41021B39"/>
    <w:rsid w:val="411A54F8"/>
    <w:rsid w:val="411ECE90"/>
    <w:rsid w:val="413DBD73"/>
    <w:rsid w:val="414F2A18"/>
    <w:rsid w:val="414F33C9"/>
    <w:rsid w:val="4157FFAC"/>
    <w:rsid w:val="41595520"/>
    <w:rsid w:val="4176622A"/>
    <w:rsid w:val="41887769"/>
    <w:rsid w:val="419EA1F3"/>
    <w:rsid w:val="41A820F9"/>
    <w:rsid w:val="41ACB8B2"/>
    <w:rsid w:val="41ADDF56"/>
    <w:rsid w:val="41B813C2"/>
    <w:rsid w:val="41D74B92"/>
    <w:rsid w:val="41D8E550"/>
    <w:rsid w:val="41E7586B"/>
    <w:rsid w:val="41E7BD31"/>
    <w:rsid w:val="41EBC36F"/>
    <w:rsid w:val="41EF2CAE"/>
    <w:rsid w:val="41EF88FE"/>
    <w:rsid w:val="41F1AD60"/>
    <w:rsid w:val="41FD7F07"/>
    <w:rsid w:val="4210F51A"/>
    <w:rsid w:val="421372AE"/>
    <w:rsid w:val="4219C40A"/>
    <w:rsid w:val="42491A0D"/>
    <w:rsid w:val="42509E85"/>
    <w:rsid w:val="4259108F"/>
    <w:rsid w:val="426D1F87"/>
    <w:rsid w:val="4280E9FA"/>
    <w:rsid w:val="42942ED6"/>
    <w:rsid w:val="4299764E"/>
    <w:rsid w:val="42C01D8F"/>
    <w:rsid w:val="42C8BC89"/>
    <w:rsid w:val="42DC3A1E"/>
    <w:rsid w:val="42DEE494"/>
    <w:rsid w:val="42F53EC8"/>
    <w:rsid w:val="42F761CD"/>
    <w:rsid w:val="4302D394"/>
    <w:rsid w:val="43132CAB"/>
    <w:rsid w:val="43155DF1"/>
    <w:rsid w:val="431863DC"/>
    <w:rsid w:val="43201F8F"/>
    <w:rsid w:val="4323A07C"/>
    <w:rsid w:val="4335BF82"/>
    <w:rsid w:val="43569840"/>
    <w:rsid w:val="4371B786"/>
    <w:rsid w:val="43731D61"/>
    <w:rsid w:val="439611C6"/>
    <w:rsid w:val="439E8C9A"/>
    <w:rsid w:val="43A8B723"/>
    <w:rsid w:val="43CB07D7"/>
    <w:rsid w:val="43D55592"/>
    <w:rsid w:val="43D97A72"/>
    <w:rsid w:val="43DAF291"/>
    <w:rsid w:val="43E1612A"/>
    <w:rsid w:val="43E389C0"/>
    <w:rsid w:val="43E5954F"/>
    <w:rsid w:val="43EBED92"/>
    <w:rsid w:val="43F26194"/>
    <w:rsid w:val="43F946E1"/>
    <w:rsid w:val="4401CC8F"/>
    <w:rsid w:val="4404E6FF"/>
    <w:rsid w:val="44105F1C"/>
    <w:rsid w:val="44191774"/>
    <w:rsid w:val="44195525"/>
    <w:rsid w:val="441CBFAC"/>
    <w:rsid w:val="4420BBC9"/>
    <w:rsid w:val="44254F10"/>
    <w:rsid w:val="4428E4FD"/>
    <w:rsid w:val="443BFC42"/>
    <w:rsid w:val="4456433A"/>
    <w:rsid w:val="4498EA67"/>
    <w:rsid w:val="449D1654"/>
    <w:rsid w:val="449E481B"/>
    <w:rsid w:val="44AB3D03"/>
    <w:rsid w:val="44B620A3"/>
    <w:rsid w:val="44BA3A2D"/>
    <w:rsid w:val="44C63DF8"/>
    <w:rsid w:val="44D18058"/>
    <w:rsid w:val="44D4925F"/>
    <w:rsid w:val="44DC87D9"/>
    <w:rsid w:val="44F67905"/>
    <w:rsid w:val="44FC675F"/>
    <w:rsid w:val="44FF6296"/>
    <w:rsid w:val="45170E01"/>
    <w:rsid w:val="4518F50B"/>
    <w:rsid w:val="45223CFA"/>
    <w:rsid w:val="45291F5D"/>
    <w:rsid w:val="45296572"/>
    <w:rsid w:val="452A39AC"/>
    <w:rsid w:val="4538D304"/>
    <w:rsid w:val="4560991D"/>
    <w:rsid w:val="45668C64"/>
    <w:rsid w:val="45684F79"/>
    <w:rsid w:val="456C7FD1"/>
    <w:rsid w:val="457E2ECB"/>
    <w:rsid w:val="459264E2"/>
    <w:rsid w:val="4595811C"/>
    <w:rsid w:val="4599E3B9"/>
    <w:rsid w:val="459B47B5"/>
    <w:rsid w:val="45AE0DF2"/>
    <w:rsid w:val="45BE9607"/>
    <w:rsid w:val="45CC54FD"/>
    <w:rsid w:val="45D4CB38"/>
    <w:rsid w:val="45D82F02"/>
    <w:rsid w:val="45E3A7C6"/>
    <w:rsid w:val="45E6A7D2"/>
    <w:rsid w:val="46235789"/>
    <w:rsid w:val="462A0654"/>
    <w:rsid w:val="4630E565"/>
    <w:rsid w:val="4630E921"/>
    <w:rsid w:val="46444973"/>
    <w:rsid w:val="46501059"/>
    <w:rsid w:val="46520108"/>
    <w:rsid w:val="465D7022"/>
    <w:rsid w:val="46813FA3"/>
    <w:rsid w:val="468B0F4D"/>
    <w:rsid w:val="46949D92"/>
    <w:rsid w:val="469B24EC"/>
    <w:rsid w:val="46B2AA10"/>
    <w:rsid w:val="46BB30A6"/>
    <w:rsid w:val="46D30E72"/>
    <w:rsid w:val="46D43D20"/>
    <w:rsid w:val="46E36B1D"/>
    <w:rsid w:val="46EF91EC"/>
    <w:rsid w:val="46F379E3"/>
    <w:rsid w:val="470F4947"/>
    <w:rsid w:val="471CE6F1"/>
    <w:rsid w:val="47256013"/>
    <w:rsid w:val="47264DF6"/>
    <w:rsid w:val="472CA8E5"/>
    <w:rsid w:val="4730D121"/>
    <w:rsid w:val="473BBEC3"/>
    <w:rsid w:val="473F56BB"/>
    <w:rsid w:val="475C7D3A"/>
    <w:rsid w:val="4778CCD8"/>
    <w:rsid w:val="477D9F4F"/>
    <w:rsid w:val="4780FDF6"/>
    <w:rsid w:val="47938475"/>
    <w:rsid w:val="479F9186"/>
    <w:rsid w:val="47D042B8"/>
    <w:rsid w:val="47D69935"/>
    <w:rsid w:val="47F8FFBA"/>
    <w:rsid w:val="47F9CF61"/>
    <w:rsid w:val="47FDB632"/>
    <w:rsid w:val="480A3CCE"/>
    <w:rsid w:val="480FDCCD"/>
    <w:rsid w:val="4815D539"/>
    <w:rsid w:val="481AAE19"/>
    <w:rsid w:val="4826E4CC"/>
    <w:rsid w:val="48366E43"/>
    <w:rsid w:val="484D12FC"/>
    <w:rsid w:val="485670EF"/>
    <w:rsid w:val="4881C431"/>
    <w:rsid w:val="488CA926"/>
    <w:rsid w:val="4894DD12"/>
    <w:rsid w:val="489B5F6D"/>
    <w:rsid w:val="48B47FD1"/>
    <w:rsid w:val="48C38D3A"/>
    <w:rsid w:val="48D7F259"/>
    <w:rsid w:val="48DA8BF0"/>
    <w:rsid w:val="48DF5836"/>
    <w:rsid w:val="48E02DC1"/>
    <w:rsid w:val="48FD0B01"/>
    <w:rsid w:val="48FED7CD"/>
    <w:rsid w:val="48FEE5AD"/>
    <w:rsid w:val="4904A91B"/>
    <w:rsid w:val="4916679B"/>
    <w:rsid w:val="491EC793"/>
    <w:rsid w:val="492898B4"/>
    <w:rsid w:val="492D65AA"/>
    <w:rsid w:val="4935DE20"/>
    <w:rsid w:val="493A243F"/>
    <w:rsid w:val="493B4339"/>
    <w:rsid w:val="495139E9"/>
    <w:rsid w:val="495B5666"/>
    <w:rsid w:val="49696F1E"/>
    <w:rsid w:val="4970B026"/>
    <w:rsid w:val="498CC0C5"/>
    <w:rsid w:val="49908F67"/>
    <w:rsid w:val="4993FEC2"/>
    <w:rsid w:val="49AA56CC"/>
    <w:rsid w:val="49B3E4DA"/>
    <w:rsid w:val="49BA84A2"/>
    <w:rsid w:val="49C61EAF"/>
    <w:rsid w:val="49D43948"/>
    <w:rsid w:val="49EBEFB2"/>
    <w:rsid w:val="4A050A04"/>
    <w:rsid w:val="4A106FAB"/>
    <w:rsid w:val="4A144BEC"/>
    <w:rsid w:val="4A2BAE8C"/>
    <w:rsid w:val="4A35ED42"/>
    <w:rsid w:val="4A677975"/>
    <w:rsid w:val="4A6BC145"/>
    <w:rsid w:val="4A73DFBD"/>
    <w:rsid w:val="4A987361"/>
    <w:rsid w:val="4AA58BAC"/>
    <w:rsid w:val="4AA6D64C"/>
    <w:rsid w:val="4ADDB648"/>
    <w:rsid w:val="4AED2703"/>
    <w:rsid w:val="4AED3006"/>
    <w:rsid w:val="4AEE2C25"/>
    <w:rsid w:val="4B2C2665"/>
    <w:rsid w:val="4B2CE9FA"/>
    <w:rsid w:val="4B3627AC"/>
    <w:rsid w:val="4B41C8B2"/>
    <w:rsid w:val="4B60057D"/>
    <w:rsid w:val="4B63D164"/>
    <w:rsid w:val="4B7AF5EE"/>
    <w:rsid w:val="4B81E874"/>
    <w:rsid w:val="4B8EFD0D"/>
    <w:rsid w:val="4BA261C5"/>
    <w:rsid w:val="4BA38FC1"/>
    <w:rsid w:val="4BB24A4A"/>
    <w:rsid w:val="4BC1169B"/>
    <w:rsid w:val="4BCA7FD5"/>
    <w:rsid w:val="4BD0C7E1"/>
    <w:rsid w:val="4BEEE921"/>
    <w:rsid w:val="4BF930FE"/>
    <w:rsid w:val="4BF9E81C"/>
    <w:rsid w:val="4C0C245B"/>
    <w:rsid w:val="4C12E0AD"/>
    <w:rsid w:val="4C146204"/>
    <w:rsid w:val="4C170BF6"/>
    <w:rsid w:val="4C1818D7"/>
    <w:rsid w:val="4C35D723"/>
    <w:rsid w:val="4C397D9F"/>
    <w:rsid w:val="4C4819AE"/>
    <w:rsid w:val="4C4BBE32"/>
    <w:rsid w:val="4C4C00DE"/>
    <w:rsid w:val="4C4CF0DD"/>
    <w:rsid w:val="4C5180F5"/>
    <w:rsid w:val="4C6E2AEB"/>
    <w:rsid w:val="4C70DAEC"/>
    <w:rsid w:val="4C7565B7"/>
    <w:rsid w:val="4C75B8CA"/>
    <w:rsid w:val="4C8BB071"/>
    <w:rsid w:val="4CAFCD1C"/>
    <w:rsid w:val="4CB82229"/>
    <w:rsid w:val="4CC4C1F4"/>
    <w:rsid w:val="4CD3687F"/>
    <w:rsid w:val="4CD6C8CF"/>
    <w:rsid w:val="4CD8BD84"/>
    <w:rsid w:val="4CDBCA8E"/>
    <w:rsid w:val="4CF39488"/>
    <w:rsid w:val="4CF8883A"/>
    <w:rsid w:val="4D007A02"/>
    <w:rsid w:val="4D056232"/>
    <w:rsid w:val="4D3DAD10"/>
    <w:rsid w:val="4D5B0730"/>
    <w:rsid w:val="4D6A9095"/>
    <w:rsid w:val="4D6BB2D8"/>
    <w:rsid w:val="4D71332F"/>
    <w:rsid w:val="4D802FA2"/>
    <w:rsid w:val="4D81CF09"/>
    <w:rsid w:val="4D8F34C4"/>
    <w:rsid w:val="4D983310"/>
    <w:rsid w:val="4D9AAE31"/>
    <w:rsid w:val="4D9B50EB"/>
    <w:rsid w:val="4DA0CCB7"/>
    <w:rsid w:val="4DAB1693"/>
    <w:rsid w:val="4DAB9FCC"/>
    <w:rsid w:val="4DB0ABE6"/>
    <w:rsid w:val="4DB6F671"/>
    <w:rsid w:val="4DBD0119"/>
    <w:rsid w:val="4DCDE359"/>
    <w:rsid w:val="4DD28246"/>
    <w:rsid w:val="4DE68AD8"/>
    <w:rsid w:val="4E058DC6"/>
    <w:rsid w:val="4E0C89A9"/>
    <w:rsid w:val="4E195743"/>
    <w:rsid w:val="4E1DB3F9"/>
    <w:rsid w:val="4E256E01"/>
    <w:rsid w:val="4E299F21"/>
    <w:rsid w:val="4E2A24D9"/>
    <w:rsid w:val="4E2B4608"/>
    <w:rsid w:val="4E47A161"/>
    <w:rsid w:val="4E5FB533"/>
    <w:rsid w:val="4E7A7743"/>
    <w:rsid w:val="4E88D550"/>
    <w:rsid w:val="4EA7CE20"/>
    <w:rsid w:val="4EB40993"/>
    <w:rsid w:val="4EC0B823"/>
    <w:rsid w:val="4ECC2F5E"/>
    <w:rsid w:val="4ECDC0C9"/>
    <w:rsid w:val="4ED0C7C2"/>
    <w:rsid w:val="4ED9E6E6"/>
    <w:rsid w:val="4EE3D36F"/>
    <w:rsid w:val="4EFD0094"/>
    <w:rsid w:val="4EFFA653"/>
    <w:rsid w:val="4F044F7F"/>
    <w:rsid w:val="4F0C7780"/>
    <w:rsid w:val="4F0CA83F"/>
    <w:rsid w:val="4F1BDBD2"/>
    <w:rsid w:val="4F1C4517"/>
    <w:rsid w:val="4F2D8638"/>
    <w:rsid w:val="4F4F6C1C"/>
    <w:rsid w:val="4F52EF44"/>
    <w:rsid w:val="4F69FE9F"/>
    <w:rsid w:val="4F7A3338"/>
    <w:rsid w:val="4F9093CF"/>
    <w:rsid w:val="4F95323F"/>
    <w:rsid w:val="4F97B4FD"/>
    <w:rsid w:val="4FA451D6"/>
    <w:rsid w:val="4FA45BA9"/>
    <w:rsid w:val="4FAD4234"/>
    <w:rsid w:val="4FB13732"/>
    <w:rsid w:val="4FBE30D5"/>
    <w:rsid w:val="4FCE8219"/>
    <w:rsid w:val="4FD683FF"/>
    <w:rsid w:val="4FD74A16"/>
    <w:rsid w:val="4FD88EED"/>
    <w:rsid w:val="4FE2D3B1"/>
    <w:rsid w:val="4FE86427"/>
    <w:rsid w:val="4FF060CA"/>
    <w:rsid w:val="4FFCA565"/>
    <w:rsid w:val="5018E435"/>
    <w:rsid w:val="50337E06"/>
    <w:rsid w:val="503B3767"/>
    <w:rsid w:val="503EBF97"/>
    <w:rsid w:val="503FABC3"/>
    <w:rsid w:val="50509CFC"/>
    <w:rsid w:val="505873FA"/>
    <w:rsid w:val="505DB3FD"/>
    <w:rsid w:val="505E0F1B"/>
    <w:rsid w:val="5062E114"/>
    <w:rsid w:val="50772201"/>
    <w:rsid w:val="5080309F"/>
    <w:rsid w:val="5083C3CA"/>
    <w:rsid w:val="508524F3"/>
    <w:rsid w:val="508AEB92"/>
    <w:rsid w:val="508C2901"/>
    <w:rsid w:val="509F839D"/>
    <w:rsid w:val="50B9DABB"/>
    <w:rsid w:val="50BAEE93"/>
    <w:rsid w:val="50C94EE4"/>
    <w:rsid w:val="50D82E79"/>
    <w:rsid w:val="50DE7F16"/>
    <w:rsid w:val="50E2E865"/>
    <w:rsid w:val="5101AB60"/>
    <w:rsid w:val="510475AB"/>
    <w:rsid w:val="5108B158"/>
    <w:rsid w:val="51092187"/>
    <w:rsid w:val="510AB50F"/>
    <w:rsid w:val="510AF8F4"/>
    <w:rsid w:val="511DD38C"/>
    <w:rsid w:val="513819BA"/>
    <w:rsid w:val="513E42D3"/>
    <w:rsid w:val="51558A7F"/>
    <w:rsid w:val="515D598E"/>
    <w:rsid w:val="515EAD01"/>
    <w:rsid w:val="517C25AC"/>
    <w:rsid w:val="5188C840"/>
    <w:rsid w:val="5189A66D"/>
    <w:rsid w:val="5190AE89"/>
    <w:rsid w:val="5192001E"/>
    <w:rsid w:val="5194602D"/>
    <w:rsid w:val="51AABED5"/>
    <w:rsid w:val="51BAD2AE"/>
    <w:rsid w:val="51BC3552"/>
    <w:rsid w:val="51BFD51A"/>
    <w:rsid w:val="51E9870B"/>
    <w:rsid w:val="51EC2C5A"/>
    <w:rsid w:val="51F4A30B"/>
    <w:rsid w:val="51F608F9"/>
    <w:rsid w:val="51F85EF8"/>
    <w:rsid w:val="51FD1CB2"/>
    <w:rsid w:val="52108958"/>
    <w:rsid w:val="52123E95"/>
    <w:rsid w:val="522760DC"/>
    <w:rsid w:val="522896DB"/>
    <w:rsid w:val="52448C01"/>
    <w:rsid w:val="52569421"/>
    <w:rsid w:val="527EE33C"/>
    <w:rsid w:val="52877784"/>
    <w:rsid w:val="52A2D7F8"/>
    <w:rsid w:val="52A33E25"/>
    <w:rsid w:val="52AFCD91"/>
    <w:rsid w:val="52C43D76"/>
    <w:rsid w:val="52C81172"/>
    <w:rsid w:val="52CABB6A"/>
    <w:rsid w:val="52CEDA30"/>
    <w:rsid w:val="52D00696"/>
    <w:rsid w:val="52E38C46"/>
    <w:rsid w:val="530133AC"/>
    <w:rsid w:val="53120D68"/>
    <w:rsid w:val="5312DEB8"/>
    <w:rsid w:val="53163ECE"/>
    <w:rsid w:val="531DBC9D"/>
    <w:rsid w:val="531F1612"/>
    <w:rsid w:val="5320CC7D"/>
    <w:rsid w:val="532CCA69"/>
    <w:rsid w:val="533BB045"/>
    <w:rsid w:val="534467F9"/>
    <w:rsid w:val="5349A7F1"/>
    <w:rsid w:val="5350EBEB"/>
    <w:rsid w:val="5351FBC2"/>
    <w:rsid w:val="53561576"/>
    <w:rsid w:val="535E2E83"/>
    <w:rsid w:val="535E33BA"/>
    <w:rsid w:val="53615B2E"/>
    <w:rsid w:val="53836DD8"/>
    <w:rsid w:val="5387DBF8"/>
    <w:rsid w:val="53A393CC"/>
    <w:rsid w:val="53A496F3"/>
    <w:rsid w:val="53BEBBCC"/>
    <w:rsid w:val="53CD5A81"/>
    <w:rsid w:val="53D02905"/>
    <w:rsid w:val="53D37BB2"/>
    <w:rsid w:val="53D622AC"/>
    <w:rsid w:val="53DE591D"/>
    <w:rsid w:val="53E98920"/>
    <w:rsid w:val="53F7C3C3"/>
    <w:rsid w:val="53FC84D5"/>
    <w:rsid w:val="54000697"/>
    <w:rsid w:val="5403901B"/>
    <w:rsid w:val="54064AB6"/>
    <w:rsid w:val="5411FD04"/>
    <w:rsid w:val="541B10B3"/>
    <w:rsid w:val="543D7D2C"/>
    <w:rsid w:val="543D9730"/>
    <w:rsid w:val="544533C2"/>
    <w:rsid w:val="54596A24"/>
    <w:rsid w:val="54612910"/>
    <w:rsid w:val="5468C1CB"/>
    <w:rsid w:val="5469305B"/>
    <w:rsid w:val="5476E5E9"/>
    <w:rsid w:val="54791F60"/>
    <w:rsid w:val="54A190D3"/>
    <w:rsid w:val="54B1FB20"/>
    <w:rsid w:val="54BB7E93"/>
    <w:rsid w:val="54F0420E"/>
    <w:rsid w:val="54F06674"/>
    <w:rsid w:val="54FA76FB"/>
    <w:rsid w:val="552053DF"/>
    <w:rsid w:val="5537DC49"/>
    <w:rsid w:val="5539FBB5"/>
    <w:rsid w:val="5541F801"/>
    <w:rsid w:val="556364EA"/>
    <w:rsid w:val="556CB798"/>
    <w:rsid w:val="558BE407"/>
    <w:rsid w:val="558D9D06"/>
    <w:rsid w:val="55A42398"/>
    <w:rsid w:val="55B040BA"/>
    <w:rsid w:val="55BDE6DF"/>
    <w:rsid w:val="55C2A0E2"/>
    <w:rsid w:val="55D32AF6"/>
    <w:rsid w:val="55D3F2A1"/>
    <w:rsid w:val="55D6BC60"/>
    <w:rsid w:val="55DF96F7"/>
    <w:rsid w:val="55F66639"/>
    <w:rsid w:val="55F744A6"/>
    <w:rsid w:val="55FA2653"/>
    <w:rsid w:val="561B8175"/>
    <w:rsid w:val="5664A462"/>
    <w:rsid w:val="56661D3D"/>
    <w:rsid w:val="56665E5E"/>
    <w:rsid w:val="566C4812"/>
    <w:rsid w:val="5673932D"/>
    <w:rsid w:val="567611A4"/>
    <w:rsid w:val="567C857A"/>
    <w:rsid w:val="567D90A4"/>
    <w:rsid w:val="56843730"/>
    <w:rsid w:val="56C5FC01"/>
    <w:rsid w:val="56D80F68"/>
    <w:rsid w:val="56E79BE9"/>
    <w:rsid w:val="56E79E93"/>
    <w:rsid w:val="56EA14B8"/>
    <w:rsid w:val="56EE054F"/>
    <w:rsid w:val="56F25C6C"/>
    <w:rsid w:val="57091B69"/>
    <w:rsid w:val="570F07B8"/>
    <w:rsid w:val="571BBB91"/>
    <w:rsid w:val="571F7967"/>
    <w:rsid w:val="5756A083"/>
    <w:rsid w:val="576785A0"/>
    <w:rsid w:val="577AAAB2"/>
    <w:rsid w:val="577FB3EF"/>
    <w:rsid w:val="5785C32B"/>
    <w:rsid w:val="578B42D9"/>
    <w:rsid w:val="579CD83F"/>
    <w:rsid w:val="57AA5C01"/>
    <w:rsid w:val="57ADFA4B"/>
    <w:rsid w:val="57B75384"/>
    <w:rsid w:val="57BCF007"/>
    <w:rsid w:val="57C36493"/>
    <w:rsid w:val="57C91099"/>
    <w:rsid w:val="57CA4394"/>
    <w:rsid w:val="57CEBABE"/>
    <w:rsid w:val="57DA5D2B"/>
    <w:rsid w:val="57EAD95B"/>
    <w:rsid w:val="57EDBC42"/>
    <w:rsid w:val="57EE6BD5"/>
    <w:rsid w:val="57F8E55A"/>
    <w:rsid w:val="580723FA"/>
    <w:rsid w:val="581161FF"/>
    <w:rsid w:val="581F7785"/>
    <w:rsid w:val="5830C2D2"/>
    <w:rsid w:val="5831476A"/>
    <w:rsid w:val="5839D8A7"/>
    <w:rsid w:val="583C3765"/>
    <w:rsid w:val="58454A87"/>
    <w:rsid w:val="58677AE0"/>
    <w:rsid w:val="586929A7"/>
    <w:rsid w:val="586F42D7"/>
    <w:rsid w:val="58755182"/>
    <w:rsid w:val="5877677E"/>
    <w:rsid w:val="588AD5DA"/>
    <w:rsid w:val="588EB57A"/>
    <w:rsid w:val="58ABA64C"/>
    <w:rsid w:val="58AF4E20"/>
    <w:rsid w:val="58AFCFE7"/>
    <w:rsid w:val="58B6E70C"/>
    <w:rsid w:val="58C6BEA6"/>
    <w:rsid w:val="58EC1852"/>
    <w:rsid w:val="58FD9A63"/>
    <w:rsid w:val="58FF53C0"/>
    <w:rsid w:val="59075325"/>
    <w:rsid w:val="590F4C9B"/>
    <w:rsid w:val="591B2160"/>
    <w:rsid w:val="593EF8FE"/>
    <w:rsid w:val="594242DF"/>
    <w:rsid w:val="594BE4D4"/>
    <w:rsid w:val="5959E2D2"/>
    <w:rsid w:val="596B9F4C"/>
    <w:rsid w:val="5974C338"/>
    <w:rsid w:val="597E37F5"/>
    <w:rsid w:val="59843DB5"/>
    <w:rsid w:val="5986CF98"/>
    <w:rsid w:val="5987B144"/>
    <w:rsid w:val="59933D14"/>
    <w:rsid w:val="59A10603"/>
    <w:rsid w:val="59A25770"/>
    <w:rsid w:val="59B47B15"/>
    <w:rsid w:val="59BFB53C"/>
    <w:rsid w:val="59CDD987"/>
    <w:rsid w:val="59D64BF7"/>
    <w:rsid w:val="59D6AE7B"/>
    <w:rsid w:val="59DB40CD"/>
    <w:rsid w:val="5A05955C"/>
    <w:rsid w:val="5A188EE1"/>
    <w:rsid w:val="5A1EE918"/>
    <w:rsid w:val="5A36F54E"/>
    <w:rsid w:val="5A3A16A8"/>
    <w:rsid w:val="5A3E5B0C"/>
    <w:rsid w:val="5A53769B"/>
    <w:rsid w:val="5A59A62B"/>
    <w:rsid w:val="5A5CDD49"/>
    <w:rsid w:val="5A6CDBF7"/>
    <w:rsid w:val="5A6D7314"/>
    <w:rsid w:val="5A8531E4"/>
    <w:rsid w:val="5A853F3B"/>
    <w:rsid w:val="5A9B704B"/>
    <w:rsid w:val="5AA270A5"/>
    <w:rsid w:val="5AAE495A"/>
    <w:rsid w:val="5AB0ADB4"/>
    <w:rsid w:val="5AB3AE23"/>
    <w:rsid w:val="5ABAF0D2"/>
    <w:rsid w:val="5ABB3803"/>
    <w:rsid w:val="5AC48C54"/>
    <w:rsid w:val="5AC7BE2D"/>
    <w:rsid w:val="5AC815DA"/>
    <w:rsid w:val="5AD5B083"/>
    <w:rsid w:val="5ADAA7B0"/>
    <w:rsid w:val="5ADDA67B"/>
    <w:rsid w:val="5AEB0EA9"/>
    <w:rsid w:val="5AF583C8"/>
    <w:rsid w:val="5AFA1E4F"/>
    <w:rsid w:val="5B00047B"/>
    <w:rsid w:val="5B057EDF"/>
    <w:rsid w:val="5B13A24D"/>
    <w:rsid w:val="5B2F4D93"/>
    <w:rsid w:val="5B43787A"/>
    <w:rsid w:val="5B4A272A"/>
    <w:rsid w:val="5B51EDBD"/>
    <w:rsid w:val="5B54E89A"/>
    <w:rsid w:val="5B6777B3"/>
    <w:rsid w:val="5B67FA34"/>
    <w:rsid w:val="5B6AD9F0"/>
    <w:rsid w:val="5B74225B"/>
    <w:rsid w:val="5B7B5709"/>
    <w:rsid w:val="5B80370C"/>
    <w:rsid w:val="5B80A9C8"/>
    <w:rsid w:val="5B83207D"/>
    <w:rsid w:val="5B859E15"/>
    <w:rsid w:val="5B8C0A59"/>
    <w:rsid w:val="5B8D9968"/>
    <w:rsid w:val="5B9A1D64"/>
    <w:rsid w:val="5B9A46D3"/>
    <w:rsid w:val="5B9B723C"/>
    <w:rsid w:val="5BA57E36"/>
    <w:rsid w:val="5BA8E4B8"/>
    <w:rsid w:val="5BAF171D"/>
    <w:rsid w:val="5BBB4997"/>
    <w:rsid w:val="5BECE0AC"/>
    <w:rsid w:val="5BED95A6"/>
    <w:rsid w:val="5BF71EF6"/>
    <w:rsid w:val="5BFCB60F"/>
    <w:rsid w:val="5C0AE752"/>
    <w:rsid w:val="5C12CA21"/>
    <w:rsid w:val="5C13CA5A"/>
    <w:rsid w:val="5C1631B4"/>
    <w:rsid w:val="5C1D63FA"/>
    <w:rsid w:val="5C250007"/>
    <w:rsid w:val="5C30AA9D"/>
    <w:rsid w:val="5C3D1BAE"/>
    <w:rsid w:val="5C4803C0"/>
    <w:rsid w:val="5C55E7B5"/>
    <w:rsid w:val="5C6D88C2"/>
    <w:rsid w:val="5C728670"/>
    <w:rsid w:val="5C7976DC"/>
    <w:rsid w:val="5C7A2B7E"/>
    <w:rsid w:val="5C93444E"/>
    <w:rsid w:val="5C937632"/>
    <w:rsid w:val="5CC0BDA8"/>
    <w:rsid w:val="5CCBFF95"/>
    <w:rsid w:val="5CCEA324"/>
    <w:rsid w:val="5CE70312"/>
    <w:rsid w:val="5CE8F882"/>
    <w:rsid w:val="5CF0A233"/>
    <w:rsid w:val="5CF3053F"/>
    <w:rsid w:val="5CFCE2B6"/>
    <w:rsid w:val="5CFF9BA6"/>
    <w:rsid w:val="5D06AA4D"/>
    <w:rsid w:val="5D0DFCCD"/>
    <w:rsid w:val="5D10E0EB"/>
    <w:rsid w:val="5D15B7CF"/>
    <w:rsid w:val="5D206E33"/>
    <w:rsid w:val="5D2CEB2B"/>
    <w:rsid w:val="5D30F62E"/>
    <w:rsid w:val="5D328767"/>
    <w:rsid w:val="5D33B5D1"/>
    <w:rsid w:val="5D377E6A"/>
    <w:rsid w:val="5D37A592"/>
    <w:rsid w:val="5D3CF21A"/>
    <w:rsid w:val="5D535686"/>
    <w:rsid w:val="5D713EEF"/>
    <w:rsid w:val="5D7795CD"/>
    <w:rsid w:val="5D7D46AD"/>
    <w:rsid w:val="5D81B611"/>
    <w:rsid w:val="5D930CE5"/>
    <w:rsid w:val="5DAE0334"/>
    <w:rsid w:val="5DB15EE7"/>
    <w:rsid w:val="5DBA4086"/>
    <w:rsid w:val="5DBE1D86"/>
    <w:rsid w:val="5DC2185C"/>
    <w:rsid w:val="5DC76753"/>
    <w:rsid w:val="5DD0F882"/>
    <w:rsid w:val="5DEAD564"/>
    <w:rsid w:val="5DF1F349"/>
    <w:rsid w:val="5DF9A233"/>
    <w:rsid w:val="5E252F5B"/>
    <w:rsid w:val="5E255FF1"/>
    <w:rsid w:val="5E42D09E"/>
    <w:rsid w:val="5E42F461"/>
    <w:rsid w:val="5E487F3E"/>
    <w:rsid w:val="5E5310A5"/>
    <w:rsid w:val="5E6A6FC7"/>
    <w:rsid w:val="5E7D01CE"/>
    <w:rsid w:val="5E823E11"/>
    <w:rsid w:val="5E8737D3"/>
    <w:rsid w:val="5E9C8100"/>
    <w:rsid w:val="5EC2812D"/>
    <w:rsid w:val="5EC693D7"/>
    <w:rsid w:val="5EC72E70"/>
    <w:rsid w:val="5ED76449"/>
    <w:rsid w:val="5EDF4EF7"/>
    <w:rsid w:val="5EEB8081"/>
    <w:rsid w:val="5EED9D59"/>
    <w:rsid w:val="5EF28670"/>
    <w:rsid w:val="5EF8DD58"/>
    <w:rsid w:val="5F108F2D"/>
    <w:rsid w:val="5F162FCF"/>
    <w:rsid w:val="5F29E6D8"/>
    <w:rsid w:val="5F2AB7C8"/>
    <w:rsid w:val="5F2E3409"/>
    <w:rsid w:val="5F2F53F5"/>
    <w:rsid w:val="5F3AC2DB"/>
    <w:rsid w:val="5F3CF81E"/>
    <w:rsid w:val="5F4F8DB3"/>
    <w:rsid w:val="5F553A12"/>
    <w:rsid w:val="5F5F3EF8"/>
    <w:rsid w:val="5F5FDA69"/>
    <w:rsid w:val="5F990C64"/>
    <w:rsid w:val="5F999B79"/>
    <w:rsid w:val="5FA54A5E"/>
    <w:rsid w:val="5FAE477C"/>
    <w:rsid w:val="5FB6DBEA"/>
    <w:rsid w:val="5FBDC599"/>
    <w:rsid w:val="5FBFD35A"/>
    <w:rsid w:val="5FC8915C"/>
    <w:rsid w:val="5FC8E6C1"/>
    <w:rsid w:val="5FD402CC"/>
    <w:rsid w:val="5FD7AF41"/>
    <w:rsid w:val="5FE38E22"/>
    <w:rsid w:val="5FFAD2D1"/>
    <w:rsid w:val="600685CB"/>
    <w:rsid w:val="600DF8CA"/>
    <w:rsid w:val="60351CD1"/>
    <w:rsid w:val="6035912E"/>
    <w:rsid w:val="6052B769"/>
    <w:rsid w:val="6059CB25"/>
    <w:rsid w:val="6073E863"/>
    <w:rsid w:val="6082362F"/>
    <w:rsid w:val="6084D450"/>
    <w:rsid w:val="608D975B"/>
    <w:rsid w:val="609AF1DF"/>
    <w:rsid w:val="60AF18ED"/>
    <w:rsid w:val="60B96664"/>
    <w:rsid w:val="60C43A70"/>
    <w:rsid w:val="60C9A95D"/>
    <w:rsid w:val="60D5E7BE"/>
    <w:rsid w:val="60E52E0E"/>
    <w:rsid w:val="60EC2685"/>
    <w:rsid w:val="610119E1"/>
    <w:rsid w:val="61019DD0"/>
    <w:rsid w:val="610B060A"/>
    <w:rsid w:val="6112FEDF"/>
    <w:rsid w:val="61176EFA"/>
    <w:rsid w:val="611980E3"/>
    <w:rsid w:val="611FFAE4"/>
    <w:rsid w:val="61229210"/>
    <w:rsid w:val="613ABAAA"/>
    <w:rsid w:val="61406449"/>
    <w:rsid w:val="614C59C3"/>
    <w:rsid w:val="614E9B35"/>
    <w:rsid w:val="615A003A"/>
    <w:rsid w:val="6176DA28"/>
    <w:rsid w:val="617BBCF1"/>
    <w:rsid w:val="617DF9EE"/>
    <w:rsid w:val="61800A50"/>
    <w:rsid w:val="6184DB6F"/>
    <w:rsid w:val="6189B179"/>
    <w:rsid w:val="618C51BB"/>
    <w:rsid w:val="6190B5DF"/>
    <w:rsid w:val="619264FF"/>
    <w:rsid w:val="6196E6BB"/>
    <w:rsid w:val="61A7F92C"/>
    <w:rsid w:val="61AA0D34"/>
    <w:rsid w:val="61AA2C5C"/>
    <w:rsid w:val="61B4621D"/>
    <w:rsid w:val="61C461A8"/>
    <w:rsid w:val="61D21F6D"/>
    <w:rsid w:val="61D41220"/>
    <w:rsid w:val="61E8233D"/>
    <w:rsid w:val="61E98801"/>
    <w:rsid w:val="61F10FE5"/>
    <w:rsid w:val="61F48DB3"/>
    <w:rsid w:val="61F97E86"/>
    <w:rsid w:val="620B6E93"/>
    <w:rsid w:val="6217FD08"/>
    <w:rsid w:val="62319B2A"/>
    <w:rsid w:val="62356D3A"/>
    <w:rsid w:val="6239B1CA"/>
    <w:rsid w:val="624B482E"/>
    <w:rsid w:val="6260F5CB"/>
    <w:rsid w:val="626103B2"/>
    <w:rsid w:val="62926100"/>
    <w:rsid w:val="629449DA"/>
    <w:rsid w:val="629CEB87"/>
    <w:rsid w:val="62B8ADE3"/>
    <w:rsid w:val="62BC53DE"/>
    <w:rsid w:val="62BF1094"/>
    <w:rsid w:val="62C3A31C"/>
    <w:rsid w:val="62C47955"/>
    <w:rsid w:val="62CEEF38"/>
    <w:rsid w:val="62CF9680"/>
    <w:rsid w:val="62D63F20"/>
    <w:rsid w:val="62F709B8"/>
    <w:rsid w:val="62FC92BD"/>
    <w:rsid w:val="630CFCE0"/>
    <w:rsid w:val="6311962D"/>
    <w:rsid w:val="6315513B"/>
    <w:rsid w:val="631605AE"/>
    <w:rsid w:val="631F65BF"/>
    <w:rsid w:val="632E8F4E"/>
    <w:rsid w:val="632F25F3"/>
    <w:rsid w:val="6330FD15"/>
    <w:rsid w:val="633C4667"/>
    <w:rsid w:val="634814E2"/>
    <w:rsid w:val="635ABCF5"/>
    <w:rsid w:val="6368396B"/>
    <w:rsid w:val="636B50D9"/>
    <w:rsid w:val="636E7928"/>
    <w:rsid w:val="637A71C8"/>
    <w:rsid w:val="638EE10B"/>
    <w:rsid w:val="63916320"/>
    <w:rsid w:val="63947E8D"/>
    <w:rsid w:val="6397C880"/>
    <w:rsid w:val="63986E4E"/>
    <w:rsid w:val="639EE2B9"/>
    <w:rsid w:val="63AA4C9C"/>
    <w:rsid w:val="63B4B1EE"/>
    <w:rsid w:val="63B5D3DE"/>
    <w:rsid w:val="63B6140A"/>
    <w:rsid w:val="63CFA515"/>
    <w:rsid w:val="63D5ADBD"/>
    <w:rsid w:val="63DB954D"/>
    <w:rsid w:val="63E55403"/>
    <w:rsid w:val="63E7D5FE"/>
    <w:rsid w:val="63EB00E1"/>
    <w:rsid w:val="63F080A6"/>
    <w:rsid w:val="63F11053"/>
    <w:rsid w:val="63F3B1DF"/>
    <w:rsid w:val="6401A582"/>
    <w:rsid w:val="64068CFF"/>
    <w:rsid w:val="6406E1DA"/>
    <w:rsid w:val="64141D83"/>
    <w:rsid w:val="6429B405"/>
    <w:rsid w:val="6448E6BB"/>
    <w:rsid w:val="644F1B41"/>
    <w:rsid w:val="6470D372"/>
    <w:rsid w:val="64C2C9E4"/>
    <w:rsid w:val="64C38A10"/>
    <w:rsid w:val="64CBE955"/>
    <w:rsid w:val="64F1764D"/>
    <w:rsid w:val="64F80694"/>
    <w:rsid w:val="64F8A5FF"/>
    <w:rsid w:val="651CB750"/>
    <w:rsid w:val="6540CAD1"/>
    <w:rsid w:val="6550B479"/>
    <w:rsid w:val="656181EE"/>
    <w:rsid w:val="656ADC92"/>
    <w:rsid w:val="656C4E6C"/>
    <w:rsid w:val="656ED707"/>
    <w:rsid w:val="657E057A"/>
    <w:rsid w:val="65947833"/>
    <w:rsid w:val="65981993"/>
    <w:rsid w:val="6598C20A"/>
    <w:rsid w:val="65AC9CA4"/>
    <w:rsid w:val="65B327F5"/>
    <w:rsid w:val="65B3E8D3"/>
    <w:rsid w:val="65D37EFE"/>
    <w:rsid w:val="65DE73D7"/>
    <w:rsid w:val="65E804C7"/>
    <w:rsid w:val="65EBC00B"/>
    <w:rsid w:val="65FB8B20"/>
    <w:rsid w:val="660DFEB9"/>
    <w:rsid w:val="661D768B"/>
    <w:rsid w:val="66210EE9"/>
    <w:rsid w:val="66271D30"/>
    <w:rsid w:val="663D5C5F"/>
    <w:rsid w:val="66661A5A"/>
    <w:rsid w:val="667004B6"/>
    <w:rsid w:val="66721793"/>
    <w:rsid w:val="6677373C"/>
    <w:rsid w:val="667E829C"/>
    <w:rsid w:val="669DDAF9"/>
    <w:rsid w:val="66A9163C"/>
    <w:rsid w:val="66B2AB42"/>
    <w:rsid w:val="66CEE0D9"/>
    <w:rsid w:val="66DBD188"/>
    <w:rsid w:val="66E7F17C"/>
    <w:rsid w:val="672277BF"/>
    <w:rsid w:val="67329A71"/>
    <w:rsid w:val="67534F53"/>
    <w:rsid w:val="675D9C1D"/>
    <w:rsid w:val="676BD8D9"/>
    <w:rsid w:val="6770EABF"/>
    <w:rsid w:val="677D6852"/>
    <w:rsid w:val="678BC17E"/>
    <w:rsid w:val="67A0591D"/>
    <w:rsid w:val="67AC34EE"/>
    <w:rsid w:val="67C52785"/>
    <w:rsid w:val="67C5BF5F"/>
    <w:rsid w:val="67E625E0"/>
    <w:rsid w:val="67FDDB8D"/>
    <w:rsid w:val="68027BC3"/>
    <w:rsid w:val="68083424"/>
    <w:rsid w:val="68358659"/>
    <w:rsid w:val="68564573"/>
    <w:rsid w:val="68607F9D"/>
    <w:rsid w:val="6870F95C"/>
    <w:rsid w:val="6871EB9C"/>
    <w:rsid w:val="68759443"/>
    <w:rsid w:val="687820E0"/>
    <w:rsid w:val="68B1E1F8"/>
    <w:rsid w:val="68C22C91"/>
    <w:rsid w:val="68CF50C9"/>
    <w:rsid w:val="68D80459"/>
    <w:rsid w:val="68DCE839"/>
    <w:rsid w:val="68EC28EF"/>
    <w:rsid w:val="68F96CA5"/>
    <w:rsid w:val="692061BC"/>
    <w:rsid w:val="69349217"/>
    <w:rsid w:val="693C2C8E"/>
    <w:rsid w:val="693D2C5D"/>
    <w:rsid w:val="69424DB1"/>
    <w:rsid w:val="69438F0A"/>
    <w:rsid w:val="69533111"/>
    <w:rsid w:val="6961DB53"/>
    <w:rsid w:val="69643C38"/>
    <w:rsid w:val="6980E993"/>
    <w:rsid w:val="6999227B"/>
    <w:rsid w:val="699C8F7D"/>
    <w:rsid w:val="699CFB00"/>
    <w:rsid w:val="69B29BAA"/>
    <w:rsid w:val="69B807DF"/>
    <w:rsid w:val="69B9DA19"/>
    <w:rsid w:val="69CCE337"/>
    <w:rsid w:val="69DCAA16"/>
    <w:rsid w:val="69FF79F3"/>
    <w:rsid w:val="6A0E1BE2"/>
    <w:rsid w:val="6A0F1331"/>
    <w:rsid w:val="6A26F0B6"/>
    <w:rsid w:val="6A2D6E00"/>
    <w:rsid w:val="6A55C0B4"/>
    <w:rsid w:val="6A5AE832"/>
    <w:rsid w:val="6A81B511"/>
    <w:rsid w:val="6A83C63B"/>
    <w:rsid w:val="6AA0D766"/>
    <w:rsid w:val="6AA55334"/>
    <w:rsid w:val="6AA961DB"/>
    <w:rsid w:val="6AACEAF9"/>
    <w:rsid w:val="6ABD8925"/>
    <w:rsid w:val="6AC2136C"/>
    <w:rsid w:val="6AD0D4BB"/>
    <w:rsid w:val="6AD193F8"/>
    <w:rsid w:val="6ADEB58A"/>
    <w:rsid w:val="6AE9B2AB"/>
    <w:rsid w:val="6B030A19"/>
    <w:rsid w:val="6B0504CB"/>
    <w:rsid w:val="6B060179"/>
    <w:rsid w:val="6B1A4750"/>
    <w:rsid w:val="6B1C4CC9"/>
    <w:rsid w:val="6B21662F"/>
    <w:rsid w:val="6B243210"/>
    <w:rsid w:val="6B279A19"/>
    <w:rsid w:val="6B3DC261"/>
    <w:rsid w:val="6B4CFA35"/>
    <w:rsid w:val="6B4DF9C5"/>
    <w:rsid w:val="6B5C7EB5"/>
    <w:rsid w:val="6B6D9F47"/>
    <w:rsid w:val="6B9B9C63"/>
    <w:rsid w:val="6BB074B1"/>
    <w:rsid w:val="6BB1055F"/>
    <w:rsid w:val="6BC69FDC"/>
    <w:rsid w:val="6BC8BC19"/>
    <w:rsid w:val="6BE307F6"/>
    <w:rsid w:val="6BE6D1BB"/>
    <w:rsid w:val="6BEB189D"/>
    <w:rsid w:val="6C061D5C"/>
    <w:rsid w:val="6C0673F1"/>
    <w:rsid w:val="6C29EF68"/>
    <w:rsid w:val="6C343EBE"/>
    <w:rsid w:val="6C3FD1D6"/>
    <w:rsid w:val="6C41316F"/>
    <w:rsid w:val="6C489188"/>
    <w:rsid w:val="6C4F874C"/>
    <w:rsid w:val="6C53BEC2"/>
    <w:rsid w:val="6C55EA41"/>
    <w:rsid w:val="6C59A13E"/>
    <w:rsid w:val="6C5DB019"/>
    <w:rsid w:val="6C70C11D"/>
    <w:rsid w:val="6C751385"/>
    <w:rsid w:val="6C8F652F"/>
    <w:rsid w:val="6C91A1C7"/>
    <w:rsid w:val="6C9D24DC"/>
    <w:rsid w:val="6CA3459C"/>
    <w:rsid w:val="6CA6E127"/>
    <w:rsid w:val="6CB194CD"/>
    <w:rsid w:val="6CB42443"/>
    <w:rsid w:val="6CB74D30"/>
    <w:rsid w:val="6CDF7956"/>
    <w:rsid w:val="6CE421F0"/>
    <w:rsid w:val="6CE423B1"/>
    <w:rsid w:val="6CE533F7"/>
    <w:rsid w:val="6D0D5042"/>
    <w:rsid w:val="6D156594"/>
    <w:rsid w:val="6D18D414"/>
    <w:rsid w:val="6D23D5D0"/>
    <w:rsid w:val="6D2CA4BB"/>
    <w:rsid w:val="6D3837D4"/>
    <w:rsid w:val="6D3F21AB"/>
    <w:rsid w:val="6D3FABC5"/>
    <w:rsid w:val="6D4604B9"/>
    <w:rsid w:val="6D6FCBFF"/>
    <w:rsid w:val="6D7FC6E6"/>
    <w:rsid w:val="6D9FD730"/>
    <w:rsid w:val="6DA60C3E"/>
    <w:rsid w:val="6DC3D3F4"/>
    <w:rsid w:val="6DC728E9"/>
    <w:rsid w:val="6DEE82CE"/>
    <w:rsid w:val="6E14B2BD"/>
    <w:rsid w:val="6E1D53EA"/>
    <w:rsid w:val="6E2842FE"/>
    <w:rsid w:val="6E2E20A8"/>
    <w:rsid w:val="6E2E71F9"/>
    <w:rsid w:val="6E3A464D"/>
    <w:rsid w:val="6E46550D"/>
    <w:rsid w:val="6E59F9D3"/>
    <w:rsid w:val="6E6387E1"/>
    <w:rsid w:val="6E670EEE"/>
    <w:rsid w:val="6E710221"/>
    <w:rsid w:val="6E871759"/>
    <w:rsid w:val="6E8D5391"/>
    <w:rsid w:val="6E8E6A06"/>
    <w:rsid w:val="6E921DD4"/>
    <w:rsid w:val="6E9426E6"/>
    <w:rsid w:val="6E9ED7B5"/>
    <w:rsid w:val="6EA1A1D3"/>
    <w:rsid w:val="6EACBBB9"/>
    <w:rsid w:val="6EAD6B95"/>
    <w:rsid w:val="6EC01F4A"/>
    <w:rsid w:val="6EE384EB"/>
    <w:rsid w:val="6EEC392A"/>
    <w:rsid w:val="6EEE7136"/>
    <w:rsid w:val="6EF55D2B"/>
    <w:rsid w:val="6EF62FD2"/>
    <w:rsid w:val="6F06BC71"/>
    <w:rsid w:val="6F1B1B35"/>
    <w:rsid w:val="6F1DD64A"/>
    <w:rsid w:val="6F41E111"/>
    <w:rsid w:val="6F45404F"/>
    <w:rsid w:val="6F4D551F"/>
    <w:rsid w:val="6F5271A9"/>
    <w:rsid w:val="6F5CD5C8"/>
    <w:rsid w:val="6F6231B8"/>
    <w:rsid w:val="6F62F31B"/>
    <w:rsid w:val="6F6C1D3D"/>
    <w:rsid w:val="6F6D0F5F"/>
    <w:rsid w:val="6F84BABD"/>
    <w:rsid w:val="6F899343"/>
    <w:rsid w:val="6F8E433E"/>
    <w:rsid w:val="6F94009D"/>
    <w:rsid w:val="6FA06C0A"/>
    <w:rsid w:val="6FB752E0"/>
    <w:rsid w:val="6FCB4C96"/>
    <w:rsid w:val="6FCBF44C"/>
    <w:rsid w:val="6FCCF6D4"/>
    <w:rsid w:val="6FDFA3B5"/>
    <w:rsid w:val="6FE125A1"/>
    <w:rsid w:val="6FEC2293"/>
    <w:rsid w:val="6FED6FB3"/>
    <w:rsid w:val="6FF2CFAF"/>
    <w:rsid w:val="6FFA6008"/>
    <w:rsid w:val="6FFDB23F"/>
    <w:rsid w:val="7000962B"/>
    <w:rsid w:val="700C7BF4"/>
    <w:rsid w:val="7015DF4C"/>
    <w:rsid w:val="7022E620"/>
    <w:rsid w:val="702EF1DC"/>
    <w:rsid w:val="7032133D"/>
    <w:rsid w:val="7038C469"/>
    <w:rsid w:val="703E11DA"/>
    <w:rsid w:val="70502D27"/>
    <w:rsid w:val="7052E5F8"/>
    <w:rsid w:val="7053FA8C"/>
    <w:rsid w:val="7057408B"/>
    <w:rsid w:val="705B3B7E"/>
    <w:rsid w:val="70615141"/>
    <w:rsid w:val="706A523D"/>
    <w:rsid w:val="70711EFF"/>
    <w:rsid w:val="7071D9B1"/>
    <w:rsid w:val="708D5412"/>
    <w:rsid w:val="708EC791"/>
    <w:rsid w:val="709BC6E6"/>
    <w:rsid w:val="70AA5962"/>
    <w:rsid w:val="70B1CCB5"/>
    <w:rsid w:val="70B94C89"/>
    <w:rsid w:val="70E4A6F4"/>
    <w:rsid w:val="70EFD1B8"/>
    <w:rsid w:val="70FB3D55"/>
    <w:rsid w:val="7101E997"/>
    <w:rsid w:val="710FB925"/>
    <w:rsid w:val="71116034"/>
    <w:rsid w:val="71449C89"/>
    <w:rsid w:val="71613BF2"/>
    <w:rsid w:val="717BCDA7"/>
    <w:rsid w:val="7199E9A0"/>
    <w:rsid w:val="7199F6CE"/>
    <w:rsid w:val="719BF284"/>
    <w:rsid w:val="71AA92CA"/>
    <w:rsid w:val="71BA17B5"/>
    <w:rsid w:val="71C300D3"/>
    <w:rsid w:val="71C405AD"/>
    <w:rsid w:val="71CEA43D"/>
    <w:rsid w:val="71CFF352"/>
    <w:rsid w:val="71D05C4E"/>
    <w:rsid w:val="71DC2D10"/>
    <w:rsid w:val="71DDA5B5"/>
    <w:rsid w:val="71E77D8A"/>
    <w:rsid w:val="71F6A72B"/>
    <w:rsid w:val="72102A25"/>
    <w:rsid w:val="72163883"/>
    <w:rsid w:val="7217FF7C"/>
    <w:rsid w:val="722B5006"/>
    <w:rsid w:val="722D5E34"/>
    <w:rsid w:val="723744CA"/>
    <w:rsid w:val="723DCCA1"/>
    <w:rsid w:val="72479BEB"/>
    <w:rsid w:val="725F7387"/>
    <w:rsid w:val="7266AABD"/>
    <w:rsid w:val="72951923"/>
    <w:rsid w:val="72B11DC1"/>
    <w:rsid w:val="72B1C99C"/>
    <w:rsid w:val="72BC4959"/>
    <w:rsid w:val="72C85558"/>
    <w:rsid w:val="72D4A7C8"/>
    <w:rsid w:val="72D69DFC"/>
    <w:rsid w:val="72DB66E6"/>
    <w:rsid w:val="72DDD6A1"/>
    <w:rsid w:val="72E8D378"/>
    <w:rsid w:val="72EC2DF3"/>
    <w:rsid w:val="730A29D6"/>
    <w:rsid w:val="730F0AEA"/>
    <w:rsid w:val="731AB5C2"/>
    <w:rsid w:val="732119DD"/>
    <w:rsid w:val="73213CE3"/>
    <w:rsid w:val="73347460"/>
    <w:rsid w:val="7345D809"/>
    <w:rsid w:val="734DE282"/>
    <w:rsid w:val="73510FDD"/>
    <w:rsid w:val="7357405C"/>
    <w:rsid w:val="736C9C07"/>
    <w:rsid w:val="7374C04C"/>
    <w:rsid w:val="737F1188"/>
    <w:rsid w:val="7389D58E"/>
    <w:rsid w:val="73956286"/>
    <w:rsid w:val="73984139"/>
    <w:rsid w:val="739FF164"/>
    <w:rsid w:val="73B34514"/>
    <w:rsid w:val="73B9039F"/>
    <w:rsid w:val="73BD2C16"/>
    <w:rsid w:val="73CA72F0"/>
    <w:rsid w:val="73CFDB0C"/>
    <w:rsid w:val="73DD8A62"/>
    <w:rsid w:val="73EBD980"/>
    <w:rsid w:val="73F30F2D"/>
    <w:rsid w:val="73F537A6"/>
    <w:rsid w:val="7401F0C7"/>
    <w:rsid w:val="740C5600"/>
    <w:rsid w:val="742274B2"/>
    <w:rsid w:val="7432EFB5"/>
    <w:rsid w:val="7438349D"/>
    <w:rsid w:val="743F8ED4"/>
    <w:rsid w:val="744EFF79"/>
    <w:rsid w:val="74591CBE"/>
    <w:rsid w:val="7467CA75"/>
    <w:rsid w:val="746F392F"/>
    <w:rsid w:val="747772B8"/>
    <w:rsid w:val="747B272E"/>
    <w:rsid w:val="747E1803"/>
    <w:rsid w:val="748D7C65"/>
    <w:rsid w:val="74931B02"/>
    <w:rsid w:val="749B157E"/>
    <w:rsid w:val="74A3EAD1"/>
    <w:rsid w:val="74E4CF76"/>
    <w:rsid w:val="74EEBEF3"/>
    <w:rsid w:val="74F2B4EB"/>
    <w:rsid w:val="751993A1"/>
    <w:rsid w:val="75269BF3"/>
    <w:rsid w:val="752789EE"/>
    <w:rsid w:val="754EF5EC"/>
    <w:rsid w:val="75599B27"/>
    <w:rsid w:val="755CF075"/>
    <w:rsid w:val="756EC592"/>
    <w:rsid w:val="7577173A"/>
    <w:rsid w:val="757D6130"/>
    <w:rsid w:val="7596DD74"/>
    <w:rsid w:val="75AF9315"/>
    <w:rsid w:val="75C0C9D5"/>
    <w:rsid w:val="75C4E5A2"/>
    <w:rsid w:val="75CFB1FA"/>
    <w:rsid w:val="75D5CF16"/>
    <w:rsid w:val="75EC8C4A"/>
    <w:rsid w:val="75EFD97F"/>
    <w:rsid w:val="75F9DAA1"/>
    <w:rsid w:val="7616A6E5"/>
    <w:rsid w:val="761A37E9"/>
    <w:rsid w:val="762435E8"/>
    <w:rsid w:val="76275F78"/>
    <w:rsid w:val="7648FC28"/>
    <w:rsid w:val="76562CDE"/>
    <w:rsid w:val="765A3D75"/>
    <w:rsid w:val="7661FD04"/>
    <w:rsid w:val="76627220"/>
    <w:rsid w:val="766DFA75"/>
    <w:rsid w:val="76831448"/>
    <w:rsid w:val="768CA643"/>
    <w:rsid w:val="769021AD"/>
    <w:rsid w:val="76917E37"/>
    <w:rsid w:val="769FA526"/>
    <w:rsid w:val="76A6562E"/>
    <w:rsid w:val="76B22F16"/>
    <w:rsid w:val="76DCDEC6"/>
    <w:rsid w:val="76E78DB8"/>
    <w:rsid w:val="76EBDBB2"/>
    <w:rsid w:val="76F6C942"/>
    <w:rsid w:val="7718B818"/>
    <w:rsid w:val="772083B7"/>
    <w:rsid w:val="772DF084"/>
    <w:rsid w:val="772E4C43"/>
    <w:rsid w:val="772FF7E8"/>
    <w:rsid w:val="774B52BF"/>
    <w:rsid w:val="777A9C46"/>
    <w:rsid w:val="77877693"/>
    <w:rsid w:val="779722BC"/>
    <w:rsid w:val="77984387"/>
    <w:rsid w:val="77A01439"/>
    <w:rsid w:val="77A3EBA7"/>
    <w:rsid w:val="77A44532"/>
    <w:rsid w:val="77B2CB76"/>
    <w:rsid w:val="77B481EC"/>
    <w:rsid w:val="77B64AC3"/>
    <w:rsid w:val="77BEF8AF"/>
    <w:rsid w:val="77D3E75F"/>
    <w:rsid w:val="77DB46C1"/>
    <w:rsid w:val="77EB380B"/>
    <w:rsid w:val="77F449D7"/>
    <w:rsid w:val="77F5CE6C"/>
    <w:rsid w:val="78212A2A"/>
    <w:rsid w:val="78263769"/>
    <w:rsid w:val="782B5748"/>
    <w:rsid w:val="7839F0B8"/>
    <w:rsid w:val="784178D8"/>
    <w:rsid w:val="78438F8D"/>
    <w:rsid w:val="78476F9D"/>
    <w:rsid w:val="786185B5"/>
    <w:rsid w:val="78664B58"/>
    <w:rsid w:val="787A6F74"/>
    <w:rsid w:val="787F5A5B"/>
    <w:rsid w:val="78833D59"/>
    <w:rsid w:val="78848186"/>
    <w:rsid w:val="78913987"/>
    <w:rsid w:val="78A7A09A"/>
    <w:rsid w:val="78B0F875"/>
    <w:rsid w:val="78C800DB"/>
    <w:rsid w:val="78CFF82B"/>
    <w:rsid w:val="78D234FC"/>
    <w:rsid w:val="78E44002"/>
    <w:rsid w:val="78FA4FEE"/>
    <w:rsid w:val="79150B7D"/>
    <w:rsid w:val="79164205"/>
    <w:rsid w:val="793E502F"/>
    <w:rsid w:val="794CB972"/>
    <w:rsid w:val="795B0DFC"/>
    <w:rsid w:val="795EB4CE"/>
    <w:rsid w:val="797F7914"/>
    <w:rsid w:val="7982EE2E"/>
    <w:rsid w:val="799225EB"/>
    <w:rsid w:val="79AA9C70"/>
    <w:rsid w:val="79B36E7A"/>
    <w:rsid w:val="79D75DAD"/>
    <w:rsid w:val="79E3FE76"/>
    <w:rsid w:val="79F64E73"/>
    <w:rsid w:val="79FF1F94"/>
    <w:rsid w:val="7A0535A2"/>
    <w:rsid w:val="7A0AEAD2"/>
    <w:rsid w:val="7A0B5F50"/>
    <w:rsid w:val="7A240AA1"/>
    <w:rsid w:val="7A412A1E"/>
    <w:rsid w:val="7A947EDC"/>
    <w:rsid w:val="7A94DDBA"/>
    <w:rsid w:val="7A96F7B4"/>
    <w:rsid w:val="7AA778F3"/>
    <w:rsid w:val="7AC37237"/>
    <w:rsid w:val="7ACB8CA4"/>
    <w:rsid w:val="7ADB8D23"/>
    <w:rsid w:val="7AE7EC39"/>
    <w:rsid w:val="7AEB4A12"/>
    <w:rsid w:val="7AEDD66F"/>
    <w:rsid w:val="7AF25F2A"/>
    <w:rsid w:val="7AFD8F03"/>
    <w:rsid w:val="7B013F54"/>
    <w:rsid w:val="7B053146"/>
    <w:rsid w:val="7B0587C6"/>
    <w:rsid w:val="7B0DBE0A"/>
    <w:rsid w:val="7B1069EF"/>
    <w:rsid w:val="7B12F17E"/>
    <w:rsid w:val="7B1DDB79"/>
    <w:rsid w:val="7B27D7C9"/>
    <w:rsid w:val="7B3A788B"/>
    <w:rsid w:val="7B3F9BC8"/>
    <w:rsid w:val="7B823C6F"/>
    <w:rsid w:val="7B862274"/>
    <w:rsid w:val="7B8C87E6"/>
    <w:rsid w:val="7B962CE1"/>
    <w:rsid w:val="7B9D29EC"/>
    <w:rsid w:val="7BACA061"/>
    <w:rsid w:val="7BAEA279"/>
    <w:rsid w:val="7BAECD77"/>
    <w:rsid w:val="7BD24663"/>
    <w:rsid w:val="7BD898BB"/>
    <w:rsid w:val="7BE5B8A6"/>
    <w:rsid w:val="7BF0BFF6"/>
    <w:rsid w:val="7BF40407"/>
    <w:rsid w:val="7C0F5A20"/>
    <w:rsid w:val="7C2DA01E"/>
    <w:rsid w:val="7C352A2E"/>
    <w:rsid w:val="7C3BD90E"/>
    <w:rsid w:val="7C49ECB6"/>
    <w:rsid w:val="7C4A136A"/>
    <w:rsid w:val="7C5264BD"/>
    <w:rsid w:val="7C67F16A"/>
    <w:rsid w:val="7C689D2E"/>
    <w:rsid w:val="7C7CEFCE"/>
    <w:rsid w:val="7C7E88B0"/>
    <w:rsid w:val="7C8DE72E"/>
    <w:rsid w:val="7C95CF0B"/>
    <w:rsid w:val="7C96DD7D"/>
    <w:rsid w:val="7C9A5C7F"/>
    <w:rsid w:val="7CA5EE38"/>
    <w:rsid w:val="7CC24F77"/>
    <w:rsid w:val="7CC5FFA7"/>
    <w:rsid w:val="7CC85707"/>
    <w:rsid w:val="7CCC3ECB"/>
    <w:rsid w:val="7CD7E6CE"/>
    <w:rsid w:val="7D04459F"/>
    <w:rsid w:val="7D048517"/>
    <w:rsid w:val="7D0DD2FE"/>
    <w:rsid w:val="7D139198"/>
    <w:rsid w:val="7D164F10"/>
    <w:rsid w:val="7D1B08AB"/>
    <w:rsid w:val="7D317530"/>
    <w:rsid w:val="7D34B9A1"/>
    <w:rsid w:val="7D42D01D"/>
    <w:rsid w:val="7D49A1F6"/>
    <w:rsid w:val="7D5259F0"/>
    <w:rsid w:val="7D66EBB5"/>
    <w:rsid w:val="7D83BCA8"/>
    <w:rsid w:val="7D9E66D9"/>
    <w:rsid w:val="7DB3A046"/>
    <w:rsid w:val="7DBF7544"/>
    <w:rsid w:val="7DC58A59"/>
    <w:rsid w:val="7DC8552C"/>
    <w:rsid w:val="7DCA795D"/>
    <w:rsid w:val="7DDB1518"/>
    <w:rsid w:val="7DDFC9B9"/>
    <w:rsid w:val="7E0E2577"/>
    <w:rsid w:val="7E1AC65E"/>
    <w:rsid w:val="7E2BBB30"/>
    <w:rsid w:val="7E37EB72"/>
    <w:rsid w:val="7E393D9F"/>
    <w:rsid w:val="7E3BF3E2"/>
    <w:rsid w:val="7E3E2B5F"/>
    <w:rsid w:val="7E5C3DA2"/>
    <w:rsid w:val="7E5DF48B"/>
    <w:rsid w:val="7E7068A8"/>
    <w:rsid w:val="7E9B2075"/>
    <w:rsid w:val="7EC103EC"/>
    <w:rsid w:val="7EC506CD"/>
    <w:rsid w:val="7ECF7422"/>
    <w:rsid w:val="7ED7A968"/>
    <w:rsid w:val="7EE48549"/>
    <w:rsid w:val="7F15AB98"/>
    <w:rsid w:val="7F171BBE"/>
    <w:rsid w:val="7F1A598C"/>
    <w:rsid w:val="7F25C0AF"/>
    <w:rsid w:val="7F311085"/>
    <w:rsid w:val="7F3C0695"/>
    <w:rsid w:val="7F457C52"/>
    <w:rsid w:val="7F608B88"/>
    <w:rsid w:val="7F64ABDC"/>
    <w:rsid w:val="7F675374"/>
    <w:rsid w:val="7F6AF54D"/>
    <w:rsid w:val="7F79CEF5"/>
    <w:rsid w:val="7F7C9ACF"/>
    <w:rsid w:val="7F80221A"/>
    <w:rsid w:val="7F8ECC5D"/>
    <w:rsid w:val="7F98F5AF"/>
    <w:rsid w:val="7FA37093"/>
    <w:rsid w:val="7FA7CFD0"/>
    <w:rsid w:val="7FB73BC2"/>
    <w:rsid w:val="7FC3B9A8"/>
    <w:rsid w:val="7FEA0EA9"/>
    <w:rsid w:val="7FEB17AA"/>
    <w:rsid w:val="7FEF90C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12F79D93"/>
  <w15:chartTrackingRefBased/>
  <w15:docId w15:val="{CAB1EFDC-62DB-4C3B-9FD1-F3517BF5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D53"/>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EA0003"/>
    <w:pPr>
      <w:spacing w:after="240"/>
      <w:outlineLvl w:val="0"/>
    </w:pPr>
    <w:rPr>
      <w:rFonts w:ascii="Arial Bold" w:hAnsi="Arial Bold"/>
      <w:b/>
      <w:kern w:val="34"/>
      <w:sz w:val="36"/>
    </w:rPr>
  </w:style>
  <w:style w:type="paragraph" w:styleId="Heading2">
    <w:name w:val="heading 2"/>
    <w:basedOn w:val="HeadingBase"/>
    <w:next w:val="Normal"/>
    <w:link w:val="Heading2Char"/>
    <w:qFormat/>
    <w:rsid w:val="00EA0003"/>
    <w:pPr>
      <w:spacing w:before="240" w:after="240"/>
      <w:outlineLvl w:val="1"/>
    </w:pPr>
    <w:rPr>
      <w:rFonts w:ascii="Arial Bold" w:hAnsi="Arial Bold"/>
      <w:b/>
      <w:sz w:val="26"/>
    </w:rPr>
  </w:style>
  <w:style w:type="paragraph" w:styleId="Heading3">
    <w:name w:val="heading 3"/>
    <w:basedOn w:val="HeadingBase"/>
    <w:next w:val="Normal"/>
    <w:link w:val="Heading3Char"/>
    <w:qFormat/>
    <w:rsid w:val="00EA0003"/>
    <w:pPr>
      <w:spacing w:before="120" w:after="120"/>
      <w:outlineLvl w:val="2"/>
    </w:pPr>
    <w:rPr>
      <w:rFonts w:ascii="Arial Bold" w:hAnsi="Arial Bold"/>
      <w:b/>
      <w:sz w:val="22"/>
    </w:rPr>
  </w:style>
  <w:style w:type="paragraph" w:styleId="Heading4">
    <w:name w:val="heading 4"/>
    <w:basedOn w:val="HeadingBase"/>
    <w:next w:val="Normal"/>
    <w:link w:val="Heading4Char"/>
    <w:qFormat/>
    <w:rsid w:val="00EA0003"/>
    <w:pPr>
      <w:spacing w:after="120"/>
      <w:outlineLvl w:val="3"/>
    </w:pPr>
    <w:rPr>
      <w:rFonts w:ascii="Arial Bold" w:hAnsi="Arial Bold"/>
      <w:b/>
      <w:sz w:val="20"/>
    </w:rPr>
  </w:style>
  <w:style w:type="paragraph" w:styleId="Heading5">
    <w:name w:val="heading 5"/>
    <w:basedOn w:val="HeadingBase"/>
    <w:next w:val="Normal"/>
    <w:link w:val="Heading5Char"/>
    <w:qFormat/>
    <w:rsid w:val="00EA0003"/>
    <w:pPr>
      <w:spacing w:after="120"/>
      <w:outlineLvl w:val="4"/>
    </w:pPr>
    <w:rPr>
      <w:bCs/>
      <w:i/>
      <w:iCs/>
      <w:sz w:val="20"/>
      <w:szCs w:val="26"/>
    </w:rPr>
  </w:style>
  <w:style w:type="paragraph" w:styleId="Heading6">
    <w:name w:val="heading 6"/>
    <w:basedOn w:val="HeadingBase"/>
    <w:next w:val="Normal"/>
    <w:link w:val="Heading6Char"/>
    <w:rsid w:val="00EA0003"/>
    <w:pPr>
      <w:spacing w:after="120"/>
      <w:outlineLvl w:val="5"/>
    </w:pPr>
    <w:rPr>
      <w:bCs/>
      <w:sz w:val="20"/>
      <w:szCs w:val="22"/>
    </w:rPr>
  </w:style>
  <w:style w:type="paragraph" w:styleId="Heading7">
    <w:name w:val="heading 7"/>
    <w:basedOn w:val="HeadingBase"/>
    <w:next w:val="Normal"/>
    <w:link w:val="Heading7Char"/>
    <w:rsid w:val="00EA0003"/>
    <w:pPr>
      <w:spacing w:before="120"/>
      <w:outlineLvl w:val="6"/>
    </w:pPr>
    <w:rPr>
      <w:sz w:val="20"/>
      <w:szCs w:val="24"/>
    </w:rPr>
  </w:style>
  <w:style w:type="paragraph" w:styleId="Heading8">
    <w:name w:val="heading 8"/>
    <w:basedOn w:val="HeadingBase"/>
    <w:next w:val="Normal"/>
    <w:link w:val="Heading8Char"/>
    <w:rsid w:val="00EA0003"/>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EA0003"/>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EA0003"/>
    <w:pPr>
      <w:tabs>
        <w:tab w:val="center" w:pos="4153"/>
        <w:tab w:val="right" w:pos="8306"/>
      </w:tabs>
    </w:pPr>
  </w:style>
  <w:style w:type="character" w:customStyle="1" w:styleId="HeaderChar">
    <w:name w:val="Header Char"/>
    <w:basedOn w:val="DefaultParagraphFont"/>
    <w:link w:val="Header"/>
    <w:rsid w:val="00EA0003"/>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EA0003"/>
    <w:pPr>
      <w:tabs>
        <w:tab w:val="center" w:pos="4153"/>
        <w:tab w:val="right" w:pos="8306"/>
      </w:tabs>
    </w:pPr>
  </w:style>
  <w:style w:type="character" w:customStyle="1" w:styleId="FooterChar">
    <w:name w:val="Footer Char"/>
    <w:basedOn w:val="DefaultParagraphFont"/>
    <w:link w:val="Footer"/>
    <w:rsid w:val="00EA0003"/>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EA0003"/>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EA0003"/>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EA0003"/>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EA0003"/>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EA0003"/>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EA0003"/>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EA0003"/>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EA0003"/>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EA0003"/>
    <w:pPr>
      <w:jc w:val="center"/>
    </w:pPr>
    <w:rPr>
      <w:rFonts w:ascii="Arial Bold" w:hAnsi="Arial Bold"/>
      <w:b/>
      <w:caps/>
      <w:sz w:val="22"/>
    </w:rPr>
  </w:style>
  <w:style w:type="paragraph" w:customStyle="1" w:styleId="FileProperties">
    <w:name w:val="File Properties"/>
    <w:basedOn w:val="Normal"/>
    <w:rsid w:val="00EA0003"/>
    <w:pPr>
      <w:spacing w:before="0"/>
    </w:pPr>
    <w:rPr>
      <w:i/>
    </w:rPr>
  </w:style>
  <w:style w:type="paragraph" w:customStyle="1" w:styleId="AlphaParagraph">
    <w:name w:val="Alpha Paragraph"/>
    <w:basedOn w:val="Normal"/>
    <w:rsid w:val="00EA0003"/>
    <w:pPr>
      <w:numPr>
        <w:numId w:val="1"/>
      </w:numPr>
      <w:tabs>
        <w:tab w:val="clear" w:pos="567"/>
        <w:tab w:val="num" w:pos="360"/>
      </w:tabs>
      <w:ind w:left="0" w:firstLine="0"/>
    </w:pPr>
  </w:style>
  <w:style w:type="paragraph" w:customStyle="1" w:styleId="HeadingBase">
    <w:name w:val="Heading Base"/>
    <w:rsid w:val="00EA0003"/>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2739DC"/>
    <w:pPr>
      <w:tabs>
        <w:tab w:val="left" w:pos="1701"/>
      </w:tabs>
    </w:pPr>
    <w:rPr>
      <w:bCs/>
      <w:color w:val="002A54" w:themeColor="text2"/>
      <w:szCs w:val="52"/>
    </w:rPr>
  </w:style>
  <w:style w:type="paragraph" w:customStyle="1" w:styleId="BoxText">
    <w:name w:val="Box Text"/>
    <w:basedOn w:val="Normal"/>
    <w:link w:val="BoxTextChar"/>
    <w:qFormat/>
    <w:rsid w:val="00EA0003"/>
    <w:pPr>
      <w:spacing w:before="120" w:after="120" w:line="240" w:lineRule="auto"/>
    </w:pPr>
  </w:style>
  <w:style w:type="paragraph" w:customStyle="1" w:styleId="BoxBullet">
    <w:name w:val="Box Bullet"/>
    <w:basedOn w:val="BoxText"/>
    <w:rsid w:val="00EA0003"/>
    <w:pPr>
      <w:numPr>
        <w:numId w:val="2"/>
      </w:numPr>
    </w:pPr>
  </w:style>
  <w:style w:type="paragraph" w:customStyle="1" w:styleId="BoxHeading">
    <w:name w:val="Box Heading"/>
    <w:basedOn w:val="HeadingBase"/>
    <w:next w:val="BoxText"/>
    <w:rsid w:val="00EA0003"/>
    <w:pPr>
      <w:spacing w:before="120" w:after="120"/>
    </w:pPr>
    <w:rPr>
      <w:b/>
      <w:sz w:val="20"/>
    </w:rPr>
  </w:style>
  <w:style w:type="character" w:customStyle="1" w:styleId="Heading6Char">
    <w:name w:val="Heading 6 Char"/>
    <w:basedOn w:val="DefaultParagraphFont"/>
    <w:link w:val="Heading6"/>
    <w:rsid w:val="00EA0003"/>
    <w:rPr>
      <w:rFonts w:ascii="Arial" w:eastAsia="Times New Roman" w:hAnsi="Arial" w:cs="Times New Roman"/>
      <w:bCs/>
      <w:sz w:val="20"/>
      <w:lang w:eastAsia="en-AU"/>
    </w:rPr>
  </w:style>
  <w:style w:type="paragraph" w:customStyle="1" w:styleId="Bullet">
    <w:name w:val="Bullet"/>
    <w:aliases w:val="b,Body,b + line,b1,level 1,Bullet + line,bulleted,BodyNum,Bullet Char1,Bullet Char1 Char Char Char,Bullet Char1 Char Char Char Char,Bullet Char1 Char Char Char Char Char,b1 Char Char Char,CG-Bullet"/>
    <w:basedOn w:val="Normal"/>
    <w:link w:val="BulletChar"/>
    <w:qFormat/>
    <w:rsid w:val="00EA0003"/>
    <w:pPr>
      <w:numPr>
        <w:numId w:val="3"/>
      </w:numPr>
      <w:spacing w:after="160"/>
    </w:pPr>
  </w:style>
  <w:style w:type="paragraph" w:styleId="Caption">
    <w:name w:val="caption"/>
    <w:basedOn w:val="Normal"/>
    <w:next w:val="Normal"/>
    <w:rsid w:val="00EA0003"/>
    <w:rPr>
      <w:b/>
      <w:bCs/>
    </w:rPr>
  </w:style>
  <w:style w:type="paragraph" w:customStyle="1" w:styleId="ChartandTableFootnote">
    <w:name w:val="Chart and Table Footnote"/>
    <w:basedOn w:val="HeadingBase"/>
    <w:next w:val="Normal"/>
    <w:rsid w:val="00EA0003"/>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EA0003"/>
    <w:pPr>
      <w:keepNext w:val="0"/>
      <w:numPr>
        <w:numId w:val="9"/>
      </w:numPr>
      <w:spacing w:before="30"/>
    </w:pPr>
    <w:rPr>
      <w:color w:val="000000"/>
      <w:sz w:val="16"/>
    </w:rPr>
  </w:style>
  <w:style w:type="paragraph" w:customStyle="1" w:styleId="ChartandTableFootnoteSmall">
    <w:name w:val="Chart and Table Footnote Small"/>
    <w:basedOn w:val="HeadingBase"/>
    <w:next w:val="Normal"/>
    <w:rsid w:val="008075B1"/>
    <w:pPr>
      <w:keepNext w:val="0"/>
      <w:tabs>
        <w:tab w:val="left" w:pos="284"/>
      </w:tabs>
    </w:pPr>
    <w:rPr>
      <w:color w:val="000000"/>
      <w:sz w:val="15"/>
    </w:rPr>
  </w:style>
  <w:style w:type="paragraph" w:customStyle="1" w:styleId="ChartGraphic">
    <w:name w:val="Chart Graphic"/>
    <w:basedOn w:val="HeadingBase"/>
    <w:link w:val="ChartGraphicChar"/>
    <w:rsid w:val="00EA0003"/>
    <w:rPr>
      <w:sz w:val="20"/>
    </w:rPr>
  </w:style>
  <w:style w:type="paragraph" w:customStyle="1" w:styleId="TableLine">
    <w:name w:val="Table Line"/>
    <w:basedOn w:val="Normal"/>
    <w:next w:val="Normal"/>
    <w:autoRedefine/>
    <w:rsid w:val="00EA0003"/>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A0003"/>
    <w:pPr>
      <w:spacing w:after="60"/>
    </w:pPr>
    <w:rPr>
      <w:sz w:val="19"/>
    </w:rPr>
  </w:style>
  <w:style w:type="character" w:styleId="CommentReference">
    <w:name w:val="annotation reference"/>
    <w:basedOn w:val="DefaultParagraphFont"/>
    <w:uiPriority w:val="99"/>
    <w:rsid w:val="00EA0003"/>
    <w:rPr>
      <w:sz w:val="16"/>
      <w:szCs w:val="16"/>
    </w:rPr>
  </w:style>
  <w:style w:type="paragraph" w:styleId="CommentText">
    <w:name w:val="annotation text"/>
    <w:basedOn w:val="Normal"/>
    <w:link w:val="CommentTextChar"/>
    <w:uiPriority w:val="99"/>
    <w:rsid w:val="00EA0003"/>
  </w:style>
  <w:style w:type="character" w:customStyle="1" w:styleId="CommentTextChar">
    <w:name w:val="Comment Text Char"/>
    <w:basedOn w:val="DefaultParagraphFont"/>
    <w:link w:val="CommentText"/>
    <w:uiPriority w:val="99"/>
    <w:rsid w:val="00EA0003"/>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EA0003"/>
    <w:rPr>
      <w:b/>
      <w:bCs/>
    </w:rPr>
  </w:style>
  <w:style w:type="character" w:customStyle="1" w:styleId="CommentSubjectChar">
    <w:name w:val="Comment Subject Char"/>
    <w:basedOn w:val="CommentTextChar"/>
    <w:link w:val="CommentSubject"/>
    <w:semiHidden/>
    <w:rsid w:val="00EA0003"/>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EA0003"/>
    <w:pPr>
      <w:spacing w:after="720"/>
      <w:outlineLvl w:val="9"/>
    </w:pPr>
  </w:style>
  <w:style w:type="character" w:styleId="Strong">
    <w:name w:val="Strong"/>
    <w:basedOn w:val="DefaultParagraphFont"/>
    <w:uiPriority w:val="22"/>
    <w:qFormat/>
    <w:rsid w:val="00022622"/>
    <w:rPr>
      <w:b/>
      <w:bCs/>
      <w:color w:val="auto"/>
    </w:rPr>
  </w:style>
  <w:style w:type="paragraph" w:customStyle="1" w:styleId="Dash">
    <w:name w:val="Dash"/>
    <w:basedOn w:val="Normal"/>
    <w:link w:val="DashChar"/>
    <w:qFormat/>
    <w:rsid w:val="00EA0003"/>
    <w:pPr>
      <w:numPr>
        <w:ilvl w:val="1"/>
        <w:numId w:val="3"/>
      </w:numPr>
      <w:tabs>
        <w:tab w:val="left" w:pos="567"/>
      </w:tabs>
    </w:pPr>
  </w:style>
  <w:style w:type="paragraph" w:styleId="DocumentMap">
    <w:name w:val="Document Map"/>
    <w:basedOn w:val="Normal"/>
    <w:link w:val="DocumentMapChar"/>
    <w:semiHidden/>
    <w:rsid w:val="00EA0003"/>
    <w:pPr>
      <w:shd w:val="clear" w:color="auto" w:fill="000080"/>
    </w:pPr>
    <w:rPr>
      <w:rFonts w:ascii="Tahoma" w:hAnsi="Tahoma" w:cs="Tahoma"/>
    </w:rPr>
  </w:style>
  <w:style w:type="character" w:customStyle="1" w:styleId="DocumentMapChar">
    <w:name w:val="Document Map Char"/>
    <w:basedOn w:val="DefaultParagraphFont"/>
    <w:link w:val="DocumentMap"/>
    <w:semiHidden/>
    <w:rsid w:val="00EA0003"/>
    <w:rPr>
      <w:rFonts w:ascii="Tahoma" w:eastAsia="Times New Roman" w:hAnsi="Tahoma" w:cs="Tahoma"/>
      <w:sz w:val="19"/>
      <w:szCs w:val="20"/>
      <w:shd w:val="clear" w:color="auto" w:fill="000080"/>
      <w:lang w:eastAsia="en-AU"/>
    </w:rPr>
  </w:style>
  <w:style w:type="paragraph" w:customStyle="1" w:styleId="DoubleDot">
    <w:name w:val="Double Dot"/>
    <w:basedOn w:val="Normal"/>
    <w:link w:val="DoubleDotChar"/>
    <w:qFormat/>
    <w:rsid w:val="00EA0003"/>
    <w:pPr>
      <w:numPr>
        <w:ilvl w:val="2"/>
        <w:numId w:val="3"/>
      </w:numPr>
      <w:tabs>
        <w:tab w:val="clear" w:pos="850"/>
        <w:tab w:val="num" w:pos="360"/>
        <w:tab w:val="left" w:pos="851"/>
      </w:tabs>
    </w:pPr>
  </w:style>
  <w:style w:type="paragraph" w:customStyle="1" w:styleId="FigureHeading">
    <w:name w:val="Figure Heading"/>
    <w:basedOn w:val="HeadingBase"/>
    <w:next w:val="ChartGraphic"/>
    <w:rsid w:val="00EA0003"/>
    <w:pPr>
      <w:spacing w:before="120" w:after="20"/>
    </w:pPr>
    <w:rPr>
      <w:b/>
      <w:sz w:val="20"/>
    </w:rPr>
  </w:style>
  <w:style w:type="paragraph" w:customStyle="1" w:styleId="FooterBase">
    <w:name w:val="Footer Base"/>
    <w:rsid w:val="00EA0003"/>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EA0003"/>
    <w:pPr>
      <w:pBdr>
        <w:top w:val="single" w:sz="4" w:space="10" w:color="002A54" w:themeColor="text2"/>
      </w:pBdr>
      <w:jc w:val="left"/>
    </w:pPr>
    <w:rPr>
      <w:sz w:val="18"/>
    </w:rPr>
  </w:style>
  <w:style w:type="paragraph" w:customStyle="1" w:styleId="FooterOdd">
    <w:name w:val="Footer Odd"/>
    <w:basedOn w:val="Footer"/>
    <w:qFormat/>
    <w:rsid w:val="00EA0003"/>
    <w:pPr>
      <w:pBdr>
        <w:top w:val="single" w:sz="4" w:space="10" w:color="002A54" w:themeColor="text2"/>
      </w:pBdr>
      <w:jc w:val="right"/>
    </w:pPr>
    <w:rPr>
      <w:sz w:val="18"/>
    </w:rPr>
  </w:style>
  <w:style w:type="character" w:styleId="FootnoteReference">
    <w:name w:val="footnote reference"/>
    <w:basedOn w:val="DefaultParagraphFont"/>
    <w:rsid w:val="00EA0003"/>
    <w:rPr>
      <w:vertAlign w:val="superscript"/>
    </w:rPr>
  </w:style>
  <w:style w:type="paragraph" w:styleId="FootnoteText">
    <w:name w:val="footnote text"/>
    <w:basedOn w:val="Normal"/>
    <w:link w:val="FootnoteTextChar"/>
    <w:rsid w:val="00EA0003"/>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EA0003"/>
    <w:rPr>
      <w:rFonts w:ascii="Book Antiqua" w:eastAsia="Times New Roman" w:hAnsi="Book Antiqua" w:cs="Times New Roman"/>
      <w:sz w:val="18"/>
      <w:szCs w:val="20"/>
      <w:lang w:eastAsia="en-AU"/>
    </w:rPr>
  </w:style>
  <w:style w:type="character" w:customStyle="1" w:styleId="FramedHeader">
    <w:name w:val="Framed Header"/>
    <w:basedOn w:val="DefaultParagraphFont"/>
    <w:rsid w:val="00EA0003"/>
    <w:rPr>
      <w:rFonts w:ascii="Book Antiqua" w:hAnsi="Book Antiqua"/>
      <w:i/>
      <w:dstrike w:val="0"/>
      <w:color w:val="auto"/>
      <w:sz w:val="20"/>
      <w:vertAlign w:val="baseline"/>
    </w:rPr>
  </w:style>
  <w:style w:type="paragraph" w:customStyle="1" w:styleId="HeaderBase">
    <w:name w:val="Header Base"/>
    <w:rsid w:val="00EA0003"/>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EA0003"/>
  </w:style>
  <w:style w:type="paragraph" w:customStyle="1" w:styleId="HeaderOdd">
    <w:name w:val="Header Odd"/>
    <w:basedOn w:val="HeaderBase"/>
    <w:rsid w:val="00EA0003"/>
    <w:pPr>
      <w:jc w:val="right"/>
    </w:pPr>
  </w:style>
  <w:style w:type="character" w:customStyle="1" w:styleId="Heading1Char">
    <w:name w:val="Heading 1 Char"/>
    <w:basedOn w:val="DefaultParagraphFont"/>
    <w:link w:val="Heading1"/>
    <w:rsid w:val="00EA0003"/>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EA0003"/>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EA0003"/>
    <w:rPr>
      <w:rFonts w:ascii="Arial Bold" w:eastAsia="Times New Roman" w:hAnsi="Arial Bold" w:cs="Times New Roman"/>
      <w:b/>
      <w:szCs w:val="20"/>
      <w:lang w:eastAsia="en-AU"/>
    </w:rPr>
  </w:style>
  <w:style w:type="paragraph" w:customStyle="1" w:styleId="Heading3noTOC">
    <w:name w:val="Heading 3 no TOC"/>
    <w:basedOn w:val="Heading3"/>
    <w:rsid w:val="00EA0003"/>
    <w:pPr>
      <w:outlineLvl w:val="9"/>
    </w:pPr>
  </w:style>
  <w:style w:type="character" w:customStyle="1" w:styleId="Heading4Char">
    <w:name w:val="Heading 4 Char"/>
    <w:basedOn w:val="DefaultParagraphFont"/>
    <w:link w:val="Heading4"/>
    <w:rsid w:val="00EA0003"/>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EA0003"/>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EA0003"/>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EA0003"/>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EA0003"/>
    <w:rPr>
      <w:rFonts w:ascii="Times New Roman" w:hAnsi="Times New Roman"/>
      <w:vanish/>
      <w:sz w:val="16"/>
    </w:rPr>
  </w:style>
  <w:style w:type="character" w:styleId="Hyperlink">
    <w:name w:val="Hyperlink"/>
    <w:basedOn w:val="DefaultParagraphFont"/>
    <w:uiPriority w:val="99"/>
    <w:unhideWhenUsed/>
    <w:rsid w:val="00EA0003"/>
    <w:rPr>
      <w:color w:val="auto"/>
      <w:u w:val="single"/>
    </w:rPr>
  </w:style>
  <w:style w:type="paragraph" w:styleId="Index4">
    <w:name w:val="index 4"/>
    <w:basedOn w:val="Normal"/>
    <w:next w:val="Normal"/>
    <w:autoRedefine/>
    <w:semiHidden/>
    <w:rsid w:val="00EA0003"/>
    <w:pPr>
      <w:ind w:left="800" w:hanging="200"/>
    </w:pPr>
  </w:style>
  <w:style w:type="paragraph" w:styleId="Index5">
    <w:name w:val="index 5"/>
    <w:basedOn w:val="Normal"/>
    <w:next w:val="Normal"/>
    <w:autoRedefine/>
    <w:semiHidden/>
    <w:rsid w:val="00EA0003"/>
    <w:pPr>
      <w:ind w:left="1000" w:hanging="200"/>
    </w:pPr>
  </w:style>
  <w:style w:type="paragraph" w:styleId="Index6">
    <w:name w:val="index 6"/>
    <w:basedOn w:val="Normal"/>
    <w:next w:val="Normal"/>
    <w:autoRedefine/>
    <w:semiHidden/>
    <w:rsid w:val="00EA0003"/>
    <w:pPr>
      <w:ind w:left="1200" w:hanging="200"/>
    </w:pPr>
  </w:style>
  <w:style w:type="paragraph" w:styleId="Index7">
    <w:name w:val="index 7"/>
    <w:basedOn w:val="Normal"/>
    <w:next w:val="Normal"/>
    <w:autoRedefine/>
    <w:semiHidden/>
    <w:rsid w:val="00EA0003"/>
    <w:pPr>
      <w:ind w:left="1400" w:hanging="200"/>
    </w:pPr>
  </w:style>
  <w:style w:type="paragraph" w:styleId="Index8">
    <w:name w:val="index 8"/>
    <w:basedOn w:val="Normal"/>
    <w:next w:val="Normal"/>
    <w:autoRedefine/>
    <w:semiHidden/>
    <w:rsid w:val="00EA0003"/>
    <w:pPr>
      <w:ind w:left="1600" w:hanging="200"/>
    </w:pPr>
  </w:style>
  <w:style w:type="paragraph" w:styleId="Index9">
    <w:name w:val="index 9"/>
    <w:basedOn w:val="Normal"/>
    <w:next w:val="Normal"/>
    <w:autoRedefine/>
    <w:semiHidden/>
    <w:rsid w:val="00EA0003"/>
    <w:pPr>
      <w:ind w:left="1800" w:hanging="200"/>
    </w:pPr>
  </w:style>
  <w:style w:type="paragraph" w:styleId="MacroText">
    <w:name w:val="macro"/>
    <w:link w:val="MacroTextChar"/>
    <w:unhideWhenUsed/>
    <w:rsid w:val="00EA0003"/>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EA0003"/>
    <w:rPr>
      <w:rFonts w:ascii="Courier New" w:eastAsia="Times New Roman" w:hAnsi="Courier New" w:cs="Courier New"/>
      <w:sz w:val="20"/>
      <w:szCs w:val="20"/>
      <w:lang w:eastAsia="en-AU"/>
    </w:rPr>
  </w:style>
  <w:style w:type="paragraph" w:styleId="NormalIndent">
    <w:name w:val="Normal Indent"/>
    <w:basedOn w:val="Normal"/>
    <w:rsid w:val="00EA0003"/>
    <w:pPr>
      <w:ind w:left="567"/>
    </w:pPr>
  </w:style>
  <w:style w:type="paragraph" w:customStyle="1" w:styleId="NoteTableHeading">
    <w:name w:val="Note Table Heading"/>
    <w:basedOn w:val="HeadingBase"/>
    <w:next w:val="Normal"/>
    <w:rsid w:val="00EA0003"/>
    <w:pPr>
      <w:spacing w:before="240"/>
    </w:pPr>
    <w:rPr>
      <w:b/>
      <w:sz w:val="20"/>
    </w:rPr>
  </w:style>
  <w:style w:type="paragraph" w:customStyle="1" w:styleId="OverviewParagraph">
    <w:name w:val="Overview Paragraph"/>
    <w:basedOn w:val="Normal"/>
    <w:rsid w:val="00EA0003"/>
    <w:pPr>
      <w:spacing w:before="120" w:after="120" w:line="240" w:lineRule="auto"/>
    </w:pPr>
  </w:style>
  <w:style w:type="character" w:styleId="PageNumber">
    <w:name w:val="page number"/>
    <w:basedOn w:val="DefaultParagraphFont"/>
    <w:rsid w:val="00EA0003"/>
    <w:rPr>
      <w:rFonts w:ascii="Arial" w:hAnsi="Arial" w:cs="Arial"/>
    </w:rPr>
  </w:style>
  <w:style w:type="paragraph" w:customStyle="1" w:styleId="SingleParagraph">
    <w:name w:val="Single Paragraph"/>
    <w:basedOn w:val="Normal"/>
    <w:rsid w:val="00EA0003"/>
    <w:pPr>
      <w:spacing w:before="0" w:after="0"/>
    </w:pPr>
  </w:style>
  <w:style w:type="paragraph" w:customStyle="1" w:styleId="Source">
    <w:name w:val="Source"/>
    <w:basedOn w:val="Normal"/>
    <w:rsid w:val="00EA0003"/>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EA0003"/>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EA0003"/>
    <w:pPr>
      <w:jc w:val="center"/>
    </w:pPr>
  </w:style>
  <w:style w:type="paragraph" w:customStyle="1" w:styleId="TableColumnHeadingLeft">
    <w:name w:val="Table Column Heading Left"/>
    <w:basedOn w:val="TableColumnHeadingBase"/>
    <w:next w:val="Normal"/>
    <w:rsid w:val="00EA0003"/>
  </w:style>
  <w:style w:type="paragraph" w:customStyle="1" w:styleId="TableColumnHeadingRight">
    <w:name w:val="Table Column Heading Right"/>
    <w:basedOn w:val="TableColumnHeadingBase"/>
    <w:next w:val="Normal"/>
    <w:rsid w:val="00EA0003"/>
    <w:pPr>
      <w:jc w:val="right"/>
    </w:pPr>
  </w:style>
  <w:style w:type="paragraph" w:customStyle="1" w:styleId="TableGraphic">
    <w:name w:val="Table Graphic"/>
    <w:basedOn w:val="Normal"/>
    <w:next w:val="Normal"/>
    <w:rsid w:val="00EA0003"/>
    <w:pPr>
      <w:spacing w:after="0" w:line="240" w:lineRule="auto"/>
      <w:ind w:right="-113"/>
    </w:pPr>
  </w:style>
  <w:style w:type="table" w:styleId="TableGrid">
    <w:name w:val="Table Grid"/>
    <w:basedOn w:val="TableNormal"/>
    <w:rsid w:val="00EA0003"/>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EA0003"/>
    <w:pPr>
      <w:spacing w:before="120" w:after="20"/>
    </w:pPr>
    <w:rPr>
      <w:b/>
      <w:sz w:val="20"/>
    </w:rPr>
  </w:style>
  <w:style w:type="paragraph" w:customStyle="1" w:styleId="TableHeadingcontinued">
    <w:name w:val="Table Heading continued"/>
    <w:basedOn w:val="HeadingBase"/>
    <w:next w:val="TableGraphic"/>
    <w:rsid w:val="00EA0003"/>
    <w:pPr>
      <w:spacing w:before="120" w:after="20"/>
    </w:pPr>
    <w:rPr>
      <w:rFonts w:ascii="Arial Bold" w:hAnsi="Arial Bold"/>
      <w:b/>
      <w:sz w:val="20"/>
    </w:rPr>
  </w:style>
  <w:style w:type="paragraph" w:styleId="TableofFigures">
    <w:name w:val="table of figures"/>
    <w:basedOn w:val="Normal"/>
    <w:next w:val="Normal"/>
    <w:rsid w:val="00EA0003"/>
  </w:style>
  <w:style w:type="paragraph" w:customStyle="1" w:styleId="TableTextBase">
    <w:name w:val="Table Text Base"/>
    <w:basedOn w:val="Normal"/>
    <w:rsid w:val="00EA0003"/>
    <w:pPr>
      <w:spacing w:before="20" w:after="20" w:line="240" w:lineRule="auto"/>
    </w:pPr>
    <w:rPr>
      <w:rFonts w:ascii="Arial" w:hAnsi="Arial"/>
      <w:sz w:val="16"/>
    </w:rPr>
  </w:style>
  <w:style w:type="paragraph" w:customStyle="1" w:styleId="TableTextCentred">
    <w:name w:val="Table Text Centred"/>
    <w:basedOn w:val="TableTextBase"/>
    <w:rsid w:val="00EA0003"/>
    <w:pPr>
      <w:jc w:val="center"/>
    </w:pPr>
  </w:style>
  <w:style w:type="paragraph" w:customStyle="1" w:styleId="TableTextIndented">
    <w:name w:val="Table Text Indented"/>
    <w:basedOn w:val="TableTextBase"/>
    <w:rsid w:val="00EA0003"/>
    <w:pPr>
      <w:ind w:left="284"/>
    </w:pPr>
  </w:style>
  <w:style w:type="paragraph" w:customStyle="1" w:styleId="TableTextLeft">
    <w:name w:val="Table Text Left"/>
    <w:basedOn w:val="TableTextBase"/>
    <w:rsid w:val="00EA0003"/>
  </w:style>
  <w:style w:type="paragraph" w:customStyle="1" w:styleId="TableTextRight">
    <w:name w:val="Table Text Right"/>
    <w:basedOn w:val="TableTextBase"/>
    <w:rsid w:val="00EA0003"/>
    <w:pPr>
      <w:jc w:val="right"/>
    </w:pPr>
  </w:style>
  <w:style w:type="paragraph" w:styleId="TOAHeading">
    <w:name w:val="toa heading"/>
    <w:basedOn w:val="Normal"/>
    <w:next w:val="Normal"/>
    <w:rsid w:val="00EA0003"/>
    <w:pPr>
      <w:spacing w:before="120"/>
    </w:pPr>
    <w:rPr>
      <w:rFonts w:ascii="Arial" w:hAnsi="Arial" w:cs="Arial"/>
      <w:b/>
      <w:bCs/>
      <w:sz w:val="24"/>
      <w:szCs w:val="24"/>
    </w:rPr>
  </w:style>
  <w:style w:type="paragraph" w:styleId="TOC1">
    <w:name w:val="toc 1"/>
    <w:basedOn w:val="HeaderBase"/>
    <w:next w:val="Normal"/>
    <w:uiPriority w:val="39"/>
    <w:rsid w:val="00EA0003"/>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EA0003"/>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EA0003"/>
    <w:pPr>
      <w:tabs>
        <w:tab w:val="right" w:leader="dot" w:pos="7700"/>
      </w:tabs>
      <w:spacing w:before="40"/>
      <w:ind w:right="851"/>
    </w:pPr>
    <w:rPr>
      <w:sz w:val="20"/>
    </w:rPr>
  </w:style>
  <w:style w:type="paragraph" w:styleId="TOC4">
    <w:name w:val="toc 4"/>
    <w:basedOn w:val="HeadingBase"/>
    <w:next w:val="Normal"/>
    <w:uiPriority w:val="2"/>
    <w:unhideWhenUsed/>
    <w:rsid w:val="00EA0003"/>
    <w:pPr>
      <w:tabs>
        <w:tab w:val="right" w:leader="dot" w:pos="7700"/>
      </w:tabs>
      <w:spacing w:before="40"/>
      <w:ind w:right="851"/>
    </w:pPr>
    <w:rPr>
      <w:sz w:val="20"/>
    </w:rPr>
  </w:style>
  <w:style w:type="paragraph" w:styleId="TOC5">
    <w:name w:val="toc 5"/>
    <w:basedOn w:val="Normal"/>
    <w:next w:val="Normal"/>
    <w:autoRedefine/>
    <w:uiPriority w:val="2"/>
    <w:semiHidden/>
    <w:rsid w:val="00EA0003"/>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EA0003"/>
    <w:pPr>
      <w:tabs>
        <w:tab w:val="left" w:pos="851"/>
      </w:tabs>
      <w:ind w:left="851" w:hanging="851"/>
    </w:pPr>
    <w:rPr>
      <w:color w:val="000000"/>
    </w:rPr>
  </w:style>
  <w:style w:type="paragraph" w:styleId="TOC7">
    <w:name w:val="toc 7"/>
    <w:basedOn w:val="Normal"/>
    <w:next w:val="Normal"/>
    <w:autoRedefine/>
    <w:uiPriority w:val="2"/>
    <w:semiHidden/>
    <w:rsid w:val="00EA0003"/>
    <w:pPr>
      <w:ind w:left="1200"/>
    </w:pPr>
  </w:style>
  <w:style w:type="paragraph" w:styleId="TOC8">
    <w:name w:val="toc 8"/>
    <w:basedOn w:val="Normal"/>
    <w:next w:val="Normal"/>
    <w:autoRedefine/>
    <w:uiPriority w:val="2"/>
    <w:semiHidden/>
    <w:rsid w:val="00EA0003"/>
    <w:pPr>
      <w:ind w:left="1400"/>
    </w:pPr>
  </w:style>
  <w:style w:type="paragraph" w:styleId="TOC9">
    <w:name w:val="toc 9"/>
    <w:basedOn w:val="Normal"/>
    <w:next w:val="Normal"/>
    <w:autoRedefine/>
    <w:uiPriority w:val="2"/>
    <w:semiHidden/>
    <w:rsid w:val="00EA0003"/>
    <w:pPr>
      <w:ind w:left="1600"/>
    </w:pPr>
  </w:style>
  <w:style w:type="paragraph" w:customStyle="1" w:styleId="TPHeading1">
    <w:name w:val="TP Heading 1"/>
    <w:basedOn w:val="HeadingBase"/>
    <w:semiHidden/>
    <w:rsid w:val="00EA0003"/>
    <w:pPr>
      <w:spacing w:before="60" w:after="60"/>
      <w:ind w:left="1134"/>
    </w:pPr>
    <w:rPr>
      <w:rFonts w:ascii="Arial Bold" w:hAnsi="Arial Bold"/>
      <w:b/>
      <w:caps/>
      <w:spacing w:val="-10"/>
      <w:sz w:val="28"/>
    </w:rPr>
  </w:style>
  <w:style w:type="paragraph" w:customStyle="1" w:styleId="TPHeading2">
    <w:name w:val="TP Heading 2"/>
    <w:basedOn w:val="HeadingBase"/>
    <w:semiHidden/>
    <w:rsid w:val="00EA0003"/>
    <w:pPr>
      <w:ind w:left="1134"/>
    </w:pPr>
    <w:rPr>
      <w:caps/>
      <w:spacing w:val="-10"/>
      <w:sz w:val="28"/>
    </w:rPr>
  </w:style>
  <w:style w:type="paragraph" w:customStyle="1" w:styleId="TPHeading3">
    <w:name w:val="TP Heading 3"/>
    <w:basedOn w:val="HeadingBase"/>
    <w:semiHidden/>
    <w:rsid w:val="00EA0003"/>
    <w:pPr>
      <w:ind w:left="1134"/>
    </w:pPr>
    <w:rPr>
      <w:caps/>
      <w:spacing w:val="-10"/>
    </w:rPr>
  </w:style>
  <w:style w:type="paragraph" w:customStyle="1" w:styleId="TPHeading3bold">
    <w:name w:val="TP Heading 3 bold"/>
    <w:basedOn w:val="TPHeading3"/>
    <w:semiHidden/>
    <w:rsid w:val="00EA0003"/>
    <w:rPr>
      <w:rFonts w:cs="Arial"/>
      <w:b/>
      <w:sz w:val="22"/>
      <w:szCs w:val="22"/>
    </w:rPr>
  </w:style>
  <w:style w:type="paragraph" w:customStyle="1" w:styleId="TPHEADING3boldspace">
    <w:name w:val="TP HEADING 3 bold space"/>
    <w:basedOn w:val="TPHeading3bold"/>
    <w:semiHidden/>
    <w:rsid w:val="00EA0003"/>
    <w:pPr>
      <w:spacing w:after="120"/>
    </w:pPr>
  </w:style>
  <w:style w:type="paragraph" w:customStyle="1" w:styleId="TPHEADING3space">
    <w:name w:val="TP HEADING 3 space"/>
    <w:basedOn w:val="TPHeading3"/>
    <w:semiHidden/>
    <w:rsid w:val="00EA0003"/>
    <w:pPr>
      <w:spacing w:before="120" w:after="120"/>
    </w:pPr>
    <w:rPr>
      <w:rFonts w:cs="Arial"/>
      <w:sz w:val="22"/>
      <w:szCs w:val="22"/>
    </w:rPr>
  </w:style>
  <w:style w:type="paragraph" w:customStyle="1" w:styleId="TPHeading4">
    <w:name w:val="TP Heading 4"/>
    <w:basedOn w:val="TPHeading3"/>
    <w:semiHidden/>
    <w:rsid w:val="00EA0003"/>
    <w:rPr>
      <w:sz w:val="20"/>
    </w:rPr>
  </w:style>
  <w:style w:type="paragraph" w:customStyle="1" w:styleId="TPHEADING4space">
    <w:name w:val="TP HEADING 4 space"/>
    <w:basedOn w:val="TPHEADING3space"/>
    <w:semiHidden/>
    <w:rsid w:val="00EA0003"/>
  </w:style>
  <w:style w:type="paragraph" w:customStyle="1" w:styleId="ChartLine">
    <w:name w:val="Chart Line"/>
    <w:basedOn w:val="Normal"/>
    <w:autoRedefine/>
    <w:qFormat/>
    <w:rsid w:val="00D57DA8"/>
    <w:pPr>
      <w:pBdr>
        <w:bottom w:val="single" w:sz="4" w:space="2" w:color="626A77" w:themeColor="background2" w:themeShade="E6"/>
      </w:pBdr>
      <w:spacing w:before="0" w:line="240" w:lineRule="auto"/>
    </w:pPr>
    <w:rPr>
      <w:rFonts w:eastAsia="Calibri"/>
      <w:noProof/>
      <w:sz w:val="4"/>
      <w:szCs w:val="4"/>
    </w:rPr>
  </w:style>
  <w:style w:type="paragraph" w:customStyle="1" w:styleId="ChartMainHeading">
    <w:name w:val="Chart Main Heading"/>
    <w:basedOn w:val="Normal"/>
    <w:next w:val="ChartGraphic"/>
    <w:rsid w:val="00EA0003"/>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A0003"/>
    <w:rPr>
      <w:sz w:val="16"/>
    </w:rPr>
  </w:style>
  <w:style w:type="paragraph" w:customStyle="1" w:styleId="Box-continuedon">
    <w:name w:val="Box - continued on"/>
    <w:basedOn w:val="Normal"/>
    <w:qFormat/>
    <w:rsid w:val="00EA0003"/>
    <w:pPr>
      <w:jc w:val="right"/>
    </w:pPr>
    <w:rPr>
      <w:rFonts w:asciiTheme="majorHAnsi" w:hAnsiTheme="majorHAnsi" w:cstheme="majorHAnsi"/>
      <w:i/>
      <w:iCs/>
      <w:sz w:val="18"/>
      <w:szCs w:val="24"/>
    </w:rPr>
  </w:style>
  <w:style w:type="paragraph" w:customStyle="1" w:styleId="BoxHeading2">
    <w:name w:val="Box Heading 2"/>
    <w:basedOn w:val="BoxHeading"/>
    <w:autoRedefine/>
    <w:rsid w:val="00EA0003"/>
    <w:pPr>
      <w:spacing w:after="0"/>
    </w:pPr>
    <w:rPr>
      <w:b w:val="0"/>
      <w:bCs/>
      <w:szCs w:val="14"/>
    </w:rPr>
  </w:style>
  <w:style w:type="character" w:customStyle="1" w:styleId="Heading9Char">
    <w:name w:val="Heading 9 Char"/>
    <w:basedOn w:val="DefaultParagraphFont"/>
    <w:link w:val="Heading9"/>
    <w:uiPriority w:val="9"/>
    <w:rsid w:val="00EA0003"/>
    <w:rPr>
      <w:rFonts w:ascii="Cambria" w:eastAsia="Times New Roman" w:hAnsi="Cambria" w:cs="Times New Roman"/>
      <w:lang w:eastAsia="en-AU"/>
    </w:rPr>
  </w:style>
  <w:style w:type="paragraph" w:customStyle="1" w:styleId="GhostLine">
    <w:name w:val="Ghost Line"/>
    <w:basedOn w:val="NoSpacing"/>
    <w:qFormat/>
    <w:rsid w:val="00EA0003"/>
    <w:pPr>
      <w:jc w:val="both"/>
    </w:pPr>
    <w:rPr>
      <w:rFonts w:ascii="Book Antiqua" w:hAnsi="Book Antiqua"/>
      <w:sz w:val="2"/>
    </w:rPr>
  </w:style>
  <w:style w:type="paragraph" w:styleId="NoSpacing">
    <w:name w:val="No Spacing"/>
    <w:uiPriority w:val="1"/>
    <w:qFormat/>
    <w:rsid w:val="00EA0003"/>
    <w:pPr>
      <w:spacing w:after="0" w:line="240" w:lineRule="auto"/>
    </w:pPr>
    <w:rPr>
      <w:rFonts w:eastAsia="Times New Roman" w:cs="Times New Roman"/>
      <w:sz w:val="19"/>
      <w:szCs w:val="20"/>
      <w:lang w:eastAsia="en-AU"/>
    </w:rPr>
  </w:style>
  <w:style w:type="character" w:customStyle="1" w:styleId="ChartandTableFootnoteAlphaChar">
    <w:name w:val="Chart and Table Footnote Alpha Char"/>
    <w:link w:val="ChartandTableFootnoteAlpha"/>
    <w:locked/>
    <w:rsid w:val="004802FB"/>
    <w:rPr>
      <w:rFonts w:ascii="Arial" w:eastAsia="Times New Roman" w:hAnsi="Arial" w:cs="Times New Roman"/>
      <w:color w:val="000000"/>
      <w:sz w:val="16"/>
      <w:szCs w:val="20"/>
      <w:lang w:eastAsia="en-AU"/>
    </w:rPr>
  </w:style>
  <w:style w:type="character" w:customStyle="1" w:styleId="BulletChar">
    <w:name w:val="Bullet Char"/>
    <w:aliases w:val="b Char,Body Char,Bullet + line Char,b + line Char,b + line Char Char,b Char Char,b1 Char,level 1 Char,Bullets Char,Number Char,L Char,List Paragraph Char,List Paragraph1 Char,List Paragraph11 Char,List Paragraph2 Char,Recommendation Char"/>
    <w:link w:val="Bullet"/>
    <w:qFormat/>
    <w:locked/>
    <w:rsid w:val="00EA0003"/>
    <w:rPr>
      <w:rFonts w:ascii="Book Antiqua" w:eastAsia="Times New Roman" w:hAnsi="Book Antiqua" w:cs="Times New Roman"/>
      <w:sz w:val="19"/>
      <w:szCs w:val="20"/>
      <w:lang w:eastAsia="en-AU"/>
    </w:rPr>
  </w:style>
  <w:style w:type="character" w:customStyle="1" w:styleId="BoxTextChar">
    <w:name w:val="Box Text Char"/>
    <w:basedOn w:val="DefaultParagraphFont"/>
    <w:link w:val="BoxText"/>
    <w:rsid w:val="004802FB"/>
    <w:rPr>
      <w:rFonts w:ascii="Book Antiqua" w:eastAsia="Times New Roman" w:hAnsi="Book Antiqua" w:cs="Times New Roman"/>
      <w:sz w:val="19"/>
      <w:szCs w:val="20"/>
      <w:lang w:eastAsia="en-AU"/>
    </w:rPr>
  </w:style>
  <w:style w:type="character" w:customStyle="1" w:styleId="DashChar">
    <w:name w:val="Dash Char"/>
    <w:basedOn w:val="DefaultParagraphFont"/>
    <w:link w:val="Dash"/>
    <w:rsid w:val="004802FB"/>
    <w:rPr>
      <w:rFonts w:ascii="Book Antiqua" w:eastAsia="Times New Roman" w:hAnsi="Book Antiqua" w:cs="Times New Roman"/>
      <w:sz w:val="19"/>
      <w:szCs w:val="20"/>
      <w:lang w:eastAsia="en-AU"/>
    </w:rPr>
  </w:style>
  <w:style w:type="paragraph" w:customStyle="1" w:styleId="ChartHeading">
    <w:name w:val="Chart Heading"/>
    <w:basedOn w:val="HeadingBase"/>
    <w:next w:val="ChartGraphic"/>
    <w:qFormat/>
    <w:rsid w:val="004802FB"/>
    <w:pPr>
      <w:spacing w:before="120" w:after="20"/>
    </w:pPr>
    <w:rPr>
      <w:b/>
      <w:sz w:val="20"/>
    </w:rPr>
  </w:style>
  <w:style w:type="character" w:customStyle="1" w:styleId="ChartGraphicChar">
    <w:name w:val="Chart Graphic Char"/>
    <w:basedOn w:val="DefaultParagraphFont"/>
    <w:link w:val="ChartGraphic"/>
    <w:locked/>
    <w:rsid w:val="004802FB"/>
    <w:rPr>
      <w:rFonts w:ascii="Arial" w:eastAsia="Times New Roman" w:hAnsi="Arial" w:cs="Times New Roman"/>
      <w:sz w:val="20"/>
      <w:szCs w:val="20"/>
      <w:lang w:eastAsia="en-AU"/>
    </w:rPr>
  </w:style>
  <w:style w:type="character" w:customStyle="1" w:styleId="normaltextrun">
    <w:name w:val="normaltextrun"/>
    <w:basedOn w:val="DefaultParagraphFont"/>
    <w:rsid w:val="00D01E96"/>
  </w:style>
  <w:style w:type="paragraph" w:customStyle="1" w:styleId="StatementWhite">
    <w:name w:val="Statement White"/>
    <w:basedOn w:val="Normal"/>
    <w:autoRedefine/>
    <w:qFormat/>
    <w:rsid w:val="00D01E96"/>
    <w:pPr>
      <w:textboxTightWrap w:val="firstAndLastLine"/>
    </w:pPr>
    <w:rPr>
      <w:rFonts w:asciiTheme="minorHAnsi" w:hAnsiTheme="minorHAnsi" w:cstheme="minorHAnsi"/>
      <w:color w:val="FFFFFF" w:themeColor="background1"/>
      <w:kern w:val="18"/>
      <w:sz w:val="18"/>
    </w:rPr>
  </w:style>
  <w:style w:type="paragraph" w:customStyle="1" w:styleId="FooterOddWHITE">
    <w:name w:val="Footer Odd WHITE"/>
    <w:basedOn w:val="FooterOdd"/>
    <w:qFormat/>
    <w:rsid w:val="00D01E96"/>
    <w:pPr>
      <w:pBdr>
        <w:top w:val="single" w:sz="4" w:space="10" w:color="FFFFFF" w:themeColor="background1"/>
      </w:pBdr>
      <w:ind w:left="567" w:hanging="284"/>
    </w:pPr>
    <w:rPr>
      <w:color w:val="FFFFFF" w:themeColor="background1"/>
    </w:rPr>
  </w:style>
  <w:style w:type="paragraph" w:customStyle="1" w:styleId="BoxSubHeading">
    <w:name w:val="Box Sub Heading"/>
    <w:basedOn w:val="Heading6"/>
    <w:rsid w:val="00D01E96"/>
    <w:pPr>
      <w:spacing w:before="120" w:after="40"/>
    </w:pPr>
  </w:style>
  <w:style w:type="character" w:styleId="EndnoteReference">
    <w:name w:val="endnote reference"/>
    <w:basedOn w:val="DefaultParagraphFont"/>
    <w:unhideWhenUsed/>
    <w:rsid w:val="00D01E96"/>
    <w:rPr>
      <w:vertAlign w:val="superscript"/>
    </w:rPr>
  </w:style>
  <w:style w:type="paragraph" w:styleId="EndnoteText">
    <w:name w:val="endnote text"/>
    <w:basedOn w:val="Normal"/>
    <w:link w:val="EndnoteTextChar"/>
    <w:unhideWhenUsed/>
    <w:rsid w:val="00D01E96"/>
    <w:rPr>
      <w:rFonts w:asciiTheme="minorHAnsi" w:hAnsiTheme="minorHAnsi"/>
    </w:rPr>
  </w:style>
  <w:style w:type="character" w:customStyle="1" w:styleId="EndnoteTextChar">
    <w:name w:val="Endnote Text Char"/>
    <w:basedOn w:val="DefaultParagraphFont"/>
    <w:link w:val="EndnoteText"/>
    <w:rsid w:val="00D01E96"/>
    <w:rPr>
      <w:rFonts w:eastAsia="Times New Roman" w:cs="Times New Roman"/>
      <w:sz w:val="19"/>
      <w:szCs w:val="20"/>
      <w:lang w:eastAsia="en-AU"/>
    </w:rPr>
  </w:style>
  <w:style w:type="paragraph" w:styleId="Index1">
    <w:name w:val="index 1"/>
    <w:basedOn w:val="Normal"/>
    <w:next w:val="Normal"/>
    <w:rsid w:val="00D01E96"/>
    <w:pPr>
      <w:ind w:left="200" w:hanging="200"/>
    </w:pPr>
    <w:rPr>
      <w:rFonts w:asciiTheme="minorHAnsi" w:hAnsiTheme="minorHAnsi"/>
    </w:rPr>
  </w:style>
  <w:style w:type="paragraph" w:styleId="Index2">
    <w:name w:val="index 2"/>
    <w:basedOn w:val="Normal"/>
    <w:next w:val="Normal"/>
    <w:rsid w:val="00D01E96"/>
    <w:pPr>
      <w:ind w:left="400" w:hanging="200"/>
    </w:pPr>
    <w:rPr>
      <w:rFonts w:asciiTheme="minorHAnsi" w:hAnsiTheme="minorHAnsi"/>
    </w:rPr>
  </w:style>
  <w:style w:type="paragraph" w:styleId="Index3">
    <w:name w:val="index 3"/>
    <w:basedOn w:val="Normal"/>
    <w:next w:val="Normal"/>
    <w:rsid w:val="00D01E96"/>
    <w:pPr>
      <w:ind w:left="600" w:hanging="200"/>
    </w:pPr>
    <w:rPr>
      <w:rFonts w:asciiTheme="minorHAnsi" w:hAnsiTheme="minorHAnsi"/>
    </w:rPr>
  </w:style>
  <w:style w:type="paragraph" w:styleId="IndexHeading">
    <w:name w:val="index heading"/>
    <w:basedOn w:val="Normal"/>
    <w:next w:val="Index1"/>
    <w:rsid w:val="00D01E96"/>
    <w:rPr>
      <w:rFonts w:ascii="Symbol" w:hAnsi="Symbol" w:cs="Courier New"/>
      <w:b/>
      <w:bCs/>
      <w:color w:val="002B54"/>
    </w:rPr>
  </w:style>
  <w:style w:type="paragraph" w:styleId="TableofAuthorities">
    <w:name w:val="table of authorities"/>
    <w:basedOn w:val="Normal"/>
    <w:next w:val="Normal"/>
    <w:rsid w:val="00D01E96"/>
    <w:pPr>
      <w:ind w:left="200" w:hanging="200"/>
    </w:pPr>
    <w:rPr>
      <w:rFonts w:asciiTheme="minorHAnsi" w:hAnsiTheme="minorHAnsi"/>
    </w:rPr>
  </w:style>
  <w:style w:type="paragraph" w:customStyle="1" w:styleId="StatementWhite-Bullet">
    <w:name w:val="Statement White - Bullet"/>
    <w:basedOn w:val="Bullet"/>
    <w:qFormat/>
    <w:rsid w:val="00D01E96"/>
    <w:pPr>
      <w:numPr>
        <w:numId w:val="0"/>
      </w:numPr>
      <w:tabs>
        <w:tab w:val="num" w:pos="283"/>
      </w:tabs>
      <w:ind w:left="283" w:hanging="283"/>
    </w:pPr>
    <w:rPr>
      <w:rFonts w:asciiTheme="minorHAnsi" w:hAnsiTheme="minorHAnsi"/>
      <w:color w:val="FFFFFF" w:themeColor="background1"/>
    </w:rPr>
  </w:style>
  <w:style w:type="paragraph" w:styleId="BalloonText">
    <w:name w:val="Balloon Text"/>
    <w:basedOn w:val="Normal"/>
    <w:link w:val="BalloonTextChar"/>
    <w:rsid w:val="00D01E96"/>
    <w:rPr>
      <w:rFonts w:ascii="Calibri" w:hAnsi="Calibri" w:cs="Calibri"/>
      <w:sz w:val="16"/>
      <w:szCs w:val="16"/>
    </w:rPr>
  </w:style>
  <w:style w:type="character" w:customStyle="1" w:styleId="BalloonTextChar">
    <w:name w:val="Balloon Text Char"/>
    <w:basedOn w:val="DefaultParagraphFont"/>
    <w:link w:val="BalloonText"/>
    <w:rsid w:val="00D01E96"/>
    <w:rPr>
      <w:rFonts w:ascii="Calibri" w:eastAsia="Times New Roman" w:hAnsi="Calibri" w:cs="Calibri"/>
      <w:sz w:val="16"/>
      <w:szCs w:val="16"/>
      <w:lang w:eastAsia="en-AU"/>
    </w:rPr>
  </w:style>
  <w:style w:type="paragraph" w:customStyle="1" w:styleId="AppendixHeading">
    <w:name w:val="Appendix Heading"/>
    <w:basedOn w:val="HeadingBase"/>
    <w:rsid w:val="00D01E96"/>
    <w:pPr>
      <w:spacing w:after="240"/>
      <w:jc w:val="center"/>
      <w:outlineLvl w:val="3"/>
    </w:pPr>
    <w:rPr>
      <w:b/>
      <w:smallCaps/>
      <w:sz w:val="30"/>
    </w:rPr>
  </w:style>
  <w:style w:type="paragraph" w:customStyle="1" w:styleId="BlockedQuotation">
    <w:name w:val="Blocked Quotation"/>
    <w:basedOn w:val="Normal"/>
    <w:rsid w:val="00D01E96"/>
    <w:pPr>
      <w:ind w:left="567"/>
    </w:pPr>
    <w:rPr>
      <w:rFonts w:asciiTheme="minorHAnsi" w:hAnsiTheme="minorHAnsi"/>
    </w:rPr>
  </w:style>
  <w:style w:type="paragraph" w:customStyle="1" w:styleId="ContentsnoToC">
    <w:name w:val="Contents no ToC"/>
    <w:basedOn w:val="ContentsHeading"/>
    <w:autoRedefine/>
    <w:rsid w:val="00D01E96"/>
    <w:pPr>
      <w:pageBreakBefore/>
      <w:spacing w:after="480" w:line="680" w:lineRule="exact"/>
      <w:outlineLvl w:val="0"/>
    </w:pPr>
    <w:rPr>
      <w:rFonts w:cstheme="majorHAnsi"/>
    </w:rPr>
  </w:style>
  <w:style w:type="paragraph" w:customStyle="1" w:styleId="SourceBox">
    <w:name w:val="Source Box"/>
    <w:basedOn w:val="Source"/>
    <w:rsid w:val="00D01E96"/>
    <w:pPr>
      <w:spacing w:before="0" w:after="120"/>
      <w:jc w:val="both"/>
    </w:pPr>
  </w:style>
  <w:style w:type="paragraph" w:customStyle="1" w:styleId="TableColumnHeadingS118pt">
    <w:name w:val="Table Column Heading S11 8 pt"/>
    <w:basedOn w:val="TableColumnHeadingBase"/>
    <w:rsid w:val="00D01E96"/>
    <w:pPr>
      <w:spacing w:after="0"/>
    </w:pPr>
    <w:rPr>
      <w:rFonts w:ascii="Courier New" w:hAnsi="Courier New"/>
    </w:rPr>
  </w:style>
  <w:style w:type="paragraph" w:customStyle="1" w:styleId="TableColumnHeadingS119pt">
    <w:name w:val="Table Column Heading S11 9 pt"/>
    <w:basedOn w:val="TableColumnHeadingBase"/>
    <w:rsid w:val="00D01E96"/>
    <w:pPr>
      <w:spacing w:before="60" w:after="60"/>
    </w:pPr>
    <w:rPr>
      <w:rFonts w:ascii="Courier New" w:hAnsi="Courier New"/>
      <w:sz w:val="18"/>
    </w:rPr>
  </w:style>
  <w:style w:type="paragraph" w:customStyle="1" w:styleId="Boxcontinuedover">
    <w:name w:val="Box continued over"/>
    <w:basedOn w:val="BoxText"/>
    <w:qFormat/>
    <w:rsid w:val="00D01E96"/>
    <w:pPr>
      <w:spacing w:before="240" w:after="0"/>
      <w:jc w:val="right"/>
    </w:pPr>
    <w:rPr>
      <w:rFonts w:ascii="Courier New" w:hAnsi="Courier New"/>
      <w:b/>
      <w:bCs/>
      <w:sz w:val="18"/>
      <w:szCs w:val="16"/>
    </w:rPr>
  </w:style>
  <w:style w:type="paragraph" w:customStyle="1" w:styleId="BoxDash">
    <w:name w:val="Box Dash"/>
    <w:basedOn w:val="BoxBullet"/>
    <w:qFormat/>
    <w:rsid w:val="008075B1"/>
    <w:pPr>
      <w:numPr>
        <w:numId w:val="5"/>
      </w:numPr>
      <w:tabs>
        <w:tab w:val="left" w:pos="567"/>
      </w:tabs>
    </w:pPr>
    <w:rPr>
      <w:sz w:val="20"/>
    </w:rPr>
  </w:style>
  <w:style w:type="paragraph" w:customStyle="1" w:styleId="ChartorTableNote">
    <w:name w:val="Chart or Table Note"/>
    <w:rsid w:val="00D01E96"/>
    <w:pPr>
      <w:tabs>
        <w:tab w:val="left" w:pos="482"/>
      </w:tabs>
      <w:spacing w:after="20" w:line="240" w:lineRule="auto"/>
      <w:ind w:left="482" w:hanging="482"/>
      <w:jc w:val="both"/>
    </w:pPr>
    <w:rPr>
      <w:rFonts w:ascii="Courier New" w:eastAsia="Times New Roman" w:hAnsi="Courier New" w:cs="Times New Roman"/>
      <w:color w:val="000000"/>
      <w:sz w:val="16"/>
      <w:szCs w:val="20"/>
      <w:lang w:eastAsia="en-AU"/>
    </w:rPr>
  </w:style>
  <w:style w:type="character" w:customStyle="1" w:styleId="apple-tab-span">
    <w:name w:val="apple-tab-span"/>
    <w:basedOn w:val="DefaultParagraphFont"/>
    <w:rsid w:val="00D01E96"/>
  </w:style>
  <w:style w:type="character" w:styleId="FollowedHyperlink">
    <w:name w:val="FollowedHyperlink"/>
    <w:basedOn w:val="DefaultParagraphFont"/>
    <w:uiPriority w:val="99"/>
    <w:semiHidden/>
    <w:unhideWhenUsed/>
    <w:rsid w:val="00D01E96"/>
    <w:rPr>
      <w:color w:val="E61E26" w:themeColor="followedHyperlink"/>
      <w:u w:val="single"/>
    </w:rPr>
  </w:style>
  <w:style w:type="paragraph" w:styleId="Revision">
    <w:name w:val="Revision"/>
    <w:hidden/>
    <w:uiPriority w:val="99"/>
    <w:semiHidden/>
    <w:rsid w:val="00D01E96"/>
    <w:pPr>
      <w:spacing w:after="0" w:line="240" w:lineRule="auto"/>
    </w:pPr>
    <w:rPr>
      <w:rFonts w:ascii="Book Antiqua" w:eastAsia="Times New Roman" w:hAnsi="Book Antiqua" w:cs="Times New Roman"/>
      <w:sz w:val="20"/>
      <w:szCs w:val="20"/>
      <w:lang w:eastAsia="en-AU"/>
    </w:rPr>
  </w:style>
  <w:style w:type="paragraph" w:styleId="NormalWeb">
    <w:name w:val="Normal (Web)"/>
    <w:basedOn w:val="Normal"/>
    <w:uiPriority w:val="99"/>
    <w:unhideWhenUsed/>
    <w:rsid w:val="00D01E96"/>
    <w:rPr>
      <w:rFonts w:ascii="Times New Roman" w:hAnsi="Times New Roman"/>
      <w:sz w:val="24"/>
      <w:szCs w:val="24"/>
    </w:rPr>
  </w:style>
  <w:style w:type="paragraph" w:styleId="ListParagraph">
    <w:name w:val="List Paragraph"/>
    <w:basedOn w:val="Normal"/>
    <w:link w:val="ListParagraphChar1"/>
    <w:uiPriority w:val="34"/>
    <w:qFormat/>
    <w:rsid w:val="00D01E96"/>
    <w:pPr>
      <w:ind w:left="720"/>
    </w:pPr>
    <w:rPr>
      <w:rFonts w:ascii="Wingdings" w:eastAsiaTheme="minorHAnsi" w:hAnsi="Wingdings" w:cs="Wingdings"/>
      <w:lang w:eastAsia="en-US"/>
    </w:rPr>
  </w:style>
  <w:style w:type="character" w:styleId="UnresolvedMention">
    <w:name w:val="Unresolved Mention"/>
    <w:basedOn w:val="DefaultParagraphFont"/>
    <w:uiPriority w:val="99"/>
    <w:unhideWhenUsed/>
    <w:rsid w:val="00D01E96"/>
    <w:rPr>
      <w:color w:val="605E5C"/>
      <w:shd w:val="clear" w:color="auto" w:fill="E1DFDD"/>
    </w:rPr>
  </w:style>
  <w:style w:type="character" w:styleId="Mention">
    <w:name w:val="Mention"/>
    <w:basedOn w:val="DefaultParagraphFont"/>
    <w:uiPriority w:val="99"/>
    <w:unhideWhenUsed/>
    <w:rsid w:val="00D01E96"/>
    <w:rPr>
      <w:color w:val="2B579A"/>
      <w:shd w:val="clear" w:color="auto" w:fill="E1DFDD"/>
    </w:rPr>
  </w:style>
  <w:style w:type="paragraph" w:customStyle="1" w:styleId="OutlineNumbered1">
    <w:name w:val="Outline Numbered 1"/>
    <w:basedOn w:val="Normal"/>
    <w:link w:val="OutlineNumbered1Char"/>
    <w:rsid w:val="00D01E96"/>
    <w:pPr>
      <w:numPr>
        <w:numId w:val="6"/>
      </w:numPr>
      <w:spacing w:after="160" w:line="259" w:lineRule="auto"/>
    </w:pPr>
    <w:rPr>
      <w:rFonts w:asciiTheme="minorHAnsi" w:eastAsiaTheme="minorHAnsi" w:hAnsiTheme="minorHAnsi" w:cstheme="minorBidi"/>
      <w:sz w:val="22"/>
      <w:szCs w:val="22"/>
      <w:lang w:eastAsia="en-US"/>
    </w:rPr>
  </w:style>
  <w:style w:type="character" w:customStyle="1" w:styleId="OutlineNumbered1Char">
    <w:name w:val="Outline Numbered 1 Char"/>
    <w:basedOn w:val="DefaultParagraphFont"/>
    <w:link w:val="OutlineNumbered1"/>
    <w:rsid w:val="00D01E96"/>
  </w:style>
  <w:style w:type="paragraph" w:customStyle="1" w:styleId="BoxHeadingNOTOC">
    <w:name w:val="Box Heading (NO TOC)"/>
    <w:basedOn w:val="BoxHeading"/>
    <w:qFormat/>
    <w:rsid w:val="00D01E96"/>
    <w:rPr>
      <w:szCs w:val="22"/>
    </w:rPr>
  </w:style>
  <w:style w:type="paragraph" w:customStyle="1" w:styleId="Heading1NoTOC">
    <w:name w:val="Heading 1 (No TOC)"/>
    <w:basedOn w:val="Heading1"/>
    <w:rsid w:val="00D01E96"/>
    <w:pPr>
      <w:outlineLvl w:val="9"/>
    </w:pPr>
  </w:style>
  <w:style w:type="paragraph" w:customStyle="1" w:styleId="Heading2NoTOC">
    <w:name w:val="Heading 2 (No TOC)"/>
    <w:basedOn w:val="Heading2"/>
    <w:rsid w:val="00D01E96"/>
    <w:pPr>
      <w:outlineLvl w:val="9"/>
    </w:pPr>
  </w:style>
  <w:style w:type="paragraph" w:customStyle="1" w:styleId="Heading3NoTOC0">
    <w:name w:val="Heading 3 (No TOC)"/>
    <w:basedOn w:val="Heading3"/>
    <w:rsid w:val="00D01E96"/>
    <w:pPr>
      <w:outlineLvl w:val="9"/>
    </w:pPr>
  </w:style>
  <w:style w:type="paragraph" w:customStyle="1" w:styleId="Heading4NoTOC">
    <w:name w:val="Heading 4 (No TOC)"/>
    <w:basedOn w:val="Heading4"/>
    <w:rsid w:val="00D01E96"/>
    <w:pPr>
      <w:outlineLvl w:val="9"/>
    </w:pPr>
  </w:style>
  <w:style w:type="paragraph" w:customStyle="1" w:styleId="Heading5NoTOC">
    <w:name w:val="Heading 5 (No TOC)"/>
    <w:basedOn w:val="Heading5"/>
    <w:autoRedefine/>
    <w:rsid w:val="00D01E96"/>
    <w:pPr>
      <w:spacing w:before="240"/>
      <w:outlineLvl w:val="9"/>
    </w:pPr>
  </w:style>
  <w:style w:type="character" w:customStyle="1" w:styleId="DoubleDotChar">
    <w:name w:val="Double Dot Char"/>
    <w:basedOn w:val="DefaultParagraphFont"/>
    <w:link w:val="DoubleDot"/>
    <w:rsid w:val="00D01E96"/>
    <w:rPr>
      <w:rFonts w:ascii="Book Antiqua" w:eastAsia="Times New Roman" w:hAnsi="Book Antiqua" w:cs="Times New Roman"/>
      <w:sz w:val="19"/>
      <w:szCs w:val="20"/>
      <w:lang w:eastAsia="en-AU"/>
    </w:rPr>
  </w:style>
  <w:style w:type="paragraph" w:customStyle="1" w:styleId="paragraph">
    <w:name w:val="paragraph"/>
    <w:basedOn w:val="Normal"/>
    <w:rsid w:val="00D01E96"/>
    <w:pPr>
      <w:spacing w:before="100" w:beforeAutospacing="1" w:after="100" w:afterAutospacing="1" w:line="240" w:lineRule="auto"/>
    </w:pPr>
    <w:rPr>
      <w:rFonts w:ascii="Times New Roman" w:hAnsi="Times New Roman"/>
      <w:sz w:val="24"/>
      <w:szCs w:val="24"/>
    </w:rPr>
  </w:style>
  <w:style w:type="character" w:customStyle="1" w:styleId="eop">
    <w:name w:val="eop"/>
    <w:basedOn w:val="DefaultParagraphFont"/>
    <w:rsid w:val="00D01E96"/>
  </w:style>
  <w:style w:type="character" w:styleId="Emphasis">
    <w:name w:val="Emphasis"/>
    <w:basedOn w:val="DefaultParagraphFont"/>
    <w:uiPriority w:val="20"/>
    <w:qFormat/>
    <w:rsid w:val="00D01E96"/>
    <w:rPr>
      <w:i/>
      <w:iCs/>
    </w:rPr>
  </w:style>
  <w:style w:type="paragraph" w:customStyle="1" w:styleId="Topic1">
    <w:name w:val="Topic1"/>
    <w:basedOn w:val="Normal"/>
    <w:link w:val="Topic1Char"/>
    <w:qFormat/>
    <w:rsid w:val="00D01E96"/>
    <w:pPr>
      <w:spacing w:before="0" w:after="160" w:line="259" w:lineRule="auto"/>
    </w:pPr>
    <w:rPr>
      <w:rFonts w:asciiTheme="majorHAnsi" w:eastAsiaTheme="majorEastAsia" w:hAnsiTheme="majorHAnsi" w:cstheme="majorBidi"/>
      <w:b/>
      <w:color w:val="002C47"/>
      <w:sz w:val="28"/>
      <w:szCs w:val="28"/>
      <w:lang w:eastAsia="en-US"/>
    </w:rPr>
  </w:style>
  <w:style w:type="character" w:customStyle="1" w:styleId="Topic1Char">
    <w:name w:val="Topic1 Char"/>
    <w:basedOn w:val="DefaultParagraphFont"/>
    <w:link w:val="Topic1"/>
    <w:rsid w:val="00D01E96"/>
    <w:rPr>
      <w:rFonts w:asciiTheme="majorHAnsi" w:eastAsiaTheme="majorEastAsia" w:hAnsiTheme="majorHAnsi" w:cstheme="majorBidi"/>
      <w:b/>
      <w:color w:val="002C47"/>
      <w:sz w:val="28"/>
      <w:szCs w:val="28"/>
    </w:rPr>
  </w:style>
  <w:style w:type="paragraph" w:customStyle="1" w:styleId="OutlineNumbered2">
    <w:name w:val="Outline Numbered 2"/>
    <w:basedOn w:val="Normal"/>
    <w:link w:val="OutlineNumbered2Char"/>
    <w:rsid w:val="00D01E96"/>
    <w:pPr>
      <w:numPr>
        <w:ilvl w:val="1"/>
        <w:numId w:val="6"/>
      </w:numPr>
      <w:spacing w:before="0" w:after="0" w:line="240" w:lineRule="auto"/>
    </w:pPr>
    <w:rPr>
      <w:rFonts w:ascii="Arial" w:hAnsi="Arial" w:cs="Arial"/>
      <w:sz w:val="18"/>
      <w:szCs w:val="18"/>
    </w:rPr>
  </w:style>
  <w:style w:type="character" w:customStyle="1" w:styleId="ListParagraphChar1">
    <w:name w:val="List Paragraph Char1"/>
    <w:basedOn w:val="DefaultParagraphFont"/>
    <w:link w:val="ListParagraph"/>
    <w:uiPriority w:val="34"/>
    <w:rsid w:val="00D01E96"/>
    <w:rPr>
      <w:rFonts w:ascii="Wingdings" w:hAnsi="Wingdings" w:cs="Wingdings"/>
      <w:sz w:val="19"/>
      <w:szCs w:val="20"/>
    </w:rPr>
  </w:style>
  <w:style w:type="character" w:customStyle="1" w:styleId="OutlineNumbered2Char">
    <w:name w:val="Outline Numbered 2 Char"/>
    <w:basedOn w:val="ListParagraphChar1"/>
    <w:link w:val="OutlineNumbered2"/>
    <w:rsid w:val="00D01E96"/>
    <w:rPr>
      <w:rFonts w:ascii="Arial" w:eastAsia="Times New Roman" w:hAnsi="Arial" w:cs="Arial"/>
      <w:sz w:val="18"/>
      <w:szCs w:val="18"/>
      <w:lang w:eastAsia="en-AU"/>
    </w:rPr>
  </w:style>
  <w:style w:type="paragraph" w:customStyle="1" w:styleId="OutlineNumbered3">
    <w:name w:val="Outline Numbered 3"/>
    <w:basedOn w:val="Normal"/>
    <w:link w:val="OutlineNumbered3Char"/>
    <w:rsid w:val="00D01E96"/>
    <w:pPr>
      <w:numPr>
        <w:ilvl w:val="2"/>
        <w:numId w:val="6"/>
      </w:numPr>
      <w:spacing w:before="0" w:after="0" w:line="240" w:lineRule="auto"/>
    </w:pPr>
    <w:rPr>
      <w:rFonts w:ascii="Arial" w:hAnsi="Arial" w:cs="Arial"/>
      <w:sz w:val="18"/>
      <w:szCs w:val="18"/>
    </w:rPr>
  </w:style>
  <w:style w:type="character" w:customStyle="1" w:styleId="OutlineNumbered3Char">
    <w:name w:val="Outline Numbered 3 Char"/>
    <w:basedOn w:val="ListParagraphChar1"/>
    <w:link w:val="OutlineNumbered3"/>
    <w:rsid w:val="00D01E96"/>
    <w:rPr>
      <w:rFonts w:ascii="Arial" w:eastAsia="Times New Roman" w:hAnsi="Arial" w:cs="Arial"/>
      <w:sz w:val="18"/>
      <w:szCs w:val="18"/>
      <w:lang w:eastAsia="en-AU"/>
    </w:rPr>
  </w:style>
  <w:style w:type="paragraph" w:customStyle="1" w:styleId="p3">
    <w:name w:val="p3"/>
    <w:basedOn w:val="Normal"/>
    <w:rsid w:val="00B81B17"/>
    <w:pPr>
      <w:spacing w:before="100" w:beforeAutospacing="1" w:after="100" w:afterAutospacing="1" w:line="240" w:lineRule="auto"/>
    </w:pPr>
    <w:rPr>
      <w:rFonts w:ascii="Calibri" w:eastAsiaTheme="minorHAnsi" w:hAnsi="Calibri" w:cs="Calibri"/>
      <w:sz w:val="22"/>
      <w:szCs w:val="22"/>
    </w:rPr>
  </w:style>
  <w:style w:type="character" w:customStyle="1" w:styleId="s2">
    <w:name w:val="s2"/>
    <w:basedOn w:val="DefaultParagraphFont"/>
    <w:rsid w:val="00B81B17"/>
  </w:style>
  <w:style w:type="character" w:styleId="SubtleEmphasis">
    <w:name w:val="Subtle Emphasis"/>
    <w:basedOn w:val="DefaultParagraphFont"/>
    <w:uiPriority w:val="19"/>
    <w:qFormat/>
    <w:rsid w:val="00B81B17"/>
    <w:rPr>
      <w:i/>
      <w:iCs/>
      <w:color w:val="404040" w:themeColor="text1" w:themeTint="BF"/>
    </w:rPr>
  </w:style>
  <w:style w:type="paragraph" w:customStyle="1" w:styleId="bullet0">
    <w:name w:val="bullet"/>
    <w:basedOn w:val="Normal"/>
    <w:rsid w:val="0097749D"/>
    <w:pPr>
      <w:spacing w:before="100" w:beforeAutospacing="1" w:after="100" w:afterAutospacing="1" w:line="240" w:lineRule="auto"/>
    </w:pPr>
    <w:rPr>
      <w:rFonts w:ascii="Calibri" w:eastAsiaTheme="minorHAnsi" w:hAnsi="Calibri" w:cs="Calibri"/>
      <w:sz w:val="22"/>
      <w:szCs w:val="22"/>
    </w:rPr>
  </w:style>
  <w:style w:type="paragraph" w:customStyle="1" w:styleId="NormalText">
    <w:name w:val="Normal Text"/>
    <w:link w:val="NormalTextChar"/>
    <w:qFormat/>
    <w:rsid w:val="00F90A5D"/>
    <w:rPr>
      <w:rFonts w:ascii="Calibri" w:hAnsi="Calibri"/>
    </w:rPr>
  </w:style>
  <w:style w:type="character" w:customStyle="1" w:styleId="NormalTextChar">
    <w:name w:val="Normal Text Char"/>
    <w:basedOn w:val="DefaultParagraphFont"/>
    <w:link w:val="NormalText"/>
    <w:rsid w:val="00F90A5D"/>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95419">
      <w:bodyDiv w:val="1"/>
      <w:marLeft w:val="0"/>
      <w:marRight w:val="0"/>
      <w:marTop w:val="0"/>
      <w:marBottom w:val="0"/>
      <w:divBdr>
        <w:top w:val="none" w:sz="0" w:space="0" w:color="auto"/>
        <w:left w:val="none" w:sz="0" w:space="0" w:color="auto"/>
        <w:bottom w:val="none" w:sz="0" w:space="0" w:color="auto"/>
        <w:right w:val="none" w:sz="0" w:space="0" w:color="auto"/>
      </w:divBdr>
    </w:div>
    <w:div w:id="48725428">
      <w:bodyDiv w:val="1"/>
      <w:marLeft w:val="0"/>
      <w:marRight w:val="0"/>
      <w:marTop w:val="0"/>
      <w:marBottom w:val="0"/>
      <w:divBdr>
        <w:top w:val="none" w:sz="0" w:space="0" w:color="auto"/>
        <w:left w:val="none" w:sz="0" w:space="0" w:color="auto"/>
        <w:bottom w:val="none" w:sz="0" w:space="0" w:color="auto"/>
        <w:right w:val="none" w:sz="0" w:space="0" w:color="auto"/>
      </w:divBdr>
    </w:div>
    <w:div w:id="74059524">
      <w:bodyDiv w:val="1"/>
      <w:marLeft w:val="0"/>
      <w:marRight w:val="0"/>
      <w:marTop w:val="0"/>
      <w:marBottom w:val="0"/>
      <w:divBdr>
        <w:top w:val="none" w:sz="0" w:space="0" w:color="auto"/>
        <w:left w:val="none" w:sz="0" w:space="0" w:color="auto"/>
        <w:bottom w:val="none" w:sz="0" w:space="0" w:color="auto"/>
        <w:right w:val="none" w:sz="0" w:space="0" w:color="auto"/>
      </w:divBdr>
    </w:div>
    <w:div w:id="121728581">
      <w:bodyDiv w:val="1"/>
      <w:marLeft w:val="0"/>
      <w:marRight w:val="0"/>
      <w:marTop w:val="0"/>
      <w:marBottom w:val="0"/>
      <w:divBdr>
        <w:top w:val="none" w:sz="0" w:space="0" w:color="auto"/>
        <w:left w:val="none" w:sz="0" w:space="0" w:color="auto"/>
        <w:bottom w:val="none" w:sz="0" w:space="0" w:color="auto"/>
        <w:right w:val="none" w:sz="0" w:space="0" w:color="auto"/>
      </w:divBdr>
      <w:divsChild>
        <w:div w:id="1447044425">
          <w:marLeft w:val="0"/>
          <w:marRight w:val="0"/>
          <w:marTop w:val="0"/>
          <w:marBottom w:val="0"/>
          <w:divBdr>
            <w:top w:val="none" w:sz="0" w:space="0" w:color="auto"/>
            <w:left w:val="none" w:sz="0" w:space="0" w:color="auto"/>
            <w:bottom w:val="none" w:sz="0" w:space="0" w:color="auto"/>
            <w:right w:val="none" w:sz="0" w:space="0" w:color="auto"/>
          </w:divBdr>
        </w:div>
      </w:divsChild>
    </w:div>
    <w:div w:id="126818734">
      <w:bodyDiv w:val="1"/>
      <w:marLeft w:val="0"/>
      <w:marRight w:val="0"/>
      <w:marTop w:val="0"/>
      <w:marBottom w:val="0"/>
      <w:divBdr>
        <w:top w:val="none" w:sz="0" w:space="0" w:color="auto"/>
        <w:left w:val="none" w:sz="0" w:space="0" w:color="auto"/>
        <w:bottom w:val="none" w:sz="0" w:space="0" w:color="auto"/>
        <w:right w:val="none" w:sz="0" w:space="0" w:color="auto"/>
      </w:divBdr>
    </w:div>
    <w:div w:id="128742775">
      <w:bodyDiv w:val="1"/>
      <w:marLeft w:val="0"/>
      <w:marRight w:val="0"/>
      <w:marTop w:val="0"/>
      <w:marBottom w:val="0"/>
      <w:divBdr>
        <w:top w:val="none" w:sz="0" w:space="0" w:color="auto"/>
        <w:left w:val="none" w:sz="0" w:space="0" w:color="auto"/>
        <w:bottom w:val="none" w:sz="0" w:space="0" w:color="auto"/>
        <w:right w:val="none" w:sz="0" w:space="0" w:color="auto"/>
      </w:divBdr>
    </w:div>
    <w:div w:id="135732142">
      <w:bodyDiv w:val="1"/>
      <w:marLeft w:val="0"/>
      <w:marRight w:val="0"/>
      <w:marTop w:val="0"/>
      <w:marBottom w:val="0"/>
      <w:divBdr>
        <w:top w:val="none" w:sz="0" w:space="0" w:color="auto"/>
        <w:left w:val="none" w:sz="0" w:space="0" w:color="auto"/>
        <w:bottom w:val="none" w:sz="0" w:space="0" w:color="auto"/>
        <w:right w:val="none" w:sz="0" w:space="0" w:color="auto"/>
      </w:divBdr>
    </w:div>
    <w:div w:id="142240008">
      <w:bodyDiv w:val="1"/>
      <w:marLeft w:val="0"/>
      <w:marRight w:val="0"/>
      <w:marTop w:val="0"/>
      <w:marBottom w:val="0"/>
      <w:divBdr>
        <w:top w:val="none" w:sz="0" w:space="0" w:color="auto"/>
        <w:left w:val="none" w:sz="0" w:space="0" w:color="auto"/>
        <w:bottom w:val="none" w:sz="0" w:space="0" w:color="auto"/>
        <w:right w:val="none" w:sz="0" w:space="0" w:color="auto"/>
      </w:divBdr>
    </w:div>
    <w:div w:id="168105516">
      <w:bodyDiv w:val="1"/>
      <w:marLeft w:val="0"/>
      <w:marRight w:val="0"/>
      <w:marTop w:val="0"/>
      <w:marBottom w:val="0"/>
      <w:divBdr>
        <w:top w:val="none" w:sz="0" w:space="0" w:color="auto"/>
        <w:left w:val="none" w:sz="0" w:space="0" w:color="auto"/>
        <w:bottom w:val="none" w:sz="0" w:space="0" w:color="auto"/>
        <w:right w:val="none" w:sz="0" w:space="0" w:color="auto"/>
      </w:divBdr>
    </w:div>
    <w:div w:id="207305189">
      <w:bodyDiv w:val="1"/>
      <w:marLeft w:val="0"/>
      <w:marRight w:val="0"/>
      <w:marTop w:val="0"/>
      <w:marBottom w:val="0"/>
      <w:divBdr>
        <w:top w:val="none" w:sz="0" w:space="0" w:color="auto"/>
        <w:left w:val="none" w:sz="0" w:space="0" w:color="auto"/>
        <w:bottom w:val="none" w:sz="0" w:space="0" w:color="auto"/>
        <w:right w:val="none" w:sz="0" w:space="0" w:color="auto"/>
      </w:divBdr>
    </w:div>
    <w:div w:id="220747594">
      <w:bodyDiv w:val="1"/>
      <w:marLeft w:val="0"/>
      <w:marRight w:val="0"/>
      <w:marTop w:val="0"/>
      <w:marBottom w:val="0"/>
      <w:divBdr>
        <w:top w:val="none" w:sz="0" w:space="0" w:color="auto"/>
        <w:left w:val="none" w:sz="0" w:space="0" w:color="auto"/>
        <w:bottom w:val="none" w:sz="0" w:space="0" w:color="auto"/>
        <w:right w:val="none" w:sz="0" w:space="0" w:color="auto"/>
      </w:divBdr>
    </w:div>
    <w:div w:id="222570029">
      <w:bodyDiv w:val="1"/>
      <w:marLeft w:val="0"/>
      <w:marRight w:val="0"/>
      <w:marTop w:val="0"/>
      <w:marBottom w:val="0"/>
      <w:divBdr>
        <w:top w:val="none" w:sz="0" w:space="0" w:color="auto"/>
        <w:left w:val="none" w:sz="0" w:space="0" w:color="auto"/>
        <w:bottom w:val="none" w:sz="0" w:space="0" w:color="auto"/>
        <w:right w:val="none" w:sz="0" w:space="0" w:color="auto"/>
      </w:divBdr>
    </w:div>
    <w:div w:id="251279219">
      <w:bodyDiv w:val="1"/>
      <w:marLeft w:val="0"/>
      <w:marRight w:val="0"/>
      <w:marTop w:val="0"/>
      <w:marBottom w:val="0"/>
      <w:divBdr>
        <w:top w:val="none" w:sz="0" w:space="0" w:color="auto"/>
        <w:left w:val="none" w:sz="0" w:space="0" w:color="auto"/>
        <w:bottom w:val="none" w:sz="0" w:space="0" w:color="auto"/>
        <w:right w:val="none" w:sz="0" w:space="0" w:color="auto"/>
      </w:divBdr>
    </w:div>
    <w:div w:id="271327749">
      <w:bodyDiv w:val="1"/>
      <w:marLeft w:val="0"/>
      <w:marRight w:val="0"/>
      <w:marTop w:val="0"/>
      <w:marBottom w:val="0"/>
      <w:divBdr>
        <w:top w:val="none" w:sz="0" w:space="0" w:color="auto"/>
        <w:left w:val="none" w:sz="0" w:space="0" w:color="auto"/>
        <w:bottom w:val="none" w:sz="0" w:space="0" w:color="auto"/>
        <w:right w:val="none" w:sz="0" w:space="0" w:color="auto"/>
      </w:divBdr>
    </w:div>
    <w:div w:id="274214617">
      <w:bodyDiv w:val="1"/>
      <w:marLeft w:val="0"/>
      <w:marRight w:val="0"/>
      <w:marTop w:val="0"/>
      <w:marBottom w:val="0"/>
      <w:divBdr>
        <w:top w:val="none" w:sz="0" w:space="0" w:color="auto"/>
        <w:left w:val="none" w:sz="0" w:space="0" w:color="auto"/>
        <w:bottom w:val="none" w:sz="0" w:space="0" w:color="auto"/>
        <w:right w:val="none" w:sz="0" w:space="0" w:color="auto"/>
      </w:divBdr>
    </w:div>
    <w:div w:id="290356778">
      <w:bodyDiv w:val="1"/>
      <w:marLeft w:val="0"/>
      <w:marRight w:val="0"/>
      <w:marTop w:val="0"/>
      <w:marBottom w:val="0"/>
      <w:divBdr>
        <w:top w:val="none" w:sz="0" w:space="0" w:color="auto"/>
        <w:left w:val="none" w:sz="0" w:space="0" w:color="auto"/>
        <w:bottom w:val="none" w:sz="0" w:space="0" w:color="auto"/>
        <w:right w:val="none" w:sz="0" w:space="0" w:color="auto"/>
      </w:divBdr>
    </w:div>
    <w:div w:id="293408459">
      <w:bodyDiv w:val="1"/>
      <w:marLeft w:val="0"/>
      <w:marRight w:val="0"/>
      <w:marTop w:val="0"/>
      <w:marBottom w:val="0"/>
      <w:divBdr>
        <w:top w:val="none" w:sz="0" w:space="0" w:color="auto"/>
        <w:left w:val="none" w:sz="0" w:space="0" w:color="auto"/>
        <w:bottom w:val="none" w:sz="0" w:space="0" w:color="auto"/>
        <w:right w:val="none" w:sz="0" w:space="0" w:color="auto"/>
      </w:divBdr>
    </w:div>
    <w:div w:id="306671193">
      <w:bodyDiv w:val="1"/>
      <w:marLeft w:val="0"/>
      <w:marRight w:val="0"/>
      <w:marTop w:val="0"/>
      <w:marBottom w:val="0"/>
      <w:divBdr>
        <w:top w:val="none" w:sz="0" w:space="0" w:color="auto"/>
        <w:left w:val="none" w:sz="0" w:space="0" w:color="auto"/>
        <w:bottom w:val="none" w:sz="0" w:space="0" w:color="auto"/>
        <w:right w:val="none" w:sz="0" w:space="0" w:color="auto"/>
      </w:divBdr>
    </w:div>
    <w:div w:id="319773188">
      <w:bodyDiv w:val="1"/>
      <w:marLeft w:val="0"/>
      <w:marRight w:val="0"/>
      <w:marTop w:val="0"/>
      <w:marBottom w:val="0"/>
      <w:divBdr>
        <w:top w:val="none" w:sz="0" w:space="0" w:color="auto"/>
        <w:left w:val="none" w:sz="0" w:space="0" w:color="auto"/>
        <w:bottom w:val="none" w:sz="0" w:space="0" w:color="auto"/>
        <w:right w:val="none" w:sz="0" w:space="0" w:color="auto"/>
      </w:divBdr>
    </w:div>
    <w:div w:id="321933802">
      <w:bodyDiv w:val="1"/>
      <w:marLeft w:val="0"/>
      <w:marRight w:val="0"/>
      <w:marTop w:val="0"/>
      <w:marBottom w:val="0"/>
      <w:divBdr>
        <w:top w:val="none" w:sz="0" w:space="0" w:color="auto"/>
        <w:left w:val="none" w:sz="0" w:space="0" w:color="auto"/>
        <w:bottom w:val="none" w:sz="0" w:space="0" w:color="auto"/>
        <w:right w:val="none" w:sz="0" w:space="0" w:color="auto"/>
      </w:divBdr>
    </w:div>
    <w:div w:id="322247658">
      <w:bodyDiv w:val="1"/>
      <w:marLeft w:val="0"/>
      <w:marRight w:val="0"/>
      <w:marTop w:val="0"/>
      <w:marBottom w:val="0"/>
      <w:divBdr>
        <w:top w:val="none" w:sz="0" w:space="0" w:color="auto"/>
        <w:left w:val="none" w:sz="0" w:space="0" w:color="auto"/>
        <w:bottom w:val="none" w:sz="0" w:space="0" w:color="auto"/>
        <w:right w:val="none" w:sz="0" w:space="0" w:color="auto"/>
      </w:divBdr>
    </w:div>
    <w:div w:id="343675593">
      <w:bodyDiv w:val="1"/>
      <w:marLeft w:val="0"/>
      <w:marRight w:val="0"/>
      <w:marTop w:val="0"/>
      <w:marBottom w:val="0"/>
      <w:divBdr>
        <w:top w:val="none" w:sz="0" w:space="0" w:color="auto"/>
        <w:left w:val="none" w:sz="0" w:space="0" w:color="auto"/>
        <w:bottom w:val="none" w:sz="0" w:space="0" w:color="auto"/>
        <w:right w:val="none" w:sz="0" w:space="0" w:color="auto"/>
      </w:divBdr>
    </w:div>
    <w:div w:id="348873482">
      <w:bodyDiv w:val="1"/>
      <w:marLeft w:val="0"/>
      <w:marRight w:val="0"/>
      <w:marTop w:val="0"/>
      <w:marBottom w:val="0"/>
      <w:divBdr>
        <w:top w:val="none" w:sz="0" w:space="0" w:color="auto"/>
        <w:left w:val="none" w:sz="0" w:space="0" w:color="auto"/>
        <w:bottom w:val="none" w:sz="0" w:space="0" w:color="auto"/>
        <w:right w:val="none" w:sz="0" w:space="0" w:color="auto"/>
      </w:divBdr>
    </w:div>
    <w:div w:id="359355699">
      <w:bodyDiv w:val="1"/>
      <w:marLeft w:val="0"/>
      <w:marRight w:val="0"/>
      <w:marTop w:val="0"/>
      <w:marBottom w:val="0"/>
      <w:divBdr>
        <w:top w:val="none" w:sz="0" w:space="0" w:color="auto"/>
        <w:left w:val="none" w:sz="0" w:space="0" w:color="auto"/>
        <w:bottom w:val="none" w:sz="0" w:space="0" w:color="auto"/>
        <w:right w:val="none" w:sz="0" w:space="0" w:color="auto"/>
      </w:divBdr>
    </w:div>
    <w:div w:id="367920314">
      <w:bodyDiv w:val="1"/>
      <w:marLeft w:val="0"/>
      <w:marRight w:val="0"/>
      <w:marTop w:val="0"/>
      <w:marBottom w:val="0"/>
      <w:divBdr>
        <w:top w:val="none" w:sz="0" w:space="0" w:color="auto"/>
        <w:left w:val="none" w:sz="0" w:space="0" w:color="auto"/>
        <w:bottom w:val="none" w:sz="0" w:space="0" w:color="auto"/>
        <w:right w:val="none" w:sz="0" w:space="0" w:color="auto"/>
      </w:divBdr>
    </w:div>
    <w:div w:id="382481341">
      <w:bodyDiv w:val="1"/>
      <w:marLeft w:val="0"/>
      <w:marRight w:val="0"/>
      <w:marTop w:val="0"/>
      <w:marBottom w:val="0"/>
      <w:divBdr>
        <w:top w:val="none" w:sz="0" w:space="0" w:color="auto"/>
        <w:left w:val="none" w:sz="0" w:space="0" w:color="auto"/>
        <w:bottom w:val="none" w:sz="0" w:space="0" w:color="auto"/>
        <w:right w:val="none" w:sz="0" w:space="0" w:color="auto"/>
      </w:divBdr>
    </w:div>
    <w:div w:id="391083627">
      <w:bodyDiv w:val="1"/>
      <w:marLeft w:val="0"/>
      <w:marRight w:val="0"/>
      <w:marTop w:val="0"/>
      <w:marBottom w:val="0"/>
      <w:divBdr>
        <w:top w:val="none" w:sz="0" w:space="0" w:color="auto"/>
        <w:left w:val="none" w:sz="0" w:space="0" w:color="auto"/>
        <w:bottom w:val="none" w:sz="0" w:space="0" w:color="auto"/>
        <w:right w:val="none" w:sz="0" w:space="0" w:color="auto"/>
      </w:divBdr>
    </w:div>
    <w:div w:id="397747767">
      <w:bodyDiv w:val="1"/>
      <w:marLeft w:val="0"/>
      <w:marRight w:val="0"/>
      <w:marTop w:val="0"/>
      <w:marBottom w:val="0"/>
      <w:divBdr>
        <w:top w:val="none" w:sz="0" w:space="0" w:color="auto"/>
        <w:left w:val="none" w:sz="0" w:space="0" w:color="auto"/>
        <w:bottom w:val="none" w:sz="0" w:space="0" w:color="auto"/>
        <w:right w:val="none" w:sz="0" w:space="0" w:color="auto"/>
      </w:divBdr>
    </w:div>
    <w:div w:id="401802892">
      <w:bodyDiv w:val="1"/>
      <w:marLeft w:val="0"/>
      <w:marRight w:val="0"/>
      <w:marTop w:val="0"/>
      <w:marBottom w:val="0"/>
      <w:divBdr>
        <w:top w:val="none" w:sz="0" w:space="0" w:color="auto"/>
        <w:left w:val="none" w:sz="0" w:space="0" w:color="auto"/>
        <w:bottom w:val="none" w:sz="0" w:space="0" w:color="auto"/>
        <w:right w:val="none" w:sz="0" w:space="0" w:color="auto"/>
      </w:divBdr>
    </w:div>
    <w:div w:id="424149642">
      <w:bodyDiv w:val="1"/>
      <w:marLeft w:val="0"/>
      <w:marRight w:val="0"/>
      <w:marTop w:val="0"/>
      <w:marBottom w:val="0"/>
      <w:divBdr>
        <w:top w:val="none" w:sz="0" w:space="0" w:color="auto"/>
        <w:left w:val="none" w:sz="0" w:space="0" w:color="auto"/>
        <w:bottom w:val="none" w:sz="0" w:space="0" w:color="auto"/>
        <w:right w:val="none" w:sz="0" w:space="0" w:color="auto"/>
      </w:divBdr>
    </w:div>
    <w:div w:id="441925612">
      <w:bodyDiv w:val="1"/>
      <w:marLeft w:val="0"/>
      <w:marRight w:val="0"/>
      <w:marTop w:val="0"/>
      <w:marBottom w:val="0"/>
      <w:divBdr>
        <w:top w:val="none" w:sz="0" w:space="0" w:color="auto"/>
        <w:left w:val="none" w:sz="0" w:space="0" w:color="auto"/>
        <w:bottom w:val="none" w:sz="0" w:space="0" w:color="auto"/>
        <w:right w:val="none" w:sz="0" w:space="0" w:color="auto"/>
      </w:divBdr>
    </w:div>
    <w:div w:id="454639234">
      <w:bodyDiv w:val="1"/>
      <w:marLeft w:val="0"/>
      <w:marRight w:val="0"/>
      <w:marTop w:val="0"/>
      <w:marBottom w:val="0"/>
      <w:divBdr>
        <w:top w:val="none" w:sz="0" w:space="0" w:color="auto"/>
        <w:left w:val="none" w:sz="0" w:space="0" w:color="auto"/>
        <w:bottom w:val="none" w:sz="0" w:space="0" w:color="auto"/>
        <w:right w:val="none" w:sz="0" w:space="0" w:color="auto"/>
      </w:divBdr>
    </w:div>
    <w:div w:id="476846233">
      <w:bodyDiv w:val="1"/>
      <w:marLeft w:val="0"/>
      <w:marRight w:val="0"/>
      <w:marTop w:val="0"/>
      <w:marBottom w:val="0"/>
      <w:divBdr>
        <w:top w:val="none" w:sz="0" w:space="0" w:color="auto"/>
        <w:left w:val="none" w:sz="0" w:space="0" w:color="auto"/>
        <w:bottom w:val="none" w:sz="0" w:space="0" w:color="auto"/>
        <w:right w:val="none" w:sz="0" w:space="0" w:color="auto"/>
      </w:divBdr>
    </w:div>
    <w:div w:id="485975137">
      <w:bodyDiv w:val="1"/>
      <w:marLeft w:val="0"/>
      <w:marRight w:val="0"/>
      <w:marTop w:val="0"/>
      <w:marBottom w:val="0"/>
      <w:divBdr>
        <w:top w:val="none" w:sz="0" w:space="0" w:color="auto"/>
        <w:left w:val="none" w:sz="0" w:space="0" w:color="auto"/>
        <w:bottom w:val="none" w:sz="0" w:space="0" w:color="auto"/>
        <w:right w:val="none" w:sz="0" w:space="0" w:color="auto"/>
      </w:divBdr>
    </w:div>
    <w:div w:id="487018202">
      <w:bodyDiv w:val="1"/>
      <w:marLeft w:val="0"/>
      <w:marRight w:val="0"/>
      <w:marTop w:val="0"/>
      <w:marBottom w:val="0"/>
      <w:divBdr>
        <w:top w:val="none" w:sz="0" w:space="0" w:color="auto"/>
        <w:left w:val="none" w:sz="0" w:space="0" w:color="auto"/>
        <w:bottom w:val="none" w:sz="0" w:space="0" w:color="auto"/>
        <w:right w:val="none" w:sz="0" w:space="0" w:color="auto"/>
      </w:divBdr>
    </w:div>
    <w:div w:id="487287628">
      <w:bodyDiv w:val="1"/>
      <w:marLeft w:val="0"/>
      <w:marRight w:val="0"/>
      <w:marTop w:val="0"/>
      <w:marBottom w:val="0"/>
      <w:divBdr>
        <w:top w:val="none" w:sz="0" w:space="0" w:color="auto"/>
        <w:left w:val="none" w:sz="0" w:space="0" w:color="auto"/>
        <w:bottom w:val="none" w:sz="0" w:space="0" w:color="auto"/>
        <w:right w:val="none" w:sz="0" w:space="0" w:color="auto"/>
      </w:divBdr>
    </w:div>
    <w:div w:id="514806179">
      <w:bodyDiv w:val="1"/>
      <w:marLeft w:val="0"/>
      <w:marRight w:val="0"/>
      <w:marTop w:val="0"/>
      <w:marBottom w:val="0"/>
      <w:divBdr>
        <w:top w:val="none" w:sz="0" w:space="0" w:color="auto"/>
        <w:left w:val="none" w:sz="0" w:space="0" w:color="auto"/>
        <w:bottom w:val="none" w:sz="0" w:space="0" w:color="auto"/>
        <w:right w:val="none" w:sz="0" w:space="0" w:color="auto"/>
      </w:divBdr>
    </w:div>
    <w:div w:id="527107408">
      <w:bodyDiv w:val="1"/>
      <w:marLeft w:val="0"/>
      <w:marRight w:val="0"/>
      <w:marTop w:val="0"/>
      <w:marBottom w:val="0"/>
      <w:divBdr>
        <w:top w:val="none" w:sz="0" w:space="0" w:color="auto"/>
        <w:left w:val="none" w:sz="0" w:space="0" w:color="auto"/>
        <w:bottom w:val="none" w:sz="0" w:space="0" w:color="auto"/>
        <w:right w:val="none" w:sz="0" w:space="0" w:color="auto"/>
      </w:divBdr>
    </w:div>
    <w:div w:id="539316792">
      <w:bodyDiv w:val="1"/>
      <w:marLeft w:val="0"/>
      <w:marRight w:val="0"/>
      <w:marTop w:val="0"/>
      <w:marBottom w:val="0"/>
      <w:divBdr>
        <w:top w:val="none" w:sz="0" w:space="0" w:color="auto"/>
        <w:left w:val="none" w:sz="0" w:space="0" w:color="auto"/>
        <w:bottom w:val="none" w:sz="0" w:space="0" w:color="auto"/>
        <w:right w:val="none" w:sz="0" w:space="0" w:color="auto"/>
      </w:divBdr>
    </w:div>
    <w:div w:id="549000895">
      <w:bodyDiv w:val="1"/>
      <w:marLeft w:val="0"/>
      <w:marRight w:val="0"/>
      <w:marTop w:val="0"/>
      <w:marBottom w:val="0"/>
      <w:divBdr>
        <w:top w:val="none" w:sz="0" w:space="0" w:color="auto"/>
        <w:left w:val="none" w:sz="0" w:space="0" w:color="auto"/>
        <w:bottom w:val="none" w:sz="0" w:space="0" w:color="auto"/>
        <w:right w:val="none" w:sz="0" w:space="0" w:color="auto"/>
      </w:divBdr>
    </w:div>
    <w:div w:id="551426150">
      <w:bodyDiv w:val="1"/>
      <w:marLeft w:val="0"/>
      <w:marRight w:val="0"/>
      <w:marTop w:val="0"/>
      <w:marBottom w:val="0"/>
      <w:divBdr>
        <w:top w:val="none" w:sz="0" w:space="0" w:color="auto"/>
        <w:left w:val="none" w:sz="0" w:space="0" w:color="auto"/>
        <w:bottom w:val="none" w:sz="0" w:space="0" w:color="auto"/>
        <w:right w:val="none" w:sz="0" w:space="0" w:color="auto"/>
      </w:divBdr>
    </w:div>
    <w:div w:id="579758757">
      <w:bodyDiv w:val="1"/>
      <w:marLeft w:val="0"/>
      <w:marRight w:val="0"/>
      <w:marTop w:val="0"/>
      <w:marBottom w:val="0"/>
      <w:divBdr>
        <w:top w:val="none" w:sz="0" w:space="0" w:color="auto"/>
        <w:left w:val="none" w:sz="0" w:space="0" w:color="auto"/>
        <w:bottom w:val="none" w:sz="0" w:space="0" w:color="auto"/>
        <w:right w:val="none" w:sz="0" w:space="0" w:color="auto"/>
      </w:divBdr>
    </w:div>
    <w:div w:id="597956085">
      <w:bodyDiv w:val="1"/>
      <w:marLeft w:val="0"/>
      <w:marRight w:val="0"/>
      <w:marTop w:val="0"/>
      <w:marBottom w:val="0"/>
      <w:divBdr>
        <w:top w:val="none" w:sz="0" w:space="0" w:color="auto"/>
        <w:left w:val="none" w:sz="0" w:space="0" w:color="auto"/>
        <w:bottom w:val="none" w:sz="0" w:space="0" w:color="auto"/>
        <w:right w:val="none" w:sz="0" w:space="0" w:color="auto"/>
      </w:divBdr>
    </w:div>
    <w:div w:id="616916181">
      <w:bodyDiv w:val="1"/>
      <w:marLeft w:val="0"/>
      <w:marRight w:val="0"/>
      <w:marTop w:val="0"/>
      <w:marBottom w:val="0"/>
      <w:divBdr>
        <w:top w:val="none" w:sz="0" w:space="0" w:color="auto"/>
        <w:left w:val="none" w:sz="0" w:space="0" w:color="auto"/>
        <w:bottom w:val="none" w:sz="0" w:space="0" w:color="auto"/>
        <w:right w:val="none" w:sz="0" w:space="0" w:color="auto"/>
      </w:divBdr>
    </w:div>
    <w:div w:id="623660267">
      <w:bodyDiv w:val="1"/>
      <w:marLeft w:val="0"/>
      <w:marRight w:val="0"/>
      <w:marTop w:val="0"/>
      <w:marBottom w:val="0"/>
      <w:divBdr>
        <w:top w:val="none" w:sz="0" w:space="0" w:color="auto"/>
        <w:left w:val="none" w:sz="0" w:space="0" w:color="auto"/>
        <w:bottom w:val="none" w:sz="0" w:space="0" w:color="auto"/>
        <w:right w:val="none" w:sz="0" w:space="0" w:color="auto"/>
      </w:divBdr>
    </w:div>
    <w:div w:id="638459526">
      <w:bodyDiv w:val="1"/>
      <w:marLeft w:val="0"/>
      <w:marRight w:val="0"/>
      <w:marTop w:val="0"/>
      <w:marBottom w:val="0"/>
      <w:divBdr>
        <w:top w:val="none" w:sz="0" w:space="0" w:color="auto"/>
        <w:left w:val="none" w:sz="0" w:space="0" w:color="auto"/>
        <w:bottom w:val="none" w:sz="0" w:space="0" w:color="auto"/>
        <w:right w:val="none" w:sz="0" w:space="0" w:color="auto"/>
      </w:divBdr>
    </w:div>
    <w:div w:id="666179240">
      <w:bodyDiv w:val="1"/>
      <w:marLeft w:val="0"/>
      <w:marRight w:val="0"/>
      <w:marTop w:val="0"/>
      <w:marBottom w:val="0"/>
      <w:divBdr>
        <w:top w:val="none" w:sz="0" w:space="0" w:color="auto"/>
        <w:left w:val="none" w:sz="0" w:space="0" w:color="auto"/>
        <w:bottom w:val="none" w:sz="0" w:space="0" w:color="auto"/>
        <w:right w:val="none" w:sz="0" w:space="0" w:color="auto"/>
      </w:divBdr>
    </w:div>
    <w:div w:id="671489825">
      <w:bodyDiv w:val="1"/>
      <w:marLeft w:val="0"/>
      <w:marRight w:val="0"/>
      <w:marTop w:val="0"/>
      <w:marBottom w:val="0"/>
      <w:divBdr>
        <w:top w:val="none" w:sz="0" w:space="0" w:color="auto"/>
        <w:left w:val="none" w:sz="0" w:space="0" w:color="auto"/>
        <w:bottom w:val="none" w:sz="0" w:space="0" w:color="auto"/>
        <w:right w:val="none" w:sz="0" w:space="0" w:color="auto"/>
      </w:divBdr>
    </w:div>
    <w:div w:id="689645158">
      <w:bodyDiv w:val="1"/>
      <w:marLeft w:val="0"/>
      <w:marRight w:val="0"/>
      <w:marTop w:val="0"/>
      <w:marBottom w:val="0"/>
      <w:divBdr>
        <w:top w:val="none" w:sz="0" w:space="0" w:color="auto"/>
        <w:left w:val="none" w:sz="0" w:space="0" w:color="auto"/>
        <w:bottom w:val="none" w:sz="0" w:space="0" w:color="auto"/>
        <w:right w:val="none" w:sz="0" w:space="0" w:color="auto"/>
      </w:divBdr>
    </w:div>
    <w:div w:id="704254167">
      <w:bodyDiv w:val="1"/>
      <w:marLeft w:val="0"/>
      <w:marRight w:val="0"/>
      <w:marTop w:val="0"/>
      <w:marBottom w:val="0"/>
      <w:divBdr>
        <w:top w:val="none" w:sz="0" w:space="0" w:color="auto"/>
        <w:left w:val="none" w:sz="0" w:space="0" w:color="auto"/>
        <w:bottom w:val="none" w:sz="0" w:space="0" w:color="auto"/>
        <w:right w:val="none" w:sz="0" w:space="0" w:color="auto"/>
      </w:divBdr>
    </w:div>
    <w:div w:id="708993806">
      <w:bodyDiv w:val="1"/>
      <w:marLeft w:val="0"/>
      <w:marRight w:val="0"/>
      <w:marTop w:val="0"/>
      <w:marBottom w:val="0"/>
      <w:divBdr>
        <w:top w:val="none" w:sz="0" w:space="0" w:color="auto"/>
        <w:left w:val="none" w:sz="0" w:space="0" w:color="auto"/>
        <w:bottom w:val="none" w:sz="0" w:space="0" w:color="auto"/>
        <w:right w:val="none" w:sz="0" w:space="0" w:color="auto"/>
      </w:divBdr>
    </w:div>
    <w:div w:id="718288300">
      <w:bodyDiv w:val="1"/>
      <w:marLeft w:val="0"/>
      <w:marRight w:val="0"/>
      <w:marTop w:val="0"/>
      <w:marBottom w:val="0"/>
      <w:divBdr>
        <w:top w:val="none" w:sz="0" w:space="0" w:color="auto"/>
        <w:left w:val="none" w:sz="0" w:space="0" w:color="auto"/>
        <w:bottom w:val="none" w:sz="0" w:space="0" w:color="auto"/>
        <w:right w:val="none" w:sz="0" w:space="0" w:color="auto"/>
      </w:divBdr>
    </w:div>
    <w:div w:id="724107758">
      <w:bodyDiv w:val="1"/>
      <w:marLeft w:val="0"/>
      <w:marRight w:val="0"/>
      <w:marTop w:val="0"/>
      <w:marBottom w:val="0"/>
      <w:divBdr>
        <w:top w:val="none" w:sz="0" w:space="0" w:color="auto"/>
        <w:left w:val="none" w:sz="0" w:space="0" w:color="auto"/>
        <w:bottom w:val="none" w:sz="0" w:space="0" w:color="auto"/>
        <w:right w:val="none" w:sz="0" w:space="0" w:color="auto"/>
      </w:divBdr>
    </w:div>
    <w:div w:id="727385358">
      <w:bodyDiv w:val="1"/>
      <w:marLeft w:val="0"/>
      <w:marRight w:val="0"/>
      <w:marTop w:val="0"/>
      <w:marBottom w:val="0"/>
      <w:divBdr>
        <w:top w:val="none" w:sz="0" w:space="0" w:color="auto"/>
        <w:left w:val="none" w:sz="0" w:space="0" w:color="auto"/>
        <w:bottom w:val="none" w:sz="0" w:space="0" w:color="auto"/>
        <w:right w:val="none" w:sz="0" w:space="0" w:color="auto"/>
      </w:divBdr>
    </w:div>
    <w:div w:id="737362557">
      <w:bodyDiv w:val="1"/>
      <w:marLeft w:val="0"/>
      <w:marRight w:val="0"/>
      <w:marTop w:val="0"/>
      <w:marBottom w:val="0"/>
      <w:divBdr>
        <w:top w:val="none" w:sz="0" w:space="0" w:color="auto"/>
        <w:left w:val="none" w:sz="0" w:space="0" w:color="auto"/>
        <w:bottom w:val="none" w:sz="0" w:space="0" w:color="auto"/>
        <w:right w:val="none" w:sz="0" w:space="0" w:color="auto"/>
      </w:divBdr>
    </w:div>
    <w:div w:id="769280867">
      <w:bodyDiv w:val="1"/>
      <w:marLeft w:val="0"/>
      <w:marRight w:val="0"/>
      <w:marTop w:val="0"/>
      <w:marBottom w:val="0"/>
      <w:divBdr>
        <w:top w:val="none" w:sz="0" w:space="0" w:color="auto"/>
        <w:left w:val="none" w:sz="0" w:space="0" w:color="auto"/>
        <w:bottom w:val="none" w:sz="0" w:space="0" w:color="auto"/>
        <w:right w:val="none" w:sz="0" w:space="0" w:color="auto"/>
      </w:divBdr>
    </w:div>
    <w:div w:id="777674716">
      <w:bodyDiv w:val="1"/>
      <w:marLeft w:val="0"/>
      <w:marRight w:val="0"/>
      <w:marTop w:val="0"/>
      <w:marBottom w:val="0"/>
      <w:divBdr>
        <w:top w:val="none" w:sz="0" w:space="0" w:color="auto"/>
        <w:left w:val="none" w:sz="0" w:space="0" w:color="auto"/>
        <w:bottom w:val="none" w:sz="0" w:space="0" w:color="auto"/>
        <w:right w:val="none" w:sz="0" w:space="0" w:color="auto"/>
      </w:divBdr>
    </w:div>
    <w:div w:id="797186981">
      <w:bodyDiv w:val="1"/>
      <w:marLeft w:val="0"/>
      <w:marRight w:val="0"/>
      <w:marTop w:val="0"/>
      <w:marBottom w:val="0"/>
      <w:divBdr>
        <w:top w:val="none" w:sz="0" w:space="0" w:color="auto"/>
        <w:left w:val="none" w:sz="0" w:space="0" w:color="auto"/>
        <w:bottom w:val="none" w:sz="0" w:space="0" w:color="auto"/>
        <w:right w:val="none" w:sz="0" w:space="0" w:color="auto"/>
      </w:divBdr>
    </w:div>
    <w:div w:id="817570979">
      <w:bodyDiv w:val="1"/>
      <w:marLeft w:val="0"/>
      <w:marRight w:val="0"/>
      <w:marTop w:val="0"/>
      <w:marBottom w:val="0"/>
      <w:divBdr>
        <w:top w:val="none" w:sz="0" w:space="0" w:color="auto"/>
        <w:left w:val="none" w:sz="0" w:space="0" w:color="auto"/>
        <w:bottom w:val="none" w:sz="0" w:space="0" w:color="auto"/>
        <w:right w:val="none" w:sz="0" w:space="0" w:color="auto"/>
      </w:divBdr>
    </w:div>
    <w:div w:id="848567785">
      <w:bodyDiv w:val="1"/>
      <w:marLeft w:val="0"/>
      <w:marRight w:val="0"/>
      <w:marTop w:val="0"/>
      <w:marBottom w:val="0"/>
      <w:divBdr>
        <w:top w:val="none" w:sz="0" w:space="0" w:color="auto"/>
        <w:left w:val="none" w:sz="0" w:space="0" w:color="auto"/>
        <w:bottom w:val="none" w:sz="0" w:space="0" w:color="auto"/>
        <w:right w:val="none" w:sz="0" w:space="0" w:color="auto"/>
      </w:divBdr>
    </w:div>
    <w:div w:id="849297004">
      <w:bodyDiv w:val="1"/>
      <w:marLeft w:val="0"/>
      <w:marRight w:val="0"/>
      <w:marTop w:val="0"/>
      <w:marBottom w:val="0"/>
      <w:divBdr>
        <w:top w:val="none" w:sz="0" w:space="0" w:color="auto"/>
        <w:left w:val="none" w:sz="0" w:space="0" w:color="auto"/>
        <w:bottom w:val="none" w:sz="0" w:space="0" w:color="auto"/>
        <w:right w:val="none" w:sz="0" w:space="0" w:color="auto"/>
      </w:divBdr>
    </w:div>
    <w:div w:id="849950436">
      <w:bodyDiv w:val="1"/>
      <w:marLeft w:val="0"/>
      <w:marRight w:val="0"/>
      <w:marTop w:val="0"/>
      <w:marBottom w:val="0"/>
      <w:divBdr>
        <w:top w:val="none" w:sz="0" w:space="0" w:color="auto"/>
        <w:left w:val="none" w:sz="0" w:space="0" w:color="auto"/>
        <w:bottom w:val="none" w:sz="0" w:space="0" w:color="auto"/>
        <w:right w:val="none" w:sz="0" w:space="0" w:color="auto"/>
      </w:divBdr>
    </w:div>
    <w:div w:id="861164228">
      <w:bodyDiv w:val="1"/>
      <w:marLeft w:val="0"/>
      <w:marRight w:val="0"/>
      <w:marTop w:val="0"/>
      <w:marBottom w:val="0"/>
      <w:divBdr>
        <w:top w:val="none" w:sz="0" w:space="0" w:color="auto"/>
        <w:left w:val="none" w:sz="0" w:space="0" w:color="auto"/>
        <w:bottom w:val="none" w:sz="0" w:space="0" w:color="auto"/>
        <w:right w:val="none" w:sz="0" w:space="0" w:color="auto"/>
      </w:divBdr>
    </w:div>
    <w:div w:id="863591300">
      <w:bodyDiv w:val="1"/>
      <w:marLeft w:val="0"/>
      <w:marRight w:val="0"/>
      <w:marTop w:val="0"/>
      <w:marBottom w:val="0"/>
      <w:divBdr>
        <w:top w:val="none" w:sz="0" w:space="0" w:color="auto"/>
        <w:left w:val="none" w:sz="0" w:space="0" w:color="auto"/>
        <w:bottom w:val="none" w:sz="0" w:space="0" w:color="auto"/>
        <w:right w:val="none" w:sz="0" w:space="0" w:color="auto"/>
      </w:divBdr>
    </w:div>
    <w:div w:id="873421614">
      <w:bodyDiv w:val="1"/>
      <w:marLeft w:val="0"/>
      <w:marRight w:val="0"/>
      <w:marTop w:val="0"/>
      <w:marBottom w:val="0"/>
      <w:divBdr>
        <w:top w:val="none" w:sz="0" w:space="0" w:color="auto"/>
        <w:left w:val="none" w:sz="0" w:space="0" w:color="auto"/>
        <w:bottom w:val="none" w:sz="0" w:space="0" w:color="auto"/>
        <w:right w:val="none" w:sz="0" w:space="0" w:color="auto"/>
      </w:divBdr>
    </w:div>
    <w:div w:id="881163908">
      <w:bodyDiv w:val="1"/>
      <w:marLeft w:val="0"/>
      <w:marRight w:val="0"/>
      <w:marTop w:val="0"/>
      <w:marBottom w:val="0"/>
      <w:divBdr>
        <w:top w:val="none" w:sz="0" w:space="0" w:color="auto"/>
        <w:left w:val="none" w:sz="0" w:space="0" w:color="auto"/>
        <w:bottom w:val="none" w:sz="0" w:space="0" w:color="auto"/>
        <w:right w:val="none" w:sz="0" w:space="0" w:color="auto"/>
      </w:divBdr>
    </w:div>
    <w:div w:id="895899328">
      <w:bodyDiv w:val="1"/>
      <w:marLeft w:val="0"/>
      <w:marRight w:val="0"/>
      <w:marTop w:val="0"/>
      <w:marBottom w:val="0"/>
      <w:divBdr>
        <w:top w:val="none" w:sz="0" w:space="0" w:color="auto"/>
        <w:left w:val="none" w:sz="0" w:space="0" w:color="auto"/>
        <w:bottom w:val="none" w:sz="0" w:space="0" w:color="auto"/>
        <w:right w:val="none" w:sz="0" w:space="0" w:color="auto"/>
      </w:divBdr>
    </w:div>
    <w:div w:id="960457792">
      <w:bodyDiv w:val="1"/>
      <w:marLeft w:val="0"/>
      <w:marRight w:val="0"/>
      <w:marTop w:val="0"/>
      <w:marBottom w:val="0"/>
      <w:divBdr>
        <w:top w:val="none" w:sz="0" w:space="0" w:color="auto"/>
        <w:left w:val="none" w:sz="0" w:space="0" w:color="auto"/>
        <w:bottom w:val="none" w:sz="0" w:space="0" w:color="auto"/>
        <w:right w:val="none" w:sz="0" w:space="0" w:color="auto"/>
      </w:divBdr>
    </w:div>
    <w:div w:id="973101643">
      <w:bodyDiv w:val="1"/>
      <w:marLeft w:val="0"/>
      <w:marRight w:val="0"/>
      <w:marTop w:val="0"/>
      <w:marBottom w:val="0"/>
      <w:divBdr>
        <w:top w:val="none" w:sz="0" w:space="0" w:color="auto"/>
        <w:left w:val="none" w:sz="0" w:space="0" w:color="auto"/>
        <w:bottom w:val="none" w:sz="0" w:space="0" w:color="auto"/>
        <w:right w:val="none" w:sz="0" w:space="0" w:color="auto"/>
      </w:divBdr>
    </w:div>
    <w:div w:id="988945666">
      <w:bodyDiv w:val="1"/>
      <w:marLeft w:val="0"/>
      <w:marRight w:val="0"/>
      <w:marTop w:val="0"/>
      <w:marBottom w:val="0"/>
      <w:divBdr>
        <w:top w:val="none" w:sz="0" w:space="0" w:color="auto"/>
        <w:left w:val="none" w:sz="0" w:space="0" w:color="auto"/>
        <w:bottom w:val="none" w:sz="0" w:space="0" w:color="auto"/>
        <w:right w:val="none" w:sz="0" w:space="0" w:color="auto"/>
      </w:divBdr>
    </w:div>
    <w:div w:id="989794789">
      <w:bodyDiv w:val="1"/>
      <w:marLeft w:val="0"/>
      <w:marRight w:val="0"/>
      <w:marTop w:val="0"/>
      <w:marBottom w:val="0"/>
      <w:divBdr>
        <w:top w:val="none" w:sz="0" w:space="0" w:color="auto"/>
        <w:left w:val="none" w:sz="0" w:space="0" w:color="auto"/>
        <w:bottom w:val="none" w:sz="0" w:space="0" w:color="auto"/>
        <w:right w:val="none" w:sz="0" w:space="0" w:color="auto"/>
      </w:divBdr>
    </w:div>
    <w:div w:id="994259724">
      <w:bodyDiv w:val="1"/>
      <w:marLeft w:val="0"/>
      <w:marRight w:val="0"/>
      <w:marTop w:val="0"/>
      <w:marBottom w:val="0"/>
      <w:divBdr>
        <w:top w:val="none" w:sz="0" w:space="0" w:color="auto"/>
        <w:left w:val="none" w:sz="0" w:space="0" w:color="auto"/>
        <w:bottom w:val="none" w:sz="0" w:space="0" w:color="auto"/>
        <w:right w:val="none" w:sz="0" w:space="0" w:color="auto"/>
      </w:divBdr>
    </w:div>
    <w:div w:id="999424375">
      <w:bodyDiv w:val="1"/>
      <w:marLeft w:val="0"/>
      <w:marRight w:val="0"/>
      <w:marTop w:val="0"/>
      <w:marBottom w:val="0"/>
      <w:divBdr>
        <w:top w:val="none" w:sz="0" w:space="0" w:color="auto"/>
        <w:left w:val="none" w:sz="0" w:space="0" w:color="auto"/>
        <w:bottom w:val="none" w:sz="0" w:space="0" w:color="auto"/>
        <w:right w:val="none" w:sz="0" w:space="0" w:color="auto"/>
      </w:divBdr>
    </w:div>
    <w:div w:id="1005208334">
      <w:bodyDiv w:val="1"/>
      <w:marLeft w:val="0"/>
      <w:marRight w:val="0"/>
      <w:marTop w:val="0"/>
      <w:marBottom w:val="0"/>
      <w:divBdr>
        <w:top w:val="none" w:sz="0" w:space="0" w:color="auto"/>
        <w:left w:val="none" w:sz="0" w:space="0" w:color="auto"/>
        <w:bottom w:val="none" w:sz="0" w:space="0" w:color="auto"/>
        <w:right w:val="none" w:sz="0" w:space="0" w:color="auto"/>
      </w:divBdr>
    </w:div>
    <w:div w:id="1006834189">
      <w:bodyDiv w:val="1"/>
      <w:marLeft w:val="0"/>
      <w:marRight w:val="0"/>
      <w:marTop w:val="0"/>
      <w:marBottom w:val="0"/>
      <w:divBdr>
        <w:top w:val="none" w:sz="0" w:space="0" w:color="auto"/>
        <w:left w:val="none" w:sz="0" w:space="0" w:color="auto"/>
        <w:bottom w:val="none" w:sz="0" w:space="0" w:color="auto"/>
        <w:right w:val="none" w:sz="0" w:space="0" w:color="auto"/>
      </w:divBdr>
    </w:div>
    <w:div w:id="1006909640">
      <w:bodyDiv w:val="1"/>
      <w:marLeft w:val="0"/>
      <w:marRight w:val="0"/>
      <w:marTop w:val="0"/>
      <w:marBottom w:val="0"/>
      <w:divBdr>
        <w:top w:val="none" w:sz="0" w:space="0" w:color="auto"/>
        <w:left w:val="none" w:sz="0" w:space="0" w:color="auto"/>
        <w:bottom w:val="none" w:sz="0" w:space="0" w:color="auto"/>
        <w:right w:val="none" w:sz="0" w:space="0" w:color="auto"/>
      </w:divBdr>
    </w:div>
    <w:div w:id="1026372572">
      <w:bodyDiv w:val="1"/>
      <w:marLeft w:val="0"/>
      <w:marRight w:val="0"/>
      <w:marTop w:val="0"/>
      <w:marBottom w:val="0"/>
      <w:divBdr>
        <w:top w:val="none" w:sz="0" w:space="0" w:color="auto"/>
        <w:left w:val="none" w:sz="0" w:space="0" w:color="auto"/>
        <w:bottom w:val="none" w:sz="0" w:space="0" w:color="auto"/>
        <w:right w:val="none" w:sz="0" w:space="0" w:color="auto"/>
      </w:divBdr>
    </w:div>
    <w:div w:id="1047950158">
      <w:bodyDiv w:val="1"/>
      <w:marLeft w:val="0"/>
      <w:marRight w:val="0"/>
      <w:marTop w:val="0"/>
      <w:marBottom w:val="0"/>
      <w:divBdr>
        <w:top w:val="none" w:sz="0" w:space="0" w:color="auto"/>
        <w:left w:val="none" w:sz="0" w:space="0" w:color="auto"/>
        <w:bottom w:val="none" w:sz="0" w:space="0" w:color="auto"/>
        <w:right w:val="none" w:sz="0" w:space="0" w:color="auto"/>
      </w:divBdr>
    </w:div>
    <w:div w:id="1092820614">
      <w:bodyDiv w:val="1"/>
      <w:marLeft w:val="0"/>
      <w:marRight w:val="0"/>
      <w:marTop w:val="0"/>
      <w:marBottom w:val="0"/>
      <w:divBdr>
        <w:top w:val="none" w:sz="0" w:space="0" w:color="auto"/>
        <w:left w:val="none" w:sz="0" w:space="0" w:color="auto"/>
        <w:bottom w:val="none" w:sz="0" w:space="0" w:color="auto"/>
        <w:right w:val="none" w:sz="0" w:space="0" w:color="auto"/>
      </w:divBdr>
    </w:div>
    <w:div w:id="1113865008">
      <w:bodyDiv w:val="1"/>
      <w:marLeft w:val="0"/>
      <w:marRight w:val="0"/>
      <w:marTop w:val="0"/>
      <w:marBottom w:val="0"/>
      <w:divBdr>
        <w:top w:val="none" w:sz="0" w:space="0" w:color="auto"/>
        <w:left w:val="none" w:sz="0" w:space="0" w:color="auto"/>
        <w:bottom w:val="none" w:sz="0" w:space="0" w:color="auto"/>
        <w:right w:val="none" w:sz="0" w:space="0" w:color="auto"/>
      </w:divBdr>
    </w:div>
    <w:div w:id="1150712699">
      <w:bodyDiv w:val="1"/>
      <w:marLeft w:val="0"/>
      <w:marRight w:val="0"/>
      <w:marTop w:val="0"/>
      <w:marBottom w:val="0"/>
      <w:divBdr>
        <w:top w:val="none" w:sz="0" w:space="0" w:color="auto"/>
        <w:left w:val="none" w:sz="0" w:space="0" w:color="auto"/>
        <w:bottom w:val="none" w:sz="0" w:space="0" w:color="auto"/>
        <w:right w:val="none" w:sz="0" w:space="0" w:color="auto"/>
      </w:divBdr>
    </w:div>
    <w:div w:id="1152059122">
      <w:bodyDiv w:val="1"/>
      <w:marLeft w:val="0"/>
      <w:marRight w:val="0"/>
      <w:marTop w:val="0"/>
      <w:marBottom w:val="0"/>
      <w:divBdr>
        <w:top w:val="none" w:sz="0" w:space="0" w:color="auto"/>
        <w:left w:val="none" w:sz="0" w:space="0" w:color="auto"/>
        <w:bottom w:val="none" w:sz="0" w:space="0" w:color="auto"/>
        <w:right w:val="none" w:sz="0" w:space="0" w:color="auto"/>
      </w:divBdr>
    </w:div>
    <w:div w:id="1156916126">
      <w:bodyDiv w:val="1"/>
      <w:marLeft w:val="0"/>
      <w:marRight w:val="0"/>
      <w:marTop w:val="0"/>
      <w:marBottom w:val="0"/>
      <w:divBdr>
        <w:top w:val="none" w:sz="0" w:space="0" w:color="auto"/>
        <w:left w:val="none" w:sz="0" w:space="0" w:color="auto"/>
        <w:bottom w:val="none" w:sz="0" w:space="0" w:color="auto"/>
        <w:right w:val="none" w:sz="0" w:space="0" w:color="auto"/>
      </w:divBdr>
    </w:div>
    <w:div w:id="1177111036">
      <w:bodyDiv w:val="1"/>
      <w:marLeft w:val="0"/>
      <w:marRight w:val="0"/>
      <w:marTop w:val="0"/>
      <w:marBottom w:val="0"/>
      <w:divBdr>
        <w:top w:val="none" w:sz="0" w:space="0" w:color="auto"/>
        <w:left w:val="none" w:sz="0" w:space="0" w:color="auto"/>
        <w:bottom w:val="none" w:sz="0" w:space="0" w:color="auto"/>
        <w:right w:val="none" w:sz="0" w:space="0" w:color="auto"/>
      </w:divBdr>
    </w:div>
    <w:div w:id="1189179163">
      <w:bodyDiv w:val="1"/>
      <w:marLeft w:val="0"/>
      <w:marRight w:val="0"/>
      <w:marTop w:val="0"/>
      <w:marBottom w:val="0"/>
      <w:divBdr>
        <w:top w:val="none" w:sz="0" w:space="0" w:color="auto"/>
        <w:left w:val="none" w:sz="0" w:space="0" w:color="auto"/>
        <w:bottom w:val="none" w:sz="0" w:space="0" w:color="auto"/>
        <w:right w:val="none" w:sz="0" w:space="0" w:color="auto"/>
      </w:divBdr>
    </w:div>
    <w:div w:id="1217817590">
      <w:bodyDiv w:val="1"/>
      <w:marLeft w:val="0"/>
      <w:marRight w:val="0"/>
      <w:marTop w:val="0"/>
      <w:marBottom w:val="0"/>
      <w:divBdr>
        <w:top w:val="none" w:sz="0" w:space="0" w:color="auto"/>
        <w:left w:val="none" w:sz="0" w:space="0" w:color="auto"/>
        <w:bottom w:val="none" w:sz="0" w:space="0" w:color="auto"/>
        <w:right w:val="none" w:sz="0" w:space="0" w:color="auto"/>
      </w:divBdr>
    </w:div>
    <w:div w:id="1226798961">
      <w:bodyDiv w:val="1"/>
      <w:marLeft w:val="0"/>
      <w:marRight w:val="0"/>
      <w:marTop w:val="0"/>
      <w:marBottom w:val="0"/>
      <w:divBdr>
        <w:top w:val="none" w:sz="0" w:space="0" w:color="auto"/>
        <w:left w:val="none" w:sz="0" w:space="0" w:color="auto"/>
        <w:bottom w:val="none" w:sz="0" w:space="0" w:color="auto"/>
        <w:right w:val="none" w:sz="0" w:space="0" w:color="auto"/>
      </w:divBdr>
    </w:div>
    <w:div w:id="1261252999">
      <w:bodyDiv w:val="1"/>
      <w:marLeft w:val="0"/>
      <w:marRight w:val="0"/>
      <w:marTop w:val="0"/>
      <w:marBottom w:val="0"/>
      <w:divBdr>
        <w:top w:val="none" w:sz="0" w:space="0" w:color="auto"/>
        <w:left w:val="none" w:sz="0" w:space="0" w:color="auto"/>
        <w:bottom w:val="none" w:sz="0" w:space="0" w:color="auto"/>
        <w:right w:val="none" w:sz="0" w:space="0" w:color="auto"/>
      </w:divBdr>
    </w:div>
    <w:div w:id="1269236090">
      <w:bodyDiv w:val="1"/>
      <w:marLeft w:val="0"/>
      <w:marRight w:val="0"/>
      <w:marTop w:val="0"/>
      <w:marBottom w:val="0"/>
      <w:divBdr>
        <w:top w:val="none" w:sz="0" w:space="0" w:color="auto"/>
        <w:left w:val="none" w:sz="0" w:space="0" w:color="auto"/>
        <w:bottom w:val="none" w:sz="0" w:space="0" w:color="auto"/>
        <w:right w:val="none" w:sz="0" w:space="0" w:color="auto"/>
      </w:divBdr>
    </w:div>
    <w:div w:id="1291015424">
      <w:bodyDiv w:val="1"/>
      <w:marLeft w:val="0"/>
      <w:marRight w:val="0"/>
      <w:marTop w:val="0"/>
      <w:marBottom w:val="0"/>
      <w:divBdr>
        <w:top w:val="none" w:sz="0" w:space="0" w:color="auto"/>
        <w:left w:val="none" w:sz="0" w:space="0" w:color="auto"/>
        <w:bottom w:val="none" w:sz="0" w:space="0" w:color="auto"/>
        <w:right w:val="none" w:sz="0" w:space="0" w:color="auto"/>
      </w:divBdr>
    </w:div>
    <w:div w:id="1322008246">
      <w:bodyDiv w:val="1"/>
      <w:marLeft w:val="0"/>
      <w:marRight w:val="0"/>
      <w:marTop w:val="0"/>
      <w:marBottom w:val="0"/>
      <w:divBdr>
        <w:top w:val="none" w:sz="0" w:space="0" w:color="auto"/>
        <w:left w:val="none" w:sz="0" w:space="0" w:color="auto"/>
        <w:bottom w:val="none" w:sz="0" w:space="0" w:color="auto"/>
        <w:right w:val="none" w:sz="0" w:space="0" w:color="auto"/>
      </w:divBdr>
    </w:div>
    <w:div w:id="1334525555">
      <w:bodyDiv w:val="1"/>
      <w:marLeft w:val="0"/>
      <w:marRight w:val="0"/>
      <w:marTop w:val="0"/>
      <w:marBottom w:val="0"/>
      <w:divBdr>
        <w:top w:val="none" w:sz="0" w:space="0" w:color="auto"/>
        <w:left w:val="none" w:sz="0" w:space="0" w:color="auto"/>
        <w:bottom w:val="none" w:sz="0" w:space="0" w:color="auto"/>
        <w:right w:val="none" w:sz="0" w:space="0" w:color="auto"/>
      </w:divBdr>
    </w:div>
    <w:div w:id="1336223682">
      <w:bodyDiv w:val="1"/>
      <w:marLeft w:val="0"/>
      <w:marRight w:val="0"/>
      <w:marTop w:val="0"/>
      <w:marBottom w:val="0"/>
      <w:divBdr>
        <w:top w:val="none" w:sz="0" w:space="0" w:color="auto"/>
        <w:left w:val="none" w:sz="0" w:space="0" w:color="auto"/>
        <w:bottom w:val="none" w:sz="0" w:space="0" w:color="auto"/>
        <w:right w:val="none" w:sz="0" w:space="0" w:color="auto"/>
      </w:divBdr>
    </w:div>
    <w:div w:id="1346327781">
      <w:bodyDiv w:val="1"/>
      <w:marLeft w:val="0"/>
      <w:marRight w:val="0"/>
      <w:marTop w:val="0"/>
      <w:marBottom w:val="0"/>
      <w:divBdr>
        <w:top w:val="none" w:sz="0" w:space="0" w:color="auto"/>
        <w:left w:val="none" w:sz="0" w:space="0" w:color="auto"/>
        <w:bottom w:val="none" w:sz="0" w:space="0" w:color="auto"/>
        <w:right w:val="none" w:sz="0" w:space="0" w:color="auto"/>
      </w:divBdr>
    </w:div>
    <w:div w:id="1354458464">
      <w:bodyDiv w:val="1"/>
      <w:marLeft w:val="0"/>
      <w:marRight w:val="0"/>
      <w:marTop w:val="0"/>
      <w:marBottom w:val="0"/>
      <w:divBdr>
        <w:top w:val="none" w:sz="0" w:space="0" w:color="auto"/>
        <w:left w:val="none" w:sz="0" w:space="0" w:color="auto"/>
        <w:bottom w:val="none" w:sz="0" w:space="0" w:color="auto"/>
        <w:right w:val="none" w:sz="0" w:space="0" w:color="auto"/>
      </w:divBdr>
    </w:div>
    <w:div w:id="1366368204">
      <w:bodyDiv w:val="1"/>
      <w:marLeft w:val="0"/>
      <w:marRight w:val="0"/>
      <w:marTop w:val="0"/>
      <w:marBottom w:val="0"/>
      <w:divBdr>
        <w:top w:val="none" w:sz="0" w:space="0" w:color="auto"/>
        <w:left w:val="none" w:sz="0" w:space="0" w:color="auto"/>
        <w:bottom w:val="none" w:sz="0" w:space="0" w:color="auto"/>
        <w:right w:val="none" w:sz="0" w:space="0" w:color="auto"/>
      </w:divBdr>
    </w:div>
    <w:div w:id="1389911183">
      <w:bodyDiv w:val="1"/>
      <w:marLeft w:val="0"/>
      <w:marRight w:val="0"/>
      <w:marTop w:val="0"/>
      <w:marBottom w:val="0"/>
      <w:divBdr>
        <w:top w:val="none" w:sz="0" w:space="0" w:color="auto"/>
        <w:left w:val="none" w:sz="0" w:space="0" w:color="auto"/>
        <w:bottom w:val="none" w:sz="0" w:space="0" w:color="auto"/>
        <w:right w:val="none" w:sz="0" w:space="0" w:color="auto"/>
      </w:divBdr>
    </w:div>
    <w:div w:id="1404721613">
      <w:bodyDiv w:val="1"/>
      <w:marLeft w:val="0"/>
      <w:marRight w:val="0"/>
      <w:marTop w:val="0"/>
      <w:marBottom w:val="0"/>
      <w:divBdr>
        <w:top w:val="none" w:sz="0" w:space="0" w:color="auto"/>
        <w:left w:val="none" w:sz="0" w:space="0" w:color="auto"/>
        <w:bottom w:val="none" w:sz="0" w:space="0" w:color="auto"/>
        <w:right w:val="none" w:sz="0" w:space="0" w:color="auto"/>
      </w:divBdr>
    </w:div>
    <w:div w:id="1415204436">
      <w:bodyDiv w:val="1"/>
      <w:marLeft w:val="0"/>
      <w:marRight w:val="0"/>
      <w:marTop w:val="0"/>
      <w:marBottom w:val="0"/>
      <w:divBdr>
        <w:top w:val="none" w:sz="0" w:space="0" w:color="auto"/>
        <w:left w:val="none" w:sz="0" w:space="0" w:color="auto"/>
        <w:bottom w:val="none" w:sz="0" w:space="0" w:color="auto"/>
        <w:right w:val="none" w:sz="0" w:space="0" w:color="auto"/>
      </w:divBdr>
    </w:div>
    <w:div w:id="1423841789">
      <w:bodyDiv w:val="1"/>
      <w:marLeft w:val="0"/>
      <w:marRight w:val="0"/>
      <w:marTop w:val="0"/>
      <w:marBottom w:val="0"/>
      <w:divBdr>
        <w:top w:val="none" w:sz="0" w:space="0" w:color="auto"/>
        <w:left w:val="none" w:sz="0" w:space="0" w:color="auto"/>
        <w:bottom w:val="none" w:sz="0" w:space="0" w:color="auto"/>
        <w:right w:val="none" w:sz="0" w:space="0" w:color="auto"/>
      </w:divBdr>
    </w:div>
    <w:div w:id="1444953921">
      <w:bodyDiv w:val="1"/>
      <w:marLeft w:val="0"/>
      <w:marRight w:val="0"/>
      <w:marTop w:val="0"/>
      <w:marBottom w:val="0"/>
      <w:divBdr>
        <w:top w:val="none" w:sz="0" w:space="0" w:color="auto"/>
        <w:left w:val="none" w:sz="0" w:space="0" w:color="auto"/>
        <w:bottom w:val="none" w:sz="0" w:space="0" w:color="auto"/>
        <w:right w:val="none" w:sz="0" w:space="0" w:color="auto"/>
      </w:divBdr>
    </w:div>
    <w:div w:id="1445421175">
      <w:bodyDiv w:val="1"/>
      <w:marLeft w:val="0"/>
      <w:marRight w:val="0"/>
      <w:marTop w:val="0"/>
      <w:marBottom w:val="0"/>
      <w:divBdr>
        <w:top w:val="none" w:sz="0" w:space="0" w:color="auto"/>
        <w:left w:val="none" w:sz="0" w:space="0" w:color="auto"/>
        <w:bottom w:val="none" w:sz="0" w:space="0" w:color="auto"/>
        <w:right w:val="none" w:sz="0" w:space="0" w:color="auto"/>
      </w:divBdr>
    </w:div>
    <w:div w:id="1449162037">
      <w:bodyDiv w:val="1"/>
      <w:marLeft w:val="0"/>
      <w:marRight w:val="0"/>
      <w:marTop w:val="0"/>
      <w:marBottom w:val="0"/>
      <w:divBdr>
        <w:top w:val="none" w:sz="0" w:space="0" w:color="auto"/>
        <w:left w:val="none" w:sz="0" w:space="0" w:color="auto"/>
        <w:bottom w:val="none" w:sz="0" w:space="0" w:color="auto"/>
        <w:right w:val="none" w:sz="0" w:space="0" w:color="auto"/>
      </w:divBdr>
    </w:div>
    <w:div w:id="1490750715">
      <w:bodyDiv w:val="1"/>
      <w:marLeft w:val="0"/>
      <w:marRight w:val="0"/>
      <w:marTop w:val="0"/>
      <w:marBottom w:val="0"/>
      <w:divBdr>
        <w:top w:val="none" w:sz="0" w:space="0" w:color="auto"/>
        <w:left w:val="none" w:sz="0" w:space="0" w:color="auto"/>
        <w:bottom w:val="none" w:sz="0" w:space="0" w:color="auto"/>
        <w:right w:val="none" w:sz="0" w:space="0" w:color="auto"/>
      </w:divBdr>
    </w:div>
    <w:div w:id="1501853016">
      <w:bodyDiv w:val="1"/>
      <w:marLeft w:val="0"/>
      <w:marRight w:val="0"/>
      <w:marTop w:val="0"/>
      <w:marBottom w:val="0"/>
      <w:divBdr>
        <w:top w:val="none" w:sz="0" w:space="0" w:color="auto"/>
        <w:left w:val="none" w:sz="0" w:space="0" w:color="auto"/>
        <w:bottom w:val="none" w:sz="0" w:space="0" w:color="auto"/>
        <w:right w:val="none" w:sz="0" w:space="0" w:color="auto"/>
      </w:divBdr>
    </w:div>
    <w:div w:id="1544749667">
      <w:bodyDiv w:val="1"/>
      <w:marLeft w:val="0"/>
      <w:marRight w:val="0"/>
      <w:marTop w:val="0"/>
      <w:marBottom w:val="0"/>
      <w:divBdr>
        <w:top w:val="none" w:sz="0" w:space="0" w:color="auto"/>
        <w:left w:val="none" w:sz="0" w:space="0" w:color="auto"/>
        <w:bottom w:val="none" w:sz="0" w:space="0" w:color="auto"/>
        <w:right w:val="none" w:sz="0" w:space="0" w:color="auto"/>
      </w:divBdr>
    </w:div>
    <w:div w:id="1549684143">
      <w:bodyDiv w:val="1"/>
      <w:marLeft w:val="0"/>
      <w:marRight w:val="0"/>
      <w:marTop w:val="0"/>
      <w:marBottom w:val="0"/>
      <w:divBdr>
        <w:top w:val="none" w:sz="0" w:space="0" w:color="auto"/>
        <w:left w:val="none" w:sz="0" w:space="0" w:color="auto"/>
        <w:bottom w:val="none" w:sz="0" w:space="0" w:color="auto"/>
        <w:right w:val="none" w:sz="0" w:space="0" w:color="auto"/>
      </w:divBdr>
    </w:div>
    <w:div w:id="1554924166">
      <w:bodyDiv w:val="1"/>
      <w:marLeft w:val="0"/>
      <w:marRight w:val="0"/>
      <w:marTop w:val="0"/>
      <w:marBottom w:val="0"/>
      <w:divBdr>
        <w:top w:val="none" w:sz="0" w:space="0" w:color="auto"/>
        <w:left w:val="none" w:sz="0" w:space="0" w:color="auto"/>
        <w:bottom w:val="none" w:sz="0" w:space="0" w:color="auto"/>
        <w:right w:val="none" w:sz="0" w:space="0" w:color="auto"/>
      </w:divBdr>
    </w:div>
    <w:div w:id="1558735922">
      <w:bodyDiv w:val="1"/>
      <w:marLeft w:val="0"/>
      <w:marRight w:val="0"/>
      <w:marTop w:val="0"/>
      <w:marBottom w:val="0"/>
      <w:divBdr>
        <w:top w:val="none" w:sz="0" w:space="0" w:color="auto"/>
        <w:left w:val="none" w:sz="0" w:space="0" w:color="auto"/>
        <w:bottom w:val="none" w:sz="0" w:space="0" w:color="auto"/>
        <w:right w:val="none" w:sz="0" w:space="0" w:color="auto"/>
      </w:divBdr>
    </w:div>
    <w:div w:id="1567182210">
      <w:bodyDiv w:val="1"/>
      <w:marLeft w:val="0"/>
      <w:marRight w:val="0"/>
      <w:marTop w:val="0"/>
      <w:marBottom w:val="0"/>
      <w:divBdr>
        <w:top w:val="none" w:sz="0" w:space="0" w:color="auto"/>
        <w:left w:val="none" w:sz="0" w:space="0" w:color="auto"/>
        <w:bottom w:val="none" w:sz="0" w:space="0" w:color="auto"/>
        <w:right w:val="none" w:sz="0" w:space="0" w:color="auto"/>
      </w:divBdr>
    </w:div>
    <w:div w:id="1575890514">
      <w:bodyDiv w:val="1"/>
      <w:marLeft w:val="0"/>
      <w:marRight w:val="0"/>
      <w:marTop w:val="0"/>
      <w:marBottom w:val="0"/>
      <w:divBdr>
        <w:top w:val="none" w:sz="0" w:space="0" w:color="auto"/>
        <w:left w:val="none" w:sz="0" w:space="0" w:color="auto"/>
        <w:bottom w:val="none" w:sz="0" w:space="0" w:color="auto"/>
        <w:right w:val="none" w:sz="0" w:space="0" w:color="auto"/>
      </w:divBdr>
    </w:div>
    <w:div w:id="1578783691">
      <w:bodyDiv w:val="1"/>
      <w:marLeft w:val="0"/>
      <w:marRight w:val="0"/>
      <w:marTop w:val="0"/>
      <w:marBottom w:val="0"/>
      <w:divBdr>
        <w:top w:val="none" w:sz="0" w:space="0" w:color="auto"/>
        <w:left w:val="none" w:sz="0" w:space="0" w:color="auto"/>
        <w:bottom w:val="none" w:sz="0" w:space="0" w:color="auto"/>
        <w:right w:val="none" w:sz="0" w:space="0" w:color="auto"/>
      </w:divBdr>
    </w:div>
    <w:div w:id="1605650241">
      <w:bodyDiv w:val="1"/>
      <w:marLeft w:val="0"/>
      <w:marRight w:val="0"/>
      <w:marTop w:val="0"/>
      <w:marBottom w:val="0"/>
      <w:divBdr>
        <w:top w:val="none" w:sz="0" w:space="0" w:color="auto"/>
        <w:left w:val="none" w:sz="0" w:space="0" w:color="auto"/>
        <w:bottom w:val="none" w:sz="0" w:space="0" w:color="auto"/>
        <w:right w:val="none" w:sz="0" w:space="0" w:color="auto"/>
      </w:divBdr>
    </w:div>
    <w:div w:id="1617788475">
      <w:bodyDiv w:val="1"/>
      <w:marLeft w:val="0"/>
      <w:marRight w:val="0"/>
      <w:marTop w:val="0"/>
      <w:marBottom w:val="0"/>
      <w:divBdr>
        <w:top w:val="none" w:sz="0" w:space="0" w:color="auto"/>
        <w:left w:val="none" w:sz="0" w:space="0" w:color="auto"/>
        <w:bottom w:val="none" w:sz="0" w:space="0" w:color="auto"/>
        <w:right w:val="none" w:sz="0" w:space="0" w:color="auto"/>
      </w:divBdr>
    </w:div>
    <w:div w:id="1632788364">
      <w:bodyDiv w:val="1"/>
      <w:marLeft w:val="0"/>
      <w:marRight w:val="0"/>
      <w:marTop w:val="0"/>
      <w:marBottom w:val="0"/>
      <w:divBdr>
        <w:top w:val="none" w:sz="0" w:space="0" w:color="auto"/>
        <w:left w:val="none" w:sz="0" w:space="0" w:color="auto"/>
        <w:bottom w:val="none" w:sz="0" w:space="0" w:color="auto"/>
        <w:right w:val="none" w:sz="0" w:space="0" w:color="auto"/>
      </w:divBdr>
      <w:divsChild>
        <w:div w:id="775757672">
          <w:marLeft w:val="0"/>
          <w:marRight w:val="0"/>
          <w:marTop w:val="0"/>
          <w:marBottom w:val="0"/>
          <w:divBdr>
            <w:top w:val="none" w:sz="0" w:space="0" w:color="auto"/>
            <w:left w:val="none" w:sz="0" w:space="0" w:color="auto"/>
            <w:bottom w:val="none" w:sz="0" w:space="0" w:color="auto"/>
            <w:right w:val="none" w:sz="0" w:space="0" w:color="auto"/>
          </w:divBdr>
        </w:div>
        <w:div w:id="1726373550">
          <w:marLeft w:val="0"/>
          <w:marRight w:val="0"/>
          <w:marTop w:val="0"/>
          <w:marBottom w:val="0"/>
          <w:divBdr>
            <w:top w:val="none" w:sz="0" w:space="0" w:color="auto"/>
            <w:left w:val="none" w:sz="0" w:space="0" w:color="auto"/>
            <w:bottom w:val="none" w:sz="0" w:space="0" w:color="auto"/>
            <w:right w:val="none" w:sz="0" w:space="0" w:color="auto"/>
          </w:divBdr>
        </w:div>
      </w:divsChild>
    </w:div>
    <w:div w:id="1633631821">
      <w:bodyDiv w:val="1"/>
      <w:marLeft w:val="0"/>
      <w:marRight w:val="0"/>
      <w:marTop w:val="0"/>
      <w:marBottom w:val="0"/>
      <w:divBdr>
        <w:top w:val="none" w:sz="0" w:space="0" w:color="auto"/>
        <w:left w:val="none" w:sz="0" w:space="0" w:color="auto"/>
        <w:bottom w:val="none" w:sz="0" w:space="0" w:color="auto"/>
        <w:right w:val="none" w:sz="0" w:space="0" w:color="auto"/>
      </w:divBdr>
    </w:div>
    <w:div w:id="1647663303">
      <w:bodyDiv w:val="1"/>
      <w:marLeft w:val="0"/>
      <w:marRight w:val="0"/>
      <w:marTop w:val="0"/>
      <w:marBottom w:val="0"/>
      <w:divBdr>
        <w:top w:val="none" w:sz="0" w:space="0" w:color="auto"/>
        <w:left w:val="none" w:sz="0" w:space="0" w:color="auto"/>
        <w:bottom w:val="none" w:sz="0" w:space="0" w:color="auto"/>
        <w:right w:val="none" w:sz="0" w:space="0" w:color="auto"/>
      </w:divBdr>
    </w:div>
    <w:div w:id="1648506734">
      <w:bodyDiv w:val="1"/>
      <w:marLeft w:val="0"/>
      <w:marRight w:val="0"/>
      <w:marTop w:val="0"/>
      <w:marBottom w:val="0"/>
      <w:divBdr>
        <w:top w:val="none" w:sz="0" w:space="0" w:color="auto"/>
        <w:left w:val="none" w:sz="0" w:space="0" w:color="auto"/>
        <w:bottom w:val="none" w:sz="0" w:space="0" w:color="auto"/>
        <w:right w:val="none" w:sz="0" w:space="0" w:color="auto"/>
      </w:divBdr>
    </w:div>
    <w:div w:id="1663314091">
      <w:bodyDiv w:val="1"/>
      <w:marLeft w:val="0"/>
      <w:marRight w:val="0"/>
      <w:marTop w:val="0"/>
      <w:marBottom w:val="0"/>
      <w:divBdr>
        <w:top w:val="none" w:sz="0" w:space="0" w:color="auto"/>
        <w:left w:val="none" w:sz="0" w:space="0" w:color="auto"/>
        <w:bottom w:val="none" w:sz="0" w:space="0" w:color="auto"/>
        <w:right w:val="none" w:sz="0" w:space="0" w:color="auto"/>
      </w:divBdr>
    </w:div>
    <w:div w:id="1673410257">
      <w:bodyDiv w:val="1"/>
      <w:marLeft w:val="0"/>
      <w:marRight w:val="0"/>
      <w:marTop w:val="0"/>
      <w:marBottom w:val="0"/>
      <w:divBdr>
        <w:top w:val="none" w:sz="0" w:space="0" w:color="auto"/>
        <w:left w:val="none" w:sz="0" w:space="0" w:color="auto"/>
        <w:bottom w:val="none" w:sz="0" w:space="0" w:color="auto"/>
        <w:right w:val="none" w:sz="0" w:space="0" w:color="auto"/>
      </w:divBdr>
    </w:div>
    <w:div w:id="1674528325">
      <w:bodyDiv w:val="1"/>
      <w:marLeft w:val="0"/>
      <w:marRight w:val="0"/>
      <w:marTop w:val="0"/>
      <w:marBottom w:val="0"/>
      <w:divBdr>
        <w:top w:val="none" w:sz="0" w:space="0" w:color="auto"/>
        <w:left w:val="none" w:sz="0" w:space="0" w:color="auto"/>
        <w:bottom w:val="none" w:sz="0" w:space="0" w:color="auto"/>
        <w:right w:val="none" w:sz="0" w:space="0" w:color="auto"/>
      </w:divBdr>
    </w:div>
    <w:div w:id="1698966960">
      <w:bodyDiv w:val="1"/>
      <w:marLeft w:val="0"/>
      <w:marRight w:val="0"/>
      <w:marTop w:val="0"/>
      <w:marBottom w:val="0"/>
      <w:divBdr>
        <w:top w:val="none" w:sz="0" w:space="0" w:color="auto"/>
        <w:left w:val="none" w:sz="0" w:space="0" w:color="auto"/>
        <w:bottom w:val="none" w:sz="0" w:space="0" w:color="auto"/>
        <w:right w:val="none" w:sz="0" w:space="0" w:color="auto"/>
      </w:divBdr>
    </w:div>
    <w:div w:id="1705792398">
      <w:bodyDiv w:val="1"/>
      <w:marLeft w:val="0"/>
      <w:marRight w:val="0"/>
      <w:marTop w:val="0"/>
      <w:marBottom w:val="0"/>
      <w:divBdr>
        <w:top w:val="none" w:sz="0" w:space="0" w:color="auto"/>
        <w:left w:val="none" w:sz="0" w:space="0" w:color="auto"/>
        <w:bottom w:val="none" w:sz="0" w:space="0" w:color="auto"/>
        <w:right w:val="none" w:sz="0" w:space="0" w:color="auto"/>
      </w:divBdr>
    </w:div>
    <w:div w:id="1707216833">
      <w:bodyDiv w:val="1"/>
      <w:marLeft w:val="0"/>
      <w:marRight w:val="0"/>
      <w:marTop w:val="0"/>
      <w:marBottom w:val="0"/>
      <w:divBdr>
        <w:top w:val="none" w:sz="0" w:space="0" w:color="auto"/>
        <w:left w:val="none" w:sz="0" w:space="0" w:color="auto"/>
        <w:bottom w:val="none" w:sz="0" w:space="0" w:color="auto"/>
        <w:right w:val="none" w:sz="0" w:space="0" w:color="auto"/>
      </w:divBdr>
    </w:div>
    <w:div w:id="1717587637">
      <w:bodyDiv w:val="1"/>
      <w:marLeft w:val="0"/>
      <w:marRight w:val="0"/>
      <w:marTop w:val="0"/>
      <w:marBottom w:val="0"/>
      <w:divBdr>
        <w:top w:val="none" w:sz="0" w:space="0" w:color="auto"/>
        <w:left w:val="none" w:sz="0" w:space="0" w:color="auto"/>
        <w:bottom w:val="none" w:sz="0" w:space="0" w:color="auto"/>
        <w:right w:val="none" w:sz="0" w:space="0" w:color="auto"/>
      </w:divBdr>
    </w:div>
    <w:div w:id="1722635650">
      <w:bodyDiv w:val="1"/>
      <w:marLeft w:val="0"/>
      <w:marRight w:val="0"/>
      <w:marTop w:val="0"/>
      <w:marBottom w:val="0"/>
      <w:divBdr>
        <w:top w:val="none" w:sz="0" w:space="0" w:color="auto"/>
        <w:left w:val="none" w:sz="0" w:space="0" w:color="auto"/>
        <w:bottom w:val="none" w:sz="0" w:space="0" w:color="auto"/>
        <w:right w:val="none" w:sz="0" w:space="0" w:color="auto"/>
      </w:divBdr>
    </w:div>
    <w:div w:id="1728407020">
      <w:bodyDiv w:val="1"/>
      <w:marLeft w:val="0"/>
      <w:marRight w:val="0"/>
      <w:marTop w:val="0"/>
      <w:marBottom w:val="0"/>
      <w:divBdr>
        <w:top w:val="none" w:sz="0" w:space="0" w:color="auto"/>
        <w:left w:val="none" w:sz="0" w:space="0" w:color="auto"/>
        <w:bottom w:val="none" w:sz="0" w:space="0" w:color="auto"/>
        <w:right w:val="none" w:sz="0" w:space="0" w:color="auto"/>
      </w:divBdr>
    </w:div>
    <w:div w:id="1753552604">
      <w:bodyDiv w:val="1"/>
      <w:marLeft w:val="0"/>
      <w:marRight w:val="0"/>
      <w:marTop w:val="0"/>
      <w:marBottom w:val="0"/>
      <w:divBdr>
        <w:top w:val="none" w:sz="0" w:space="0" w:color="auto"/>
        <w:left w:val="none" w:sz="0" w:space="0" w:color="auto"/>
        <w:bottom w:val="none" w:sz="0" w:space="0" w:color="auto"/>
        <w:right w:val="none" w:sz="0" w:space="0" w:color="auto"/>
      </w:divBdr>
    </w:div>
    <w:div w:id="1768455368">
      <w:bodyDiv w:val="1"/>
      <w:marLeft w:val="0"/>
      <w:marRight w:val="0"/>
      <w:marTop w:val="0"/>
      <w:marBottom w:val="0"/>
      <w:divBdr>
        <w:top w:val="none" w:sz="0" w:space="0" w:color="auto"/>
        <w:left w:val="none" w:sz="0" w:space="0" w:color="auto"/>
        <w:bottom w:val="none" w:sz="0" w:space="0" w:color="auto"/>
        <w:right w:val="none" w:sz="0" w:space="0" w:color="auto"/>
      </w:divBdr>
    </w:div>
    <w:div w:id="1782528186">
      <w:bodyDiv w:val="1"/>
      <w:marLeft w:val="0"/>
      <w:marRight w:val="0"/>
      <w:marTop w:val="0"/>
      <w:marBottom w:val="0"/>
      <w:divBdr>
        <w:top w:val="none" w:sz="0" w:space="0" w:color="auto"/>
        <w:left w:val="none" w:sz="0" w:space="0" w:color="auto"/>
        <w:bottom w:val="none" w:sz="0" w:space="0" w:color="auto"/>
        <w:right w:val="none" w:sz="0" w:space="0" w:color="auto"/>
      </w:divBdr>
    </w:div>
    <w:div w:id="1802729977">
      <w:bodyDiv w:val="1"/>
      <w:marLeft w:val="0"/>
      <w:marRight w:val="0"/>
      <w:marTop w:val="0"/>
      <w:marBottom w:val="0"/>
      <w:divBdr>
        <w:top w:val="none" w:sz="0" w:space="0" w:color="auto"/>
        <w:left w:val="none" w:sz="0" w:space="0" w:color="auto"/>
        <w:bottom w:val="none" w:sz="0" w:space="0" w:color="auto"/>
        <w:right w:val="none" w:sz="0" w:space="0" w:color="auto"/>
      </w:divBdr>
    </w:div>
    <w:div w:id="1848016179">
      <w:bodyDiv w:val="1"/>
      <w:marLeft w:val="0"/>
      <w:marRight w:val="0"/>
      <w:marTop w:val="0"/>
      <w:marBottom w:val="0"/>
      <w:divBdr>
        <w:top w:val="none" w:sz="0" w:space="0" w:color="auto"/>
        <w:left w:val="none" w:sz="0" w:space="0" w:color="auto"/>
        <w:bottom w:val="none" w:sz="0" w:space="0" w:color="auto"/>
        <w:right w:val="none" w:sz="0" w:space="0" w:color="auto"/>
      </w:divBdr>
    </w:div>
    <w:div w:id="1849056013">
      <w:bodyDiv w:val="1"/>
      <w:marLeft w:val="0"/>
      <w:marRight w:val="0"/>
      <w:marTop w:val="0"/>
      <w:marBottom w:val="0"/>
      <w:divBdr>
        <w:top w:val="none" w:sz="0" w:space="0" w:color="auto"/>
        <w:left w:val="none" w:sz="0" w:space="0" w:color="auto"/>
        <w:bottom w:val="none" w:sz="0" w:space="0" w:color="auto"/>
        <w:right w:val="none" w:sz="0" w:space="0" w:color="auto"/>
      </w:divBdr>
    </w:div>
    <w:div w:id="1851144630">
      <w:bodyDiv w:val="1"/>
      <w:marLeft w:val="0"/>
      <w:marRight w:val="0"/>
      <w:marTop w:val="0"/>
      <w:marBottom w:val="0"/>
      <w:divBdr>
        <w:top w:val="none" w:sz="0" w:space="0" w:color="auto"/>
        <w:left w:val="none" w:sz="0" w:space="0" w:color="auto"/>
        <w:bottom w:val="none" w:sz="0" w:space="0" w:color="auto"/>
        <w:right w:val="none" w:sz="0" w:space="0" w:color="auto"/>
      </w:divBdr>
    </w:div>
    <w:div w:id="1871995578">
      <w:bodyDiv w:val="1"/>
      <w:marLeft w:val="0"/>
      <w:marRight w:val="0"/>
      <w:marTop w:val="0"/>
      <w:marBottom w:val="0"/>
      <w:divBdr>
        <w:top w:val="none" w:sz="0" w:space="0" w:color="auto"/>
        <w:left w:val="none" w:sz="0" w:space="0" w:color="auto"/>
        <w:bottom w:val="none" w:sz="0" w:space="0" w:color="auto"/>
        <w:right w:val="none" w:sz="0" w:space="0" w:color="auto"/>
      </w:divBdr>
    </w:div>
    <w:div w:id="1883977541">
      <w:bodyDiv w:val="1"/>
      <w:marLeft w:val="0"/>
      <w:marRight w:val="0"/>
      <w:marTop w:val="0"/>
      <w:marBottom w:val="0"/>
      <w:divBdr>
        <w:top w:val="none" w:sz="0" w:space="0" w:color="auto"/>
        <w:left w:val="none" w:sz="0" w:space="0" w:color="auto"/>
        <w:bottom w:val="none" w:sz="0" w:space="0" w:color="auto"/>
        <w:right w:val="none" w:sz="0" w:space="0" w:color="auto"/>
      </w:divBdr>
    </w:div>
    <w:div w:id="1893536306">
      <w:bodyDiv w:val="1"/>
      <w:marLeft w:val="0"/>
      <w:marRight w:val="0"/>
      <w:marTop w:val="0"/>
      <w:marBottom w:val="0"/>
      <w:divBdr>
        <w:top w:val="none" w:sz="0" w:space="0" w:color="auto"/>
        <w:left w:val="none" w:sz="0" w:space="0" w:color="auto"/>
        <w:bottom w:val="none" w:sz="0" w:space="0" w:color="auto"/>
        <w:right w:val="none" w:sz="0" w:space="0" w:color="auto"/>
      </w:divBdr>
    </w:div>
    <w:div w:id="1896700083">
      <w:bodyDiv w:val="1"/>
      <w:marLeft w:val="0"/>
      <w:marRight w:val="0"/>
      <w:marTop w:val="0"/>
      <w:marBottom w:val="0"/>
      <w:divBdr>
        <w:top w:val="none" w:sz="0" w:space="0" w:color="auto"/>
        <w:left w:val="none" w:sz="0" w:space="0" w:color="auto"/>
        <w:bottom w:val="none" w:sz="0" w:space="0" w:color="auto"/>
        <w:right w:val="none" w:sz="0" w:space="0" w:color="auto"/>
      </w:divBdr>
    </w:div>
    <w:div w:id="1903757112">
      <w:bodyDiv w:val="1"/>
      <w:marLeft w:val="0"/>
      <w:marRight w:val="0"/>
      <w:marTop w:val="0"/>
      <w:marBottom w:val="0"/>
      <w:divBdr>
        <w:top w:val="none" w:sz="0" w:space="0" w:color="auto"/>
        <w:left w:val="none" w:sz="0" w:space="0" w:color="auto"/>
        <w:bottom w:val="none" w:sz="0" w:space="0" w:color="auto"/>
        <w:right w:val="none" w:sz="0" w:space="0" w:color="auto"/>
      </w:divBdr>
    </w:div>
    <w:div w:id="1913394911">
      <w:bodyDiv w:val="1"/>
      <w:marLeft w:val="0"/>
      <w:marRight w:val="0"/>
      <w:marTop w:val="0"/>
      <w:marBottom w:val="0"/>
      <w:divBdr>
        <w:top w:val="none" w:sz="0" w:space="0" w:color="auto"/>
        <w:left w:val="none" w:sz="0" w:space="0" w:color="auto"/>
        <w:bottom w:val="none" w:sz="0" w:space="0" w:color="auto"/>
        <w:right w:val="none" w:sz="0" w:space="0" w:color="auto"/>
      </w:divBdr>
    </w:div>
    <w:div w:id="1918973081">
      <w:bodyDiv w:val="1"/>
      <w:marLeft w:val="0"/>
      <w:marRight w:val="0"/>
      <w:marTop w:val="0"/>
      <w:marBottom w:val="0"/>
      <w:divBdr>
        <w:top w:val="none" w:sz="0" w:space="0" w:color="auto"/>
        <w:left w:val="none" w:sz="0" w:space="0" w:color="auto"/>
        <w:bottom w:val="none" w:sz="0" w:space="0" w:color="auto"/>
        <w:right w:val="none" w:sz="0" w:space="0" w:color="auto"/>
      </w:divBdr>
    </w:div>
    <w:div w:id="1925869055">
      <w:bodyDiv w:val="1"/>
      <w:marLeft w:val="0"/>
      <w:marRight w:val="0"/>
      <w:marTop w:val="0"/>
      <w:marBottom w:val="0"/>
      <w:divBdr>
        <w:top w:val="none" w:sz="0" w:space="0" w:color="auto"/>
        <w:left w:val="none" w:sz="0" w:space="0" w:color="auto"/>
        <w:bottom w:val="none" w:sz="0" w:space="0" w:color="auto"/>
        <w:right w:val="none" w:sz="0" w:space="0" w:color="auto"/>
      </w:divBdr>
    </w:div>
    <w:div w:id="1936933163">
      <w:bodyDiv w:val="1"/>
      <w:marLeft w:val="0"/>
      <w:marRight w:val="0"/>
      <w:marTop w:val="0"/>
      <w:marBottom w:val="0"/>
      <w:divBdr>
        <w:top w:val="none" w:sz="0" w:space="0" w:color="auto"/>
        <w:left w:val="none" w:sz="0" w:space="0" w:color="auto"/>
        <w:bottom w:val="none" w:sz="0" w:space="0" w:color="auto"/>
        <w:right w:val="none" w:sz="0" w:space="0" w:color="auto"/>
      </w:divBdr>
    </w:div>
    <w:div w:id="1944531474">
      <w:bodyDiv w:val="1"/>
      <w:marLeft w:val="0"/>
      <w:marRight w:val="0"/>
      <w:marTop w:val="0"/>
      <w:marBottom w:val="0"/>
      <w:divBdr>
        <w:top w:val="none" w:sz="0" w:space="0" w:color="auto"/>
        <w:left w:val="none" w:sz="0" w:space="0" w:color="auto"/>
        <w:bottom w:val="none" w:sz="0" w:space="0" w:color="auto"/>
        <w:right w:val="none" w:sz="0" w:space="0" w:color="auto"/>
      </w:divBdr>
    </w:div>
    <w:div w:id="1952855673">
      <w:bodyDiv w:val="1"/>
      <w:marLeft w:val="0"/>
      <w:marRight w:val="0"/>
      <w:marTop w:val="0"/>
      <w:marBottom w:val="0"/>
      <w:divBdr>
        <w:top w:val="none" w:sz="0" w:space="0" w:color="auto"/>
        <w:left w:val="none" w:sz="0" w:space="0" w:color="auto"/>
        <w:bottom w:val="none" w:sz="0" w:space="0" w:color="auto"/>
        <w:right w:val="none" w:sz="0" w:space="0" w:color="auto"/>
      </w:divBdr>
    </w:div>
    <w:div w:id="1995528444">
      <w:bodyDiv w:val="1"/>
      <w:marLeft w:val="0"/>
      <w:marRight w:val="0"/>
      <w:marTop w:val="0"/>
      <w:marBottom w:val="0"/>
      <w:divBdr>
        <w:top w:val="none" w:sz="0" w:space="0" w:color="auto"/>
        <w:left w:val="none" w:sz="0" w:space="0" w:color="auto"/>
        <w:bottom w:val="none" w:sz="0" w:space="0" w:color="auto"/>
        <w:right w:val="none" w:sz="0" w:space="0" w:color="auto"/>
      </w:divBdr>
    </w:div>
    <w:div w:id="2006279377">
      <w:bodyDiv w:val="1"/>
      <w:marLeft w:val="0"/>
      <w:marRight w:val="0"/>
      <w:marTop w:val="0"/>
      <w:marBottom w:val="0"/>
      <w:divBdr>
        <w:top w:val="none" w:sz="0" w:space="0" w:color="auto"/>
        <w:left w:val="none" w:sz="0" w:space="0" w:color="auto"/>
        <w:bottom w:val="none" w:sz="0" w:space="0" w:color="auto"/>
        <w:right w:val="none" w:sz="0" w:space="0" w:color="auto"/>
      </w:divBdr>
    </w:div>
    <w:div w:id="2010525025">
      <w:bodyDiv w:val="1"/>
      <w:marLeft w:val="0"/>
      <w:marRight w:val="0"/>
      <w:marTop w:val="0"/>
      <w:marBottom w:val="0"/>
      <w:divBdr>
        <w:top w:val="none" w:sz="0" w:space="0" w:color="auto"/>
        <w:left w:val="none" w:sz="0" w:space="0" w:color="auto"/>
        <w:bottom w:val="none" w:sz="0" w:space="0" w:color="auto"/>
        <w:right w:val="none" w:sz="0" w:space="0" w:color="auto"/>
      </w:divBdr>
    </w:div>
    <w:div w:id="2019388340">
      <w:bodyDiv w:val="1"/>
      <w:marLeft w:val="0"/>
      <w:marRight w:val="0"/>
      <w:marTop w:val="0"/>
      <w:marBottom w:val="0"/>
      <w:divBdr>
        <w:top w:val="none" w:sz="0" w:space="0" w:color="auto"/>
        <w:left w:val="none" w:sz="0" w:space="0" w:color="auto"/>
        <w:bottom w:val="none" w:sz="0" w:space="0" w:color="auto"/>
        <w:right w:val="none" w:sz="0" w:space="0" w:color="auto"/>
      </w:divBdr>
    </w:div>
    <w:div w:id="2028867392">
      <w:bodyDiv w:val="1"/>
      <w:marLeft w:val="0"/>
      <w:marRight w:val="0"/>
      <w:marTop w:val="0"/>
      <w:marBottom w:val="0"/>
      <w:divBdr>
        <w:top w:val="none" w:sz="0" w:space="0" w:color="auto"/>
        <w:left w:val="none" w:sz="0" w:space="0" w:color="auto"/>
        <w:bottom w:val="none" w:sz="0" w:space="0" w:color="auto"/>
        <w:right w:val="none" w:sz="0" w:space="0" w:color="auto"/>
      </w:divBdr>
    </w:div>
    <w:div w:id="2049791497">
      <w:bodyDiv w:val="1"/>
      <w:marLeft w:val="0"/>
      <w:marRight w:val="0"/>
      <w:marTop w:val="0"/>
      <w:marBottom w:val="0"/>
      <w:divBdr>
        <w:top w:val="none" w:sz="0" w:space="0" w:color="auto"/>
        <w:left w:val="none" w:sz="0" w:space="0" w:color="auto"/>
        <w:bottom w:val="none" w:sz="0" w:space="0" w:color="auto"/>
        <w:right w:val="none" w:sz="0" w:space="0" w:color="auto"/>
      </w:divBdr>
    </w:div>
    <w:div w:id="2059933529">
      <w:bodyDiv w:val="1"/>
      <w:marLeft w:val="0"/>
      <w:marRight w:val="0"/>
      <w:marTop w:val="0"/>
      <w:marBottom w:val="0"/>
      <w:divBdr>
        <w:top w:val="none" w:sz="0" w:space="0" w:color="auto"/>
        <w:left w:val="none" w:sz="0" w:space="0" w:color="auto"/>
        <w:bottom w:val="none" w:sz="0" w:space="0" w:color="auto"/>
        <w:right w:val="none" w:sz="0" w:space="0" w:color="auto"/>
      </w:divBdr>
    </w:div>
    <w:div w:id="2063168980">
      <w:bodyDiv w:val="1"/>
      <w:marLeft w:val="0"/>
      <w:marRight w:val="0"/>
      <w:marTop w:val="0"/>
      <w:marBottom w:val="0"/>
      <w:divBdr>
        <w:top w:val="none" w:sz="0" w:space="0" w:color="auto"/>
        <w:left w:val="none" w:sz="0" w:space="0" w:color="auto"/>
        <w:bottom w:val="none" w:sz="0" w:space="0" w:color="auto"/>
        <w:right w:val="none" w:sz="0" w:space="0" w:color="auto"/>
      </w:divBdr>
    </w:div>
    <w:div w:id="2080323254">
      <w:bodyDiv w:val="1"/>
      <w:marLeft w:val="0"/>
      <w:marRight w:val="0"/>
      <w:marTop w:val="0"/>
      <w:marBottom w:val="0"/>
      <w:divBdr>
        <w:top w:val="none" w:sz="0" w:space="0" w:color="auto"/>
        <w:left w:val="none" w:sz="0" w:space="0" w:color="auto"/>
        <w:bottom w:val="none" w:sz="0" w:space="0" w:color="auto"/>
        <w:right w:val="none" w:sz="0" w:space="0" w:color="auto"/>
      </w:divBdr>
    </w:div>
    <w:div w:id="2082949012">
      <w:bodyDiv w:val="1"/>
      <w:marLeft w:val="0"/>
      <w:marRight w:val="0"/>
      <w:marTop w:val="0"/>
      <w:marBottom w:val="0"/>
      <w:divBdr>
        <w:top w:val="none" w:sz="0" w:space="0" w:color="auto"/>
        <w:left w:val="none" w:sz="0" w:space="0" w:color="auto"/>
        <w:bottom w:val="none" w:sz="0" w:space="0" w:color="auto"/>
        <w:right w:val="none" w:sz="0" w:space="0" w:color="auto"/>
      </w:divBdr>
    </w:div>
    <w:div w:id="2085251952">
      <w:bodyDiv w:val="1"/>
      <w:marLeft w:val="0"/>
      <w:marRight w:val="0"/>
      <w:marTop w:val="0"/>
      <w:marBottom w:val="0"/>
      <w:divBdr>
        <w:top w:val="none" w:sz="0" w:space="0" w:color="auto"/>
        <w:left w:val="none" w:sz="0" w:space="0" w:color="auto"/>
        <w:bottom w:val="none" w:sz="0" w:space="0" w:color="auto"/>
        <w:right w:val="none" w:sz="0" w:space="0" w:color="auto"/>
      </w:divBdr>
    </w:div>
    <w:div w:id="2094663928">
      <w:bodyDiv w:val="1"/>
      <w:marLeft w:val="0"/>
      <w:marRight w:val="0"/>
      <w:marTop w:val="0"/>
      <w:marBottom w:val="0"/>
      <w:divBdr>
        <w:top w:val="none" w:sz="0" w:space="0" w:color="auto"/>
        <w:left w:val="none" w:sz="0" w:space="0" w:color="auto"/>
        <w:bottom w:val="none" w:sz="0" w:space="0" w:color="auto"/>
        <w:right w:val="none" w:sz="0" w:space="0" w:color="auto"/>
      </w:divBdr>
    </w:div>
    <w:div w:id="2118282881">
      <w:bodyDiv w:val="1"/>
      <w:marLeft w:val="0"/>
      <w:marRight w:val="0"/>
      <w:marTop w:val="0"/>
      <w:marBottom w:val="0"/>
      <w:divBdr>
        <w:top w:val="none" w:sz="0" w:space="0" w:color="auto"/>
        <w:left w:val="none" w:sz="0" w:space="0" w:color="auto"/>
        <w:bottom w:val="none" w:sz="0" w:space="0" w:color="auto"/>
        <w:right w:val="none" w:sz="0" w:space="0" w:color="auto"/>
      </w:divBdr>
    </w:div>
    <w:div w:id="212090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header" Target="header7.xml"/><Relationship Id="rId21" Type="http://schemas.openxmlformats.org/officeDocument/2006/relationships/image" Target="media/image7.emf"/><Relationship Id="rId34" Type="http://schemas.openxmlformats.org/officeDocument/2006/relationships/image" Target="media/image20.emf"/><Relationship Id="rId42"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emf"/><Relationship Id="rId29" Type="http://schemas.openxmlformats.org/officeDocument/2006/relationships/image" Target="media/image15.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header" Target="header5.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image" Target="media/image1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documenttasks/documenttasks1.xml><?xml version="1.0" encoding="utf-8"?>
<t:Tasks xmlns:t="http://schemas.microsoft.com/office/tasks/2019/documenttasks" xmlns:oel="http://schemas.microsoft.com/office/2019/extlst">
  <t:Task id="{0D5CD515-712B-41BE-8615-87753A826271}">
    <t:Anchor>
      <t:Comment id="669517046"/>
    </t:Anchor>
    <t:History>
      <t:Event id="{12C39A68-1E54-4F84-8BE0-DD7AAF1CAF0A}" time="2023-04-18T01:55:56.271Z">
        <t:Attribution userId="S::jarryd.klein@treasury.gov.au::b6ab757d-55be-47db-932c-6ca75fa1ba4d" userProvider="AD" userName="Klein, Jarryd"/>
        <t:Anchor>
          <t:Comment id="713938870"/>
        </t:Anchor>
        <t:Create/>
      </t:Event>
      <t:Event id="{8AB8DA99-CA16-4F51-BF56-052CBA3FBE90}" time="2023-04-18T01:55:56.271Z">
        <t:Attribution userId="S::jarryd.klein@treasury.gov.au::b6ab757d-55be-47db-932c-6ca75fa1ba4d" userProvider="AD" userName="Klein, Jarryd"/>
        <t:Anchor>
          <t:Comment id="713938870"/>
        </t:Anchor>
        <t:Assign userId="S::Jeremy.Rees@TREASURY.GOV.AU::19281ad1-2f31-49b3-bcec-aed631ae6976" userProvider="AD" userName="Rees, Jeremy"/>
      </t:Event>
      <t:Event id="{F8E02947-1FF8-4431-A056-7F9A23E707F1}" time="2023-04-18T01:55:56.271Z">
        <t:Attribution userId="S::jarryd.klein@treasury.gov.au::b6ab757d-55be-47db-932c-6ca75fa1ba4d" userProvider="AD" userName="Klein, Jarryd"/>
        <t:Anchor>
          <t:Comment id="713938870"/>
        </t:Anchor>
        <t:SetTitle title="@Rees, Jeremy for review."/>
      </t:Event>
    </t:History>
  </t:Task>
  <t:Task id="{B1B0713C-E8A6-4420-BE0D-9AACF74DDB75}">
    <t:Anchor>
      <t:Comment id="670465689"/>
    </t:Anchor>
    <t:History>
      <t:Event id="{E446C400-34C4-4BB2-9B7A-099ACABB68DF}" time="2023-04-28T09:50:50.123Z">
        <t:Attribution userId="S::melissa.bray@treasury.gov.au::a02c4899-3490-4688-9583-b0c27817c8f5" userProvider="AD" userName="Bray, Melissa"/>
        <t:Anchor>
          <t:Comment id="266571920"/>
        </t:Anchor>
        <t:Create/>
      </t:Event>
      <t:Event id="{AA61CDEE-C712-426C-B57C-E328DA70C653}" time="2023-04-28T09:50:50.123Z">
        <t:Attribution userId="S::melissa.bray@treasury.gov.au::a02c4899-3490-4688-9583-b0c27817c8f5" userProvider="AD" userName="Bray, Melissa"/>
        <t:Anchor>
          <t:Comment id="266571920"/>
        </t:Anchor>
        <t:Assign userId="S::Rosemary.Cranney@TREASURY.GOV.AU::1ecb8c3d-4224-41c5-85eb-b07042a62571" userProvider="AD" userName="Cranney, Rosemary"/>
      </t:Event>
      <t:Event id="{0FBB7474-B90F-47F5-B456-8B740C00AAA2}" time="2023-04-28T09:50:50.123Z">
        <t:Attribution userId="S::melissa.bray@treasury.gov.au::a02c4899-3490-4688-9583-b0c27817c8f5" userProvider="AD" userName="Bray, Melissa"/>
        <t:Anchor>
          <t:Comment id="266571920"/>
        </t:Anchor>
        <t:SetTitle title="@Cranney, Rosemary Thanks"/>
      </t:Event>
    </t:History>
  </t:Task>
  <t:Task id="{EDB5CE14-C999-4BA8-93FF-19455ED4ECB5}">
    <t:Anchor>
      <t:Comment id="669516690"/>
    </t:Anchor>
    <t:History>
      <t:Event id="{6B6DE99F-24D8-4309-A52C-5E2F1F2B66B9}" time="2023-04-18T01:56:38.044Z">
        <t:Attribution userId="S::jarryd.klein@treasury.gov.au::b6ab757d-55be-47db-932c-6ca75fa1ba4d" userProvider="AD" userName="Klein, Jarryd"/>
        <t:Anchor>
          <t:Comment id="249529814"/>
        </t:Anchor>
        <t:Create/>
      </t:Event>
      <t:Event id="{71C7216D-FC7F-4B7D-B4F5-74B96971C69E}" time="2023-04-18T01:56:38.044Z">
        <t:Attribution userId="S::jarryd.klein@treasury.gov.au::b6ab757d-55be-47db-932c-6ca75fa1ba4d" userProvider="AD" userName="Klein, Jarryd"/>
        <t:Anchor>
          <t:Comment id="249529814"/>
        </t:Anchor>
        <t:Assign userId="S::Jeremy.Rees@TREASURY.GOV.AU::19281ad1-2f31-49b3-bcec-aed631ae6976" userProvider="AD" userName="Rees, Jeremy"/>
      </t:Event>
      <t:Event id="{C06C792A-3F27-4C71-B462-66D65B82BA57}" time="2023-04-18T01:56:38.044Z">
        <t:Attribution userId="S::jarryd.klein@treasury.gov.au::b6ab757d-55be-47db-932c-6ca75fa1ba4d" userProvider="AD" userName="Klein, Jarryd"/>
        <t:Anchor>
          <t:Comment id="249529814"/>
        </t:Anchor>
        <t:SetTitle title="@Rees, Jeremy for review"/>
      </t:Event>
    </t:History>
  </t:Task>
</t:Task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1A2B80-4537-4B6C-917C-E4A5416E03AF}">
  <ds:schemaRefs>
    <ds:schemaRef ds:uri="http://schemas.microsoft.com/sharepoint/v3/contenttype/forms"/>
  </ds:schemaRefs>
</ds:datastoreItem>
</file>

<file path=customXml/itemProps2.xml><?xml version="1.0" encoding="utf-8"?>
<ds:datastoreItem xmlns:ds="http://schemas.openxmlformats.org/officeDocument/2006/customXml" ds:itemID="{5216B191-5A20-411E-96FF-5C0720FA53CB}">
  <ds:schemaRefs>
    <ds:schemaRef ds:uri="http://purl.org/dc/elements/1.1/"/>
    <ds:schemaRef ds:uri="9115ddca-c623-419f-a3c0-6a1c58c4dac8"/>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microsoft.com/sharepoint/v3"/>
    <ds:schemaRef ds:uri="http://schemas.openxmlformats.org/package/2006/metadata/core-properties"/>
    <ds:schemaRef ds:uri="244fe85f-b655-4145-9b20-543b75dc1c24"/>
    <ds:schemaRef ds:uri="http://www.w3.org/XML/1998/namespace"/>
    <ds:schemaRef ds:uri="http://purl.org/dc/dcmitype/"/>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793A8E19-F036-408E-8E5E-2A80D69F7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124</TotalTime>
  <Pages>51</Pages>
  <Words>13910</Words>
  <Characters>79290</Characters>
  <Application>Microsoft Office Word</Application>
  <DocSecurity>0</DocSecurity>
  <Lines>660</Lines>
  <Paragraphs>186</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93014</CharactersWithSpaces>
  <SharedDoc>false</SharedDoc>
  <HLinks>
    <vt:vector size="126" baseType="variant">
      <vt:variant>
        <vt:i4>1048635</vt:i4>
      </vt:variant>
      <vt:variant>
        <vt:i4>250</vt:i4>
      </vt:variant>
      <vt:variant>
        <vt:i4>0</vt:i4>
      </vt:variant>
      <vt:variant>
        <vt:i4>5</vt:i4>
      </vt:variant>
      <vt:variant>
        <vt:lpwstr/>
      </vt:variant>
      <vt:variant>
        <vt:lpwstr>_Toc134093776</vt:lpwstr>
      </vt:variant>
      <vt:variant>
        <vt:i4>1048635</vt:i4>
      </vt:variant>
      <vt:variant>
        <vt:i4>244</vt:i4>
      </vt:variant>
      <vt:variant>
        <vt:i4>0</vt:i4>
      </vt:variant>
      <vt:variant>
        <vt:i4>5</vt:i4>
      </vt:variant>
      <vt:variant>
        <vt:lpwstr/>
      </vt:variant>
      <vt:variant>
        <vt:lpwstr>_Toc134093775</vt:lpwstr>
      </vt:variant>
      <vt:variant>
        <vt:i4>1048635</vt:i4>
      </vt:variant>
      <vt:variant>
        <vt:i4>238</vt:i4>
      </vt:variant>
      <vt:variant>
        <vt:i4>0</vt:i4>
      </vt:variant>
      <vt:variant>
        <vt:i4>5</vt:i4>
      </vt:variant>
      <vt:variant>
        <vt:lpwstr/>
      </vt:variant>
      <vt:variant>
        <vt:lpwstr>_Toc134093774</vt:lpwstr>
      </vt:variant>
      <vt:variant>
        <vt:i4>1048635</vt:i4>
      </vt:variant>
      <vt:variant>
        <vt:i4>232</vt:i4>
      </vt:variant>
      <vt:variant>
        <vt:i4>0</vt:i4>
      </vt:variant>
      <vt:variant>
        <vt:i4>5</vt:i4>
      </vt:variant>
      <vt:variant>
        <vt:lpwstr/>
      </vt:variant>
      <vt:variant>
        <vt:lpwstr>_Toc134093773</vt:lpwstr>
      </vt:variant>
      <vt:variant>
        <vt:i4>1048635</vt:i4>
      </vt:variant>
      <vt:variant>
        <vt:i4>226</vt:i4>
      </vt:variant>
      <vt:variant>
        <vt:i4>0</vt:i4>
      </vt:variant>
      <vt:variant>
        <vt:i4>5</vt:i4>
      </vt:variant>
      <vt:variant>
        <vt:lpwstr/>
      </vt:variant>
      <vt:variant>
        <vt:lpwstr>_Toc134093772</vt:lpwstr>
      </vt:variant>
      <vt:variant>
        <vt:i4>1048635</vt:i4>
      </vt:variant>
      <vt:variant>
        <vt:i4>220</vt:i4>
      </vt:variant>
      <vt:variant>
        <vt:i4>0</vt:i4>
      </vt:variant>
      <vt:variant>
        <vt:i4>5</vt:i4>
      </vt:variant>
      <vt:variant>
        <vt:lpwstr/>
      </vt:variant>
      <vt:variant>
        <vt:lpwstr>_Toc134093771</vt:lpwstr>
      </vt:variant>
      <vt:variant>
        <vt:i4>1048635</vt:i4>
      </vt:variant>
      <vt:variant>
        <vt:i4>214</vt:i4>
      </vt:variant>
      <vt:variant>
        <vt:i4>0</vt:i4>
      </vt:variant>
      <vt:variant>
        <vt:i4>5</vt:i4>
      </vt:variant>
      <vt:variant>
        <vt:lpwstr/>
      </vt:variant>
      <vt:variant>
        <vt:lpwstr>_Toc134093770</vt:lpwstr>
      </vt:variant>
      <vt:variant>
        <vt:i4>1114171</vt:i4>
      </vt:variant>
      <vt:variant>
        <vt:i4>208</vt:i4>
      </vt:variant>
      <vt:variant>
        <vt:i4>0</vt:i4>
      </vt:variant>
      <vt:variant>
        <vt:i4>5</vt:i4>
      </vt:variant>
      <vt:variant>
        <vt:lpwstr/>
      </vt:variant>
      <vt:variant>
        <vt:lpwstr>_Toc134093769</vt:lpwstr>
      </vt:variant>
      <vt:variant>
        <vt:i4>1114171</vt:i4>
      </vt:variant>
      <vt:variant>
        <vt:i4>202</vt:i4>
      </vt:variant>
      <vt:variant>
        <vt:i4>0</vt:i4>
      </vt:variant>
      <vt:variant>
        <vt:i4>5</vt:i4>
      </vt:variant>
      <vt:variant>
        <vt:lpwstr/>
      </vt:variant>
      <vt:variant>
        <vt:lpwstr>_Toc134093768</vt:lpwstr>
      </vt:variant>
      <vt:variant>
        <vt:i4>1114171</vt:i4>
      </vt:variant>
      <vt:variant>
        <vt:i4>196</vt:i4>
      </vt:variant>
      <vt:variant>
        <vt:i4>0</vt:i4>
      </vt:variant>
      <vt:variant>
        <vt:i4>5</vt:i4>
      </vt:variant>
      <vt:variant>
        <vt:lpwstr/>
      </vt:variant>
      <vt:variant>
        <vt:lpwstr>_Toc134093767</vt:lpwstr>
      </vt:variant>
      <vt:variant>
        <vt:i4>1114171</vt:i4>
      </vt:variant>
      <vt:variant>
        <vt:i4>190</vt:i4>
      </vt:variant>
      <vt:variant>
        <vt:i4>0</vt:i4>
      </vt:variant>
      <vt:variant>
        <vt:i4>5</vt:i4>
      </vt:variant>
      <vt:variant>
        <vt:lpwstr/>
      </vt:variant>
      <vt:variant>
        <vt:lpwstr>_Toc134093766</vt:lpwstr>
      </vt:variant>
      <vt:variant>
        <vt:i4>1114171</vt:i4>
      </vt:variant>
      <vt:variant>
        <vt:i4>184</vt:i4>
      </vt:variant>
      <vt:variant>
        <vt:i4>0</vt:i4>
      </vt:variant>
      <vt:variant>
        <vt:i4>5</vt:i4>
      </vt:variant>
      <vt:variant>
        <vt:lpwstr/>
      </vt:variant>
      <vt:variant>
        <vt:lpwstr>_Toc134093765</vt:lpwstr>
      </vt:variant>
      <vt:variant>
        <vt:i4>1114171</vt:i4>
      </vt:variant>
      <vt:variant>
        <vt:i4>178</vt:i4>
      </vt:variant>
      <vt:variant>
        <vt:i4>0</vt:i4>
      </vt:variant>
      <vt:variant>
        <vt:i4>5</vt:i4>
      </vt:variant>
      <vt:variant>
        <vt:lpwstr/>
      </vt:variant>
      <vt:variant>
        <vt:lpwstr>_Toc134093764</vt:lpwstr>
      </vt:variant>
      <vt:variant>
        <vt:i4>1114171</vt:i4>
      </vt:variant>
      <vt:variant>
        <vt:i4>172</vt:i4>
      </vt:variant>
      <vt:variant>
        <vt:i4>0</vt:i4>
      </vt:variant>
      <vt:variant>
        <vt:i4>5</vt:i4>
      </vt:variant>
      <vt:variant>
        <vt:lpwstr/>
      </vt:variant>
      <vt:variant>
        <vt:lpwstr>_Toc134093763</vt:lpwstr>
      </vt:variant>
      <vt:variant>
        <vt:i4>1114171</vt:i4>
      </vt:variant>
      <vt:variant>
        <vt:i4>166</vt:i4>
      </vt:variant>
      <vt:variant>
        <vt:i4>0</vt:i4>
      </vt:variant>
      <vt:variant>
        <vt:i4>5</vt:i4>
      </vt:variant>
      <vt:variant>
        <vt:lpwstr/>
      </vt:variant>
      <vt:variant>
        <vt:lpwstr>_Toc134093762</vt:lpwstr>
      </vt:variant>
      <vt:variant>
        <vt:i4>1114171</vt:i4>
      </vt:variant>
      <vt:variant>
        <vt:i4>160</vt:i4>
      </vt:variant>
      <vt:variant>
        <vt:i4>0</vt:i4>
      </vt:variant>
      <vt:variant>
        <vt:i4>5</vt:i4>
      </vt:variant>
      <vt:variant>
        <vt:lpwstr/>
      </vt:variant>
      <vt:variant>
        <vt:lpwstr>_Toc134093761</vt:lpwstr>
      </vt:variant>
      <vt:variant>
        <vt:i4>1114171</vt:i4>
      </vt:variant>
      <vt:variant>
        <vt:i4>154</vt:i4>
      </vt:variant>
      <vt:variant>
        <vt:i4>0</vt:i4>
      </vt:variant>
      <vt:variant>
        <vt:i4>5</vt:i4>
      </vt:variant>
      <vt:variant>
        <vt:lpwstr/>
      </vt:variant>
      <vt:variant>
        <vt:lpwstr>_Toc134093760</vt:lpwstr>
      </vt:variant>
      <vt:variant>
        <vt:i4>1179707</vt:i4>
      </vt:variant>
      <vt:variant>
        <vt:i4>148</vt:i4>
      </vt:variant>
      <vt:variant>
        <vt:i4>0</vt:i4>
      </vt:variant>
      <vt:variant>
        <vt:i4>5</vt:i4>
      </vt:variant>
      <vt:variant>
        <vt:lpwstr/>
      </vt:variant>
      <vt:variant>
        <vt:lpwstr>_Toc134093759</vt:lpwstr>
      </vt:variant>
      <vt:variant>
        <vt:i4>1179707</vt:i4>
      </vt:variant>
      <vt:variant>
        <vt:i4>142</vt:i4>
      </vt:variant>
      <vt:variant>
        <vt:i4>0</vt:i4>
      </vt:variant>
      <vt:variant>
        <vt:i4>5</vt:i4>
      </vt:variant>
      <vt:variant>
        <vt:lpwstr/>
      </vt:variant>
      <vt:variant>
        <vt:lpwstr>_Toc134093758</vt:lpwstr>
      </vt:variant>
      <vt:variant>
        <vt:i4>1179707</vt:i4>
      </vt:variant>
      <vt:variant>
        <vt:i4>136</vt:i4>
      </vt:variant>
      <vt:variant>
        <vt:i4>0</vt:i4>
      </vt:variant>
      <vt:variant>
        <vt:i4>5</vt:i4>
      </vt:variant>
      <vt:variant>
        <vt:lpwstr/>
      </vt:variant>
      <vt:variant>
        <vt:lpwstr>_Toc134093757</vt:lpwstr>
      </vt:variant>
      <vt:variant>
        <vt:i4>1179707</vt:i4>
      </vt:variant>
      <vt:variant>
        <vt:i4>130</vt:i4>
      </vt:variant>
      <vt:variant>
        <vt:i4>0</vt:i4>
      </vt:variant>
      <vt:variant>
        <vt:i4>5</vt:i4>
      </vt:variant>
      <vt:variant>
        <vt:lpwstr/>
      </vt:variant>
      <vt:variant>
        <vt:lpwstr>_Toc134093756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3: Fiscal Strategy and Outlook</dc:subject>
  <dc:creator>Australian Government</dc:creator>
  <cp:keywords/>
  <dc:description/>
  <cp:lastModifiedBy>Van Der Hoeven, Megan</cp:lastModifiedBy>
  <cp:revision>64</cp:revision>
  <cp:lastPrinted>2023-05-07T07:03:00Z</cp:lastPrinted>
  <dcterms:created xsi:type="dcterms:W3CDTF">2023-05-06T12:08:00Z</dcterms:created>
  <dcterms:modified xsi:type="dcterms:W3CDTF">2023-05-08T03:00:00Z</dcterms:modified>
</cp:coreProperties>
</file>