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11B9B" w14:textId="7D4BD4A3" w:rsidR="00D81A31" w:rsidRPr="0008597F" w:rsidRDefault="00D81A31" w:rsidP="007C5068">
      <w:pPr>
        <w:pStyle w:val="Heading1-Statement"/>
      </w:pPr>
      <w:r w:rsidRPr="0008597F">
        <w:rPr>
          <w:rStyle w:val="Strong"/>
        </w:rPr>
        <w:t xml:space="preserve">Statement </w:t>
      </w:r>
      <w:r w:rsidR="00C855DF">
        <w:rPr>
          <w:rStyle w:val="Strong"/>
        </w:rPr>
        <w:t>6</w:t>
      </w:r>
      <w:r w:rsidR="00A40755">
        <w:rPr>
          <w:rStyle w:val="Strong"/>
        </w:rPr>
        <w:t>:</w:t>
      </w:r>
      <w:r w:rsidRPr="0008597F">
        <w:rPr>
          <w:rStyle w:val="Strong"/>
        </w:rPr>
        <w:t xml:space="preserve"> </w:t>
      </w:r>
      <w:r w:rsidR="002F209E">
        <w:rPr>
          <w:rStyle w:val="Strong"/>
        </w:rPr>
        <w:tab/>
      </w:r>
      <w:r w:rsidRPr="0008597F">
        <w:rPr>
          <w:rStyle w:val="Strong"/>
        </w:rPr>
        <w:br/>
      </w:r>
      <w:r w:rsidR="00C855DF" w:rsidRPr="00C855DF">
        <w:t>Expenses and Net Capital Investment</w:t>
      </w:r>
    </w:p>
    <w:p w14:paraId="74440F92" w14:textId="06E3AF18" w:rsidR="0050166A" w:rsidRDefault="0050166A" w:rsidP="004779EC">
      <w:r>
        <w:t>This Statement presents estimates of the Australian Government general government sector (GGS) expenses and net capital investment disaggregated by function</w:t>
      </w:r>
      <w:r w:rsidRPr="00E44A00">
        <w:t xml:space="preserve">. </w:t>
      </w:r>
      <w:r w:rsidR="00AF2A87">
        <w:t xml:space="preserve">Expenses are the accrual accounting equivalent of cash‑based payments. The Government also reports spending on an underlying cash basis (including details about payments) in </w:t>
      </w:r>
      <w:r w:rsidR="00AF2A87">
        <w:rPr>
          <w:i/>
          <w:iCs/>
        </w:rPr>
        <w:t>Statement 3: Fiscal Strategy and Outlook.</w:t>
      </w:r>
    </w:p>
    <w:p w14:paraId="0233CDC5" w14:textId="32DF3ACF" w:rsidR="00F2515C" w:rsidRDefault="00F2515C" w:rsidP="00F2515C">
      <w:pPr>
        <w:rPr>
          <w:szCs w:val="19"/>
        </w:rPr>
      </w:pPr>
      <w:r>
        <w:t>The Government remains focused on responsible domestic economic management at a time of uncertainty around the world. The Government has provided targeted cost</w:t>
      </w:r>
      <w:r w:rsidR="00D34B95">
        <w:noBreakHyphen/>
      </w:r>
      <w:r>
        <w:t>of</w:t>
      </w:r>
      <w:r w:rsidR="00D34B95">
        <w:noBreakHyphen/>
      </w:r>
      <w:r>
        <w:t xml:space="preserve">living relief and funding to support a stronger, more secure economy and address legacy issues, while maintaining the commitment to avoid fiscal policy adding to inflationary pressures while these are at their highest. </w:t>
      </w:r>
    </w:p>
    <w:p w14:paraId="6268D946" w14:textId="47F0AB65" w:rsidR="0050166A" w:rsidRPr="00C06B67" w:rsidRDefault="0050166A" w:rsidP="0050166A">
      <w:r w:rsidRPr="00C06B67">
        <w:t>GGS expenses are expected to grow from $68</w:t>
      </w:r>
      <w:r w:rsidR="00411CE4" w:rsidRPr="00C06B67">
        <w:t>4.1</w:t>
      </w:r>
      <w:r w:rsidRPr="00C06B67">
        <w:t xml:space="preserve"> billion in 2023–24 to $7</w:t>
      </w:r>
      <w:r w:rsidR="00411CE4" w:rsidRPr="00C06B67">
        <w:t>71.8</w:t>
      </w:r>
      <w:r w:rsidRPr="00C06B67">
        <w:t xml:space="preserve"> billion in </w:t>
      </w:r>
      <w:r w:rsidR="00A45A61">
        <w:br/>
      </w:r>
      <w:r w:rsidRPr="00C06B67">
        <w:t>2026</w:t>
      </w:r>
      <w:r w:rsidR="006B0954">
        <w:t>–</w:t>
      </w:r>
      <w:r w:rsidRPr="00C06B67">
        <w:t>27. Total expenses are expected to be 26.</w:t>
      </w:r>
      <w:r w:rsidR="00411CE4" w:rsidRPr="00C06B67">
        <w:t>6</w:t>
      </w:r>
      <w:r w:rsidR="00893776">
        <w:t> per </w:t>
      </w:r>
      <w:r w:rsidRPr="00C06B67">
        <w:t>cent of GDP in 2023</w:t>
      </w:r>
      <w:r w:rsidR="00A12C3A">
        <w:t>–</w:t>
      </w:r>
      <w:r w:rsidRPr="00C06B67">
        <w:t xml:space="preserve">24 and to remain around that level over the forward estimates. </w:t>
      </w:r>
      <w:r w:rsidR="00F2515C">
        <w:t>R</w:t>
      </w:r>
      <w:r w:rsidRPr="00C06B67">
        <w:t>eal growth in expenses over the forward estimates is expected to average around 1.</w:t>
      </w:r>
      <w:r w:rsidR="00411CE4" w:rsidRPr="00C06B67">
        <w:t>5</w:t>
      </w:r>
      <w:r w:rsidR="00893776">
        <w:t> per </w:t>
      </w:r>
      <w:r w:rsidRPr="00C06B67">
        <w:t>cent</w:t>
      </w:r>
      <w:r w:rsidR="00893776">
        <w:t> per </w:t>
      </w:r>
      <w:r w:rsidRPr="00C06B67">
        <w:t>annum.</w:t>
      </w:r>
    </w:p>
    <w:p w14:paraId="6B6430B0" w14:textId="6B70B982" w:rsidR="0050166A" w:rsidRDefault="0050166A" w:rsidP="0050166A">
      <w:r w:rsidRPr="00C06B67">
        <w:t>Together, the social security and welfare, health, defence and education functions account for 6</w:t>
      </w:r>
      <w:r w:rsidR="00411CE4" w:rsidRPr="00C06B67">
        <w:t>6</w:t>
      </w:r>
      <w:r w:rsidR="00893776">
        <w:t> per </w:t>
      </w:r>
      <w:r w:rsidRPr="000177D7">
        <w:t>cent of all government expenses in 202</w:t>
      </w:r>
      <w:r>
        <w:t>3</w:t>
      </w:r>
      <w:r w:rsidR="00A12C3A">
        <w:t>–</w:t>
      </w:r>
      <w:r w:rsidRPr="000177D7">
        <w:t>2</w:t>
      </w:r>
      <w:r>
        <w:t>4</w:t>
      </w:r>
      <w:r w:rsidR="00D34B95">
        <w:t xml:space="preserve">. </w:t>
      </w:r>
    </w:p>
    <w:p w14:paraId="7DACBD1B" w14:textId="6D44003D" w:rsidR="0050166A" w:rsidRPr="000177D7" w:rsidRDefault="0050166A" w:rsidP="0050166A">
      <w:r w:rsidRPr="000177D7">
        <w:t>Major expense trends from 202</w:t>
      </w:r>
      <w:r>
        <w:t>3</w:t>
      </w:r>
      <w:r w:rsidR="00A12C3A">
        <w:t>–</w:t>
      </w:r>
      <w:r w:rsidRPr="000177D7">
        <w:t>2</w:t>
      </w:r>
      <w:r>
        <w:t>4</w:t>
      </w:r>
      <w:r w:rsidRPr="000177D7">
        <w:t xml:space="preserve"> over the forward </w:t>
      </w:r>
      <w:r>
        <w:t>estimates</w:t>
      </w:r>
      <w:r w:rsidRPr="000177D7">
        <w:t xml:space="preserve"> include movements in the following functions:</w:t>
      </w:r>
    </w:p>
    <w:p w14:paraId="66DFA7AC" w14:textId="02054DB4" w:rsidR="0050166A" w:rsidRPr="00DD587F" w:rsidRDefault="0050166A" w:rsidP="0050166A">
      <w:pPr>
        <w:pStyle w:val="Bullet"/>
      </w:pPr>
      <w:r w:rsidRPr="00CA5D1A">
        <w:rPr>
          <w:b/>
        </w:rPr>
        <w:t>Defence</w:t>
      </w:r>
      <w:r w:rsidRPr="000177D7">
        <w:t xml:space="preserve"> </w:t>
      </w:r>
      <w:r w:rsidR="00A12C3A">
        <w:t>–</w:t>
      </w:r>
      <w:r w:rsidRPr="000177D7">
        <w:t xml:space="preserve"> the increase in expenses reflects the </w:t>
      </w:r>
      <w:r>
        <w:t xml:space="preserve">planned </w:t>
      </w:r>
      <w:r w:rsidRPr="000177D7">
        <w:t xml:space="preserve">investment </w:t>
      </w:r>
      <w:r>
        <w:t>in Defence capabilities which will now be reprioritised to support the Government</w:t>
      </w:r>
      <w:r w:rsidR="00D34B95">
        <w:t>’</w:t>
      </w:r>
      <w:r>
        <w:t xml:space="preserve">s response to the </w:t>
      </w:r>
      <w:r>
        <w:rPr>
          <w:i/>
          <w:iCs/>
        </w:rPr>
        <w:t xml:space="preserve">Defence Strategic Review. </w:t>
      </w:r>
    </w:p>
    <w:p w14:paraId="2D305CDC" w14:textId="0036DDD4" w:rsidR="0050166A" w:rsidRPr="005D3665" w:rsidRDefault="0050166A" w:rsidP="0050166A">
      <w:pPr>
        <w:pStyle w:val="Bullet"/>
      </w:pPr>
      <w:r w:rsidRPr="000177D7">
        <w:rPr>
          <w:b/>
        </w:rPr>
        <w:t>Education</w:t>
      </w:r>
      <w:r w:rsidRPr="000177D7">
        <w:t xml:space="preserve"> </w:t>
      </w:r>
      <w:r w:rsidR="00A12C3A">
        <w:t>–</w:t>
      </w:r>
      <w:r w:rsidRPr="000177D7">
        <w:t xml:space="preserve"> the increase in expenses </w:t>
      </w:r>
      <w:r>
        <w:rPr>
          <w:lang w:val="en"/>
        </w:rPr>
        <w:t>reflects the Government</w:t>
      </w:r>
      <w:r w:rsidR="00D34B95">
        <w:rPr>
          <w:lang w:val="en"/>
        </w:rPr>
        <w:t>’</w:t>
      </w:r>
      <w:r>
        <w:rPr>
          <w:lang w:val="en"/>
        </w:rPr>
        <w:t xml:space="preserve">s continued investment </w:t>
      </w:r>
      <w:r w:rsidR="0039437C">
        <w:rPr>
          <w:lang w:val="en"/>
        </w:rPr>
        <w:br/>
      </w:r>
      <w:r>
        <w:rPr>
          <w:lang w:val="en"/>
        </w:rPr>
        <w:t xml:space="preserve">in schools and decision </w:t>
      </w:r>
      <w:r w:rsidRPr="005D3665">
        <w:rPr>
          <w:lang w:val="en"/>
        </w:rPr>
        <w:t>to increase the base rate of payments to students through the 2023</w:t>
      </w:r>
      <w:r w:rsidR="00A12C3A">
        <w:rPr>
          <w:lang w:val="en"/>
        </w:rPr>
        <w:t>–</w:t>
      </w:r>
      <w:r w:rsidRPr="005D3665">
        <w:rPr>
          <w:lang w:val="en"/>
        </w:rPr>
        <w:t>24 Budget</w:t>
      </w:r>
      <w:r w:rsidRPr="005D3665">
        <w:rPr>
          <w:b/>
          <w:bCs/>
          <w:lang w:val="en"/>
        </w:rPr>
        <w:t xml:space="preserve"> </w:t>
      </w:r>
      <w:r w:rsidRPr="005D3665">
        <w:rPr>
          <w:lang w:val="en"/>
        </w:rPr>
        <w:t xml:space="preserve">measure </w:t>
      </w:r>
      <w:r w:rsidR="005D3665" w:rsidRPr="005D3665">
        <w:rPr>
          <w:i/>
          <w:iCs/>
          <w:lang w:val="en"/>
        </w:rPr>
        <w:t>Increase to Working Age Payments</w:t>
      </w:r>
      <w:r w:rsidRPr="005D3665">
        <w:rPr>
          <w:lang w:val="en"/>
        </w:rPr>
        <w:t xml:space="preserve">. </w:t>
      </w:r>
    </w:p>
    <w:p w14:paraId="33672290" w14:textId="7968F0C7" w:rsidR="0050166A" w:rsidRPr="00751987" w:rsidRDefault="0050166A" w:rsidP="0050166A">
      <w:pPr>
        <w:pStyle w:val="Bullet"/>
      </w:pPr>
      <w:r w:rsidRPr="005D3665">
        <w:rPr>
          <w:b/>
        </w:rPr>
        <w:t>Health</w:t>
      </w:r>
      <w:r w:rsidRPr="005D3665">
        <w:t xml:space="preserve"> </w:t>
      </w:r>
      <w:r w:rsidR="00A12C3A">
        <w:t>–</w:t>
      </w:r>
      <w:r w:rsidRPr="005D3665">
        <w:t xml:space="preserve"> the increase in expenses is driven by expected growth in the assistance to the states for public hospitals</w:t>
      </w:r>
      <w:r w:rsidR="00F2515C">
        <w:t xml:space="preserve"> and </w:t>
      </w:r>
      <w:r w:rsidRPr="005D3665">
        <w:t xml:space="preserve">measures to strengthen Medicare and stem the decline in bulk billing in response to the findings of the </w:t>
      </w:r>
      <w:r w:rsidRPr="005D3665">
        <w:rPr>
          <w:i/>
          <w:iCs/>
        </w:rPr>
        <w:t xml:space="preserve">Strengthening Medicare Taskforce </w:t>
      </w:r>
      <w:r w:rsidRPr="008D79F5">
        <w:rPr>
          <w:i/>
          <w:iCs/>
        </w:rPr>
        <w:t>Report</w:t>
      </w:r>
      <w:r w:rsidRPr="008D79F5">
        <w:t>.</w:t>
      </w:r>
    </w:p>
    <w:p w14:paraId="6023FC3C" w14:textId="613CD4FC" w:rsidR="00E44A00" w:rsidRDefault="0050166A" w:rsidP="0050166A">
      <w:pPr>
        <w:pStyle w:val="Bullet"/>
      </w:pPr>
      <w:r w:rsidRPr="2E41502A">
        <w:rPr>
          <w:b/>
          <w:bCs/>
        </w:rPr>
        <w:t>Social security and welfare</w:t>
      </w:r>
      <w:r w:rsidRPr="000177D7">
        <w:t xml:space="preserve"> </w:t>
      </w:r>
      <w:r w:rsidR="00A12C3A">
        <w:t>–</w:t>
      </w:r>
      <w:r w:rsidRPr="000177D7">
        <w:t xml:space="preserve"> the increase </w:t>
      </w:r>
      <w:r>
        <w:t xml:space="preserve">in expenses </w:t>
      </w:r>
      <w:r w:rsidRPr="000177D7">
        <w:t>is due largely to</w:t>
      </w:r>
      <w:r>
        <w:t xml:space="preserve"> the Government</w:t>
      </w:r>
      <w:r w:rsidR="00D34B95">
        <w:t>’</w:t>
      </w:r>
      <w:r>
        <w:t>s investment through the 2023</w:t>
      </w:r>
      <w:r w:rsidR="00A12C3A">
        <w:t>–</w:t>
      </w:r>
      <w:r>
        <w:t xml:space="preserve">24 Budget measures </w:t>
      </w:r>
      <w:r w:rsidRPr="0021687D">
        <w:rPr>
          <w:i/>
          <w:iCs/>
        </w:rPr>
        <w:t xml:space="preserve">Increase to Working Age Payments </w:t>
      </w:r>
      <w:r w:rsidRPr="0021687D">
        <w:t>and</w:t>
      </w:r>
      <w:r w:rsidRPr="0021687D">
        <w:rPr>
          <w:i/>
          <w:iCs/>
        </w:rPr>
        <w:t xml:space="preserve"> </w:t>
      </w:r>
      <w:r w:rsidR="0021687D" w:rsidRPr="0021687D">
        <w:rPr>
          <w:i/>
          <w:iCs/>
        </w:rPr>
        <w:t>Increased Support for Commonwealth Rent Assistance Recipients</w:t>
      </w:r>
      <w:r w:rsidRPr="0021687D">
        <w:t>.</w:t>
      </w:r>
      <w:r>
        <w:t xml:space="preserve"> Also contributing to this growth is funding for </w:t>
      </w:r>
      <w:r w:rsidRPr="00B673AB">
        <w:t>the outcome of the Fair Work Commission</w:t>
      </w:r>
      <w:r w:rsidR="00D34B95">
        <w:t>’</w:t>
      </w:r>
      <w:r w:rsidRPr="00B673AB">
        <w:t>s decision on the Aged Care Work Value Case which increased minimum award wages by 15</w:t>
      </w:r>
      <w:r w:rsidR="00893776">
        <w:t> per </w:t>
      </w:r>
      <w:r w:rsidRPr="00B673AB">
        <w:t>cent from 30 June 2023 for many aged care workers.</w:t>
      </w:r>
    </w:p>
    <w:p w14:paraId="16A5C276" w14:textId="15650957" w:rsidR="008D79F5" w:rsidRDefault="008D79F5" w:rsidP="0050166A">
      <w:pPr>
        <w:pStyle w:val="Bullet"/>
      </w:pPr>
      <w:r>
        <w:br w:type="page"/>
      </w:r>
    </w:p>
    <w:p w14:paraId="7021DBAA" w14:textId="66D765BB" w:rsidR="0050166A" w:rsidRDefault="0050166A" w:rsidP="0050166A">
      <w:pPr>
        <w:pStyle w:val="Bullet"/>
      </w:pPr>
      <w:r>
        <w:rPr>
          <w:b/>
          <w:bCs/>
        </w:rPr>
        <w:lastRenderedPageBreak/>
        <w:t xml:space="preserve">Recreation and culture </w:t>
      </w:r>
      <w:r w:rsidR="00A12C3A">
        <w:t>–</w:t>
      </w:r>
      <w:r>
        <w:t xml:space="preserve"> the increase in expenses </w:t>
      </w:r>
      <w:r w:rsidRPr="00D53771">
        <w:t>reflects the Government</w:t>
      </w:r>
      <w:r w:rsidR="00D34B95">
        <w:t>’</w:t>
      </w:r>
      <w:r w:rsidRPr="00D53771">
        <w:t xml:space="preserve">s contributions </w:t>
      </w:r>
      <w:r>
        <w:t xml:space="preserve">for </w:t>
      </w:r>
      <w:r w:rsidRPr="00D53771">
        <w:t xml:space="preserve">venue infrastructure for the 2032 </w:t>
      </w:r>
      <w:r w:rsidRPr="0021687D">
        <w:t>Brisbane Olympic and Paralympic Games provided through the 2023</w:t>
      </w:r>
      <w:r w:rsidR="00A12C3A">
        <w:t>–</w:t>
      </w:r>
      <w:r w:rsidRPr="0021687D">
        <w:t xml:space="preserve">24 Budget measure </w:t>
      </w:r>
      <w:r w:rsidR="0021687D" w:rsidRPr="0021687D">
        <w:rPr>
          <w:i/>
          <w:iCs/>
        </w:rPr>
        <w:t xml:space="preserve">2032 Brisbane Olympic and Paralympic Games </w:t>
      </w:r>
      <w:r w:rsidR="00A12C3A">
        <w:rPr>
          <w:i/>
          <w:iCs/>
        </w:rPr>
        <w:t>–</w:t>
      </w:r>
      <w:r w:rsidR="0021687D" w:rsidRPr="0021687D">
        <w:rPr>
          <w:i/>
          <w:iCs/>
        </w:rPr>
        <w:t xml:space="preserve"> venue infrastructure</w:t>
      </w:r>
      <w:r w:rsidRPr="0021687D">
        <w:t>,</w:t>
      </w:r>
      <w:r w:rsidRPr="00D53771">
        <w:t xml:space="preserve"> as well as funding for the Macquarie Point Precinct and the University of Tasmania stadium in Launceston.</w:t>
      </w:r>
    </w:p>
    <w:p w14:paraId="5DF50ECE" w14:textId="3FD811D6" w:rsidR="0050166A" w:rsidRDefault="0050166A" w:rsidP="00E44A00">
      <w:pPr>
        <w:pStyle w:val="Bullet"/>
        <w:rPr>
          <w:rFonts w:ascii="Calibri" w:hAnsi="Calibri"/>
          <w:sz w:val="22"/>
        </w:rPr>
      </w:pPr>
      <w:r>
        <w:rPr>
          <w:b/>
          <w:bCs/>
        </w:rPr>
        <w:t xml:space="preserve">Fuel and Energy </w:t>
      </w:r>
      <w:r w:rsidR="00A12C3A">
        <w:t>–</w:t>
      </w:r>
      <w:r>
        <w:t xml:space="preserve"> the increase in expenses is partially due to the </w:t>
      </w:r>
      <w:r w:rsidRPr="0021687D">
        <w:rPr>
          <w:i/>
          <w:iCs/>
        </w:rPr>
        <w:t>Energy Price Relief Plan</w:t>
      </w:r>
      <w:r>
        <w:rPr>
          <w:i/>
          <w:iCs/>
        </w:rPr>
        <w:t xml:space="preserve"> </w:t>
      </w:r>
      <w:r>
        <w:t xml:space="preserve">in this Budget which will deliver cost of living relief by reducing the impact of rising energy prices through targeted energy bill relief, </w:t>
      </w:r>
      <w:r w:rsidRPr="00E44A00">
        <w:t>progressing</w:t>
      </w:r>
      <w:r>
        <w:t xml:space="preserve"> gas market reforms and limiting the price of coal. </w:t>
      </w:r>
    </w:p>
    <w:p w14:paraId="5628DDE3" w14:textId="77777777" w:rsidR="0050166A" w:rsidRDefault="0050166A" w:rsidP="0050166A">
      <w:r>
        <w:t>Analysis in this Statement is presented in both nominal and real terms to allow for international comparisons of functional expenditure. Examining trends in estimated function expenses in real terms (that is adjusted for inflation) illustrates the underlying drivers of growth, other than inflation.</w:t>
      </w:r>
    </w:p>
    <w:p w14:paraId="52CE9996" w14:textId="77777777" w:rsidR="00E44A00" w:rsidRDefault="00E44A00" w:rsidP="0050166A"/>
    <w:p w14:paraId="1D45CD07" w14:textId="562B364A" w:rsidR="00E44A00" w:rsidRPr="00D66947" w:rsidRDefault="00E44A00" w:rsidP="0050166A">
      <w:pPr>
        <w:sectPr w:rsidR="00E44A00" w:rsidRPr="00D66947" w:rsidSect="003D737B">
          <w:headerReference w:type="even" r:id="rId11"/>
          <w:footerReference w:type="even" r:id="rId12"/>
          <w:headerReference w:type="first" r:id="rId13"/>
          <w:footerReference w:type="first" r:id="rId14"/>
          <w:type w:val="oddPage"/>
          <w:pgSz w:w="11906" w:h="16838" w:code="9"/>
          <w:pgMar w:top="2835" w:right="2098" w:bottom="2466" w:left="2098" w:header="1814" w:footer="1814" w:gutter="0"/>
          <w:pgNumType w:start="193"/>
          <w:cols w:space="708"/>
          <w:titlePg/>
          <w:docGrid w:linePitch="360"/>
        </w:sectPr>
      </w:pPr>
    </w:p>
    <w:p w14:paraId="656D2F5C" w14:textId="77777777" w:rsidR="00D81A31" w:rsidRPr="00D66947" w:rsidRDefault="00D81A31" w:rsidP="00AA71F1">
      <w:pPr>
        <w:pStyle w:val="ContentsHeading"/>
      </w:pPr>
      <w:r w:rsidRPr="00D66947">
        <w:lastRenderedPageBreak/>
        <w:t xml:space="preserve">Statement </w:t>
      </w:r>
      <w:r w:rsidRPr="00AA71F1">
        <w:t>contents</w:t>
      </w:r>
    </w:p>
    <w:p w14:paraId="41329A16" w14:textId="2FD12230" w:rsidR="00E34276" w:rsidRDefault="00C855DF">
      <w:pPr>
        <w:pStyle w:val="TOC1"/>
        <w:rPr>
          <w:rFonts w:asciiTheme="minorHAnsi" w:eastAsiaTheme="minorEastAsia" w:hAnsiTheme="minorHAnsi" w:cstheme="minorBidi"/>
          <w:b w:val="0"/>
          <w:noProof/>
          <w:sz w:val="22"/>
          <w:szCs w:val="22"/>
        </w:rPr>
      </w:pPr>
      <w:r>
        <w:fldChar w:fldCharType="begin"/>
      </w:r>
      <w:r>
        <w:instrText xml:space="preserve"> TOC \h \z \u \t "Heading 2,1,Heading 3,2" </w:instrText>
      </w:r>
      <w:r>
        <w:fldChar w:fldCharType="separate"/>
      </w:r>
      <w:hyperlink w:anchor="_Toc134169608" w:history="1">
        <w:r w:rsidR="00E34276" w:rsidRPr="00CF361F">
          <w:rPr>
            <w:rStyle w:val="Hyperlink"/>
            <w:noProof/>
          </w:rPr>
          <w:t>Overview</w:t>
        </w:r>
        <w:r w:rsidR="00E34276">
          <w:rPr>
            <w:noProof/>
            <w:webHidden/>
          </w:rPr>
          <w:tab/>
        </w:r>
        <w:r w:rsidR="00E34276">
          <w:rPr>
            <w:noProof/>
            <w:webHidden/>
          </w:rPr>
          <w:fldChar w:fldCharType="begin"/>
        </w:r>
        <w:r w:rsidR="00E34276">
          <w:rPr>
            <w:noProof/>
            <w:webHidden/>
          </w:rPr>
          <w:instrText xml:space="preserve"> PAGEREF _Toc134169608 \h </w:instrText>
        </w:r>
        <w:r w:rsidR="00E34276">
          <w:rPr>
            <w:noProof/>
            <w:webHidden/>
          </w:rPr>
        </w:r>
        <w:r w:rsidR="00E34276">
          <w:rPr>
            <w:noProof/>
            <w:webHidden/>
          </w:rPr>
          <w:fldChar w:fldCharType="separate"/>
        </w:r>
        <w:r w:rsidR="00533A7B">
          <w:rPr>
            <w:noProof/>
            <w:webHidden/>
          </w:rPr>
          <w:t>197</w:t>
        </w:r>
        <w:r w:rsidR="00E34276">
          <w:rPr>
            <w:noProof/>
            <w:webHidden/>
          </w:rPr>
          <w:fldChar w:fldCharType="end"/>
        </w:r>
      </w:hyperlink>
    </w:p>
    <w:p w14:paraId="4D4E0BC4" w14:textId="517CAEF7" w:rsidR="00E34276" w:rsidRDefault="00D959BC">
      <w:pPr>
        <w:pStyle w:val="TOC1"/>
        <w:rPr>
          <w:rFonts w:asciiTheme="minorHAnsi" w:eastAsiaTheme="minorEastAsia" w:hAnsiTheme="minorHAnsi" w:cstheme="minorBidi"/>
          <w:b w:val="0"/>
          <w:noProof/>
          <w:sz w:val="22"/>
          <w:szCs w:val="22"/>
        </w:rPr>
      </w:pPr>
      <w:hyperlink w:anchor="_Toc134169609" w:history="1">
        <w:r w:rsidR="00E34276" w:rsidRPr="00CF361F">
          <w:rPr>
            <w:rStyle w:val="Hyperlink"/>
            <w:noProof/>
          </w:rPr>
          <w:t>Estimated expenses by function</w:t>
        </w:r>
        <w:r w:rsidR="00E34276">
          <w:rPr>
            <w:noProof/>
            <w:webHidden/>
          </w:rPr>
          <w:tab/>
        </w:r>
        <w:r w:rsidR="00E34276">
          <w:rPr>
            <w:noProof/>
            <w:webHidden/>
          </w:rPr>
          <w:fldChar w:fldCharType="begin"/>
        </w:r>
        <w:r w:rsidR="00E34276">
          <w:rPr>
            <w:noProof/>
            <w:webHidden/>
          </w:rPr>
          <w:instrText xml:space="preserve"> PAGEREF _Toc134169609 \h </w:instrText>
        </w:r>
        <w:r w:rsidR="00E34276">
          <w:rPr>
            <w:noProof/>
            <w:webHidden/>
          </w:rPr>
        </w:r>
        <w:r w:rsidR="00E34276">
          <w:rPr>
            <w:noProof/>
            <w:webHidden/>
          </w:rPr>
          <w:fldChar w:fldCharType="separate"/>
        </w:r>
        <w:r w:rsidR="00533A7B">
          <w:rPr>
            <w:noProof/>
            <w:webHidden/>
          </w:rPr>
          <w:t>200</w:t>
        </w:r>
        <w:r w:rsidR="00E34276">
          <w:rPr>
            <w:noProof/>
            <w:webHidden/>
          </w:rPr>
          <w:fldChar w:fldCharType="end"/>
        </w:r>
      </w:hyperlink>
    </w:p>
    <w:p w14:paraId="46264CDF" w14:textId="3E120692" w:rsidR="00E34276" w:rsidRDefault="00D959BC">
      <w:pPr>
        <w:pStyle w:val="TOC2"/>
        <w:rPr>
          <w:rFonts w:asciiTheme="minorHAnsi" w:eastAsiaTheme="minorEastAsia" w:hAnsiTheme="minorHAnsi" w:cstheme="minorBidi"/>
          <w:noProof/>
          <w:sz w:val="22"/>
          <w:szCs w:val="22"/>
        </w:rPr>
      </w:pPr>
      <w:hyperlink w:anchor="_Toc134169610" w:history="1">
        <w:r w:rsidR="00E34276" w:rsidRPr="00CF361F">
          <w:rPr>
            <w:rStyle w:val="Hyperlink"/>
            <w:noProof/>
          </w:rPr>
          <w:t>Program expenses</w:t>
        </w:r>
        <w:r w:rsidR="00E34276">
          <w:rPr>
            <w:noProof/>
            <w:webHidden/>
          </w:rPr>
          <w:tab/>
        </w:r>
        <w:r w:rsidR="00E34276">
          <w:rPr>
            <w:noProof/>
            <w:webHidden/>
          </w:rPr>
          <w:fldChar w:fldCharType="begin"/>
        </w:r>
        <w:r w:rsidR="00E34276">
          <w:rPr>
            <w:noProof/>
            <w:webHidden/>
          </w:rPr>
          <w:instrText xml:space="preserve"> PAGEREF _Toc134169610 \h </w:instrText>
        </w:r>
        <w:r w:rsidR="00E34276">
          <w:rPr>
            <w:noProof/>
            <w:webHidden/>
          </w:rPr>
        </w:r>
        <w:r w:rsidR="00E34276">
          <w:rPr>
            <w:noProof/>
            <w:webHidden/>
          </w:rPr>
          <w:fldChar w:fldCharType="separate"/>
        </w:r>
        <w:r w:rsidR="00533A7B">
          <w:rPr>
            <w:noProof/>
            <w:webHidden/>
          </w:rPr>
          <w:t>202</w:t>
        </w:r>
        <w:r w:rsidR="00E34276">
          <w:rPr>
            <w:noProof/>
            <w:webHidden/>
          </w:rPr>
          <w:fldChar w:fldCharType="end"/>
        </w:r>
      </w:hyperlink>
    </w:p>
    <w:p w14:paraId="465FEBB7" w14:textId="23810B77" w:rsidR="00E34276" w:rsidRDefault="00D959BC">
      <w:pPr>
        <w:pStyle w:val="TOC2"/>
        <w:rPr>
          <w:rFonts w:asciiTheme="minorHAnsi" w:eastAsiaTheme="minorEastAsia" w:hAnsiTheme="minorHAnsi" w:cstheme="minorBidi"/>
          <w:noProof/>
          <w:sz w:val="22"/>
          <w:szCs w:val="22"/>
        </w:rPr>
      </w:pPr>
      <w:hyperlink w:anchor="_Toc134169611" w:history="1">
        <w:r w:rsidR="00E34276" w:rsidRPr="00CF361F">
          <w:rPr>
            <w:rStyle w:val="Hyperlink"/>
            <w:noProof/>
          </w:rPr>
          <w:t>Program payments</w:t>
        </w:r>
        <w:r w:rsidR="00E34276">
          <w:rPr>
            <w:noProof/>
            <w:webHidden/>
          </w:rPr>
          <w:tab/>
        </w:r>
        <w:r w:rsidR="00E34276">
          <w:rPr>
            <w:noProof/>
            <w:webHidden/>
          </w:rPr>
          <w:fldChar w:fldCharType="begin"/>
        </w:r>
        <w:r w:rsidR="00E34276">
          <w:rPr>
            <w:noProof/>
            <w:webHidden/>
          </w:rPr>
          <w:instrText xml:space="preserve"> PAGEREF _Toc134169611 \h </w:instrText>
        </w:r>
        <w:r w:rsidR="00E34276">
          <w:rPr>
            <w:noProof/>
            <w:webHidden/>
          </w:rPr>
        </w:r>
        <w:r w:rsidR="00E34276">
          <w:rPr>
            <w:noProof/>
            <w:webHidden/>
          </w:rPr>
          <w:fldChar w:fldCharType="separate"/>
        </w:r>
        <w:r w:rsidR="00533A7B">
          <w:rPr>
            <w:noProof/>
            <w:webHidden/>
          </w:rPr>
          <w:t>203</w:t>
        </w:r>
        <w:r w:rsidR="00E34276">
          <w:rPr>
            <w:noProof/>
            <w:webHidden/>
          </w:rPr>
          <w:fldChar w:fldCharType="end"/>
        </w:r>
      </w:hyperlink>
    </w:p>
    <w:p w14:paraId="68E2AA1D" w14:textId="5824F952" w:rsidR="00E34276" w:rsidRDefault="00D959BC">
      <w:pPr>
        <w:pStyle w:val="TOC1"/>
        <w:rPr>
          <w:rFonts w:asciiTheme="minorHAnsi" w:eastAsiaTheme="minorEastAsia" w:hAnsiTheme="minorHAnsi" w:cstheme="minorBidi"/>
          <w:b w:val="0"/>
          <w:noProof/>
          <w:sz w:val="22"/>
          <w:szCs w:val="22"/>
        </w:rPr>
      </w:pPr>
      <w:hyperlink w:anchor="_Toc134169612" w:history="1">
        <w:r w:rsidR="00E34276" w:rsidRPr="00CF361F">
          <w:rPr>
            <w:rStyle w:val="Hyperlink"/>
            <w:noProof/>
          </w:rPr>
          <w:t>General government sector expenses</w:t>
        </w:r>
        <w:r w:rsidR="00E34276">
          <w:rPr>
            <w:noProof/>
            <w:webHidden/>
          </w:rPr>
          <w:tab/>
        </w:r>
        <w:r w:rsidR="00E34276">
          <w:rPr>
            <w:noProof/>
            <w:webHidden/>
          </w:rPr>
          <w:fldChar w:fldCharType="begin"/>
        </w:r>
        <w:r w:rsidR="00E34276">
          <w:rPr>
            <w:noProof/>
            <w:webHidden/>
          </w:rPr>
          <w:instrText xml:space="preserve"> PAGEREF _Toc134169612 \h </w:instrText>
        </w:r>
        <w:r w:rsidR="00E34276">
          <w:rPr>
            <w:noProof/>
            <w:webHidden/>
          </w:rPr>
        </w:r>
        <w:r w:rsidR="00E34276">
          <w:rPr>
            <w:noProof/>
            <w:webHidden/>
          </w:rPr>
          <w:fldChar w:fldCharType="separate"/>
        </w:r>
        <w:r w:rsidR="00533A7B">
          <w:rPr>
            <w:noProof/>
            <w:webHidden/>
          </w:rPr>
          <w:t>204</w:t>
        </w:r>
        <w:r w:rsidR="00E34276">
          <w:rPr>
            <w:noProof/>
            <w:webHidden/>
          </w:rPr>
          <w:fldChar w:fldCharType="end"/>
        </w:r>
      </w:hyperlink>
    </w:p>
    <w:p w14:paraId="5AA5042F" w14:textId="78B0CF00" w:rsidR="00E34276" w:rsidRDefault="00D959BC">
      <w:pPr>
        <w:pStyle w:val="TOC2"/>
        <w:rPr>
          <w:rFonts w:asciiTheme="minorHAnsi" w:eastAsiaTheme="minorEastAsia" w:hAnsiTheme="minorHAnsi" w:cstheme="minorBidi"/>
          <w:noProof/>
          <w:sz w:val="22"/>
          <w:szCs w:val="22"/>
        </w:rPr>
      </w:pPr>
      <w:hyperlink w:anchor="_Toc134169613" w:history="1">
        <w:r w:rsidR="00E34276" w:rsidRPr="00CF361F">
          <w:rPr>
            <w:rStyle w:val="Hyperlink"/>
            <w:noProof/>
          </w:rPr>
          <w:t>General public services</w:t>
        </w:r>
        <w:r w:rsidR="00E34276">
          <w:rPr>
            <w:noProof/>
            <w:webHidden/>
          </w:rPr>
          <w:tab/>
        </w:r>
        <w:r w:rsidR="00E34276">
          <w:rPr>
            <w:noProof/>
            <w:webHidden/>
          </w:rPr>
          <w:fldChar w:fldCharType="begin"/>
        </w:r>
        <w:r w:rsidR="00E34276">
          <w:rPr>
            <w:noProof/>
            <w:webHidden/>
          </w:rPr>
          <w:instrText xml:space="preserve"> PAGEREF _Toc134169613 \h </w:instrText>
        </w:r>
        <w:r w:rsidR="00E34276">
          <w:rPr>
            <w:noProof/>
            <w:webHidden/>
          </w:rPr>
        </w:r>
        <w:r w:rsidR="00E34276">
          <w:rPr>
            <w:noProof/>
            <w:webHidden/>
          </w:rPr>
          <w:fldChar w:fldCharType="separate"/>
        </w:r>
        <w:r w:rsidR="00533A7B">
          <w:rPr>
            <w:noProof/>
            <w:webHidden/>
          </w:rPr>
          <w:t>204</w:t>
        </w:r>
        <w:r w:rsidR="00E34276">
          <w:rPr>
            <w:noProof/>
            <w:webHidden/>
          </w:rPr>
          <w:fldChar w:fldCharType="end"/>
        </w:r>
      </w:hyperlink>
    </w:p>
    <w:p w14:paraId="079E5D43" w14:textId="162BC967" w:rsidR="00E34276" w:rsidRDefault="00D959BC" w:rsidP="0025762A">
      <w:pPr>
        <w:pStyle w:val="TOC2"/>
        <w:tabs>
          <w:tab w:val="clear" w:pos="992"/>
        </w:tabs>
        <w:ind w:left="0" w:firstLine="0"/>
        <w:rPr>
          <w:rFonts w:asciiTheme="minorHAnsi" w:eastAsiaTheme="minorEastAsia" w:hAnsiTheme="minorHAnsi" w:cstheme="minorBidi"/>
          <w:noProof/>
          <w:sz w:val="22"/>
          <w:szCs w:val="22"/>
        </w:rPr>
      </w:pPr>
      <w:hyperlink w:anchor="_Toc134169614" w:history="1">
        <w:r w:rsidR="00E34276" w:rsidRPr="00CF361F">
          <w:rPr>
            <w:rStyle w:val="Hyperlink"/>
            <w:noProof/>
          </w:rPr>
          <w:t>Defence</w:t>
        </w:r>
        <w:r w:rsidR="00EC018A">
          <w:rPr>
            <w:noProof/>
            <w:webHidden/>
          </w:rPr>
          <w:tab/>
        </w:r>
        <w:r w:rsidR="00E34276">
          <w:rPr>
            <w:noProof/>
            <w:webHidden/>
          </w:rPr>
          <w:fldChar w:fldCharType="begin"/>
        </w:r>
        <w:r w:rsidR="00E34276">
          <w:rPr>
            <w:noProof/>
            <w:webHidden/>
          </w:rPr>
          <w:instrText xml:space="preserve"> PAGEREF _Toc134169614 \h </w:instrText>
        </w:r>
        <w:r w:rsidR="00E34276">
          <w:rPr>
            <w:noProof/>
            <w:webHidden/>
          </w:rPr>
        </w:r>
        <w:r w:rsidR="00E34276">
          <w:rPr>
            <w:noProof/>
            <w:webHidden/>
          </w:rPr>
          <w:fldChar w:fldCharType="separate"/>
        </w:r>
        <w:r w:rsidR="00533A7B">
          <w:rPr>
            <w:noProof/>
            <w:webHidden/>
          </w:rPr>
          <w:t>206</w:t>
        </w:r>
        <w:r w:rsidR="00E34276">
          <w:rPr>
            <w:noProof/>
            <w:webHidden/>
          </w:rPr>
          <w:fldChar w:fldCharType="end"/>
        </w:r>
      </w:hyperlink>
    </w:p>
    <w:p w14:paraId="616C932D" w14:textId="574FCA4C" w:rsidR="00E34276" w:rsidRDefault="00D959BC">
      <w:pPr>
        <w:pStyle w:val="TOC2"/>
        <w:rPr>
          <w:rFonts w:asciiTheme="minorHAnsi" w:eastAsiaTheme="minorEastAsia" w:hAnsiTheme="minorHAnsi" w:cstheme="minorBidi"/>
          <w:noProof/>
          <w:sz w:val="22"/>
          <w:szCs w:val="22"/>
        </w:rPr>
      </w:pPr>
      <w:hyperlink w:anchor="_Toc134169615" w:history="1">
        <w:r w:rsidR="00E34276" w:rsidRPr="00CF361F">
          <w:rPr>
            <w:rStyle w:val="Hyperlink"/>
            <w:noProof/>
          </w:rPr>
          <w:t>Public order and safety</w:t>
        </w:r>
        <w:r w:rsidR="00E34276">
          <w:rPr>
            <w:noProof/>
            <w:webHidden/>
          </w:rPr>
          <w:tab/>
        </w:r>
        <w:r w:rsidR="00E34276">
          <w:rPr>
            <w:noProof/>
            <w:webHidden/>
          </w:rPr>
          <w:fldChar w:fldCharType="begin"/>
        </w:r>
        <w:r w:rsidR="00E34276">
          <w:rPr>
            <w:noProof/>
            <w:webHidden/>
          </w:rPr>
          <w:instrText xml:space="preserve"> PAGEREF _Toc134169615 \h </w:instrText>
        </w:r>
        <w:r w:rsidR="00E34276">
          <w:rPr>
            <w:noProof/>
            <w:webHidden/>
          </w:rPr>
        </w:r>
        <w:r w:rsidR="00E34276">
          <w:rPr>
            <w:noProof/>
            <w:webHidden/>
          </w:rPr>
          <w:fldChar w:fldCharType="separate"/>
        </w:r>
        <w:r w:rsidR="00533A7B">
          <w:rPr>
            <w:noProof/>
            <w:webHidden/>
          </w:rPr>
          <w:t>207</w:t>
        </w:r>
        <w:r w:rsidR="00E34276">
          <w:rPr>
            <w:noProof/>
            <w:webHidden/>
          </w:rPr>
          <w:fldChar w:fldCharType="end"/>
        </w:r>
      </w:hyperlink>
    </w:p>
    <w:p w14:paraId="1D571C43" w14:textId="3A5412D6" w:rsidR="00E34276" w:rsidRDefault="00D959BC" w:rsidP="0025762A">
      <w:pPr>
        <w:pStyle w:val="TOC2"/>
        <w:tabs>
          <w:tab w:val="clear" w:pos="992"/>
        </w:tabs>
        <w:ind w:left="0" w:firstLine="0"/>
        <w:rPr>
          <w:rFonts w:asciiTheme="minorHAnsi" w:eastAsiaTheme="minorEastAsia" w:hAnsiTheme="minorHAnsi" w:cstheme="minorBidi"/>
          <w:noProof/>
          <w:sz w:val="22"/>
          <w:szCs w:val="22"/>
        </w:rPr>
      </w:pPr>
      <w:hyperlink w:anchor="_Toc134169616" w:history="1">
        <w:r w:rsidR="00E34276" w:rsidRPr="00CF361F">
          <w:rPr>
            <w:rStyle w:val="Hyperlink"/>
            <w:noProof/>
          </w:rPr>
          <w:t>Education</w:t>
        </w:r>
        <w:r w:rsidR="00E34276">
          <w:rPr>
            <w:noProof/>
            <w:webHidden/>
          </w:rPr>
          <w:tab/>
        </w:r>
        <w:r w:rsidR="00E34276">
          <w:rPr>
            <w:noProof/>
            <w:webHidden/>
          </w:rPr>
          <w:fldChar w:fldCharType="begin"/>
        </w:r>
        <w:r w:rsidR="00E34276">
          <w:rPr>
            <w:noProof/>
            <w:webHidden/>
          </w:rPr>
          <w:instrText xml:space="preserve"> PAGEREF _Toc134169616 \h </w:instrText>
        </w:r>
        <w:r w:rsidR="00E34276">
          <w:rPr>
            <w:noProof/>
            <w:webHidden/>
          </w:rPr>
        </w:r>
        <w:r w:rsidR="00E34276">
          <w:rPr>
            <w:noProof/>
            <w:webHidden/>
          </w:rPr>
          <w:fldChar w:fldCharType="separate"/>
        </w:r>
        <w:r w:rsidR="00533A7B">
          <w:rPr>
            <w:noProof/>
            <w:webHidden/>
          </w:rPr>
          <w:t>208</w:t>
        </w:r>
        <w:r w:rsidR="00E34276">
          <w:rPr>
            <w:noProof/>
            <w:webHidden/>
          </w:rPr>
          <w:fldChar w:fldCharType="end"/>
        </w:r>
      </w:hyperlink>
    </w:p>
    <w:p w14:paraId="31E3F3EF" w14:textId="6D1EEF47" w:rsidR="00E34276" w:rsidRDefault="00D959BC" w:rsidP="00B82A4B">
      <w:pPr>
        <w:pStyle w:val="TOC2"/>
        <w:tabs>
          <w:tab w:val="clear" w:pos="992"/>
        </w:tabs>
        <w:ind w:left="0" w:firstLine="0"/>
        <w:rPr>
          <w:rFonts w:asciiTheme="minorHAnsi" w:eastAsiaTheme="minorEastAsia" w:hAnsiTheme="minorHAnsi" w:cstheme="minorBidi"/>
          <w:noProof/>
          <w:sz w:val="22"/>
          <w:szCs w:val="22"/>
        </w:rPr>
      </w:pPr>
      <w:hyperlink w:anchor="_Toc134169617" w:history="1">
        <w:r w:rsidR="00E34276" w:rsidRPr="00CF361F">
          <w:rPr>
            <w:rStyle w:val="Hyperlink"/>
            <w:noProof/>
          </w:rPr>
          <w:t>Health</w:t>
        </w:r>
        <w:r w:rsidR="00E34276">
          <w:rPr>
            <w:noProof/>
            <w:webHidden/>
          </w:rPr>
          <w:tab/>
        </w:r>
        <w:r w:rsidR="00E34276">
          <w:rPr>
            <w:noProof/>
            <w:webHidden/>
          </w:rPr>
          <w:fldChar w:fldCharType="begin"/>
        </w:r>
        <w:r w:rsidR="00E34276">
          <w:rPr>
            <w:noProof/>
            <w:webHidden/>
          </w:rPr>
          <w:instrText xml:space="preserve"> PAGEREF _Toc134169617 \h </w:instrText>
        </w:r>
        <w:r w:rsidR="00E34276">
          <w:rPr>
            <w:noProof/>
            <w:webHidden/>
          </w:rPr>
        </w:r>
        <w:r w:rsidR="00E34276">
          <w:rPr>
            <w:noProof/>
            <w:webHidden/>
          </w:rPr>
          <w:fldChar w:fldCharType="separate"/>
        </w:r>
        <w:r w:rsidR="00533A7B">
          <w:rPr>
            <w:noProof/>
            <w:webHidden/>
          </w:rPr>
          <w:t>210</w:t>
        </w:r>
        <w:r w:rsidR="00E34276">
          <w:rPr>
            <w:noProof/>
            <w:webHidden/>
          </w:rPr>
          <w:fldChar w:fldCharType="end"/>
        </w:r>
      </w:hyperlink>
    </w:p>
    <w:p w14:paraId="1111D724" w14:textId="477BE00B" w:rsidR="00E34276" w:rsidRDefault="00D959BC">
      <w:pPr>
        <w:pStyle w:val="TOC2"/>
        <w:rPr>
          <w:rFonts w:asciiTheme="minorHAnsi" w:eastAsiaTheme="minorEastAsia" w:hAnsiTheme="minorHAnsi" w:cstheme="minorBidi"/>
          <w:noProof/>
          <w:sz w:val="22"/>
          <w:szCs w:val="22"/>
        </w:rPr>
      </w:pPr>
      <w:hyperlink w:anchor="_Toc134169618" w:history="1">
        <w:r w:rsidR="00E34276" w:rsidRPr="00CF361F">
          <w:rPr>
            <w:rStyle w:val="Hyperlink"/>
            <w:noProof/>
          </w:rPr>
          <w:t>Social security and welfare</w:t>
        </w:r>
        <w:r w:rsidR="00E34276">
          <w:rPr>
            <w:noProof/>
            <w:webHidden/>
          </w:rPr>
          <w:tab/>
        </w:r>
        <w:r w:rsidR="00E34276">
          <w:rPr>
            <w:noProof/>
            <w:webHidden/>
          </w:rPr>
          <w:fldChar w:fldCharType="begin"/>
        </w:r>
        <w:r w:rsidR="00E34276">
          <w:rPr>
            <w:noProof/>
            <w:webHidden/>
          </w:rPr>
          <w:instrText xml:space="preserve"> PAGEREF _Toc134169618 \h </w:instrText>
        </w:r>
        <w:r w:rsidR="00E34276">
          <w:rPr>
            <w:noProof/>
            <w:webHidden/>
          </w:rPr>
        </w:r>
        <w:r w:rsidR="00E34276">
          <w:rPr>
            <w:noProof/>
            <w:webHidden/>
          </w:rPr>
          <w:fldChar w:fldCharType="separate"/>
        </w:r>
        <w:r w:rsidR="00533A7B">
          <w:rPr>
            <w:noProof/>
            <w:webHidden/>
          </w:rPr>
          <w:t>212</w:t>
        </w:r>
        <w:r w:rsidR="00E34276">
          <w:rPr>
            <w:noProof/>
            <w:webHidden/>
          </w:rPr>
          <w:fldChar w:fldCharType="end"/>
        </w:r>
      </w:hyperlink>
    </w:p>
    <w:p w14:paraId="74774635" w14:textId="4D076E3B" w:rsidR="00E34276" w:rsidRDefault="00D959BC">
      <w:pPr>
        <w:pStyle w:val="TOC2"/>
        <w:rPr>
          <w:rFonts w:asciiTheme="minorHAnsi" w:eastAsiaTheme="minorEastAsia" w:hAnsiTheme="minorHAnsi" w:cstheme="minorBidi"/>
          <w:noProof/>
          <w:sz w:val="22"/>
          <w:szCs w:val="22"/>
        </w:rPr>
      </w:pPr>
      <w:hyperlink w:anchor="_Toc134169619" w:history="1">
        <w:r w:rsidR="00E34276" w:rsidRPr="00CF361F">
          <w:rPr>
            <w:rStyle w:val="Hyperlink"/>
            <w:noProof/>
          </w:rPr>
          <w:t>Housing and community amenities</w:t>
        </w:r>
        <w:r w:rsidR="00E34276">
          <w:rPr>
            <w:noProof/>
            <w:webHidden/>
          </w:rPr>
          <w:tab/>
        </w:r>
        <w:r w:rsidR="00E34276">
          <w:rPr>
            <w:noProof/>
            <w:webHidden/>
          </w:rPr>
          <w:fldChar w:fldCharType="begin"/>
        </w:r>
        <w:r w:rsidR="00E34276">
          <w:rPr>
            <w:noProof/>
            <w:webHidden/>
          </w:rPr>
          <w:instrText xml:space="preserve"> PAGEREF _Toc134169619 \h </w:instrText>
        </w:r>
        <w:r w:rsidR="00E34276">
          <w:rPr>
            <w:noProof/>
            <w:webHidden/>
          </w:rPr>
        </w:r>
        <w:r w:rsidR="00E34276">
          <w:rPr>
            <w:noProof/>
            <w:webHidden/>
          </w:rPr>
          <w:fldChar w:fldCharType="separate"/>
        </w:r>
        <w:r w:rsidR="00533A7B">
          <w:rPr>
            <w:noProof/>
            <w:webHidden/>
          </w:rPr>
          <w:t>217</w:t>
        </w:r>
        <w:r w:rsidR="00E34276">
          <w:rPr>
            <w:noProof/>
            <w:webHidden/>
          </w:rPr>
          <w:fldChar w:fldCharType="end"/>
        </w:r>
      </w:hyperlink>
    </w:p>
    <w:p w14:paraId="1ECD600F" w14:textId="32BA4092" w:rsidR="00E34276" w:rsidRDefault="00D959BC">
      <w:pPr>
        <w:pStyle w:val="TOC2"/>
        <w:rPr>
          <w:rFonts w:asciiTheme="minorHAnsi" w:eastAsiaTheme="minorEastAsia" w:hAnsiTheme="minorHAnsi" w:cstheme="minorBidi"/>
          <w:noProof/>
          <w:sz w:val="22"/>
          <w:szCs w:val="22"/>
        </w:rPr>
      </w:pPr>
      <w:hyperlink w:anchor="_Toc134169620" w:history="1">
        <w:r w:rsidR="00E34276" w:rsidRPr="00CF361F">
          <w:rPr>
            <w:rStyle w:val="Hyperlink"/>
            <w:noProof/>
          </w:rPr>
          <w:t>Recreation and culture</w:t>
        </w:r>
        <w:r w:rsidR="00E34276">
          <w:rPr>
            <w:noProof/>
            <w:webHidden/>
          </w:rPr>
          <w:tab/>
        </w:r>
        <w:r w:rsidR="00E34276">
          <w:rPr>
            <w:noProof/>
            <w:webHidden/>
          </w:rPr>
          <w:fldChar w:fldCharType="begin"/>
        </w:r>
        <w:r w:rsidR="00E34276">
          <w:rPr>
            <w:noProof/>
            <w:webHidden/>
          </w:rPr>
          <w:instrText xml:space="preserve"> PAGEREF _Toc134169620 \h </w:instrText>
        </w:r>
        <w:r w:rsidR="00E34276">
          <w:rPr>
            <w:noProof/>
            <w:webHidden/>
          </w:rPr>
        </w:r>
        <w:r w:rsidR="00E34276">
          <w:rPr>
            <w:noProof/>
            <w:webHidden/>
          </w:rPr>
          <w:fldChar w:fldCharType="separate"/>
        </w:r>
        <w:r w:rsidR="00533A7B">
          <w:rPr>
            <w:noProof/>
            <w:webHidden/>
          </w:rPr>
          <w:t>218</w:t>
        </w:r>
        <w:r w:rsidR="00E34276">
          <w:rPr>
            <w:noProof/>
            <w:webHidden/>
          </w:rPr>
          <w:fldChar w:fldCharType="end"/>
        </w:r>
      </w:hyperlink>
    </w:p>
    <w:p w14:paraId="47EADC37" w14:textId="303585D5" w:rsidR="00E34276" w:rsidRDefault="00D959BC">
      <w:pPr>
        <w:pStyle w:val="TOC2"/>
        <w:rPr>
          <w:rFonts w:asciiTheme="minorHAnsi" w:eastAsiaTheme="minorEastAsia" w:hAnsiTheme="minorHAnsi" w:cstheme="minorBidi"/>
          <w:noProof/>
          <w:sz w:val="22"/>
          <w:szCs w:val="22"/>
        </w:rPr>
      </w:pPr>
      <w:hyperlink w:anchor="_Toc134169621" w:history="1">
        <w:r w:rsidR="00E34276" w:rsidRPr="00CF361F">
          <w:rPr>
            <w:rStyle w:val="Hyperlink"/>
            <w:noProof/>
          </w:rPr>
          <w:t>Fuel and energy</w:t>
        </w:r>
        <w:r w:rsidR="00E34276">
          <w:rPr>
            <w:noProof/>
            <w:webHidden/>
          </w:rPr>
          <w:tab/>
        </w:r>
        <w:r w:rsidR="00E34276">
          <w:rPr>
            <w:noProof/>
            <w:webHidden/>
          </w:rPr>
          <w:fldChar w:fldCharType="begin"/>
        </w:r>
        <w:r w:rsidR="00E34276">
          <w:rPr>
            <w:noProof/>
            <w:webHidden/>
          </w:rPr>
          <w:instrText xml:space="preserve"> PAGEREF _Toc134169621 \h </w:instrText>
        </w:r>
        <w:r w:rsidR="00E34276">
          <w:rPr>
            <w:noProof/>
            <w:webHidden/>
          </w:rPr>
        </w:r>
        <w:r w:rsidR="00E34276">
          <w:rPr>
            <w:noProof/>
            <w:webHidden/>
          </w:rPr>
          <w:fldChar w:fldCharType="separate"/>
        </w:r>
        <w:r w:rsidR="00533A7B">
          <w:rPr>
            <w:noProof/>
            <w:webHidden/>
          </w:rPr>
          <w:t>219</w:t>
        </w:r>
        <w:r w:rsidR="00E34276">
          <w:rPr>
            <w:noProof/>
            <w:webHidden/>
          </w:rPr>
          <w:fldChar w:fldCharType="end"/>
        </w:r>
      </w:hyperlink>
    </w:p>
    <w:p w14:paraId="180F0FBC" w14:textId="3355277D" w:rsidR="00E34276" w:rsidRDefault="00D959BC">
      <w:pPr>
        <w:pStyle w:val="TOC2"/>
        <w:rPr>
          <w:rFonts w:asciiTheme="minorHAnsi" w:eastAsiaTheme="minorEastAsia" w:hAnsiTheme="minorHAnsi" w:cstheme="minorBidi"/>
          <w:noProof/>
          <w:sz w:val="22"/>
          <w:szCs w:val="22"/>
        </w:rPr>
      </w:pPr>
      <w:hyperlink w:anchor="_Toc134169622" w:history="1">
        <w:r w:rsidR="00E34276" w:rsidRPr="00CF361F">
          <w:rPr>
            <w:rStyle w:val="Hyperlink"/>
            <w:noProof/>
          </w:rPr>
          <w:t>Agriculture, forestry and fishing</w:t>
        </w:r>
        <w:r w:rsidR="00E34276">
          <w:rPr>
            <w:noProof/>
            <w:webHidden/>
          </w:rPr>
          <w:tab/>
        </w:r>
        <w:r w:rsidR="00E34276">
          <w:rPr>
            <w:noProof/>
            <w:webHidden/>
          </w:rPr>
          <w:fldChar w:fldCharType="begin"/>
        </w:r>
        <w:r w:rsidR="00E34276">
          <w:rPr>
            <w:noProof/>
            <w:webHidden/>
          </w:rPr>
          <w:instrText xml:space="preserve"> PAGEREF _Toc134169622 \h </w:instrText>
        </w:r>
        <w:r w:rsidR="00E34276">
          <w:rPr>
            <w:noProof/>
            <w:webHidden/>
          </w:rPr>
        </w:r>
        <w:r w:rsidR="00E34276">
          <w:rPr>
            <w:noProof/>
            <w:webHidden/>
          </w:rPr>
          <w:fldChar w:fldCharType="separate"/>
        </w:r>
        <w:r w:rsidR="00533A7B">
          <w:rPr>
            <w:noProof/>
            <w:webHidden/>
          </w:rPr>
          <w:t>221</w:t>
        </w:r>
        <w:r w:rsidR="00E34276">
          <w:rPr>
            <w:noProof/>
            <w:webHidden/>
          </w:rPr>
          <w:fldChar w:fldCharType="end"/>
        </w:r>
      </w:hyperlink>
    </w:p>
    <w:p w14:paraId="14DB6C67" w14:textId="68D8B9FE" w:rsidR="00E34276" w:rsidRDefault="00D959BC">
      <w:pPr>
        <w:pStyle w:val="TOC2"/>
        <w:rPr>
          <w:rFonts w:asciiTheme="minorHAnsi" w:eastAsiaTheme="minorEastAsia" w:hAnsiTheme="minorHAnsi" w:cstheme="minorBidi"/>
          <w:noProof/>
          <w:sz w:val="22"/>
          <w:szCs w:val="22"/>
        </w:rPr>
      </w:pPr>
      <w:hyperlink w:anchor="_Toc134169623" w:history="1">
        <w:r w:rsidR="00E34276" w:rsidRPr="00CF361F">
          <w:rPr>
            <w:rStyle w:val="Hyperlink"/>
            <w:noProof/>
          </w:rPr>
          <w:t>Mining, manufacturing and construction</w:t>
        </w:r>
        <w:r w:rsidR="00E34276">
          <w:rPr>
            <w:noProof/>
            <w:webHidden/>
          </w:rPr>
          <w:tab/>
        </w:r>
        <w:r w:rsidR="00E34276">
          <w:rPr>
            <w:noProof/>
            <w:webHidden/>
          </w:rPr>
          <w:fldChar w:fldCharType="begin"/>
        </w:r>
        <w:r w:rsidR="00E34276">
          <w:rPr>
            <w:noProof/>
            <w:webHidden/>
          </w:rPr>
          <w:instrText xml:space="preserve"> PAGEREF _Toc134169623 \h </w:instrText>
        </w:r>
        <w:r w:rsidR="00E34276">
          <w:rPr>
            <w:noProof/>
            <w:webHidden/>
          </w:rPr>
        </w:r>
        <w:r w:rsidR="00E34276">
          <w:rPr>
            <w:noProof/>
            <w:webHidden/>
          </w:rPr>
          <w:fldChar w:fldCharType="separate"/>
        </w:r>
        <w:r w:rsidR="00533A7B">
          <w:rPr>
            <w:noProof/>
            <w:webHidden/>
          </w:rPr>
          <w:t>221</w:t>
        </w:r>
        <w:r w:rsidR="00E34276">
          <w:rPr>
            <w:noProof/>
            <w:webHidden/>
          </w:rPr>
          <w:fldChar w:fldCharType="end"/>
        </w:r>
      </w:hyperlink>
    </w:p>
    <w:p w14:paraId="40DA5B5F" w14:textId="6601A215" w:rsidR="00E34276" w:rsidRDefault="00D959BC">
      <w:pPr>
        <w:pStyle w:val="TOC2"/>
        <w:rPr>
          <w:rFonts w:asciiTheme="minorHAnsi" w:eastAsiaTheme="minorEastAsia" w:hAnsiTheme="minorHAnsi" w:cstheme="minorBidi"/>
          <w:noProof/>
          <w:sz w:val="22"/>
          <w:szCs w:val="22"/>
        </w:rPr>
      </w:pPr>
      <w:hyperlink w:anchor="_Toc134169624" w:history="1">
        <w:r w:rsidR="00E34276" w:rsidRPr="00CF361F">
          <w:rPr>
            <w:rStyle w:val="Hyperlink"/>
            <w:noProof/>
          </w:rPr>
          <w:t>Transport and communication</w:t>
        </w:r>
        <w:r w:rsidR="00E34276">
          <w:rPr>
            <w:noProof/>
            <w:webHidden/>
          </w:rPr>
          <w:tab/>
        </w:r>
        <w:r w:rsidR="00E34276">
          <w:rPr>
            <w:noProof/>
            <w:webHidden/>
          </w:rPr>
          <w:fldChar w:fldCharType="begin"/>
        </w:r>
        <w:r w:rsidR="00E34276">
          <w:rPr>
            <w:noProof/>
            <w:webHidden/>
          </w:rPr>
          <w:instrText xml:space="preserve"> PAGEREF _Toc134169624 \h </w:instrText>
        </w:r>
        <w:r w:rsidR="00E34276">
          <w:rPr>
            <w:noProof/>
            <w:webHidden/>
          </w:rPr>
        </w:r>
        <w:r w:rsidR="00E34276">
          <w:rPr>
            <w:noProof/>
            <w:webHidden/>
          </w:rPr>
          <w:fldChar w:fldCharType="separate"/>
        </w:r>
        <w:r w:rsidR="00533A7B">
          <w:rPr>
            <w:noProof/>
            <w:webHidden/>
          </w:rPr>
          <w:t>222</w:t>
        </w:r>
        <w:r w:rsidR="00E34276">
          <w:rPr>
            <w:noProof/>
            <w:webHidden/>
          </w:rPr>
          <w:fldChar w:fldCharType="end"/>
        </w:r>
      </w:hyperlink>
    </w:p>
    <w:p w14:paraId="13F02EF2" w14:textId="7DFA709A" w:rsidR="00E34276" w:rsidRDefault="00D959BC">
      <w:pPr>
        <w:pStyle w:val="TOC2"/>
        <w:rPr>
          <w:rFonts w:asciiTheme="minorHAnsi" w:eastAsiaTheme="minorEastAsia" w:hAnsiTheme="minorHAnsi" w:cstheme="minorBidi"/>
          <w:noProof/>
          <w:sz w:val="22"/>
          <w:szCs w:val="22"/>
        </w:rPr>
      </w:pPr>
      <w:hyperlink w:anchor="_Toc134169625" w:history="1">
        <w:r w:rsidR="00E34276" w:rsidRPr="00CF361F">
          <w:rPr>
            <w:rStyle w:val="Hyperlink"/>
            <w:noProof/>
          </w:rPr>
          <w:t>Other economic affairs</w:t>
        </w:r>
        <w:r w:rsidR="00E34276">
          <w:rPr>
            <w:noProof/>
            <w:webHidden/>
          </w:rPr>
          <w:tab/>
        </w:r>
        <w:r w:rsidR="00E34276">
          <w:rPr>
            <w:noProof/>
            <w:webHidden/>
          </w:rPr>
          <w:fldChar w:fldCharType="begin"/>
        </w:r>
        <w:r w:rsidR="00E34276">
          <w:rPr>
            <w:noProof/>
            <w:webHidden/>
          </w:rPr>
          <w:instrText xml:space="preserve"> PAGEREF _Toc134169625 \h </w:instrText>
        </w:r>
        <w:r w:rsidR="00E34276">
          <w:rPr>
            <w:noProof/>
            <w:webHidden/>
          </w:rPr>
        </w:r>
        <w:r w:rsidR="00E34276">
          <w:rPr>
            <w:noProof/>
            <w:webHidden/>
          </w:rPr>
          <w:fldChar w:fldCharType="separate"/>
        </w:r>
        <w:r w:rsidR="00533A7B">
          <w:rPr>
            <w:noProof/>
            <w:webHidden/>
          </w:rPr>
          <w:t>224</w:t>
        </w:r>
        <w:r w:rsidR="00E34276">
          <w:rPr>
            <w:noProof/>
            <w:webHidden/>
          </w:rPr>
          <w:fldChar w:fldCharType="end"/>
        </w:r>
      </w:hyperlink>
    </w:p>
    <w:p w14:paraId="0045AED1" w14:textId="2EF688E2" w:rsidR="00E34276" w:rsidRDefault="00D959BC">
      <w:pPr>
        <w:pStyle w:val="TOC2"/>
        <w:rPr>
          <w:rFonts w:asciiTheme="minorHAnsi" w:eastAsiaTheme="minorEastAsia" w:hAnsiTheme="minorHAnsi" w:cstheme="minorBidi"/>
          <w:noProof/>
          <w:sz w:val="22"/>
          <w:szCs w:val="22"/>
        </w:rPr>
      </w:pPr>
      <w:hyperlink w:anchor="_Toc134169626" w:history="1">
        <w:r w:rsidR="00E34276" w:rsidRPr="00CF361F">
          <w:rPr>
            <w:rStyle w:val="Hyperlink"/>
            <w:noProof/>
          </w:rPr>
          <w:t>Other purposes</w:t>
        </w:r>
        <w:r w:rsidR="00E34276">
          <w:rPr>
            <w:noProof/>
            <w:webHidden/>
          </w:rPr>
          <w:tab/>
        </w:r>
        <w:r w:rsidR="00E34276">
          <w:rPr>
            <w:noProof/>
            <w:webHidden/>
          </w:rPr>
          <w:fldChar w:fldCharType="begin"/>
        </w:r>
        <w:r w:rsidR="00E34276">
          <w:rPr>
            <w:noProof/>
            <w:webHidden/>
          </w:rPr>
          <w:instrText xml:space="preserve"> PAGEREF _Toc134169626 \h </w:instrText>
        </w:r>
        <w:r w:rsidR="00E34276">
          <w:rPr>
            <w:noProof/>
            <w:webHidden/>
          </w:rPr>
        </w:r>
        <w:r w:rsidR="00E34276">
          <w:rPr>
            <w:noProof/>
            <w:webHidden/>
          </w:rPr>
          <w:fldChar w:fldCharType="separate"/>
        </w:r>
        <w:r w:rsidR="00533A7B">
          <w:rPr>
            <w:noProof/>
            <w:webHidden/>
          </w:rPr>
          <w:t>226</w:t>
        </w:r>
        <w:r w:rsidR="00E34276">
          <w:rPr>
            <w:noProof/>
            <w:webHidden/>
          </w:rPr>
          <w:fldChar w:fldCharType="end"/>
        </w:r>
      </w:hyperlink>
    </w:p>
    <w:p w14:paraId="0C50448C" w14:textId="41CB2F10" w:rsidR="00E34276" w:rsidRDefault="00D959BC">
      <w:pPr>
        <w:pStyle w:val="TOC1"/>
        <w:rPr>
          <w:rFonts w:asciiTheme="minorHAnsi" w:eastAsiaTheme="minorEastAsia" w:hAnsiTheme="minorHAnsi" w:cstheme="minorBidi"/>
          <w:b w:val="0"/>
          <w:noProof/>
          <w:sz w:val="22"/>
          <w:szCs w:val="22"/>
        </w:rPr>
      </w:pPr>
      <w:hyperlink w:anchor="_Toc134169627" w:history="1">
        <w:r w:rsidR="00E34276" w:rsidRPr="00CF361F">
          <w:rPr>
            <w:rStyle w:val="Hyperlink"/>
            <w:noProof/>
          </w:rPr>
          <w:t>General government net capital investment</w:t>
        </w:r>
        <w:r w:rsidR="00E34276">
          <w:rPr>
            <w:noProof/>
            <w:webHidden/>
          </w:rPr>
          <w:tab/>
        </w:r>
        <w:r w:rsidR="00E34276">
          <w:rPr>
            <w:noProof/>
            <w:webHidden/>
          </w:rPr>
          <w:fldChar w:fldCharType="begin"/>
        </w:r>
        <w:r w:rsidR="00E34276">
          <w:rPr>
            <w:noProof/>
            <w:webHidden/>
          </w:rPr>
          <w:instrText xml:space="preserve"> PAGEREF _Toc134169627 \h </w:instrText>
        </w:r>
        <w:r w:rsidR="00E34276">
          <w:rPr>
            <w:noProof/>
            <w:webHidden/>
          </w:rPr>
        </w:r>
        <w:r w:rsidR="00E34276">
          <w:rPr>
            <w:noProof/>
            <w:webHidden/>
          </w:rPr>
          <w:fldChar w:fldCharType="separate"/>
        </w:r>
        <w:r w:rsidR="00533A7B">
          <w:rPr>
            <w:noProof/>
            <w:webHidden/>
          </w:rPr>
          <w:t>230</w:t>
        </w:r>
        <w:r w:rsidR="00E34276">
          <w:rPr>
            <w:noProof/>
            <w:webHidden/>
          </w:rPr>
          <w:fldChar w:fldCharType="end"/>
        </w:r>
      </w:hyperlink>
    </w:p>
    <w:p w14:paraId="7E62604F" w14:textId="6DF14616" w:rsidR="00E34276" w:rsidRDefault="00D959BC">
      <w:pPr>
        <w:pStyle w:val="TOC2"/>
        <w:rPr>
          <w:rFonts w:asciiTheme="minorHAnsi" w:eastAsiaTheme="minorEastAsia" w:hAnsiTheme="minorHAnsi" w:cstheme="minorBidi"/>
          <w:noProof/>
          <w:sz w:val="22"/>
          <w:szCs w:val="22"/>
        </w:rPr>
      </w:pPr>
      <w:hyperlink w:anchor="_Toc134169628" w:history="1">
        <w:r w:rsidR="00E34276" w:rsidRPr="00CF361F">
          <w:rPr>
            <w:rStyle w:val="Hyperlink"/>
            <w:noProof/>
          </w:rPr>
          <w:t>Reconciliation of net capital investment since the October Budget</w:t>
        </w:r>
        <w:r w:rsidR="00E34276">
          <w:rPr>
            <w:noProof/>
            <w:webHidden/>
          </w:rPr>
          <w:tab/>
        </w:r>
        <w:r w:rsidR="00E34276">
          <w:rPr>
            <w:noProof/>
            <w:webHidden/>
          </w:rPr>
          <w:fldChar w:fldCharType="begin"/>
        </w:r>
        <w:r w:rsidR="00E34276">
          <w:rPr>
            <w:noProof/>
            <w:webHidden/>
          </w:rPr>
          <w:instrText xml:space="preserve"> PAGEREF _Toc134169628 \h </w:instrText>
        </w:r>
        <w:r w:rsidR="00E34276">
          <w:rPr>
            <w:noProof/>
            <w:webHidden/>
          </w:rPr>
        </w:r>
        <w:r w:rsidR="00E34276">
          <w:rPr>
            <w:noProof/>
            <w:webHidden/>
          </w:rPr>
          <w:fldChar w:fldCharType="separate"/>
        </w:r>
        <w:r w:rsidR="00533A7B">
          <w:rPr>
            <w:noProof/>
            <w:webHidden/>
          </w:rPr>
          <w:t>231</w:t>
        </w:r>
        <w:r w:rsidR="00E34276">
          <w:rPr>
            <w:noProof/>
            <w:webHidden/>
          </w:rPr>
          <w:fldChar w:fldCharType="end"/>
        </w:r>
      </w:hyperlink>
    </w:p>
    <w:p w14:paraId="1F15C0C9" w14:textId="08FE3AFC" w:rsidR="00E34276" w:rsidRDefault="00D959BC">
      <w:pPr>
        <w:pStyle w:val="TOC2"/>
        <w:rPr>
          <w:rFonts w:asciiTheme="minorHAnsi" w:eastAsiaTheme="minorEastAsia" w:hAnsiTheme="minorHAnsi" w:cstheme="minorBidi"/>
          <w:noProof/>
          <w:sz w:val="22"/>
          <w:szCs w:val="22"/>
        </w:rPr>
      </w:pPr>
      <w:hyperlink w:anchor="_Toc134169629" w:history="1">
        <w:r w:rsidR="00E34276" w:rsidRPr="00CF361F">
          <w:rPr>
            <w:rStyle w:val="Hyperlink"/>
            <w:noProof/>
          </w:rPr>
          <w:t>Net capital investment estimates by function</w:t>
        </w:r>
        <w:r w:rsidR="00E34276">
          <w:rPr>
            <w:noProof/>
            <w:webHidden/>
          </w:rPr>
          <w:tab/>
        </w:r>
        <w:r w:rsidR="00E34276">
          <w:rPr>
            <w:noProof/>
            <w:webHidden/>
          </w:rPr>
          <w:fldChar w:fldCharType="begin"/>
        </w:r>
        <w:r w:rsidR="00E34276">
          <w:rPr>
            <w:noProof/>
            <w:webHidden/>
          </w:rPr>
          <w:instrText xml:space="preserve"> PAGEREF _Toc134169629 \h </w:instrText>
        </w:r>
        <w:r w:rsidR="00E34276">
          <w:rPr>
            <w:noProof/>
            <w:webHidden/>
          </w:rPr>
        </w:r>
        <w:r w:rsidR="00E34276">
          <w:rPr>
            <w:noProof/>
            <w:webHidden/>
          </w:rPr>
          <w:fldChar w:fldCharType="separate"/>
        </w:r>
        <w:r w:rsidR="00533A7B">
          <w:rPr>
            <w:noProof/>
            <w:webHidden/>
          </w:rPr>
          <w:t>232</w:t>
        </w:r>
        <w:r w:rsidR="00E34276">
          <w:rPr>
            <w:noProof/>
            <w:webHidden/>
          </w:rPr>
          <w:fldChar w:fldCharType="end"/>
        </w:r>
      </w:hyperlink>
    </w:p>
    <w:p w14:paraId="20827A6E" w14:textId="77777777" w:rsidR="00551E91" w:rsidRDefault="00C855DF" w:rsidP="00551E91">
      <w:pPr>
        <w:pStyle w:val="TOC1"/>
        <w:rPr>
          <w:rFonts w:cstheme="minorHAnsi"/>
          <w:b w:val="0"/>
          <w:noProof/>
          <w:lang w:val="en-US"/>
        </w:rPr>
      </w:pPr>
      <w:r>
        <w:rPr>
          <w:rFonts w:cstheme="minorHAnsi"/>
          <w:b w:val="0"/>
          <w:noProof/>
          <w:lang w:val="en-US"/>
        </w:rPr>
        <w:fldChar w:fldCharType="end"/>
      </w:r>
    </w:p>
    <w:p w14:paraId="28BEDB81" w14:textId="07DF6716" w:rsidR="00453533" w:rsidRPr="00453533" w:rsidRDefault="00453533" w:rsidP="00453533">
      <w:pPr>
        <w:rPr>
          <w:lang w:val="en-US"/>
        </w:rPr>
        <w:sectPr w:rsidR="00453533" w:rsidRPr="00453533" w:rsidSect="004C3F27">
          <w:headerReference w:type="even" r:id="rId15"/>
          <w:headerReference w:type="default" r:id="rId16"/>
          <w:footerReference w:type="even" r:id="rId17"/>
          <w:footerReference w:type="default" r:id="rId18"/>
          <w:headerReference w:type="first" r:id="rId19"/>
          <w:footerReference w:type="first" r:id="rId20"/>
          <w:pgSz w:w="11906" w:h="16838" w:code="9"/>
          <w:pgMar w:top="2835" w:right="2098" w:bottom="2466" w:left="2098" w:header="1814" w:footer="1814" w:gutter="0"/>
          <w:cols w:space="708"/>
          <w:titlePg/>
          <w:docGrid w:linePitch="360"/>
        </w:sectPr>
      </w:pPr>
    </w:p>
    <w:p w14:paraId="0E847DEE" w14:textId="77777777" w:rsidR="00C855DF" w:rsidRPr="000177D7" w:rsidRDefault="00C855DF" w:rsidP="00C855DF">
      <w:pPr>
        <w:pStyle w:val="Heading1"/>
      </w:pPr>
      <w:bookmarkStart w:id="0" w:name="_Toc71406500"/>
      <w:bookmarkStart w:id="1" w:name="_Toc99203674"/>
      <w:bookmarkStart w:id="2" w:name="_Toc117358167"/>
      <w:r w:rsidRPr="000177D7">
        <w:lastRenderedPageBreak/>
        <w:t>Statement 6: Expenses and Net Capital</w:t>
      </w:r>
      <w:r>
        <w:t> </w:t>
      </w:r>
      <w:r w:rsidRPr="000177D7">
        <w:t>Investment</w:t>
      </w:r>
      <w:bookmarkEnd w:id="0"/>
      <w:bookmarkEnd w:id="1"/>
      <w:bookmarkEnd w:id="2"/>
    </w:p>
    <w:p w14:paraId="0BDFD8A0" w14:textId="77777777" w:rsidR="00C855DF" w:rsidRPr="000177D7" w:rsidRDefault="00C855DF" w:rsidP="00C855DF">
      <w:pPr>
        <w:pStyle w:val="Heading2"/>
      </w:pPr>
      <w:bookmarkStart w:id="3" w:name="_Toc4577266"/>
      <w:bookmarkStart w:id="4" w:name="_Toc4689177"/>
      <w:bookmarkStart w:id="5" w:name="_Toc99203675"/>
      <w:bookmarkStart w:id="6" w:name="_Toc117358168"/>
      <w:bookmarkStart w:id="7" w:name="_Toc134169608"/>
      <w:r w:rsidRPr="000177D7">
        <w:t>Overview</w:t>
      </w:r>
      <w:bookmarkEnd w:id="3"/>
      <w:bookmarkEnd w:id="4"/>
      <w:bookmarkEnd w:id="5"/>
      <w:bookmarkEnd w:id="6"/>
      <w:bookmarkEnd w:id="7"/>
    </w:p>
    <w:p w14:paraId="4CC766B1" w14:textId="1DBD4999" w:rsidR="00F2515C" w:rsidRDefault="00F2515C" w:rsidP="00DB35A4">
      <w:pPr>
        <w:pStyle w:val="TableHeading"/>
        <w:rPr>
          <w:rFonts w:ascii="Book Antiqua" w:hAnsi="Book Antiqua"/>
          <w:b w:val="0"/>
          <w:sz w:val="19"/>
        </w:rPr>
      </w:pPr>
      <w:r>
        <w:rPr>
          <w:rFonts w:ascii="Book Antiqua" w:hAnsi="Book Antiqua"/>
          <w:b w:val="0"/>
          <w:sz w:val="19"/>
        </w:rPr>
        <w:t>Australian Government general government sector (GGS) expenses are expected to increase from $644.</w:t>
      </w:r>
      <w:r w:rsidR="00AF2A87">
        <w:rPr>
          <w:rFonts w:ascii="Book Antiqua" w:hAnsi="Book Antiqua"/>
          <w:b w:val="0"/>
          <w:sz w:val="19"/>
        </w:rPr>
        <w:t xml:space="preserve">8 </w:t>
      </w:r>
      <w:r>
        <w:rPr>
          <w:rFonts w:ascii="Book Antiqua" w:hAnsi="Book Antiqua"/>
          <w:b w:val="0"/>
          <w:sz w:val="19"/>
        </w:rPr>
        <w:t>billion in 2022–2023 to $771.8</w:t>
      </w:r>
      <w:r w:rsidR="008B1A68">
        <w:rPr>
          <w:rFonts w:ascii="Book Antiqua" w:hAnsi="Book Antiqua"/>
          <w:b w:val="0"/>
          <w:sz w:val="19"/>
        </w:rPr>
        <w:t> </w:t>
      </w:r>
      <w:r>
        <w:rPr>
          <w:rFonts w:ascii="Book Antiqua" w:hAnsi="Book Antiqua"/>
          <w:b w:val="0"/>
          <w:sz w:val="19"/>
        </w:rPr>
        <w:t>billion in 2026–2027, with expenses as a percentage of GDP remaining relatively stable over the forward estimates. Additional spending has been provided to deliver target</w:t>
      </w:r>
      <w:r w:rsidR="00AF2A87">
        <w:rPr>
          <w:rFonts w:ascii="Book Antiqua" w:hAnsi="Book Antiqua"/>
          <w:b w:val="0"/>
          <w:sz w:val="19"/>
        </w:rPr>
        <w:t>ed</w:t>
      </w:r>
      <w:r>
        <w:rPr>
          <w:rFonts w:ascii="Book Antiqua" w:hAnsi="Book Antiqua"/>
          <w:b w:val="0"/>
          <w:sz w:val="19"/>
        </w:rPr>
        <w:t xml:space="preserve"> cost</w:t>
      </w:r>
      <w:r w:rsidR="00D34B95">
        <w:rPr>
          <w:rFonts w:ascii="Book Antiqua" w:hAnsi="Book Antiqua"/>
          <w:b w:val="0"/>
          <w:sz w:val="19"/>
        </w:rPr>
        <w:noBreakHyphen/>
      </w:r>
      <w:r>
        <w:rPr>
          <w:rFonts w:ascii="Book Antiqua" w:hAnsi="Book Antiqua"/>
          <w:b w:val="0"/>
          <w:sz w:val="19"/>
        </w:rPr>
        <w:t>of</w:t>
      </w:r>
      <w:r w:rsidR="00D34B95">
        <w:rPr>
          <w:rFonts w:ascii="Book Antiqua" w:hAnsi="Book Antiqua"/>
          <w:b w:val="0"/>
          <w:sz w:val="19"/>
        </w:rPr>
        <w:noBreakHyphen/>
      </w:r>
      <w:r>
        <w:rPr>
          <w:rFonts w:ascii="Book Antiqua" w:hAnsi="Book Antiqua"/>
          <w:b w:val="0"/>
          <w:sz w:val="19"/>
        </w:rPr>
        <w:t>living relief, to invest in a stronger economy, and to deal with the legacy of unfunded programs.</w:t>
      </w:r>
    </w:p>
    <w:p w14:paraId="3EC9E6ED" w14:textId="6FFBA324" w:rsidR="0050166A" w:rsidRDefault="0050166A" w:rsidP="00DB35A4">
      <w:pPr>
        <w:pStyle w:val="TableHeading"/>
        <w:rPr>
          <w:rFonts w:ascii="Book Antiqua" w:hAnsi="Book Antiqua"/>
          <w:b w:val="0"/>
          <w:sz w:val="19"/>
        </w:rPr>
      </w:pPr>
      <w:r w:rsidRPr="0050166A">
        <w:rPr>
          <w:rFonts w:ascii="Book Antiqua" w:hAnsi="Book Antiqua"/>
          <w:b w:val="0"/>
          <w:sz w:val="19"/>
        </w:rPr>
        <w:t>Average annual real growth in expenses over the forward estimates is expected to be 1.</w:t>
      </w:r>
      <w:r w:rsidR="00F2515C">
        <w:rPr>
          <w:rFonts w:ascii="Book Antiqua" w:hAnsi="Book Antiqua"/>
          <w:b w:val="0"/>
          <w:sz w:val="19"/>
        </w:rPr>
        <w:t>5</w:t>
      </w:r>
      <w:r w:rsidR="00893776">
        <w:rPr>
          <w:rFonts w:ascii="Book Antiqua" w:hAnsi="Book Antiqua"/>
          <w:b w:val="0"/>
          <w:sz w:val="19"/>
        </w:rPr>
        <w:t> per </w:t>
      </w:r>
      <w:r w:rsidRPr="0050166A">
        <w:rPr>
          <w:rFonts w:ascii="Book Antiqua" w:hAnsi="Book Antiqua"/>
          <w:b w:val="0"/>
          <w:sz w:val="19"/>
        </w:rPr>
        <w:t>cent which shows the Government</w:t>
      </w:r>
      <w:r w:rsidR="00D34B95">
        <w:rPr>
          <w:rFonts w:ascii="Book Antiqua" w:hAnsi="Book Antiqua"/>
          <w:b w:val="0"/>
          <w:sz w:val="19"/>
        </w:rPr>
        <w:t>’</w:t>
      </w:r>
      <w:r w:rsidRPr="0050166A">
        <w:rPr>
          <w:rFonts w:ascii="Book Antiqua" w:hAnsi="Book Antiqua"/>
          <w:b w:val="0"/>
          <w:sz w:val="19"/>
        </w:rPr>
        <w:t>s commitment to responsible and sustainable economic and fiscal management.</w:t>
      </w:r>
    </w:p>
    <w:p w14:paraId="1409285E" w14:textId="441C0DE2" w:rsidR="001D2DB2" w:rsidRDefault="00C855DF" w:rsidP="001D2DB2">
      <w:pPr>
        <w:pStyle w:val="TableHeading"/>
        <w:rPr>
          <w:rFonts w:asciiTheme="minorHAnsi" w:eastAsiaTheme="minorHAnsi" w:hAnsiTheme="minorHAnsi" w:cstheme="minorBidi"/>
          <w:sz w:val="22"/>
          <w:szCs w:val="22"/>
          <w:lang w:eastAsia="en-US"/>
        </w:rPr>
      </w:pPr>
      <w:r w:rsidRPr="000177D7">
        <w:t>Table 6.1.1: Estimates of general government sector expenses</w:t>
      </w:r>
      <w:bookmarkStart w:id="8" w:name="_1727774234"/>
      <w:bookmarkStart w:id="9" w:name="_1742907295"/>
      <w:bookmarkEnd w:id="8"/>
      <w:bookmarkEnd w:id="9"/>
    </w:p>
    <w:tbl>
      <w:tblPr>
        <w:tblW w:w="5000" w:type="pct"/>
        <w:tblCellMar>
          <w:left w:w="0" w:type="dxa"/>
          <w:right w:w="28" w:type="dxa"/>
        </w:tblCellMar>
        <w:tblLook w:val="04A0" w:firstRow="1" w:lastRow="0" w:firstColumn="1" w:lastColumn="0" w:noHBand="0" w:noVBand="1"/>
      </w:tblPr>
      <w:tblGrid>
        <w:gridCol w:w="2329"/>
        <w:gridCol w:w="1460"/>
        <w:gridCol w:w="769"/>
        <w:gridCol w:w="73"/>
        <w:gridCol w:w="771"/>
        <w:gridCol w:w="771"/>
        <w:gridCol w:w="771"/>
        <w:gridCol w:w="766"/>
      </w:tblGrid>
      <w:tr w:rsidR="00D10E3C" w:rsidRPr="001D2DB2" w14:paraId="67B3A3BF" w14:textId="77777777" w:rsidTr="00412EDF">
        <w:trPr>
          <w:divId w:val="1203513613"/>
          <w:trHeight w:hRule="exact" w:val="225"/>
        </w:trPr>
        <w:tc>
          <w:tcPr>
            <w:tcW w:w="1510" w:type="pct"/>
            <w:tcBorders>
              <w:top w:val="single" w:sz="4" w:space="0" w:color="002A54"/>
              <w:left w:val="nil"/>
              <w:bottom w:val="nil"/>
              <w:right w:val="nil"/>
            </w:tcBorders>
            <w:shd w:val="clear" w:color="000000" w:fill="FFFFFF"/>
            <w:noWrap/>
            <w:vAlign w:val="center"/>
            <w:hideMark/>
          </w:tcPr>
          <w:p w14:paraId="58F6CA11" w14:textId="393DD460" w:rsidR="001D2DB2" w:rsidRPr="001D2DB2" w:rsidRDefault="001D2DB2" w:rsidP="001D2DB2">
            <w:pPr>
              <w:spacing w:before="0" w:after="0" w:line="240" w:lineRule="auto"/>
              <w:rPr>
                <w:rFonts w:ascii="Arial" w:hAnsi="Arial" w:cs="Arial"/>
                <w:color w:val="000000"/>
                <w:sz w:val="16"/>
                <w:szCs w:val="16"/>
              </w:rPr>
            </w:pPr>
            <w:r w:rsidRPr="001D2DB2">
              <w:rPr>
                <w:rFonts w:ascii="Arial" w:hAnsi="Arial" w:cs="Arial"/>
                <w:color w:val="000000"/>
                <w:sz w:val="16"/>
                <w:szCs w:val="16"/>
              </w:rPr>
              <w:t> </w:t>
            </w:r>
          </w:p>
        </w:tc>
        <w:tc>
          <w:tcPr>
            <w:tcW w:w="947" w:type="pct"/>
            <w:tcBorders>
              <w:top w:val="single" w:sz="4" w:space="0" w:color="002A54"/>
              <w:left w:val="nil"/>
              <w:bottom w:val="single" w:sz="4" w:space="0" w:color="002A54" w:themeColor="text2"/>
              <w:right w:val="nil"/>
            </w:tcBorders>
            <w:shd w:val="clear" w:color="000000" w:fill="FFFFFF"/>
            <w:noWrap/>
            <w:vAlign w:val="center"/>
            <w:hideMark/>
          </w:tcPr>
          <w:p w14:paraId="0EB2C0AD"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October Budget</w:t>
            </w:r>
          </w:p>
        </w:tc>
        <w:tc>
          <w:tcPr>
            <w:tcW w:w="499" w:type="pct"/>
            <w:tcBorders>
              <w:top w:val="single" w:sz="4" w:space="0" w:color="002A54"/>
              <w:left w:val="nil"/>
              <w:bottom w:val="single" w:sz="4" w:space="0" w:color="002A54" w:themeColor="text2"/>
              <w:right w:val="nil"/>
            </w:tcBorders>
            <w:shd w:val="clear" w:color="000000" w:fill="FFFFFF"/>
            <w:noWrap/>
            <w:vAlign w:val="center"/>
            <w:hideMark/>
          </w:tcPr>
          <w:p w14:paraId="7A965FCC" w14:textId="77777777" w:rsidR="001D2DB2" w:rsidRPr="001D2DB2" w:rsidRDefault="001D2DB2" w:rsidP="001D2DB2">
            <w:pPr>
              <w:spacing w:before="0" w:after="0" w:line="240" w:lineRule="auto"/>
              <w:jc w:val="center"/>
              <w:rPr>
                <w:rFonts w:ascii="Arial" w:hAnsi="Arial" w:cs="Arial"/>
                <w:color w:val="000000"/>
                <w:sz w:val="16"/>
                <w:szCs w:val="16"/>
              </w:rPr>
            </w:pPr>
            <w:r w:rsidRPr="001D2DB2">
              <w:rPr>
                <w:rFonts w:ascii="Arial" w:hAnsi="Arial" w:cs="Arial"/>
                <w:color w:val="000000"/>
                <w:sz w:val="16"/>
                <w:szCs w:val="16"/>
              </w:rPr>
              <w:t>Revised</w:t>
            </w:r>
          </w:p>
        </w:tc>
        <w:tc>
          <w:tcPr>
            <w:tcW w:w="47" w:type="pct"/>
            <w:tcBorders>
              <w:top w:val="single" w:sz="4" w:space="0" w:color="002A54"/>
              <w:left w:val="nil"/>
              <w:bottom w:val="nil"/>
              <w:right w:val="nil"/>
            </w:tcBorders>
            <w:shd w:val="clear" w:color="000000" w:fill="FFFFFF"/>
            <w:noWrap/>
            <w:vAlign w:val="center"/>
            <w:hideMark/>
          </w:tcPr>
          <w:p w14:paraId="75E602BA"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 </w:t>
            </w:r>
          </w:p>
        </w:tc>
        <w:tc>
          <w:tcPr>
            <w:tcW w:w="1997" w:type="pct"/>
            <w:gridSpan w:val="4"/>
            <w:tcBorders>
              <w:top w:val="single" w:sz="4" w:space="0" w:color="002A54"/>
              <w:left w:val="nil"/>
              <w:bottom w:val="single" w:sz="4" w:space="0" w:color="002A54" w:themeColor="text2"/>
              <w:right w:val="nil"/>
            </w:tcBorders>
            <w:shd w:val="clear" w:color="000000" w:fill="FFFFFF"/>
            <w:noWrap/>
            <w:vAlign w:val="center"/>
            <w:hideMark/>
          </w:tcPr>
          <w:p w14:paraId="14038FE3" w14:textId="77777777" w:rsidR="001D2DB2" w:rsidRPr="001D2DB2" w:rsidRDefault="001D2DB2" w:rsidP="001D2DB2">
            <w:pPr>
              <w:spacing w:before="0" w:after="0" w:line="240" w:lineRule="auto"/>
              <w:jc w:val="center"/>
              <w:rPr>
                <w:rFonts w:ascii="Arial" w:hAnsi="Arial" w:cs="Arial"/>
                <w:color w:val="000000"/>
                <w:sz w:val="16"/>
                <w:szCs w:val="16"/>
              </w:rPr>
            </w:pPr>
            <w:r w:rsidRPr="001D2DB2">
              <w:rPr>
                <w:rFonts w:ascii="Arial" w:hAnsi="Arial" w:cs="Arial"/>
                <w:color w:val="000000"/>
                <w:sz w:val="16"/>
                <w:szCs w:val="16"/>
              </w:rPr>
              <w:t>Estimates</w:t>
            </w:r>
          </w:p>
        </w:tc>
      </w:tr>
      <w:tr w:rsidR="001D2DB2" w:rsidRPr="001D2DB2" w14:paraId="19AAAA85" w14:textId="77777777" w:rsidTr="00412EDF">
        <w:trPr>
          <w:divId w:val="1203513613"/>
          <w:trHeight w:hRule="exact" w:val="225"/>
        </w:trPr>
        <w:tc>
          <w:tcPr>
            <w:tcW w:w="1510" w:type="pct"/>
            <w:tcBorders>
              <w:top w:val="nil"/>
              <w:left w:val="nil"/>
              <w:bottom w:val="nil"/>
              <w:right w:val="nil"/>
            </w:tcBorders>
            <w:shd w:val="clear" w:color="000000" w:fill="FFFFFF"/>
            <w:noWrap/>
            <w:vAlign w:val="center"/>
            <w:hideMark/>
          </w:tcPr>
          <w:p w14:paraId="719DBDA3" w14:textId="77777777" w:rsidR="001D2DB2" w:rsidRPr="001D2DB2" w:rsidRDefault="001D2DB2" w:rsidP="001D2DB2">
            <w:pPr>
              <w:spacing w:before="0" w:after="0" w:line="240" w:lineRule="auto"/>
              <w:rPr>
                <w:rFonts w:ascii="Arial" w:hAnsi="Arial" w:cs="Arial"/>
                <w:color w:val="000000"/>
                <w:sz w:val="16"/>
                <w:szCs w:val="16"/>
              </w:rPr>
            </w:pPr>
            <w:r w:rsidRPr="001D2DB2">
              <w:rPr>
                <w:rFonts w:ascii="Arial" w:hAnsi="Arial" w:cs="Arial"/>
                <w:color w:val="000000"/>
                <w:sz w:val="16"/>
                <w:szCs w:val="16"/>
              </w:rPr>
              <w:t> </w:t>
            </w:r>
          </w:p>
        </w:tc>
        <w:tc>
          <w:tcPr>
            <w:tcW w:w="947" w:type="pct"/>
            <w:tcBorders>
              <w:top w:val="single" w:sz="4" w:space="0" w:color="002A54" w:themeColor="text2"/>
              <w:left w:val="nil"/>
              <w:bottom w:val="single" w:sz="4" w:space="0" w:color="002A54" w:themeColor="text2"/>
              <w:right w:val="nil"/>
            </w:tcBorders>
            <w:shd w:val="clear" w:color="000000" w:fill="FFFFFF"/>
            <w:noWrap/>
            <w:vAlign w:val="center"/>
            <w:hideMark/>
          </w:tcPr>
          <w:p w14:paraId="4B80FB98"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2022–23</w:t>
            </w:r>
          </w:p>
        </w:tc>
        <w:tc>
          <w:tcPr>
            <w:tcW w:w="499" w:type="pct"/>
            <w:tcBorders>
              <w:top w:val="single" w:sz="4" w:space="0" w:color="002A54" w:themeColor="text2"/>
              <w:left w:val="nil"/>
              <w:bottom w:val="single" w:sz="4" w:space="0" w:color="002A54" w:themeColor="text2"/>
              <w:right w:val="nil"/>
            </w:tcBorders>
            <w:shd w:val="clear" w:color="000000" w:fill="FFFFFF"/>
            <w:noWrap/>
            <w:vAlign w:val="center"/>
            <w:hideMark/>
          </w:tcPr>
          <w:p w14:paraId="2E40C6EB"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2022–23</w:t>
            </w:r>
          </w:p>
        </w:tc>
        <w:tc>
          <w:tcPr>
            <w:tcW w:w="47" w:type="pct"/>
            <w:tcBorders>
              <w:top w:val="nil"/>
              <w:left w:val="nil"/>
              <w:bottom w:val="nil"/>
              <w:right w:val="nil"/>
            </w:tcBorders>
            <w:shd w:val="clear" w:color="000000" w:fill="FFFFFF"/>
            <w:noWrap/>
            <w:vAlign w:val="center"/>
            <w:hideMark/>
          </w:tcPr>
          <w:p w14:paraId="061BF0E7"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 </w:t>
            </w:r>
          </w:p>
        </w:tc>
        <w:tc>
          <w:tcPr>
            <w:tcW w:w="500" w:type="pct"/>
            <w:tcBorders>
              <w:top w:val="single" w:sz="4" w:space="0" w:color="002A54" w:themeColor="text2"/>
              <w:left w:val="nil"/>
              <w:bottom w:val="single" w:sz="4" w:space="0" w:color="002A54" w:themeColor="text2"/>
              <w:right w:val="nil"/>
            </w:tcBorders>
            <w:shd w:val="clear" w:color="000000" w:fill="E6F2FF"/>
            <w:noWrap/>
            <w:vAlign w:val="center"/>
            <w:hideMark/>
          </w:tcPr>
          <w:p w14:paraId="78F584FD"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2023–24</w:t>
            </w:r>
          </w:p>
        </w:tc>
        <w:tc>
          <w:tcPr>
            <w:tcW w:w="500" w:type="pct"/>
            <w:tcBorders>
              <w:top w:val="single" w:sz="4" w:space="0" w:color="002A54" w:themeColor="text2"/>
              <w:left w:val="nil"/>
              <w:bottom w:val="single" w:sz="4" w:space="0" w:color="002A54" w:themeColor="text2"/>
              <w:right w:val="nil"/>
            </w:tcBorders>
            <w:shd w:val="clear" w:color="000000" w:fill="FFFFFF"/>
            <w:noWrap/>
            <w:vAlign w:val="center"/>
            <w:hideMark/>
          </w:tcPr>
          <w:p w14:paraId="7DFBCB27"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2024–25</w:t>
            </w:r>
          </w:p>
        </w:tc>
        <w:tc>
          <w:tcPr>
            <w:tcW w:w="500" w:type="pct"/>
            <w:tcBorders>
              <w:top w:val="single" w:sz="4" w:space="0" w:color="002A54" w:themeColor="text2"/>
              <w:left w:val="nil"/>
              <w:bottom w:val="single" w:sz="4" w:space="0" w:color="002A54" w:themeColor="text2"/>
              <w:right w:val="nil"/>
            </w:tcBorders>
            <w:shd w:val="clear" w:color="000000" w:fill="FFFFFF"/>
            <w:noWrap/>
            <w:vAlign w:val="center"/>
            <w:hideMark/>
          </w:tcPr>
          <w:p w14:paraId="3FAD9114"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2025–26</w:t>
            </w:r>
          </w:p>
        </w:tc>
        <w:tc>
          <w:tcPr>
            <w:tcW w:w="497" w:type="pct"/>
            <w:tcBorders>
              <w:top w:val="single" w:sz="4" w:space="0" w:color="002A54" w:themeColor="text2"/>
              <w:left w:val="nil"/>
              <w:bottom w:val="single" w:sz="4" w:space="0" w:color="002A54" w:themeColor="text2"/>
              <w:right w:val="nil"/>
            </w:tcBorders>
            <w:shd w:val="clear" w:color="000000" w:fill="FFFFFF"/>
            <w:noWrap/>
            <w:vAlign w:val="center"/>
            <w:hideMark/>
          </w:tcPr>
          <w:p w14:paraId="00A37420"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2026–27</w:t>
            </w:r>
          </w:p>
        </w:tc>
      </w:tr>
      <w:tr w:rsidR="001D2DB2" w:rsidRPr="001D2DB2" w14:paraId="09414B0F" w14:textId="77777777" w:rsidTr="00412EDF">
        <w:trPr>
          <w:divId w:val="1203513613"/>
          <w:trHeight w:hRule="exact" w:val="225"/>
        </w:trPr>
        <w:tc>
          <w:tcPr>
            <w:tcW w:w="1510" w:type="pct"/>
            <w:tcBorders>
              <w:top w:val="nil"/>
              <w:left w:val="nil"/>
              <w:bottom w:val="nil"/>
              <w:right w:val="nil"/>
            </w:tcBorders>
            <w:shd w:val="clear" w:color="000000" w:fill="FFFFFF"/>
            <w:noWrap/>
            <w:vAlign w:val="center"/>
            <w:hideMark/>
          </w:tcPr>
          <w:p w14:paraId="435C8151"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Total expenses ($b)</w:t>
            </w:r>
          </w:p>
        </w:tc>
        <w:tc>
          <w:tcPr>
            <w:tcW w:w="947" w:type="pct"/>
            <w:tcBorders>
              <w:top w:val="single" w:sz="4" w:space="0" w:color="002A54" w:themeColor="text2"/>
              <w:left w:val="nil"/>
              <w:bottom w:val="nil"/>
              <w:right w:val="nil"/>
            </w:tcBorders>
            <w:shd w:val="clear" w:color="000000" w:fill="FFFFFF"/>
            <w:noWrap/>
            <w:vAlign w:val="center"/>
            <w:hideMark/>
          </w:tcPr>
          <w:p w14:paraId="4ED9CCF7"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650.9</w:t>
            </w:r>
          </w:p>
        </w:tc>
        <w:tc>
          <w:tcPr>
            <w:tcW w:w="499" w:type="pct"/>
            <w:tcBorders>
              <w:top w:val="single" w:sz="4" w:space="0" w:color="002A54" w:themeColor="text2"/>
              <w:left w:val="nil"/>
              <w:bottom w:val="nil"/>
              <w:right w:val="nil"/>
            </w:tcBorders>
            <w:shd w:val="clear" w:color="000000" w:fill="FFFFFF"/>
            <w:noWrap/>
            <w:vAlign w:val="center"/>
            <w:hideMark/>
          </w:tcPr>
          <w:p w14:paraId="1498FB4C"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644.8</w:t>
            </w:r>
          </w:p>
        </w:tc>
        <w:tc>
          <w:tcPr>
            <w:tcW w:w="47" w:type="pct"/>
            <w:tcBorders>
              <w:top w:val="nil"/>
              <w:left w:val="nil"/>
              <w:bottom w:val="nil"/>
              <w:right w:val="nil"/>
            </w:tcBorders>
            <w:shd w:val="clear" w:color="000000" w:fill="FFFFFF"/>
            <w:noWrap/>
            <w:vAlign w:val="center"/>
            <w:hideMark/>
          </w:tcPr>
          <w:p w14:paraId="4BED44BC"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 </w:t>
            </w:r>
          </w:p>
        </w:tc>
        <w:tc>
          <w:tcPr>
            <w:tcW w:w="500" w:type="pct"/>
            <w:tcBorders>
              <w:top w:val="single" w:sz="4" w:space="0" w:color="002A54" w:themeColor="text2"/>
              <w:left w:val="nil"/>
              <w:bottom w:val="nil"/>
              <w:right w:val="nil"/>
            </w:tcBorders>
            <w:shd w:val="clear" w:color="000000" w:fill="E6F2FF"/>
            <w:noWrap/>
            <w:vAlign w:val="center"/>
            <w:hideMark/>
          </w:tcPr>
          <w:p w14:paraId="6872CDFD"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684.1</w:t>
            </w:r>
          </w:p>
        </w:tc>
        <w:tc>
          <w:tcPr>
            <w:tcW w:w="500" w:type="pct"/>
            <w:tcBorders>
              <w:top w:val="single" w:sz="4" w:space="0" w:color="002A54" w:themeColor="text2"/>
              <w:left w:val="nil"/>
              <w:bottom w:val="nil"/>
              <w:right w:val="nil"/>
            </w:tcBorders>
            <w:shd w:val="clear" w:color="000000" w:fill="FFFFFF"/>
            <w:noWrap/>
            <w:vAlign w:val="center"/>
            <w:hideMark/>
          </w:tcPr>
          <w:p w14:paraId="1755601E"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715.4</w:t>
            </w:r>
          </w:p>
        </w:tc>
        <w:tc>
          <w:tcPr>
            <w:tcW w:w="500" w:type="pct"/>
            <w:tcBorders>
              <w:top w:val="single" w:sz="4" w:space="0" w:color="002A54" w:themeColor="text2"/>
              <w:left w:val="nil"/>
              <w:bottom w:val="nil"/>
              <w:right w:val="nil"/>
            </w:tcBorders>
            <w:shd w:val="clear" w:color="000000" w:fill="FFFFFF"/>
            <w:noWrap/>
            <w:vAlign w:val="center"/>
            <w:hideMark/>
          </w:tcPr>
          <w:p w14:paraId="41552661"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743.3</w:t>
            </w:r>
          </w:p>
        </w:tc>
        <w:tc>
          <w:tcPr>
            <w:tcW w:w="497" w:type="pct"/>
            <w:tcBorders>
              <w:top w:val="single" w:sz="4" w:space="0" w:color="002A54" w:themeColor="text2"/>
              <w:left w:val="nil"/>
              <w:bottom w:val="nil"/>
              <w:right w:val="nil"/>
            </w:tcBorders>
            <w:shd w:val="clear" w:color="000000" w:fill="FFFFFF"/>
            <w:noWrap/>
            <w:vAlign w:val="center"/>
            <w:hideMark/>
          </w:tcPr>
          <w:p w14:paraId="7AAE3C03" w14:textId="77777777" w:rsidR="001D2DB2" w:rsidRPr="001D2DB2" w:rsidRDefault="001D2DB2" w:rsidP="001D2DB2">
            <w:pPr>
              <w:spacing w:before="0" w:after="0" w:line="240" w:lineRule="auto"/>
              <w:jc w:val="right"/>
              <w:rPr>
                <w:rFonts w:ascii="Arial" w:hAnsi="Arial" w:cs="Arial"/>
                <w:b/>
                <w:bCs/>
                <w:color w:val="000000"/>
                <w:sz w:val="16"/>
                <w:szCs w:val="16"/>
              </w:rPr>
            </w:pPr>
            <w:r w:rsidRPr="001D2DB2">
              <w:rPr>
                <w:rFonts w:ascii="Arial" w:hAnsi="Arial" w:cs="Arial"/>
                <w:b/>
                <w:bCs/>
                <w:color w:val="000000"/>
                <w:sz w:val="16"/>
                <w:szCs w:val="16"/>
              </w:rPr>
              <w:t>771.8</w:t>
            </w:r>
          </w:p>
        </w:tc>
      </w:tr>
      <w:tr w:rsidR="001D2DB2" w:rsidRPr="001D2DB2" w14:paraId="51D42AF0" w14:textId="77777777" w:rsidTr="001D2DB2">
        <w:trPr>
          <w:divId w:val="1203513613"/>
          <w:trHeight w:hRule="exact" w:val="225"/>
        </w:trPr>
        <w:tc>
          <w:tcPr>
            <w:tcW w:w="1510" w:type="pct"/>
            <w:tcBorders>
              <w:top w:val="nil"/>
              <w:left w:val="nil"/>
              <w:bottom w:val="nil"/>
              <w:right w:val="nil"/>
            </w:tcBorders>
            <w:shd w:val="clear" w:color="000000" w:fill="FFFFFF"/>
            <w:noWrap/>
            <w:vAlign w:val="center"/>
            <w:hideMark/>
          </w:tcPr>
          <w:p w14:paraId="28E93D9E" w14:textId="77777777" w:rsidR="001D2DB2" w:rsidRPr="001D2DB2" w:rsidRDefault="001D2DB2" w:rsidP="001D2DB2">
            <w:pPr>
              <w:spacing w:before="0" w:after="0" w:line="240" w:lineRule="auto"/>
              <w:rPr>
                <w:rFonts w:ascii="Arial" w:hAnsi="Arial" w:cs="Arial"/>
                <w:color w:val="000000"/>
                <w:sz w:val="16"/>
                <w:szCs w:val="16"/>
              </w:rPr>
            </w:pPr>
            <w:r w:rsidRPr="001D2DB2">
              <w:rPr>
                <w:rFonts w:ascii="Arial" w:hAnsi="Arial" w:cs="Arial"/>
                <w:color w:val="000000"/>
                <w:sz w:val="16"/>
                <w:szCs w:val="16"/>
              </w:rPr>
              <w:t xml:space="preserve">Real growth on </w:t>
            </w:r>
          </w:p>
        </w:tc>
        <w:tc>
          <w:tcPr>
            <w:tcW w:w="947" w:type="pct"/>
            <w:tcBorders>
              <w:top w:val="nil"/>
              <w:left w:val="nil"/>
              <w:bottom w:val="nil"/>
              <w:right w:val="nil"/>
            </w:tcBorders>
            <w:shd w:val="clear" w:color="000000" w:fill="FFFFFF"/>
            <w:noWrap/>
            <w:vAlign w:val="center"/>
            <w:hideMark/>
          </w:tcPr>
          <w:p w14:paraId="16ED8E99"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499" w:type="pct"/>
            <w:tcBorders>
              <w:top w:val="nil"/>
              <w:left w:val="nil"/>
              <w:bottom w:val="nil"/>
              <w:right w:val="nil"/>
            </w:tcBorders>
            <w:shd w:val="clear" w:color="000000" w:fill="FFFFFF"/>
            <w:noWrap/>
            <w:vAlign w:val="center"/>
            <w:hideMark/>
          </w:tcPr>
          <w:p w14:paraId="32843FE7"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47" w:type="pct"/>
            <w:tcBorders>
              <w:top w:val="nil"/>
              <w:left w:val="nil"/>
              <w:bottom w:val="nil"/>
              <w:right w:val="nil"/>
            </w:tcBorders>
            <w:shd w:val="clear" w:color="000000" w:fill="FFFFFF"/>
            <w:noWrap/>
            <w:vAlign w:val="center"/>
            <w:hideMark/>
          </w:tcPr>
          <w:p w14:paraId="16943CDD"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500" w:type="pct"/>
            <w:tcBorders>
              <w:top w:val="nil"/>
              <w:left w:val="nil"/>
              <w:bottom w:val="nil"/>
              <w:right w:val="nil"/>
            </w:tcBorders>
            <w:shd w:val="clear" w:color="000000" w:fill="E6F2FF"/>
            <w:noWrap/>
            <w:vAlign w:val="center"/>
            <w:hideMark/>
          </w:tcPr>
          <w:p w14:paraId="4FEFA9C0"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500" w:type="pct"/>
            <w:tcBorders>
              <w:top w:val="nil"/>
              <w:left w:val="nil"/>
              <w:bottom w:val="nil"/>
              <w:right w:val="nil"/>
            </w:tcBorders>
            <w:shd w:val="clear" w:color="000000" w:fill="FFFFFF"/>
            <w:noWrap/>
            <w:vAlign w:val="center"/>
            <w:hideMark/>
          </w:tcPr>
          <w:p w14:paraId="384FFED2"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500" w:type="pct"/>
            <w:tcBorders>
              <w:top w:val="nil"/>
              <w:left w:val="nil"/>
              <w:bottom w:val="nil"/>
              <w:right w:val="nil"/>
            </w:tcBorders>
            <w:shd w:val="clear" w:color="000000" w:fill="FFFFFF"/>
            <w:noWrap/>
            <w:vAlign w:val="center"/>
            <w:hideMark/>
          </w:tcPr>
          <w:p w14:paraId="6FEF907C"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5486C8DA" w14:textId="77777777" w:rsidR="001D2DB2" w:rsidRPr="001D2DB2" w:rsidRDefault="001D2DB2" w:rsidP="001D2DB2">
            <w:pPr>
              <w:spacing w:before="0" w:after="0" w:line="240" w:lineRule="auto"/>
              <w:rPr>
                <w:rFonts w:ascii="Arial" w:hAnsi="Arial" w:cs="Arial"/>
                <w:b/>
                <w:bCs/>
                <w:color w:val="000000"/>
                <w:sz w:val="16"/>
                <w:szCs w:val="16"/>
              </w:rPr>
            </w:pPr>
            <w:r w:rsidRPr="001D2DB2">
              <w:rPr>
                <w:rFonts w:ascii="Arial" w:hAnsi="Arial" w:cs="Arial"/>
                <w:b/>
                <w:bCs/>
                <w:color w:val="000000"/>
                <w:sz w:val="16"/>
                <w:szCs w:val="16"/>
              </w:rPr>
              <w:t> </w:t>
            </w:r>
          </w:p>
        </w:tc>
      </w:tr>
      <w:tr w:rsidR="001D2DB2" w:rsidRPr="001D2DB2" w14:paraId="688E4CC2" w14:textId="77777777" w:rsidTr="00E4574A">
        <w:trPr>
          <w:divId w:val="1203513613"/>
          <w:trHeight w:hRule="exact" w:val="225"/>
        </w:trPr>
        <w:tc>
          <w:tcPr>
            <w:tcW w:w="1510" w:type="pct"/>
            <w:tcBorders>
              <w:top w:val="nil"/>
              <w:left w:val="nil"/>
              <w:right w:val="nil"/>
            </w:tcBorders>
            <w:shd w:val="clear" w:color="000000" w:fill="FFFFFF"/>
            <w:noWrap/>
            <w:vAlign w:val="center"/>
            <w:hideMark/>
          </w:tcPr>
          <w:p w14:paraId="53800790" w14:textId="77777777" w:rsidR="001D2DB2" w:rsidRPr="001D2DB2" w:rsidRDefault="001D2DB2" w:rsidP="001D2DB2">
            <w:pPr>
              <w:spacing w:before="0" w:after="0" w:line="240" w:lineRule="auto"/>
              <w:ind w:left="170"/>
              <w:rPr>
                <w:rFonts w:ascii="Arial" w:hAnsi="Arial" w:cs="Arial"/>
                <w:color w:val="000000"/>
                <w:sz w:val="16"/>
                <w:szCs w:val="16"/>
              </w:rPr>
            </w:pPr>
            <w:r w:rsidRPr="001D2DB2">
              <w:rPr>
                <w:rFonts w:ascii="Arial" w:hAnsi="Arial" w:cs="Arial"/>
                <w:color w:val="000000"/>
                <w:sz w:val="16"/>
                <w:szCs w:val="16"/>
              </w:rPr>
              <w:t>previous year (%)(a)</w:t>
            </w:r>
          </w:p>
        </w:tc>
        <w:tc>
          <w:tcPr>
            <w:tcW w:w="947" w:type="pct"/>
            <w:tcBorders>
              <w:top w:val="nil"/>
              <w:left w:val="nil"/>
              <w:right w:val="nil"/>
            </w:tcBorders>
            <w:shd w:val="clear" w:color="000000" w:fill="FFFFFF"/>
            <w:noWrap/>
            <w:vAlign w:val="center"/>
            <w:hideMark/>
          </w:tcPr>
          <w:p w14:paraId="71AEF900" w14:textId="11E5858C" w:rsidR="001D2DB2" w:rsidRPr="001D2DB2" w:rsidRDefault="00D34B95" w:rsidP="001D2D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D2DB2" w:rsidRPr="001D2DB2">
              <w:rPr>
                <w:rFonts w:ascii="Arial" w:hAnsi="Arial" w:cs="Arial"/>
                <w:color w:val="000000"/>
                <w:sz w:val="16"/>
                <w:szCs w:val="16"/>
              </w:rPr>
              <w:t>2.2</w:t>
            </w:r>
          </w:p>
        </w:tc>
        <w:tc>
          <w:tcPr>
            <w:tcW w:w="499" w:type="pct"/>
            <w:tcBorders>
              <w:top w:val="nil"/>
              <w:left w:val="nil"/>
              <w:right w:val="nil"/>
            </w:tcBorders>
            <w:shd w:val="clear" w:color="000000" w:fill="FFFFFF"/>
            <w:noWrap/>
            <w:vAlign w:val="center"/>
            <w:hideMark/>
          </w:tcPr>
          <w:p w14:paraId="60935F19" w14:textId="32861CDC" w:rsidR="001D2DB2" w:rsidRPr="001D2DB2" w:rsidRDefault="00D34B95" w:rsidP="001D2DB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1D2DB2" w:rsidRPr="001D2DB2">
              <w:rPr>
                <w:rFonts w:ascii="Arial" w:hAnsi="Arial" w:cs="Arial"/>
                <w:color w:val="000000"/>
                <w:sz w:val="16"/>
                <w:szCs w:val="16"/>
              </w:rPr>
              <w:t>3.3</w:t>
            </w:r>
          </w:p>
        </w:tc>
        <w:tc>
          <w:tcPr>
            <w:tcW w:w="47" w:type="pct"/>
            <w:tcBorders>
              <w:top w:val="nil"/>
              <w:left w:val="nil"/>
              <w:right w:val="nil"/>
            </w:tcBorders>
            <w:shd w:val="clear" w:color="000000" w:fill="FFFFFF"/>
            <w:noWrap/>
            <w:vAlign w:val="center"/>
            <w:hideMark/>
          </w:tcPr>
          <w:p w14:paraId="10B423B8"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 </w:t>
            </w:r>
          </w:p>
        </w:tc>
        <w:tc>
          <w:tcPr>
            <w:tcW w:w="500" w:type="pct"/>
            <w:tcBorders>
              <w:top w:val="nil"/>
              <w:left w:val="nil"/>
              <w:right w:val="nil"/>
            </w:tcBorders>
            <w:shd w:val="clear" w:color="000000" w:fill="E6F2FF"/>
            <w:noWrap/>
            <w:vAlign w:val="center"/>
            <w:hideMark/>
          </w:tcPr>
          <w:p w14:paraId="69CAF0F4"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1.9</w:t>
            </w:r>
          </w:p>
        </w:tc>
        <w:tc>
          <w:tcPr>
            <w:tcW w:w="500" w:type="pct"/>
            <w:tcBorders>
              <w:top w:val="nil"/>
              <w:left w:val="nil"/>
              <w:right w:val="nil"/>
            </w:tcBorders>
            <w:shd w:val="clear" w:color="000000" w:fill="FFFFFF"/>
            <w:noWrap/>
            <w:vAlign w:val="center"/>
            <w:hideMark/>
          </w:tcPr>
          <w:p w14:paraId="298AB9CD"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1.5</w:t>
            </w:r>
          </w:p>
        </w:tc>
        <w:tc>
          <w:tcPr>
            <w:tcW w:w="500" w:type="pct"/>
            <w:tcBorders>
              <w:top w:val="nil"/>
              <w:left w:val="nil"/>
              <w:right w:val="nil"/>
            </w:tcBorders>
            <w:shd w:val="clear" w:color="000000" w:fill="FFFFFF"/>
            <w:noWrap/>
            <w:vAlign w:val="center"/>
            <w:hideMark/>
          </w:tcPr>
          <w:p w14:paraId="4A06BC4C"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1.3</w:t>
            </w:r>
          </w:p>
        </w:tc>
        <w:tc>
          <w:tcPr>
            <w:tcW w:w="497" w:type="pct"/>
            <w:tcBorders>
              <w:top w:val="nil"/>
              <w:left w:val="nil"/>
              <w:right w:val="nil"/>
            </w:tcBorders>
            <w:shd w:val="clear" w:color="000000" w:fill="FFFFFF"/>
            <w:noWrap/>
            <w:vAlign w:val="center"/>
            <w:hideMark/>
          </w:tcPr>
          <w:p w14:paraId="7F728CBE" w14:textId="77777777" w:rsidR="001D2DB2" w:rsidRPr="001D2DB2" w:rsidRDefault="001D2DB2" w:rsidP="001D2DB2">
            <w:pPr>
              <w:spacing w:before="0" w:after="0" w:line="240" w:lineRule="auto"/>
              <w:jc w:val="right"/>
              <w:rPr>
                <w:rFonts w:ascii="Arial" w:hAnsi="Arial" w:cs="Arial"/>
                <w:color w:val="000000"/>
                <w:sz w:val="16"/>
                <w:szCs w:val="16"/>
              </w:rPr>
            </w:pPr>
            <w:r w:rsidRPr="001D2DB2">
              <w:rPr>
                <w:rFonts w:ascii="Arial" w:hAnsi="Arial" w:cs="Arial"/>
                <w:color w:val="000000"/>
                <w:sz w:val="16"/>
                <w:szCs w:val="16"/>
              </w:rPr>
              <w:t>1.3</w:t>
            </w:r>
          </w:p>
        </w:tc>
      </w:tr>
      <w:tr w:rsidR="001D2DB2" w:rsidRPr="001D2DB2" w14:paraId="7677BFA6" w14:textId="77777777" w:rsidTr="00E4574A">
        <w:trPr>
          <w:divId w:val="1203513613"/>
          <w:trHeight w:hRule="exact" w:val="225"/>
        </w:trPr>
        <w:tc>
          <w:tcPr>
            <w:tcW w:w="1510" w:type="pct"/>
            <w:tcBorders>
              <w:top w:val="nil"/>
              <w:left w:val="nil"/>
              <w:bottom w:val="single" w:sz="4" w:space="0" w:color="002A54" w:themeColor="text2"/>
              <w:right w:val="nil"/>
            </w:tcBorders>
            <w:shd w:val="clear" w:color="000000" w:fill="FFFFFF"/>
            <w:noWrap/>
            <w:vAlign w:val="center"/>
            <w:hideMark/>
          </w:tcPr>
          <w:p w14:paraId="36239282" w14:textId="77777777" w:rsidR="001D2DB2" w:rsidRPr="001D2DB2" w:rsidRDefault="001D2DB2" w:rsidP="001D2DB2">
            <w:pPr>
              <w:spacing w:before="0" w:after="0" w:line="240" w:lineRule="auto"/>
              <w:rPr>
                <w:rFonts w:ascii="Arial" w:hAnsi="Arial" w:cs="Arial"/>
                <w:sz w:val="16"/>
                <w:szCs w:val="16"/>
              </w:rPr>
            </w:pPr>
            <w:r w:rsidRPr="001D2DB2">
              <w:rPr>
                <w:rFonts w:ascii="Arial" w:hAnsi="Arial" w:cs="Arial"/>
                <w:sz w:val="16"/>
                <w:szCs w:val="16"/>
              </w:rPr>
              <w:t>Per cent of GDP</w:t>
            </w:r>
          </w:p>
        </w:tc>
        <w:tc>
          <w:tcPr>
            <w:tcW w:w="947" w:type="pct"/>
            <w:tcBorders>
              <w:top w:val="nil"/>
              <w:left w:val="nil"/>
              <w:bottom w:val="single" w:sz="4" w:space="0" w:color="002A54" w:themeColor="text2"/>
              <w:right w:val="nil"/>
            </w:tcBorders>
            <w:shd w:val="clear" w:color="000000" w:fill="FFFFFF"/>
            <w:noWrap/>
            <w:vAlign w:val="center"/>
            <w:hideMark/>
          </w:tcPr>
          <w:p w14:paraId="0DB84B83"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26.2</w:t>
            </w:r>
          </w:p>
        </w:tc>
        <w:tc>
          <w:tcPr>
            <w:tcW w:w="499" w:type="pct"/>
            <w:tcBorders>
              <w:top w:val="nil"/>
              <w:left w:val="nil"/>
              <w:bottom w:val="single" w:sz="4" w:space="0" w:color="002A54" w:themeColor="text2"/>
              <w:right w:val="nil"/>
            </w:tcBorders>
            <w:shd w:val="clear" w:color="000000" w:fill="FFFFFF"/>
            <w:noWrap/>
            <w:vAlign w:val="center"/>
            <w:hideMark/>
          </w:tcPr>
          <w:p w14:paraId="7235A299"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25.3</w:t>
            </w:r>
          </w:p>
        </w:tc>
        <w:tc>
          <w:tcPr>
            <w:tcW w:w="47" w:type="pct"/>
            <w:tcBorders>
              <w:top w:val="nil"/>
              <w:left w:val="nil"/>
              <w:bottom w:val="single" w:sz="4" w:space="0" w:color="002A54" w:themeColor="text2"/>
              <w:right w:val="nil"/>
            </w:tcBorders>
            <w:shd w:val="clear" w:color="000000" w:fill="FFFFFF"/>
            <w:noWrap/>
            <w:vAlign w:val="center"/>
            <w:hideMark/>
          </w:tcPr>
          <w:p w14:paraId="0EABC8C3"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 </w:t>
            </w:r>
          </w:p>
        </w:tc>
        <w:tc>
          <w:tcPr>
            <w:tcW w:w="500" w:type="pct"/>
            <w:tcBorders>
              <w:top w:val="nil"/>
              <w:left w:val="nil"/>
              <w:bottom w:val="single" w:sz="4" w:space="0" w:color="002A54" w:themeColor="text2"/>
              <w:right w:val="nil"/>
            </w:tcBorders>
            <w:shd w:val="clear" w:color="000000" w:fill="E6F2FF"/>
            <w:noWrap/>
            <w:vAlign w:val="center"/>
            <w:hideMark/>
          </w:tcPr>
          <w:p w14:paraId="6F419A02"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26.6</w:t>
            </w:r>
          </w:p>
        </w:tc>
        <w:tc>
          <w:tcPr>
            <w:tcW w:w="500" w:type="pct"/>
            <w:tcBorders>
              <w:top w:val="nil"/>
              <w:left w:val="nil"/>
              <w:bottom w:val="single" w:sz="4" w:space="0" w:color="002A54" w:themeColor="text2"/>
              <w:right w:val="nil"/>
            </w:tcBorders>
            <w:shd w:val="clear" w:color="000000" w:fill="FFFFFF"/>
            <w:noWrap/>
            <w:vAlign w:val="center"/>
            <w:hideMark/>
          </w:tcPr>
          <w:p w14:paraId="42BE2F45"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27.1</w:t>
            </w:r>
          </w:p>
        </w:tc>
        <w:tc>
          <w:tcPr>
            <w:tcW w:w="500" w:type="pct"/>
            <w:tcBorders>
              <w:top w:val="nil"/>
              <w:left w:val="nil"/>
              <w:bottom w:val="single" w:sz="4" w:space="0" w:color="002A54" w:themeColor="text2"/>
              <w:right w:val="nil"/>
            </w:tcBorders>
            <w:shd w:val="clear" w:color="000000" w:fill="FFFFFF"/>
            <w:noWrap/>
            <w:vAlign w:val="center"/>
            <w:hideMark/>
          </w:tcPr>
          <w:p w14:paraId="15283D51"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26.8</w:t>
            </w:r>
          </w:p>
        </w:tc>
        <w:tc>
          <w:tcPr>
            <w:tcW w:w="497" w:type="pct"/>
            <w:tcBorders>
              <w:top w:val="nil"/>
              <w:left w:val="nil"/>
              <w:bottom w:val="single" w:sz="4" w:space="0" w:color="002A54" w:themeColor="text2"/>
              <w:right w:val="nil"/>
            </w:tcBorders>
            <w:shd w:val="clear" w:color="000000" w:fill="FFFFFF"/>
            <w:noWrap/>
            <w:vAlign w:val="center"/>
            <w:hideMark/>
          </w:tcPr>
          <w:p w14:paraId="43C4F855" w14:textId="77777777" w:rsidR="001D2DB2" w:rsidRPr="001D2DB2" w:rsidRDefault="001D2DB2" w:rsidP="001D2DB2">
            <w:pPr>
              <w:spacing w:before="0" w:after="0" w:line="240" w:lineRule="auto"/>
              <w:jc w:val="right"/>
              <w:rPr>
                <w:rFonts w:ascii="Arial" w:hAnsi="Arial" w:cs="Arial"/>
                <w:sz w:val="16"/>
                <w:szCs w:val="16"/>
              </w:rPr>
            </w:pPr>
            <w:r w:rsidRPr="001D2DB2">
              <w:rPr>
                <w:rFonts w:ascii="Arial" w:hAnsi="Arial" w:cs="Arial"/>
                <w:sz w:val="16"/>
                <w:szCs w:val="16"/>
              </w:rPr>
              <w:t>26.4</w:t>
            </w:r>
          </w:p>
        </w:tc>
      </w:tr>
    </w:tbl>
    <w:p w14:paraId="49106DE5" w14:textId="37409836" w:rsidR="00C855DF" w:rsidRPr="000177D7" w:rsidRDefault="00C855DF" w:rsidP="00173739">
      <w:pPr>
        <w:pStyle w:val="ChartandTableFootnoteAlpha"/>
      </w:pPr>
      <w:r w:rsidRPr="000177D7">
        <w:t>Real growth is calculated using the Consumer Price Index.</w:t>
      </w:r>
    </w:p>
    <w:p w14:paraId="1654B533" w14:textId="77777777" w:rsidR="00C855DF" w:rsidRPr="008556AB" w:rsidRDefault="00C855DF" w:rsidP="004779EC">
      <w:pPr>
        <w:pStyle w:val="ChartLine"/>
      </w:pPr>
    </w:p>
    <w:p w14:paraId="3BE99097" w14:textId="77E5BEFE" w:rsidR="0050166A" w:rsidRDefault="0050166A" w:rsidP="0050166A">
      <w:r w:rsidRPr="000177D7">
        <w:t xml:space="preserve">As a percentage of GDP, total expenses are </w:t>
      </w:r>
      <w:r w:rsidRPr="0021687D">
        <w:t>expected to be 26.</w:t>
      </w:r>
      <w:r w:rsidR="00411CE4" w:rsidRPr="0021687D">
        <w:t>6</w:t>
      </w:r>
      <w:r w:rsidR="00893776">
        <w:t> per </w:t>
      </w:r>
      <w:r w:rsidRPr="0021687D">
        <w:t>cent in 2023</w:t>
      </w:r>
      <w:r w:rsidR="00A12C3A">
        <w:t>–</w:t>
      </w:r>
      <w:r w:rsidRPr="0021687D">
        <w:t>24 and remain broadly stable over the forward estimates. More detail about GGS expense</w:t>
      </w:r>
      <w:r>
        <w:t>s can be seen at a program level for the top 20 programs by expenses in Table 6.3.1.</w:t>
      </w:r>
    </w:p>
    <w:p w14:paraId="76CAA369" w14:textId="45C72B8F" w:rsidR="00800E06" w:rsidRPr="000177D7" w:rsidRDefault="0050166A" w:rsidP="0050166A">
      <w:r w:rsidRPr="000177D7">
        <w:t xml:space="preserve">As set out in </w:t>
      </w:r>
      <w:r>
        <w:rPr>
          <w:iCs/>
        </w:rPr>
        <w:t>Table 6.1.2,</w:t>
      </w:r>
      <w:r w:rsidRPr="000177D7">
        <w:t xml:space="preserve"> </w:t>
      </w:r>
      <w:r w:rsidR="009D0904">
        <w:t>go</w:t>
      </w:r>
      <w:r w:rsidR="009D0904" w:rsidRPr="000177D7">
        <w:t>vernment</w:t>
      </w:r>
      <w:r w:rsidRPr="000177D7">
        <w:t xml:space="preserve"> payments are estimated </w:t>
      </w:r>
      <w:r>
        <w:t>to increase in both nominal and real terms over the period 2023</w:t>
      </w:r>
      <w:r w:rsidR="00A12C3A">
        <w:t>–</w:t>
      </w:r>
      <w:r>
        <w:t>24 to 2026</w:t>
      </w:r>
      <w:r w:rsidR="00A12C3A">
        <w:t>–</w:t>
      </w:r>
      <w:r>
        <w:t>27, with average a</w:t>
      </w:r>
      <w:r w:rsidRPr="000177D7">
        <w:t xml:space="preserve">nnual real growth in payments estimated to </w:t>
      </w:r>
      <w:r>
        <w:t>be</w:t>
      </w:r>
      <w:r w:rsidRPr="000177D7">
        <w:t xml:space="preserve"> </w:t>
      </w:r>
      <w:r>
        <w:t>1.</w:t>
      </w:r>
      <w:r w:rsidR="00411CE4">
        <w:t>8</w:t>
      </w:r>
      <w:r w:rsidR="00893776">
        <w:t> per </w:t>
      </w:r>
      <w:r w:rsidRPr="000177D7">
        <w:t xml:space="preserve">cent </w:t>
      </w:r>
      <w:r>
        <w:t>over the forward estimates.</w:t>
      </w:r>
    </w:p>
    <w:p w14:paraId="03972552" w14:textId="43B1F599" w:rsidR="00624DD3" w:rsidRDefault="00C855DF" w:rsidP="00624DD3">
      <w:pPr>
        <w:pStyle w:val="TableHeading"/>
        <w:rPr>
          <w:rFonts w:asciiTheme="minorHAnsi" w:eastAsiaTheme="minorHAnsi" w:hAnsiTheme="minorHAnsi" w:cstheme="minorBidi"/>
          <w:sz w:val="22"/>
          <w:szCs w:val="22"/>
          <w:lang w:eastAsia="en-US"/>
        </w:rPr>
      </w:pPr>
      <w:r w:rsidRPr="000177D7">
        <w:t>Table 6.1.2: Estimates of general government sector payments</w:t>
      </w:r>
      <w:bookmarkStart w:id="10" w:name="_1727774241"/>
      <w:bookmarkStart w:id="11" w:name="_1742907904"/>
      <w:bookmarkEnd w:id="10"/>
      <w:bookmarkEnd w:id="11"/>
    </w:p>
    <w:tbl>
      <w:tblPr>
        <w:tblW w:w="5000" w:type="pct"/>
        <w:tblCellMar>
          <w:left w:w="0" w:type="dxa"/>
          <w:right w:w="28" w:type="dxa"/>
        </w:tblCellMar>
        <w:tblLook w:val="04A0" w:firstRow="1" w:lastRow="0" w:firstColumn="1" w:lastColumn="0" w:noHBand="0" w:noVBand="1"/>
      </w:tblPr>
      <w:tblGrid>
        <w:gridCol w:w="2326"/>
        <w:gridCol w:w="1459"/>
        <w:gridCol w:w="766"/>
        <w:gridCol w:w="73"/>
        <w:gridCol w:w="766"/>
        <w:gridCol w:w="766"/>
        <w:gridCol w:w="766"/>
        <w:gridCol w:w="773"/>
        <w:gridCol w:w="15"/>
      </w:tblGrid>
      <w:tr w:rsidR="000B289F" w:rsidRPr="00624DD3" w14:paraId="15089A4E" w14:textId="77777777" w:rsidTr="00412EDF">
        <w:trPr>
          <w:gridAfter w:val="1"/>
          <w:divId w:val="1025596572"/>
          <w:wAfter w:w="10" w:type="pct"/>
          <w:trHeight w:hRule="exact" w:val="225"/>
        </w:trPr>
        <w:tc>
          <w:tcPr>
            <w:tcW w:w="1508" w:type="pct"/>
            <w:tcBorders>
              <w:top w:val="single" w:sz="4" w:space="0" w:color="002A54" w:themeColor="text2"/>
              <w:left w:val="nil"/>
              <w:bottom w:val="nil"/>
              <w:right w:val="nil"/>
            </w:tcBorders>
            <w:shd w:val="clear" w:color="000000" w:fill="FFFFFF"/>
            <w:noWrap/>
            <w:hideMark/>
          </w:tcPr>
          <w:p w14:paraId="689B9867" w14:textId="18CCCB12" w:rsidR="00624DD3" w:rsidRPr="00624DD3" w:rsidRDefault="00624DD3" w:rsidP="00624DD3">
            <w:pPr>
              <w:spacing w:before="0" w:after="0" w:line="240" w:lineRule="auto"/>
              <w:rPr>
                <w:rFonts w:ascii="Arial" w:hAnsi="Arial" w:cs="Arial"/>
                <w:color w:val="000000"/>
                <w:sz w:val="16"/>
                <w:szCs w:val="16"/>
              </w:rPr>
            </w:pPr>
            <w:r w:rsidRPr="00624DD3">
              <w:rPr>
                <w:rFonts w:ascii="Arial" w:hAnsi="Arial" w:cs="Arial"/>
                <w:color w:val="000000"/>
                <w:sz w:val="16"/>
                <w:szCs w:val="16"/>
              </w:rPr>
              <w:t> </w:t>
            </w:r>
          </w:p>
        </w:tc>
        <w:tc>
          <w:tcPr>
            <w:tcW w:w="946" w:type="pct"/>
            <w:tcBorders>
              <w:top w:val="single" w:sz="4" w:space="0" w:color="002A54" w:themeColor="text2"/>
              <w:left w:val="nil"/>
              <w:bottom w:val="single" w:sz="4" w:space="0" w:color="002A54" w:themeColor="text2"/>
              <w:right w:val="nil"/>
            </w:tcBorders>
            <w:shd w:val="clear" w:color="000000" w:fill="FFFFFF"/>
            <w:noWrap/>
            <w:hideMark/>
          </w:tcPr>
          <w:p w14:paraId="3432A2AD"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October Budget</w:t>
            </w:r>
          </w:p>
        </w:tc>
        <w:tc>
          <w:tcPr>
            <w:tcW w:w="497" w:type="pct"/>
            <w:tcBorders>
              <w:top w:val="single" w:sz="4" w:space="0" w:color="002A54" w:themeColor="text2"/>
              <w:left w:val="nil"/>
              <w:bottom w:val="single" w:sz="4" w:space="0" w:color="002A54" w:themeColor="text2"/>
              <w:right w:val="nil"/>
            </w:tcBorders>
            <w:shd w:val="clear" w:color="000000" w:fill="FFFFFF"/>
            <w:noWrap/>
            <w:hideMark/>
          </w:tcPr>
          <w:p w14:paraId="159798F9" w14:textId="77777777" w:rsidR="00624DD3" w:rsidRPr="00624DD3" w:rsidRDefault="00624DD3" w:rsidP="00624DD3">
            <w:pPr>
              <w:spacing w:before="0" w:after="0" w:line="240" w:lineRule="auto"/>
              <w:jc w:val="center"/>
              <w:rPr>
                <w:rFonts w:ascii="Arial" w:hAnsi="Arial" w:cs="Arial"/>
                <w:color w:val="000000"/>
                <w:sz w:val="16"/>
                <w:szCs w:val="16"/>
              </w:rPr>
            </w:pPr>
            <w:r w:rsidRPr="00624DD3">
              <w:rPr>
                <w:rFonts w:ascii="Arial" w:hAnsi="Arial" w:cs="Arial"/>
                <w:color w:val="000000"/>
                <w:sz w:val="16"/>
                <w:szCs w:val="16"/>
              </w:rPr>
              <w:t>Revised</w:t>
            </w:r>
          </w:p>
        </w:tc>
        <w:tc>
          <w:tcPr>
            <w:tcW w:w="47" w:type="pct"/>
            <w:tcBorders>
              <w:top w:val="single" w:sz="4" w:space="0" w:color="002A54" w:themeColor="text2"/>
              <w:left w:val="nil"/>
              <w:bottom w:val="nil"/>
              <w:right w:val="nil"/>
            </w:tcBorders>
            <w:shd w:val="clear" w:color="000000" w:fill="FFFFFF"/>
            <w:noWrap/>
            <w:hideMark/>
          </w:tcPr>
          <w:p w14:paraId="73D43EED"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 </w:t>
            </w:r>
          </w:p>
        </w:tc>
        <w:tc>
          <w:tcPr>
            <w:tcW w:w="1992" w:type="pct"/>
            <w:gridSpan w:val="4"/>
            <w:tcBorders>
              <w:top w:val="single" w:sz="4" w:space="0" w:color="002A54" w:themeColor="text2"/>
              <w:left w:val="nil"/>
              <w:bottom w:val="single" w:sz="4" w:space="0" w:color="293F5B"/>
              <w:right w:val="nil"/>
            </w:tcBorders>
            <w:shd w:val="clear" w:color="000000" w:fill="FFFFFF"/>
            <w:noWrap/>
            <w:hideMark/>
          </w:tcPr>
          <w:p w14:paraId="307F0C53" w14:textId="77777777" w:rsidR="00624DD3" w:rsidRPr="00624DD3" w:rsidRDefault="00624DD3" w:rsidP="00624DD3">
            <w:pPr>
              <w:spacing w:before="0" w:after="0" w:line="240" w:lineRule="auto"/>
              <w:jc w:val="center"/>
              <w:rPr>
                <w:rFonts w:ascii="Arial" w:hAnsi="Arial" w:cs="Arial"/>
                <w:color w:val="000000"/>
                <w:sz w:val="16"/>
                <w:szCs w:val="16"/>
              </w:rPr>
            </w:pPr>
            <w:r w:rsidRPr="00624DD3">
              <w:rPr>
                <w:rFonts w:ascii="Arial" w:hAnsi="Arial" w:cs="Arial"/>
                <w:color w:val="000000"/>
                <w:sz w:val="16"/>
                <w:szCs w:val="16"/>
              </w:rPr>
              <w:t>Estimates</w:t>
            </w:r>
          </w:p>
        </w:tc>
      </w:tr>
      <w:tr w:rsidR="00624DD3" w:rsidRPr="00624DD3" w14:paraId="6A5F9788" w14:textId="77777777" w:rsidTr="00412EDF">
        <w:trPr>
          <w:divId w:val="1025596572"/>
          <w:trHeight w:hRule="exact" w:val="225"/>
        </w:trPr>
        <w:tc>
          <w:tcPr>
            <w:tcW w:w="1508" w:type="pct"/>
            <w:tcBorders>
              <w:top w:val="nil"/>
              <w:left w:val="nil"/>
              <w:bottom w:val="nil"/>
              <w:right w:val="nil"/>
            </w:tcBorders>
            <w:shd w:val="clear" w:color="000000" w:fill="FFFFFF"/>
            <w:noWrap/>
            <w:hideMark/>
          </w:tcPr>
          <w:p w14:paraId="06146720" w14:textId="77777777" w:rsidR="00624DD3" w:rsidRPr="00624DD3" w:rsidRDefault="00624DD3" w:rsidP="00624DD3">
            <w:pPr>
              <w:spacing w:before="0" w:after="0" w:line="240" w:lineRule="auto"/>
              <w:rPr>
                <w:rFonts w:ascii="Arial" w:hAnsi="Arial" w:cs="Arial"/>
                <w:color w:val="000000"/>
                <w:sz w:val="16"/>
                <w:szCs w:val="16"/>
              </w:rPr>
            </w:pPr>
            <w:r w:rsidRPr="00624DD3">
              <w:rPr>
                <w:rFonts w:ascii="Arial" w:hAnsi="Arial" w:cs="Arial"/>
                <w:color w:val="000000"/>
                <w:sz w:val="16"/>
                <w:szCs w:val="16"/>
              </w:rPr>
              <w:t> </w:t>
            </w:r>
          </w:p>
        </w:tc>
        <w:tc>
          <w:tcPr>
            <w:tcW w:w="946" w:type="pct"/>
            <w:tcBorders>
              <w:top w:val="single" w:sz="4" w:space="0" w:color="002A54" w:themeColor="text2"/>
              <w:left w:val="nil"/>
              <w:bottom w:val="single" w:sz="4" w:space="0" w:color="002A54" w:themeColor="text2"/>
              <w:right w:val="nil"/>
            </w:tcBorders>
            <w:shd w:val="clear" w:color="000000" w:fill="FFFFFF"/>
            <w:noWrap/>
            <w:hideMark/>
          </w:tcPr>
          <w:p w14:paraId="57C4E05C"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2022–23</w:t>
            </w:r>
          </w:p>
        </w:tc>
        <w:tc>
          <w:tcPr>
            <w:tcW w:w="497" w:type="pct"/>
            <w:tcBorders>
              <w:top w:val="single" w:sz="4" w:space="0" w:color="002A54" w:themeColor="text2"/>
              <w:left w:val="nil"/>
              <w:bottom w:val="single" w:sz="4" w:space="0" w:color="002A54" w:themeColor="text2"/>
              <w:right w:val="nil"/>
            </w:tcBorders>
            <w:shd w:val="clear" w:color="000000" w:fill="FFFFFF"/>
            <w:noWrap/>
            <w:hideMark/>
          </w:tcPr>
          <w:p w14:paraId="36E009EE"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2022–23</w:t>
            </w:r>
          </w:p>
        </w:tc>
        <w:tc>
          <w:tcPr>
            <w:tcW w:w="47" w:type="pct"/>
            <w:tcBorders>
              <w:top w:val="nil"/>
              <w:left w:val="nil"/>
              <w:bottom w:val="nil"/>
              <w:right w:val="nil"/>
            </w:tcBorders>
            <w:shd w:val="clear" w:color="000000" w:fill="FFFFFF"/>
            <w:noWrap/>
            <w:hideMark/>
          </w:tcPr>
          <w:p w14:paraId="4BE9C780"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 </w:t>
            </w:r>
          </w:p>
        </w:tc>
        <w:tc>
          <w:tcPr>
            <w:tcW w:w="497" w:type="pct"/>
            <w:tcBorders>
              <w:top w:val="single" w:sz="4" w:space="0" w:color="002A54" w:themeColor="text2"/>
              <w:left w:val="nil"/>
              <w:bottom w:val="single" w:sz="4" w:space="0" w:color="002A54" w:themeColor="text2"/>
              <w:right w:val="nil"/>
            </w:tcBorders>
            <w:shd w:val="clear" w:color="000000" w:fill="E6F2FF"/>
            <w:noWrap/>
            <w:hideMark/>
          </w:tcPr>
          <w:p w14:paraId="629763BF"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2023–24</w:t>
            </w:r>
          </w:p>
        </w:tc>
        <w:tc>
          <w:tcPr>
            <w:tcW w:w="497" w:type="pct"/>
            <w:tcBorders>
              <w:top w:val="single" w:sz="4" w:space="0" w:color="002A54" w:themeColor="text2"/>
              <w:left w:val="nil"/>
              <w:bottom w:val="single" w:sz="4" w:space="0" w:color="002A54" w:themeColor="text2"/>
              <w:right w:val="nil"/>
            </w:tcBorders>
            <w:shd w:val="clear" w:color="000000" w:fill="FFFFFF"/>
            <w:noWrap/>
            <w:hideMark/>
          </w:tcPr>
          <w:p w14:paraId="64DA85F4"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2024–25</w:t>
            </w:r>
          </w:p>
        </w:tc>
        <w:tc>
          <w:tcPr>
            <w:tcW w:w="497" w:type="pct"/>
            <w:tcBorders>
              <w:top w:val="single" w:sz="4" w:space="0" w:color="002A54" w:themeColor="text2"/>
              <w:left w:val="nil"/>
              <w:bottom w:val="single" w:sz="4" w:space="0" w:color="002A54" w:themeColor="text2"/>
              <w:right w:val="nil"/>
            </w:tcBorders>
            <w:shd w:val="clear" w:color="000000" w:fill="FFFFFF"/>
            <w:noWrap/>
            <w:hideMark/>
          </w:tcPr>
          <w:p w14:paraId="2E51CD3D"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2025–26</w:t>
            </w:r>
          </w:p>
        </w:tc>
        <w:tc>
          <w:tcPr>
            <w:tcW w:w="511" w:type="pct"/>
            <w:gridSpan w:val="2"/>
            <w:tcBorders>
              <w:top w:val="single" w:sz="4" w:space="0" w:color="002A54" w:themeColor="text2"/>
              <w:left w:val="nil"/>
              <w:bottom w:val="single" w:sz="4" w:space="0" w:color="002A54" w:themeColor="text2"/>
              <w:right w:val="nil"/>
            </w:tcBorders>
            <w:shd w:val="clear" w:color="000000" w:fill="FFFFFF"/>
            <w:noWrap/>
            <w:hideMark/>
          </w:tcPr>
          <w:p w14:paraId="133B70B5"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2026–27</w:t>
            </w:r>
          </w:p>
        </w:tc>
      </w:tr>
      <w:tr w:rsidR="00624DD3" w:rsidRPr="00624DD3" w14:paraId="0DB0E457" w14:textId="77777777" w:rsidTr="00412EDF">
        <w:trPr>
          <w:divId w:val="1025596572"/>
          <w:trHeight w:hRule="exact" w:val="225"/>
        </w:trPr>
        <w:tc>
          <w:tcPr>
            <w:tcW w:w="1508" w:type="pct"/>
            <w:tcBorders>
              <w:top w:val="nil"/>
              <w:left w:val="nil"/>
              <w:bottom w:val="nil"/>
              <w:right w:val="nil"/>
            </w:tcBorders>
            <w:shd w:val="clear" w:color="000000" w:fill="FFFFFF"/>
            <w:noWrap/>
            <w:hideMark/>
          </w:tcPr>
          <w:p w14:paraId="70453D0E"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Total payments ($b)</w:t>
            </w:r>
          </w:p>
        </w:tc>
        <w:tc>
          <w:tcPr>
            <w:tcW w:w="946" w:type="pct"/>
            <w:tcBorders>
              <w:top w:val="single" w:sz="4" w:space="0" w:color="002A54" w:themeColor="text2"/>
              <w:left w:val="nil"/>
              <w:bottom w:val="nil"/>
              <w:right w:val="nil"/>
            </w:tcBorders>
            <w:shd w:val="clear" w:color="000000" w:fill="FFFFFF"/>
            <w:noWrap/>
            <w:hideMark/>
          </w:tcPr>
          <w:p w14:paraId="2B443D92"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644.1</w:t>
            </w:r>
          </w:p>
        </w:tc>
        <w:tc>
          <w:tcPr>
            <w:tcW w:w="497" w:type="pct"/>
            <w:tcBorders>
              <w:top w:val="single" w:sz="4" w:space="0" w:color="002A54" w:themeColor="text2"/>
              <w:left w:val="nil"/>
              <w:bottom w:val="nil"/>
              <w:right w:val="nil"/>
            </w:tcBorders>
            <w:shd w:val="clear" w:color="000000" w:fill="FFFFFF"/>
            <w:noWrap/>
            <w:hideMark/>
          </w:tcPr>
          <w:p w14:paraId="73FACAB3"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631.4</w:t>
            </w:r>
          </w:p>
        </w:tc>
        <w:tc>
          <w:tcPr>
            <w:tcW w:w="47" w:type="pct"/>
            <w:tcBorders>
              <w:top w:val="nil"/>
              <w:left w:val="nil"/>
              <w:bottom w:val="nil"/>
              <w:right w:val="nil"/>
            </w:tcBorders>
            <w:shd w:val="clear" w:color="000000" w:fill="FFFFFF"/>
            <w:noWrap/>
            <w:hideMark/>
          </w:tcPr>
          <w:p w14:paraId="773F2BDC"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 </w:t>
            </w:r>
          </w:p>
        </w:tc>
        <w:tc>
          <w:tcPr>
            <w:tcW w:w="497" w:type="pct"/>
            <w:tcBorders>
              <w:top w:val="single" w:sz="4" w:space="0" w:color="002A54" w:themeColor="text2"/>
              <w:left w:val="nil"/>
              <w:bottom w:val="nil"/>
              <w:right w:val="nil"/>
            </w:tcBorders>
            <w:shd w:val="clear" w:color="000000" w:fill="E6F2FF"/>
            <w:noWrap/>
            <w:hideMark/>
          </w:tcPr>
          <w:p w14:paraId="4D829A6C"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682.1</w:t>
            </w:r>
          </w:p>
        </w:tc>
        <w:tc>
          <w:tcPr>
            <w:tcW w:w="497" w:type="pct"/>
            <w:tcBorders>
              <w:top w:val="single" w:sz="4" w:space="0" w:color="002A54" w:themeColor="text2"/>
              <w:left w:val="nil"/>
              <w:bottom w:val="nil"/>
              <w:right w:val="nil"/>
            </w:tcBorders>
            <w:shd w:val="clear" w:color="000000" w:fill="FFFFFF"/>
            <w:noWrap/>
            <w:hideMark/>
          </w:tcPr>
          <w:p w14:paraId="266AF2AF"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706.3</w:t>
            </w:r>
          </w:p>
        </w:tc>
        <w:tc>
          <w:tcPr>
            <w:tcW w:w="497" w:type="pct"/>
            <w:tcBorders>
              <w:top w:val="single" w:sz="4" w:space="0" w:color="002A54" w:themeColor="text2"/>
              <w:left w:val="nil"/>
              <w:bottom w:val="nil"/>
              <w:right w:val="nil"/>
            </w:tcBorders>
            <w:shd w:val="clear" w:color="000000" w:fill="FFFFFF"/>
            <w:noWrap/>
            <w:hideMark/>
          </w:tcPr>
          <w:p w14:paraId="6FECE80E"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737.5</w:t>
            </w:r>
          </w:p>
        </w:tc>
        <w:tc>
          <w:tcPr>
            <w:tcW w:w="511" w:type="pct"/>
            <w:gridSpan w:val="2"/>
            <w:tcBorders>
              <w:top w:val="single" w:sz="4" w:space="0" w:color="002A54" w:themeColor="text2"/>
              <w:left w:val="nil"/>
              <w:bottom w:val="nil"/>
              <w:right w:val="nil"/>
            </w:tcBorders>
            <w:shd w:val="clear" w:color="000000" w:fill="FFFFFF"/>
            <w:noWrap/>
            <w:hideMark/>
          </w:tcPr>
          <w:p w14:paraId="6E8F6209" w14:textId="77777777" w:rsidR="00624DD3" w:rsidRPr="00624DD3" w:rsidRDefault="00624DD3" w:rsidP="00624DD3">
            <w:pPr>
              <w:spacing w:before="0" w:after="0" w:line="240" w:lineRule="auto"/>
              <w:jc w:val="right"/>
              <w:rPr>
                <w:rFonts w:ascii="Arial" w:hAnsi="Arial" w:cs="Arial"/>
                <w:b/>
                <w:bCs/>
                <w:color w:val="000000"/>
                <w:sz w:val="16"/>
                <w:szCs w:val="16"/>
              </w:rPr>
            </w:pPr>
            <w:r w:rsidRPr="00624DD3">
              <w:rPr>
                <w:rFonts w:ascii="Arial" w:hAnsi="Arial" w:cs="Arial"/>
                <w:b/>
                <w:bCs/>
                <w:color w:val="000000"/>
                <w:sz w:val="16"/>
                <w:szCs w:val="16"/>
              </w:rPr>
              <w:t>763.6</w:t>
            </w:r>
          </w:p>
        </w:tc>
      </w:tr>
      <w:tr w:rsidR="00624DD3" w:rsidRPr="00624DD3" w14:paraId="3CF59CAC" w14:textId="77777777" w:rsidTr="00624DD3">
        <w:trPr>
          <w:divId w:val="1025596572"/>
          <w:trHeight w:hRule="exact" w:val="225"/>
        </w:trPr>
        <w:tc>
          <w:tcPr>
            <w:tcW w:w="1508" w:type="pct"/>
            <w:tcBorders>
              <w:top w:val="nil"/>
              <w:left w:val="nil"/>
              <w:bottom w:val="nil"/>
              <w:right w:val="nil"/>
            </w:tcBorders>
            <w:shd w:val="clear" w:color="000000" w:fill="FFFFFF"/>
            <w:noWrap/>
            <w:hideMark/>
          </w:tcPr>
          <w:p w14:paraId="563494D4" w14:textId="77777777" w:rsidR="00624DD3" w:rsidRPr="00624DD3" w:rsidRDefault="00624DD3" w:rsidP="00624DD3">
            <w:pPr>
              <w:spacing w:before="0" w:after="0" w:line="240" w:lineRule="auto"/>
              <w:rPr>
                <w:rFonts w:ascii="Arial" w:hAnsi="Arial" w:cs="Arial"/>
                <w:color w:val="000000"/>
                <w:sz w:val="16"/>
                <w:szCs w:val="16"/>
              </w:rPr>
            </w:pPr>
            <w:r w:rsidRPr="00624DD3">
              <w:rPr>
                <w:rFonts w:ascii="Arial" w:hAnsi="Arial" w:cs="Arial"/>
                <w:color w:val="000000"/>
                <w:sz w:val="16"/>
                <w:szCs w:val="16"/>
              </w:rPr>
              <w:t xml:space="preserve">Real growth on </w:t>
            </w:r>
          </w:p>
        </w:tc>
        <w:tc>
          <w:tcPr>
            <w:tcW w:w="946" w:type="pct"/>
            <w:tcBorders>
              <w:top w:val="nil"/>
              <w:left w:val="nil"/>
              <w:bottom w:val="nil"/>
              <w:right w:val="nil"/>
            </w:tcBorders>
            <w:shd w:val="clear" w:color="000000" w:fill="FFFFFF"/>
            <w:noWrap/>
            <w:hideMark/>
          </w:tcPr>
          <w:p w14:paraId="3A3E5DD6"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497" w:type="pct"/>
            <w:tcBorders>
              <w:top w:val="nil"/>
              <w:left w:val="nil"/>
              <w:bottom w:val="nil"/>
              <w:right w:val="nil"/>
            </w:tcBorders>
            <w:shd w:val="clear" w:color="000000" w:fill="FFFFFF"/>
            <w:noWrap/>
            <w:hideMark/>
          </w:tcPr>
          <w:p w14:paraId="05A2A5E6"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47" w:type="pct"/>
            <w:tcBorders>
              <w:top w:val="nil"/>
              <w:left w:val="nil"/>
              <w:bottom w:val="nil"/>
              <w:right w:val="nil"/>
            </w:tcBorders>
            <w:shd w:val="clear" w:color="000000" w:fill="FFFFFF"/>
            <w:noWrap/>
            <w:hideMark/>
          </w:tcPr>
          <w:p w14:paraId="4BC32326"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497" w:type="pct"/>
            <w:tcBorders>
              <w:top w:val="nil"/>
              <w:left w:val="nil"/>
              <w:bottom w:val="nil"/>
              <w:right w:val="nil"/>
            </w:tcBorders>
            <w:shd w:val="clear" w:color="000000" w:fill="E6F2FF"/>
            <w:noWrap/>
            <w:hideMark/>
          </w:tcPr>
          <w:p w14:paraId="1828444B"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497" w:type="pct"/>
            <w:tcBorders>
              <w:top w:val="nil"/>
              <w:left w:val="nil"/>
              <w:bottom w:val="nil"/>
              <w:right w:val="nil"/>
            </w:tcBorders>
            <w:shd w:val="clear" w:color="000000" w:fill="FFFFFF"/>
            <w:noWrap/>
            <w:hideMark/>
          </w:tcPr>
          <w:p w14:paraId="5BD0C2C4"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497" w:type="pct"/>
            <w:tcBorders>
              <w:top w:val="nil"/>
              <w:left w:val="nil"/>
              <w:bottom w:val="nil"/>
              <w:right w:val="nil"/>
            </w:tcBorders>
            <w:shd w:val="clear" w:color="000000" w:fill="FFFFFF"/>
            <w:noWrap/>
            <w:hideMark/>
          </w:tcPr>
          <w:p w14:paraId="72CCCB04"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c>
          <w:tcPr>
            <w:tcW w:w="511" w:type="pct"/>
            <w:gridSpan w:val="2"/>
            <w:tcBorders>
              <w:top w:val="nil"/>
              <w:left w:val="nil"/>
              <w:bottom w:val="nil"/>
              <w:right w:val="nil"/>
            </w:tcBorders>
            <w:shd w:val="clear" w:color="000000" w:fill="FFFFFF"/>
            <w:noWrap/>
            <w:hideMark/>
          </w:tcPr>
          <w:p w14:paraId="35955549" w14:textId="77777777" w:rsidR="00624DD3" w:rsidRPr="00624DD3" w:rsidRDefault="00624DD3" w:rsidP="00624DD3">
            <w:pPr>
              <w:spacing w:before="0" w:after="0" w:line="240" w:lineRule="auto"/>
              <w:rPr>
                <w:rFonts w:ascii="Arial" w:hAnsi="Arial" w:cs="Arial"/>
                <w:b/>
                <w:bCs/>
                <w:color w:val="000000"/>
                <w:sz w:val="16"/>
                <w:szCs w:val="16"/>
              </w:rPr>
            </w:pPr>
            <w:r w:rsidRPr="00624DD3">
              <w:rPr>
                <w:rFonts w:ascii="Arial" w:hAnsi="Arial" w:cs="Arial"/>
                <w:b/>
                <w:bCs/>
                <w:color w:val="000000"/>
                <w:sz w:val="16"/>
                <w:szCs w:val="16"/>
              </w:rPr>
              <w:t> </w:t>
            </w:r>
          </w:p>
        </w:tc>
      </w:tr>
      <w:tr w:rsidR="00624DD3" w:rsidRPr="00624DD3" w14:paraId="401DEAC9" w14:textId="77777777" w:rsidTr="00E4574A">
        <w:trPr>
          <w:divId w:val="1025596572"/>
          <w:trHeight w:hRule="exact" w:val="225"/>
        </w:trPr>
        <w:tc>
          <w:tcPr>
            <w:tcW w:w="1508" w:type="pct"/>
            <w:tcBorders>
              <w:top w:val="nil"/>
              <w:left w:val="nil"/>
              <w:right w:val="nil"/>
            </w:tcBorders>
            <w:shd w:val="clear" w:color="000000" w:fill="FFFFFF"/>
            <w:noWrap/>
            <w:hideMark/>
          </w:tcPr>
          <w:p w14:paraId="35885371" w14:textId="77777777" w:rsidR="00624DD3" w:rsidRPr="00624DD3" w:rsidRDefault="00624DD3" w:rsidP="00624DD3">
            <w:pPr>
              <w:spacing w:before="0" w:after="0" w:line="240" w:lineRule="auto"/>
              <w:ind w:left="170"/>
              <w:rPr>
                <w:rFonts w:ascii="Arial" w:hAnsi="Arial" w:cs="Arial"/>
                <w:color w:val="000000"/>
                <w:sz w:val="16"/>
                <w:szCs w:val="16"/>
              </w:rPr>
            </w:pPr>
            <w:r w:rsidRPr="00624DD3">
              <w:rPr>
                <w:rFonts w:ascii="Arial" w:hAnsi="Arial" w:cs="Arial"/>
                <w:color w:val="000000"/>
                <w:sz w:val="16"/>
                <w:szCs w:val="16"/>
              </w:rPr>
              <w:t>previous year (%)(a)</w:t>
            </w:r>
          </w:p>
        </w:tc>
        <w:tc>
          <w:tcPr>
            <w:tcW w:w="946" w:type="pct"/>
            <w:tcBorders>
              <w:top w:val="nil"/>
              <w:left w:val="nil"/>
              <w:right w:val="nil"/>
            </w:tcBorders>
            <w:shd w:val="clear" w:color="000000" w:fill="FFFFFF"/>
            <w:noWrap/>
            <w:hideMark/>
          </w:tcPr>
          <w:p w14:paraId="49F5F18A" w14:textId="55CC319E" w:rsidR="00624DD3" w:rsidRPr="00624DD3" w:rsidRDefault="00D34B95" w:rsidP="00624D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4DD3" w:rsidRPr="00624DD3">
              <w:rPr>
                <w:rFonts w:ascii="Arial" w:hAnsi="Arial" w:cs="Arial"/>
                <w:color w:val="000000"/>
                <w:sz w:val="16"/>
                <w:szCs w:val="16"/>
              </w:rPr>
              <w:t>2.2</w:t>
            </w:r>
          </w:p>
        </w:tc>
        <w:tc>
          <w:tcPr>
            <w:tcW w:w="497" w:type="pct"/>
            <w:tcBorders>
              <w:top w:val="nil"/>
              <w:left w:val="nil"/>
              <w:right w:val="nil"/>
            </w:tcBorders>
            <w:shd w:val="clear" w:color="000000" w:fill="FFFFFF"/>
            <w:noWrap/>
            <w:hideMark/>
          </w:tcPr>
          <w:p w14:paraId="7B400CA7" w14:textId="0EA56831" w:rsidR="00624DD3" w:rsidRPr="00624DD3" w:rsidRDefault="00D34B95" w:rsidP="00624D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624DD3" w:rsidRPr="00624DD3">
              <w:rPr>
                <w:rFonts w:ascii="Arial" w:hAnsi="Arial" w:cs="Arial"/>
                <w:color w:val="000000"/>
                <w:sz w:val="16"/>
                <w:szCs w:val="16"/>
              </w:rPr>
              <w:t>4.3</w:t>
            </w:r>
          </w:p>
        </w:tc>
        <w:tc>
          <w:tcPr>
            <w:tcW w:w="47" w:type="pct"/>
            <w:tcBorders>
              <w:top w:val="nil"/>
              <w:left w:val="nil"/>
              <w:right w:val="nil"/>
            </w:tcBorders>
            <w:shd w:val="clear" w:color="000000" w:fill="FFFFFF"/>
            <w:noWrap/>
            <w:hideMark/>
          </w:tcPr>
          <w:p w14:paraId="6332547B"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 </w:t>
            </w:r>
          </w:p>
        </w:tc>
        <w:tc>
          <w:tcPr>
            <w:tcW w:w="497" w:type="pct"/>
            <w:tcBorders>
              <w:top w:val="nil"/>
              <w:left w:val="nil"/>
              <w:right w:val="nil"/>
            </w:tcBorders>
            <w:shd w:val="clear" w:color="000000" w:fill="E6F2FF"/>
            <w:noWrap/>
            <w:hideMark/>
          </w:tcPr>
          <w:p w14:paraId="1CDFEF97"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3.7</w:t>
            </w:r>
          </w:p>
        </w:tc>
        <w:tc>
          <w:tcPr>
            <w:tcW w:w="497" w:type="pct"/>
            <w:tcBorders>
              <w:top w:val="nil"/>
              <w:left w:val="nil"/>
              <w:right w:val="nil"/>
            </w:tcBorders>
            <w:shd w:val="clear" w:color="000000" w:fill="FFFFFF"/>
            <w:noWrap/>
            <w:hideMark/>
          </w:tcPr>
          <w:p w14:paraId="55F745D3"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0.6</w:t>
            </w:r>
          </w:p>
        </w:tc>
        <w:tc>
          <w:tcPr>
            <w:tcW w:w="497" w:type="pct"/>
            <w:tcBorders>
              <w:top w:val="nil"/>
              <w:left w:val="nil"/>
              <w:right w:val="nil"/>
            </w:tcBorders>
            <w:shd w:val="clear" w:color="000000" w:fill="FFFFFF"/>
            <w:noWrap/>
            <w:hideMark/>
          </w:tcPr>
          <w:p w14:paraId="0A3EA4EB"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1.9</w:t>
            </w:r>
          </w:p>
        </w:tc>
        <w:tc>
          <w:tcPr>
            <w:tcW w:w="511" w:type="pct"/>
            <w:gridSpan w:val="2"/>
            <w:tcBorders>
              <w:top w:val="nil"/>
              <w:left w:val="nil"/>
              <w:right w:val="nil"/>
            </w:tcBorders>
            <w:shd w:val="clear" w:color="000000" w:fill="FFFFFF"/>
            <w:noWrap/>
            <w:hideMark/>
          </w:tcPr>
          <w:p w14:paraId="2049891D" w14:textId="77777777" w:rsidR="00624DD3" w:rsidRPr="00624DD3" w:rsidRDefault="00624DD3" w:rsidP="00624DD3">
            <w:pPr>
              <w:spacing w:before="0" w:after="0" w:line="240" w:lineRule="auto"/>
              <w:jc w:val="right"/>
              <w:rPr>
                <w:rFonts w:ascii="Arial" w:hAnsi="Arial" w:cs="Arial"/>
                <w:color w:val="000000"/>
                <w:sz w:val="16"/>
                <w:szCs w:val="16"/>
              </w:rPr>
            </w:pPr>
            <w:r w:rsidRPr="00624DD3">
              <w:rPr>
                <w:rFonts w:ascii="Arial" w:hAnsi="Arial" w:cs="Arial"/>
                <w:color w:val="000000"/>
                <w:sz w:val="16"/>
                <w:szCs w:val="16"/>
              </w:rPr>
              <w:t>1.0</w:t>
            </w:r>
          </w:p>
        </w:tc>
      </w:tr>
      <w:tr w:rsidR="00624DD3" w:rsidRPr="00624DD3" w14:paraId="4882EEAF" w14:textId="77777777" w:rsidTr="00E4574A">
        <w:trPr>
          <w:divId w:val="1025596572"/>
          <w:trHeight w:hRule="exact" w:val="225"/>
        </w:trPr>
        <w:tc>
          <w:tcPr>
            <w:tcW w:w="1508" w:type="pct"/>
            <w:tcBorders>
              <w:top w:val="nil"/>
              <w:left w:val="nil"/>
              <w:bottom w:val="single" w:sz="4" w:space="0" w:color="002A54" w:themeColor="text2"/>
              <w:right w:val="nil"/>
            </w:tcBorders>
            <w:shd w:val="clear" w:color="000000" w:fill="FFFFFF"/>
            <w:noWrap/>
            <w:hideMark/>
          </w:tcPr>
          <w:p w14:paraId="56C50546" w14:textId="77777777" w:rsidR="00624DD3" w:rsidRPr="00624DD3" w:rsidRDefault="00624DD3" w:rsidP="00624DD3">
            <w:pPr>
              <w:spacing w:before="0" w:after="0" w:line="240" w:lineRule="auto"/>
              <w:rPr>
                <w:rFonts w:ascii="Arial" w:hAnsi="Arial" w:cs="Arial"/>
                <w:sz w:val="16"/>
                <w:szCs w:val="16"/>
              </w:rPr>
            </w:pPr>
            <w:r w:rsidRPr="00624DD3">
              <w:rPr>
                <w:rFonts w:ascii="Arial" w:hAnsi="Arial" w:cs="Arial"/>
                <w:sz w:val="16"/>
                <w:szCs w:val="16"/>
              </w:rPr>
              <w:t>Per cent of GDP</w:t>
            </w:r>
          </w:p>
        </w:tc>
        <w:tc>
          <w:tcPr>
            <w:tcW w:w="946" w:type="pct"/>
            <w:tcBorders>
              <w:top w:val="nil"/>
              <w:left w:val="nil"/>
              <w:bottom w:val="single" w:sz="4" w:space="0" w:color="002A54" w:themeColor="text2"/>
              <w:right w:val="nil"/>
            </w:tcBorders>
            <w:shd w:val="clear" w:color="000000" w:fill="FFFFFF"/>
            <w:noWrap/>
            <w:hideMark/>
          </w:tcPr>
          <w:p w14:paraId="5F68299E"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25.9</w:t>
            </w:r>
          </w:p>
        </w:tc>
        <w:tc>
          <w:tcPr>
            <w:tcW w:w="497" w:type="pct"/>
            <w:tcBorders>
              <w:top w:val="nil"/>
              <w:left w:val="nil"/>
              <w:bottom w:val="single" w:sz="4" w:space="0" w:color="002A54" w:themeColor="text2"/>
              <w:right w:val="nil"/>
            </w:tcBorders>
            <w:shd w:val="clear" w:color="000000" w:fill="FFFFFF"/>
            <w:noWrap/>
            <w:hideMark/>
          </w:tcPr>
          <w:p w14:paraId="3A116E69"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24.8</w:t>
            </w:r>
          </w:p>
        </w:tc>
        <w:tc>
          <w:tcPr>
            <w:tcW w:w="47" w:type="pct"/>
            <w:tcBorders>
              <w:top w:val="nil"/>
              <w:left w:val="nil"/>
              <w:bottom w:val="single" w:sz="4" w:space="0" w:color="002A54" w:themeColor="text2"/>
              <w:right w:val="nil"/>
            </w:tcBorders>
            <w:shd w:val="clear" w:color="000000" w:fill="FFFFFF"/>
            <w:noWrap/>
            <w:hideMark/>
          </w:tcPr>
          <w:p w14:paraId="49C58E15"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 </w:t>
            </w:r>
          </w:p>
        </w:tc>
        <w:tc>
          <w:tcPr>
            <w:tcW w:w="497" w:type="pct"/>
            <w:tcBorders>
              <w:top w:val="nil"/>
              <w:left w:val="nil"/>
              <w:bottom w:val="single" w:sz="4" w:space="0" w:color="002A54" w:themeColor="text2"/>
              <w:right w:val="nil"/>
            </w:tcBorders>
            <w:shd w:val="clear" w:color="000000" w:fill="E6F2FF"/>
            <w:noWrap/>
            <w:hideMark/>
          </w:tcPr>
          <w:p w14:paraId="3AE89099"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26.5</w:t>
            </w:r>
          </w:p>
        </w:tc>
        <w:tc>
          <w:tcPr>
            <w:tcW w:w="497" w:type="pct"/>
            <w:tcBorders>
              <w:top w:val="nil"/>
              <w:left w:val="nil"/>
              <w:bottom w:val="single" w:sz="4" w:space="0" w:color="002A54" w:themeColor="text2"/>
              <w:right w:val="nil"/>
            </w:tcBorders>
            <w:shd w:val="clear" w:color="000000" w:fill="FFFFFF"/>
            <w:noWrap/>
            <w:hideMark/>
          </w:tcPr>
          <w:p w14:paraId="070016AD"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26.8</w:t>
            </w:r>
          </w:p>
        </w:tc>
        <w:tc>
          <w:tcPr>
            <w:tcW w:w="497" w:type="pct"/>
            <w:tcBorders>
              <w:top w:val="nil"/>
              <w:left w:val="nil"/>
              <w:bottom w:val="single" w:sz="4" w:space="0" w:color="002A54" w:themeColor="text2"/>
              <w:right w:val="nil"/>
            </w:tcBorders>
            <w:shd w:val="clear" w:color="000000" w:fill="FFFFFF"/>
            <w:noWrap/>
            <w:hideMark/>
          </w:tcPr>
          <w:p w14:paraId="29729D34"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26.6</w:t>
            </w:r>
          </w:p>
        </w:tc>
        <w:tc>
          <w:tcPr>
            <w:tcW w:w="511" w:type="pct"/>
            <w:gridSpan w:val="2"/>
            <w:tcBorders>
              <w:top w:val="nil"/>
              <w:left w:val="nil"/>
              <w:bottom w:val="single" w:sz="4" w:space="0" w:color="002A54" w:themeColor="text2"/>
              <w:right w:val="nil"/>
            </w:tcBorders>
            <w:shd w:val="clear" w:color="000000" w:fill="FFFFFF"/>
            <w:noWrap/>
            <w:hideMark/>
          </w:tcPr>
          <w:p w14:paraId="2D0589C4" w14:textId="77777777" w:rsidR="00624DD3" w:rsidRPr="00624DD3" w:rsidRDefault="00624DD3" w:rsidP="00624DD3">
            <w:pPr>
              <w:spacing w:before="0" w:after="0" w:line="240" w:lineRule="auto"/>
              <w:jc w:val="right"/>
              <w:rPr>
                <w:rFonts w:ascii="Arial" w:hAnsi="Arial" w:cs="Arial"/>
                <w:sz w:val="16"/>
                <w:szCs w:val="16"/>
              </w:rPr>
            </w:pPr>
            <w:r w:rsidRPr="00624DD3">
              <w:rPr>
                <w:rFonts w:ascii="Arial" w:hAnsi="Arial" w:cs="Arial"/>
                <w:sz w:val="16"/>
                <w:szCs w:val="16"/>
              </w:rPr>
              <w:t>26.1</w:t>
            </w:r>
          </w:p>
        </w:tc>
      </w:tr>
    </w:tbl>
    <w:p w14:paraId="4C763961" w14:textId="31CDEAB5" w:rsidR="00C855DF" w:rsidRPr="000177D7" w:rsidRDefault="00C855DF" w:rsidP="00173739">
      <w:pPr>
        <w:pStyle w:val="ChartandTableFootnoteAlpha"/>
        <w:numPr>
          <w:ilvl w:val="0"/>
          <w:numId w:val="6"/>
        </w:numPr>
        <w:rPr>
          <w:color w:val="auto"/>
        </w:rPr>
      </w:pPr>
      <w:r w:rsidRPr="000177D7">
        <w:rPr>
          <w:color w:val="auto"/>
        </w:rPr>
        <w:t>Real growth is calculated using the Consumer Price Index.</w:t>
      </w:r>
    </w:p>
    <w:p w14:paraId="6E840FD5" w14:textId="77777777" w:rsidR="00C855DF" w:rsidRPr="000177D7" w:rsidRDefault="00C855DF" w:rsidP="00C855DF">
      <w:pPr>
        <w:pStyle w:val="TableLine"/>
      </w:pPr>
    </w:p>
    <w:p w14:paraId="0A50C46C" w14:textId="299B251A" w:rsidR="0050166A" w:rsidRDefault="0050166A" w:rsidP="0050166A">
      <w:r w:rsidRPr="000177D7">
        <w:t xml:space="preserve">As a percentage of GDP, total payments are expected to be </w:t>
      </w:r>
      <w:r>
        <w:t>broadly stable over the forward estimates</w:t>
      </w:r>
      <w:r w:rsidRPr="000177D7">
        <w:t>.</w:t>
      </w:r>
      <w:r>
        <w:t xml:space="preserve"> More detail about GGS payments can be seen at a program level for the</w:t>
      </w:r>
      <w:r w:rsidR="00061B74">
        <w:t xml:space="preserve"> top</w:t>
      </w:r>
      <w:r w:rsidR="000C5340">
        <w:t> </w:t>
      </w:r>
      <w:r w:rsidR="00061B74">
        <w:t>2</w:t>
      </w:r>
      <w:r>
        <w:t>0</w:t>
      </w:r>
      <w:r w:rsidR="00061B74">
        <w:t> </w:t>
      </w:r>
      <w:r>
        <w:t xml:space="preserve">programs by payments in Table 6.3.2 and in </w:t>
      </w:r>
      <w:r>
        <w:rPr>
          <w:i/>
          <w:iCs/>
        </w:rPr>
        <w:t>Statement 3</w:t>
      </w:r>
      <w:r w:rsidR="005E3ECB">
        <w:rPr>
          <w:i/>
          <w:iCs/>
        </w:rPr>
        <w:t>:</w:t>
      </w:r>
      <w:r>
        <w:rPr>
          <w:i/>
          <w:iCs/>
        </w:rPr>
        <w:t xml:space="preserve"> Fiscal Strategy and Outlook. </w:t>
      </w:r>
    </w:p>
    <w:p w14:paraId="45442736" w14:textId="77777777" w:rsidR="00012D16" w:rsidRDefault="00012D16" w:rsidP="0050166A">
      <w:r>
        <w:br w:type="page"/>
      </w:r>
    </w:p>
    <w:p w14:paraId="751AAB12" w14:textId="02D8766F" w:rsidR="00B561FF" w:rsidRPr="000177D7" w:rsidRDefault="0050166A" w:rsidP="0050166A">
      <w:r w:rsidRPr="000177D7">
        <w:lastRenderedPageBreak/>
        <w:t xml:space="preserve">Table 6.2 provides a reconciliation of expense estimates between the </w:t>
      </w:r>
      <w:r>
        <w:t>October</w:t>
      </w:r>
      <w:r w:rsidRPr="000177D7">
        <w:t xml:space="preserve"> Budget and the 202</w:t>
      </w:r>
      <w:r>
        <w:t>3</w:t>
      </w:r>
      <w:r w:rsidR="00A12C3A">
        <w:t>–</w:t>
      </w:r>
      <w:r w:rsidRPr="000177D7">
        <w:t>2</w:t>
      </w:r>
      <w:r>
        <w:t>4</w:t>
      </w:r>
      <w:r w:rsidRPr="000177D7">
        <w:t xml:space="preserve"> Budget</w:t>
      </w:r>
      <w:r>
        <w:t>.</w:t>
      </w:r>
    </w:p>
    <w:p w14:paraId="1BB70549" w14:textId="74DF33AA" w:rsidR="00BD0FBA" w:rsidRDefault="00C855DF" w:rsidP="00BD0FBA">
      <w:pPr>
        <w:pStyle w:val="TableHeading"/>
        <w:rPr>
          <w:rFonts w:asciiTheme="minorHAnsi" w:eastAsiaTheme="minorHAnsi" w:hAnsiTheme="minorHAnsi" w:cstheme="minorBidi"/>
          <w:b w:val="0"/>
          <w:sz w:val="22"/>
          <w:szCs w:val="22"/>
          <w:lang w:eastAsia="en-US"/>
        </w:rPr>
      </w:pPr>
      <w:r w:rsidRPr="000177D7">
        <w:t>Table 6.2: Reconciliation of expense estimat</w:t>
      </w:r>
      <w:r w:rsidR="00AE1197">
        <w:t>e</w:t>
      </w:r>
      <w:bookmarkStart w:id="12" w:name="_1744905104"/>
      <w:bookmarkEnd w:id="12"/>
    </w:p>
    <w:tbl>
      <w:tblPr>
        <w:tblW w:w="5000" w:type="pct"/>
        <w:tblCellMar>
          <w:left w:w="0" w:type="dxa"/>
          <w:right w:w="28" w:type="dxa"/>
        </w:tblCellMar>
        <w:tblLook w:val="04A0" w:firstRow="1" w:lastRow="0" w:firstColumn="1" w:lastColumn="0" w:noHBand="0" w:noVBand="1"/>
      </w:tblPr>
      <w:tblGrid>
        <w:gridCol w:w="3449"/>
        <w:gridCol w:w="856"/>
        <w:gridCol w:w="847"/>
        <w:gridCol w:w="848"/>
        <w:gridCol w:w="856"/>
        <w:gridCol w:w="854"/>
      </w:tblGrid>
      <w:tr w:rsidR="00BD0FBA" w:rsidRPr="00BD0FBA" w14:paraId="35EF593E" w14:textId="77777777" w:rsidTr="002B0DE0">
        <w:trPr>
          <w:divId w:val="1050303325"/>
          <w:trHeight w:hRule="exact" w:val="226"/>
        </w:trPr>
        <w:tc>
          <w:tcPr>
            <w:tcW w:w="2237" w:type="pct"/>
            <w:tcBorders>
              <w:top w:val="single" w:sz="4" w:space="0" w:color="293F5B"/>
              <w:left w:val="nil"/>
              <w:bottom w:val="nil"/>
              <w:right w:val="nil"/>
            </w:tcBorders>
            <w:shd w:val="clear" w:color="000000" w:fill="FFFFFF"/>
            <w:noWrap/>
            <w:vAlign w:val="center"/>
            <w:hideMark/>
          </w:tcPr>
          <w:p w14:paraId="1996E5E4" w14:textId="67F777AD"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single" w:sz="4" w:space="0" w:color="293F5B"/>
              <w:left w:val="nil"/>
              <w:bottom w:val="nil"/>
              <w:right w:val="nil"/>
            </w:tcBorders>
            <w:shd w:val="clear" w:color="auto" w:fill="auto"/>
            <w:noWrap/>
            <w:vAlign w:val="center"/>
            <w:hideMark/>
          </w:tcPr>
          <w:p w14:paraId="4CFE26D5"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1099" w:type="pct"/>
            <w:gridSpan w:val="2"/>
            <w:tcBorders>
              <w:top w:val="single" w:sz="4" w:space="0" w:color="293F5B"/>
              <w:left w:val="nil"/>
              <w:bottom w:val="nil"/>
              <w:right w:val="nil"/>
            </w:tcBorders>
            <w:shd w:val="clear" w:color="000000" w:fill="FFFFFF"/>
            <w:noWrap/>
            <w:vAlign w:val="center"/>
            <w:hideMark/>
          </w:tcPr>
          <w:p w14:paraId="4D248C66" w14:textId="77777777" w:rsidR="00BD0FBA" w:rsidRPr="00BD0FBA" w:rsidRDefault="00BD0FBA" w:rsidP="00BD0FBA">
            <w:pPr>
              <w:spacing w:before="0" w:after="0" w:line="240" w:lineRule="auto"/>
              <w:jc w:val="center"/>
              <w:rPr>
                <w:rFonts w:ascii="Arial" w:hAnsi="Arial" w:cs="Arial"/>
                <w:sz w:val="16"/>
                <w:szCs w:val="16"/>
              </w:rPr>
            </w:pPr>
            <w:r w:rsidRPr="00BD0FBA">
              <w:rPr>
                <w:rFonts w:ascii="Arial" w:hAnsi="Arial" w:cs="Arial"/>
                <w:sz w:val="16"/>
                <w:szCs w:val="16"/>
              </w:rPr>
              <w:t>Estimates</w:t>
            </w:r>
          </w:p>
        </w:tc>
        <w:tc>
          <w:tcPr>
            <w:tcW w:w="555" w:type="pct"/>
            <w:tcBorders>
              <w:top w:val="single" w:sz="4" w:space="0" w:color="293F5B"/>
              <w:left w:val="nil"/>
              <w:bottom w:val="nil"/>
              <w:right w:val="nil"/>
            </w:tcBorders>
            <w:shd w:val="clear" w:color="000000" w:fill="FFFFFF"/>
            <w:noWrap/>
            <w:vAlign w:val="center"/>
            <w:hideMark/>
          </w:tcPr>
          <w:p w14:paraId="0E2B08CA"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4" w:type="pct"/>
            <w:tcBorders>
              <w:top w:val="single" w:sz="4" w:space="0" w:color="293F5B"/>
              <w:left w:val="nil"/>
              <w:bottom w:val="nil"/>
              <w:right w:val="nil"/>
            </w:tcBorders>
            <w:shd w:val="clear" w:color="000000" w:fill="FFFFFF"/>
            <w:noWrap/>
            <w:vAlign w:val="center"/>
            <w:hideMark/>
          </w:tcPr>
          <w:p w14:paraId="23FCD7CB"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r>
      <w:tr w:rsidR="00BD0FBA" w:rsidRPr="00BD0FBA" w14:paraId="3A61313F" w14:textId="77777777" w:rsidTr="002B0DE0">
        <w:trPr>
          <w:divId w:val="1050303325"/>
          <w:trHeight w:hRule="exact" w:val="226"/>
        </w:trPr>
        <w:tc>
          <w:tcPr>
            <w:tcW w:w="2237" w:type="pct"/>
            <w:tcBorders>
              <w:top w:val="nil"/>
              <w:left w:val="nil"/>
              <w:bottom w:val="nil"/>
              <w:right w:val="nil"/>
            </w:tcBorders>
            <w:shd w:val="clear" w:color="000000" w:fill="FFFFFF"/>
            <w:noWrap/>
            <w:vAlign w:val="bottom"/>
            <w:hideMark/>
          </w:tcPr>
          <w:p w14:paraId="3A3F78D7"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single" w:sz="4" w:space="0" w:color="293F5B"/>
              <w:left w:val="nil"/>
              <w:bottom w:val="nil"/>
              <w:right w:val="nil"/>
            </w:tcBorders>
            <w:shd w:val="clear" w:color="auto" w:fill="auto"/>
            <w:noWrap/>
            <w:vAlign w:val="center"/>
            <w:hideMark/>
          </w:tcPr>
          <w:p w14:paraId="300B975D"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2022–23</w:t>
            </w:r>
          </w:p>
        </w:tc>
        <w:tc>
          <w:tcPr>
            <w:tcW w:w="549" w:type="pct"/>
            <w:tcBorders>
              <w:top w:val="single" w:sz="4" w:space="0" w:color="293F5B"/>
              <w:left w:val="nil"/>
              <w:bottom w:val="nil"/>
              <w:right w:val="nil"/>
            </w:tcBorders>
            <w:shd w:val="clear" w:color="auto" w:fill="E6F2FF"/>
            <w:noWrap/>
            <w:vAlign w:val="center"/>
            <w:hideMark/>
          </w:tcPr>
          <w:p w14:paraId="47BA9AA9"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2023–24</w:t>
            </w:r>
          </w:p>
        </w:tc>
        <w:tc>
          <w:tcPr>
            <w:tcW w:w="550" w:type="pct"/>
            <w:tcBorders>
              <w:top w:val="single" w:sz="4" w:space="0" w:color="293F5B"/>
              <w:left w:val="nil"/>
              <w:bottom w:val="nil"/>
              <w:right w:val="nil"/>
            </w:tcBorders>
            <w:shd w:val="clear" w:color="000000" w:fill="FFFFFF"/>
            <w:noWrap/>
            <w:vAlign w:val="center"/>
            <w:hideMark/>
          </w:tcPr>
          <w:p w14:paraId="5CCC10FF"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2024–25</w:t>
            </w:r>
          </w:p>
        </w:tc>
        <w:tc>
          <w:tcPr>
            <w:tcW w:w="555" w:type="pct"/>
            <w:tcBorders>
              <w:top w:val="single" w:sz="4" w:space="0" w:color="293F5B"/>
              <w:left w:val="nil"/>
              <w:bottom w:val="nil"/>
              <w:right w:val="nil"/>
            </w:tcBorders>
            <w:shd w:val="clear" w:color="000000" w:fill="FFFFFF"/>
            <w:noWrap/>
            <w:vAlign w:val="center"/>
            <w:hideMark/>
          </w:tcPr>
          <w:p w14:paraId="1BB4EB0B"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2025–26</w:t>
            </w:r>
          </w:p>
        </w:tc>
        <w:tc>
          <w:tcPr>
            <w:tcW w:w="554" w:type="pct"/>
            <w:tcBorders>
              <w:top w:val="single" w:sz="4" w:space="0" w:color="293F5B"/>
              <w:left w:val="nil"/>
              <w:bottom w:val="nil"/>
              <w:right w:val="nil"/>
            </w:tcBorders>
            <w:shd w:val="clear" w:color="000000" w:fill="FFFFFF"/>
            <w:noWrap/>
            <w:vAlign w:val="center"/>
            <w:hideMark/>
          </w:tcPr>
          <w:p w14:paraId="06A9C7C3"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Total</w:t>
            </w:r>
          </w:p>
        </w:tc>
      </w:tr>
      <w:tr w:rsidR="00BD0FBA" w:rsidRPr="00BD0FBA" w14:paraId="0588DF27"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3DAB1A93"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nil"/>
              <w:left w:val="nil"/>
              <w:bottom w:val="single" w:sz="4" w:space="0" w:color="293F5B"/>
              <w:right w:val="nil"/>
            </w:tcBorders>
            <w:shd w:val="clear" w:color="auto" w:fill="auto"/>
            <w:noWrap/>
            <w:vAlign w:val="center"/>
            <w:hideMark/>
          </w:tcPr>
          <w:p w14:paraId="68274753"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$m</w:t>
            </w:r>
          </w:p>
        </w:tc>
        <w:tc>
          <w:tcPr>
            <w:tcW w:w="549" w:type="pct"/>
            <w:tcBorders>
              <w:top w:val="nil"/>
              <w:left w:val="nil"/>
              <w:bottom w:val="single" w:sz="4" w:space="0" w:color="293F5B"/>
              <w:right w:val="nil"/>
            </w:tcBorders>
            <w:shd w:val="clear" w:color="auto" w:fill="E6F2FF"/>
            <w:noWrap/>
            <w:vAlign w:val="center"/>
            <w:hideMark/>
          </w:tcPr>
          <w:p w14:paraId="45E837C2"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78AFE9EF"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$m</w:t>
            </w:r>
          </w:p>
        </w:tc>
        <w:tc>
          <w:tcPr>
            <w:tcW w:w="555" w:type="pct"/>
            <w:tcBorders>
              <w:top w:val="nil"/>
              <w:left w:val="nil"/>
              <w:bottom w:val="single" w:sz="4" w:space="0" w:color="293F5B"/>
              <w:right w:val="nil"/>
            </w:tcBorders>
            <w:shd w:val="clear" w:color="000000" w:fill="FFFFFF"/>
            <w:noWrap/>
            <w:vAlign w:val="center"/>
            <w:hideMark/>
          </w:tcPr>
          <w:p w14:paraId="0FAE7B93"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$m</w:t>
            </w:r>
          </w:p>
        </w:tc>
        <w:tc>
          <w:tcPr>
            <w:tcW w:w="554" w:type="pct"/>
            <w:tcBorders>
              <w:top w:val="nil"/>
              <w:left w:val="nil"/>
              <w:bottom w:val="single" w:sz="4" w:space="0" w:color="293F5B"/>
              <w:right w:val="nil"/>
            </w:tcBorders>
            <w:shd w:val="clear" w:color="000000" w:fill="FFFFFF"/>
            <w:noWrap/>
            <w:vAlign w:val="center"/>
            <w:hideMark/>
          </w:tcPr>
          <w:p w14:paraId="33C772B8"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$m</w:t>
            </w:r>
          </w:p>
        </w:tc>
      </w:tr>
      <w:tr w:rsidR="00BD0FBA" w:rsidRPr="00BD0FBA" w14:paraId="07A987E8"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6EE59AA1"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2022–23 October Budget expenses</w:t>
            </w:r>
          </w:p>
        </w:tc>
        <w:tc>
          <w:tcPr>
            <w:tcW w:w="555" w:type="pct"/>
            <w:tcBorders>
              <w:top w:val="nil"/>
              <w:left w:val="nil"/>
              <w:bottom w:val="nil"/>
              <w:right w:val="nil"/>
            </w:tcBorders>
            <w:shd w:val="clear" w:color="auto" w:fill="auto"/>
            <w:noWrap/>
            <w:vAlign w:val="center"/>
            <w:hideMark/>
          </w:tcPr>
          <w:p w14:paraId="796A0CEB"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650,922</w:t>
            </w:r>
          </w:p>
        </w:tc>
        <w:tc>
          <w:tcPr>
            <w:tcW w:w="549" w:type="pct"/>
            <w:tcBorders>
              <w:top w:val="nil"/>
              <w:left w:val="nil"/>
              <w:bottom w:val="nil"/>
              <w:right w:val="nil"/>
            </w:tcBorders>
            <w:shd w:val="clear" w:color="auto" w:fill="E6F2FF"/>
            <w:noWrap/>
            <w:vAlign w:val="center"/>
            <w:hideMark/>
          </w:tcPr>
          <w:p w14:paraId="747E8C14"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666,465</w:t>
            </w:r>
          </w:p>
        </w:tc>
        <w:tc>
          <w:tcPr>
            <w:tcW w:w="550" w:type="pct"/>
            <w:tcBorders>
              <w:top w:val="nil"/>
              <w:left w:val="nil"/>
              <w:bottom w:val="nil"/>
              <w:right w:val="nil"/>
            </w:tcBorders>
            <w:shd w:val="clear" w:color="000000" w:fill="FFFFFF"/>
            <w:noWrap/>
            <w:vAlign w:val="center"/>
            <w:hideMark/>
          </w:tcPr>
          <w:p w14:paraId="35D0CD15"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702,253</w:t>
            </w:r>
          </w:p>
        </w:tc>
        <w:tc>
          <w:tcPr>
            <w:tcW w:w="555" w:type="pct"/>
            <w:tcBorders>
              <w:top w:val="nil"/>
              <w:left w:val="nil"/>
              <w:bottom w:val="nil"/>
              <w:right w:val="nil"/>
            </w:tcBorders>
            <w:shd w:val="clear" w:color="000000" w:fill="FFFFFF"/>
            <w:noWrap/>
            <w:vAlign w:val="center"/>
            <w:hideMark/>
          </w:tcPr>
          <w:p w14:paraId="2658752C"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730,960</w:t>
            </w:r>
          </w:p>
        </w:tc>
        <w:tc>
          <w:tcPr>
            <w:tcW w:w="554" w:type="pct"/>
            <w:tcBorders>
              <w:top w:val="single" w:sz="4" w:space="0" w:color="293F5B"/>
              <w:left w:val="nil"/>
              <w:bottom w:val="nil"/>
              <w:right w:val="nil"/>
            </w:tcBorders>
            <w:shd w:val="clear" w:color="000000" w:fill="FFFFFF"/>
            <w:noWrap/>
            <w:vAlign w:val="center"/>
            <w:hideMark/>
          </w:tcPr>
          <w:p w14:paraId="2A93EAF5"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2,750,600</w:t>
            </w:r>
          </w:p>
        </w:tc>
      </w:tr>
      <w:tr w:rsidR="00BD0FBA" w:rsidRPr="00BD0FBA" w14:paraId="0AD1E2C3" w14:textId="77777777" w:rsidTr="002B0DE0">
        <w:trPr>
          <w:divId w:val="1050303325"/>
          <w:trHeight w:hRule="exact" w:val="60"/>
        </w:trPr>
        <w:tc>
          <w:tcPr>
            <w:tcW w:w="2237" w:type="pct"/>
            <w:tcBorders>
              <w:top w:val="nil"/>
              <w:left w:val="nil"/>
              <w:bottom w:val="nil"/>
              <w:right w:val="nil"/>
            </w:tcBorders>
            <w:shd w:val="clear" w:color="000000" w:fill="FFFFFF"/>
            <w:noWrap/>
            <w:vAlign w:val="center"/>
            <w:hideMark/>
          </w:tcPr>
          <w:p w14:paraId="0DCF8D07"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55" w:type="pct"/>
            <w:tcBorders>
              <w:top w:val="nil"/>
              <w:left w:val="nil"/>
              <w:bottom w:val="nil"/>
              <w:right w:val="nil"/>
            </w:tcBorders>
            <w:shd w:val="clear" w:color="auto" w:fill="auto"/>
            <w:noWrap/>
            <w:vAlign w:val="center"/>
            <w:hideMark/>
          </w:tcPr>
          <w:p w14:paraId="6E61EC6E"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49" w:type="pct"/>
            <w:tcBorders>
              <w:top w:val="nil"/>
              <w:left w:val="nil"/>
              <w:bottom w:val="nil"/>
              <w:right w:val="nil"/>
            </w:tcBorders>
            <w:shd w:val="clear" w:color="auto" w:fill="E6F2FF"/>
            <w:noWrap/>
            <w:vAlign w:val="center"/>
            <w:hideMark/>
          </w:tcPr>
          <w:p w14:paraId="3DB81C37"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0" w:type="pct"/>
            <w:tcBorders>
              <w:top w:val="nil"/>
              <w:left w:val="nil"/>
              <w:bottom w:val="nil"/>
              <w:right w:val="nil"/>
            </w:tcBorders>
            <w:shd w:val="clear" w:color="000000" w:fill="FFFFFF"/>
            <w:noWrap/>
            <w:vAlign w:val="center"/>
            <w:hideMark/>
          </w:tcPr>
          <w:p w14:paraId="5B1F4551"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nil"/>
              <w:left w:val="nil"/>
              <w:bottom w:val="nil"/>
              <w:right w:val="nil"/>
            </w:tcBorders>
            <w:shd w:val="clear" w:color="000000" w:fill="FFFFFF"/>
            <w:noWrap/>
            <w:vAlign w:val="center"/>
            <w:hideMark/>
          </w:tcPr>
          <w:p w14:paraId="59B31E60"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47A11C92"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r>
      <w:tr w:rsidR="00BD0FBA" w:rsidRPr="00BD0FBA" w14:paraId="5C896617"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30F4FE86"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Changes from 2022–23 October Budget</w:t>
            </w:r>
          </w:p>
        </w:tc>
        <w:tc>
          <w:tcPr>
            <w:tcW w:w="555" w:type="pct"/>
            <w:tcBorders>
              <w:top w:val="nil"/>
              <w:left w:val="nil"/>
              <w:bottom w:val="nil"/>
              <w:right w:val="nil"/>
            </w:tcBorders>
            <w:shd w:val="clear" w:color="auto" w:fill="auto"/>
            <w:noWrap/>
            <w:vAlign w:val="center"/>
            <w:hideMark/>
          </w:tcPr>
          <w:p w14:paraId="41D5308C"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49" w:type="pct"/>
            <w:tcBorders>
              <w:top w:val="nil"/>
              <w:left w:val="nil"/>
              <w:bottom w:val="nil"/>
              <w:right w:val="nil"/>
            </w:tcBorders>
            <w:shd w:val="clear" w:color="auto" w:fill="E6F2FF"/>
            <w:noWrap/>
            <w:vAlign w:val="center"/>
            <w:hideMark/>
          </w:tcPr>
          <w:p w14:paraId="2AB44AD8"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0" w:type="pct"/>
            <w:tcBorders>
              <w:top w:val="nil"/>
              <w:left w:val="nil"/>
              <w:bottom w:val="nil"/>
              <w:right w:val="nil"/>
            </w:tcBorders>
            <w:shd w:val="clear" w:color="000000" w:fill="FFFFFF"/>
            <w:noWrap/>
            <w:vAlign w:val="center"/>
            <w:hideMark/>
          </w:tcPr>
          <w:p w14:paraId="61A80E18"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nil"/>
              <w:left w:val="nil"/>
              <w:bottom w:val="nil"/>
              <w:right w:val="nil"/>
            </w:tcBorders>
            <w:shd w:val="clear" w:color="000000" w:fill="FFFFFF"/>
            <w:noWrap/>
            <w:vAlign w:val="center"/>
            <w:hideMark/>
          </w:tcPr>
          <w:p w14:paraId="07318F74"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13591BBA"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r>
      <w:tr w:rsidR="00BD0FBA" w:rsidRPr="00BD0FBA" w14:paraId="1DC5663D"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1E1E710D" w14:textId="77777777" w:rsidR="00BD0FBA" w:rsidRPr="00BD0FBA" w:rsidRDefault="00BD0FBA" w:rsidP="00BD0FBA">
            <w:pPr>
              <w:spacing w:before="0" w:after="0" w:line="240" w:lineRule="auto"/>
              <w:ind w:left="170"/>
              <w:rPr>
                <w:rFonts w:ascii="Arial" w:hAnsi="Arial" w:cs="Arial"/>
                <w:b/>
                <w:bCs/>
                <w:sz w:val="16"/>
                <w:szCs w:val="16"/>
              </w:rPr>
            </w:pPr>
            <w:r w:rsidRPr="00BD0FBA">
              <w:rPr>
                <w:rFonts w:ascii="Arial" w:hAnsi="Arial" w:cs="Arial"/>
                <w:b/>
                <w:bCs/>
                <w:sz w:val="16"/>
                <w:szCs w:val="16"/>
              </w:rPr>
              <w:t>to 2023–24 Budget</w:t>
            </w:r>
          </w:p>
        </w:tc>
        <w:tc>
          <w:tcPr>
            <w:tcW w:w="555" w:type="pct"/>
            <w:tcBorders>
              <w:top w:val="nil"/>
              <w:left w:val="nil"/>
              <w:bottom w:val="nil"/>
              <w:right w:val="nil"/>
            </w:tcBorders>
            <w:shd w:val="clear" w:color="auto" w:fill="auto"/>
            <w:noWrap/>
            <w:vAlign w:val="center"/>
            <w:hideMark/>
          </w:tcPr>
          <w:p w14:paraId="10E3BA65" w14:textId="77777777" w:rsidR="00BD0FBA" w:rsidRPr="00BD0FBA" w:rsidRDefault="00BD0FBA" w:rsidP="00BD0FBA">
            <w:pPr>
              <w:spacing w:before="0" w:after="0" w:line="240" w:lineRule="auto"/>
              <w:rPr>
                <w:rFonts w:ascii="Arial" w:hAnsi="Arial" w:cs="Arial"/>
                <w:i/>
                <w:iCs/>
                <w:sz w:val="16"/>
                <w:szCs w:val="16"/>
              </w:rPr>
            </w:pPr>
            <w:r w:rsidRPr="00BD0FBA">
              <w:rPr>
                <w:rFonts w:ascii="Arial" w:hAnsi="Arial" w:cs="Arial"/>
                <w:i/>
                <w:iCs/>
                <w:sz w:val="16"/>
                <w:szCs w:val="16"/>
              </w:rPr>
              <w:t> </w:t>
            </w:r>
          </w:p>
        </w:tc>
        <w:tc>
          <w:tcPr>
            <w:tcW w:w="549" w:type="pct"/>
            <w:tcBorders>
              <w:top w:val="nil"/>
              <w:left w:val="nil"/>
              <w:bottom w:val="nil"/>
              <w:right w:val="nil"/>
            </w:tcBorders>
            <w:shd w:val="clear" w:color="auto" w:fill="E6F2FF"/>
            <w:noWrap/>
            <w:vAlign w:val="center"/>
            <w:hideMark/>
          </w:tcPr>
          <w:p w14:paraId="0B7270CA" w14:textId="77777777" w:rsidR="00BD0FBA" w:rsidRPr="00BD0FBA" w:rsidRDefault="00BD0FBA" w:rsidP="00BD0FBA">
            <w:pPr>
              <w:spacing w:before="0" w:after="0" w:line="240" w:lineRule="auto"/>
              <w:rPr>
                <w:rFonts w:ascii="Arial" w:hAnsi="Arial" w:cs="Arial"/>
                <w:i/>
                <w:iCs/>
                <w:sz w:val="16"/>
                <w:szCs w:val="16"/>
              </w:rPr>
            </w:pPr>
            <w:r w:rsidRPr="00BD0FBA">
              <w:rPr>
                <w:rFonts w:ascii="Arial" w:hAnsi="Arial" w:cs="Arial"/>
                <w:i/>
                <w:iCs/>
                <w:sz w:val="16"/>
                <w:szCs w:val="16"/>
              </w:rPr>
              <w:t> </w:t>
            </w:r>
          </w:p>
        </w:tc>
        <w:tc>
          <w:tcPr>
            <w:tcW w:w="550" w:type="pct"/>
            <w:tcBorders>
              <w:top w:val="nil"/>
              <w:left w:val="nil"/>
              <w:bottom w:val="nil"/>
              <w:right w:val="nil"/>
            </w:tcBorders>
            <w:shd w:val="clear" w:color="000000" w:fill="FFFFFF"/>
            <w:noWrap/>
            <w:vAlign w:val="center"/>
            <w:hideMark/>
          </w:tcPr>
          <w:p w14:paraId="405D9C6C" w14:textId="77777777" w:rsidR="00BD0FBA" w:rsidRPr="00BD0FBA" w:rsidRDefault="00BD0FBA" w:rsidP="00BD0FBA">
            <w:pPr>
              <w:spacing w:before="0" w:after="0" w:line="240" w:lineRule="auto"/>
              <w:rPr>
                <w:rFonts w:ascii="Arial" w:hAnsi="Arial" w:cs="Arial"/>
                <w:i/>
                <w:iCs/>
                <w:sz w:val="16"/>
                <w:szCs w:val="16"/>
              </w:rPr>
            </w:pPr>
            <w:r w:rsidRPr="00BD0FBA">
              <w:rPr>
                <w:rFonts w:ascii="Arial" w:hAnsi="Arial" w:cs="Arial"/>
                <w:i/>
                <w:iCs/>
                <w:sz w:val="16"/>
                <w:szCs w:val="16"/>
              </w:rPr>
              <w:t> </w:t>
            </w:r>
          </w:p>
        </w:tc>
        <w:tc>
          <w:tcPr>
            <w:tcW w:w="555" w:type="pct"/>
            <w:tcBorders>
              <w:top w:val="nil"/>
              <w:left w:val="nil"/>
              <w:bottom w:val="nil"/>
              <w:right w:val="nil"/>
            </w:tcBorders>
            <w:shd w:val="clear" w:color="000000" w:fill="FFFFFF"/>
            <w:noWrap/>
            <w:vAlign w:val="center"/>
            <w:hideMark/>
          </w:tcPr>
          <w:p w14:paraId="6246A70F" w14:textId="77777777" w:rsidR="00BD0FBA" w:rsidRPr="00BD0FBA" w:rsidRDefault="00BD0FBA" w:rsidP="00BD0FBA">
            <w:pPr>
              <w:spacing w:before="0" w:after="0" w:line="240" w:lineRule="auto"/>
              <w:rPr>
                <w:rFonts w:ascii="Arial" w:hAnsi="Arial" w:cs="Arial"/>
                <w:i/>
                <w:iCs/>
                <w:sz w:val="16"/>
                <w:szCs w:val="16"/>
              </w:rPr>
            </w:pPr>
            <w:r w:rsidRPr="00BD0FBA">
              <w:rPr>
                <w:rFonts w:ascii="Arial" w:hAnsi="Arial" w:cs="Arial"/>
                <w:i/>
                <w:iCs/>
                <w:sz w:val="16"/>
                <w:szCs w:val="16"/>
              </w:rPr>
              <w:t> </w:t>
            </w:r>
          </w:p>
        </w:tc>
        <w:tc>
          <w:tcPr>
            <w:tcW w:w="554" w:type="pct"/>
            <w:tcBorders>
              <w:top w:val="nil"/>
              <w:left w:val="nil"/>
              <w:bottom w:val="nil"/>
              <w:right w:val="nil"/>
            </w:tcBorders>
            <w:shd w:val="clear" w:color="000000" w:fill="FFFFFF"/>
            <w:noWrap/>
            <w:vAlign w:val="center"/>
            <w:hideMark/>
          </w:tcPr>
          <w:p w14:paraId="4B83E3C2"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r>
      <w:tr w:rsidR="00BD0FBA" w:rsidRPr="00BD0FBA" w14:paraId="48F6FA54"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38F0070E"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Effect of policy decisions(a)</w:t>
            </w:r>
          </w:p>
        </w:tc>
        <w:tc>
          <w:tcPr>
            <w:tcW w:w="555" w:type="pct"/>
            <w:tcBorders>
              <w:top w:val="nil"/>
              <w:left w:val="nil"/>
              <w:bottom w:val="nil"/>
              <w:right w:val="nil"/>
            </w:tcBorders>
            <w:shd w:val="clear" w:color="auto" w:fill="auto"/>
            <w:noWrap/>
            <w:vAlign w:val="center"/>
            <w:hideMark/>
          </w:tcPr>
          <w:p w14:paraId="6B4B7634"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1,749</w:t>
            </w:r>
          </w:p>
        </w:tc>
        <w:tc>
          <w:tcPr>
            <w:tcW w:w="549" w:type="pct"/>
            <w:tcBorders>
              <w:top w:val="nil"/>
              <w:left w:val="nil"/>
              <w:bottom w:val="nil"/>
              <w:right w:val="nil"/>
            </w:tcBorders>
            <w:shd w:val="clear" w:color="auto" w:fill="E6F2FF"/>
            <w:noWrap/>
            <w:vAlign w:val="center"/>
            <w:hideMark/>
          </w:tcPr>
          <w:p w14:paraId="4902AC17"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13,013</w:t>
            </w:r>
          </w:p>
        </w:tc>
        <w:tc>
          <w:tcPr>
            <w:tcW w:w="550" w:type="pct"/>
            <w:tcBorders>
              <w:top w:val="nil"/>
              <w:left w:val="nil"/>
              <w:bottom w:val="nil"/>
              <w:right w:val="nil"/>
            </w:tcBorders>
            <w:shd w:val="clear" w:color="000000" w:fill="FFFFFF"/>
            <w:noWrap/>
            <w:vAlign w:val="center"/>
            <w:hideMark/>
          </w:tcPr>
          <w:p w14:paraId="0690CA4C"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10,145</w:t>
            </w:r>
          </w:p>
        </w:tc>
        <w:tc>
          <w:tcPr>
            <w:tcW w:w="555" w:type="pct"/>
            <w:tcBorders>
              <w:top w:val="nil"/>
              <w:left w:val="nil"/>
              <w:bottom w:val="nil"/>
              <w:right w:val="nil"/>
            </w:tcBorders>
            <w:shd w:val="clear" w:color="000000" w:fill="FFFFFF"/>
            <w:noWrap/>
            <w:vAlign w:val="center"/>
            <w:hideMark/>
          </w:tcPr>
          <w:p w14:paraId="7BAD7436"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8,460</w:t>
            </w:r>
          </w:p>
        </w:tc>
        <w:tc>
          <w:tcPr>
            <w:tcW w:w="554" w:type="pct"/>
            <w:tcBorders>
              <w:top w:val="nil"/>
              <w:left w:val="nil"/>
              <w:bottom w:val="nil"/>
              <w:right w:val="nil"/>
            </w:tcBorders>
            <w:shd w:val="clear" w:color="000000" w:fill="FFFFFF"/>
            <w:noWrap/>
            <w:vAlign w:val="center"/>
            <w:hideMark/>
          </w:tcPr>
          <w:p w14:paraId="48503B12"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33,368</w:t>
            </w:r>
          </w:p>
        </w:tc>
      </w:tr>
      <w:tr w:rsidR="00BD0FBA" w:rsidRPr="00BD0FBA" w14:paraId="2C6A4671"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45EE4BB8"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Effect of economic parameter variations</w:t>
            </w:r>
          </w:p>
        </w:tc>
        <w:tc>
          <w:tcPr>
            <w:tcW w:w="555" w:type="pct"/>
            <w:tcBorders>
              <w:top w:val="nil"/>
              <w:left w:val="nil"/>
              <w:bottom w:val="nil"/>
              <w:right w:val="nil"/>
            </w:tcBorders>
            <w:shd w:val="clear" w:color="auto" w:fill="auto"/>
            <w:noWrap/>
            <w:vAlign w:val="center"/>
            <w:hideMark/>
          </w:tcPr>
          <w:p w14:paraId="61DBBE90"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49" w:type="pct"/>
            <w:tcBorders>
              <w:top w:val="nil"/>
              <w:left w:val="nil"/>
              <w:bottom w:val="nil"/>
              <w:right w:val="nil"/>
            </w:tcBorders>
            <w:shd w:val="clear" w:color="auto" w:fill="E6F2FF"/>
            <w:noWrap/>
            <w:vAlign w:val="center"/>
            <w:hideMark/>
          </w:tcPr>
          <w:p w14:paraId="462A89A8"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0" w:type="pct"/>
            <w:tcBorders>
              <w:top w:val="nil"/>
              <w:left w:val="nil"/>
              <w:bottom w:val="nil"/>
              <w:right w:val="nil"/>
            </w:tcBorders>
            <w:shd w:val="clear" w:color="000000" w:fill="FFFFFF"/>
            <w:noWrap/>
            <w:vAlign w:val="center"/>
            <w:hideMark/>
          </w:tcPr>
          <w:p w14:paraId="68EFC8B9"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5" w:type="pct"/>
            <w:tcBorders>
              <w:top w:val="nil"/>
              <w:left w:val="nil"/>
              <w:bottom w:val="nil"/>
              <w:right w:val="nil"/>
            </w:tcBorders>
            <w:shd w:val="clear" w:color="000000" w:fill="FFFFFF"/>
            <w:noWrap/>
            <w:vAlign w:val="center"/>
            <w:hideMark/>
          </w:tcPr>
          <w:p w14:paraId="51F4411D"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c>
          <w:tcPr>
            <w:tcW w:w="554" w:type="pct"/>
            <w:tcBorders>
              <w:top w:val="nil"/>
              <w:left w:val="nil"/>
              <w:bottom w:val="nil"/>
              <w:right w:val="nil"/>
            </w:tcBorders>
            <w:shd w:val="clear" w:color="000000" w:fill="FFFFFF"/>
            <w:noWrap/>
            <w:vAlign w:val="center"/>
            <w:hideMark/>
          </w:tcPr>
          <w:p w14:paraId="2272E28F"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 </w:t>
            </w:r>
          </w:p>
        </w:tc>
      </w:tr>
      <w:tr w:rsidR="00BD0FBA" w:rsidRPr="00BD0FBA" w14:paraId="0FCA4C40"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041D2343"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Total economic parameter variations</w:t>
            </w:r>
          </w:p>
        </w:tc>
        <w:tc>
          <w:tcPr>
            <w:tcW w:w="555" w:type="pct"/>
            <w:tcBorders>
              <w:top w:val="nil"/>
              <w:left w:val="nil"/>
              <w:bottom w:val="nil"/>
              <w:right w:val="nil"/>
            </w:tcBorders>
            <w:shd w:val="clear" w:color="auto" w:fill="auto"/>
            <w:noWrap/>
            <w:vAlign w:val="center"/>
            <w:hideMark/>
          </w:tcPr>
          <w:p w14:paraId="6CDE7C62"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-352</w:t>
            </w:r>
          </w:p>
        </w:tc>
        <w:tc>
          <w:tcPr>
            <w:tcW w:w="549" w:type="pct"/>
            <w:tcBorders>
              <w:top w:val="nil"/>
              <w:left w:val="nil"/>
              <w:bottom w:val="nil"/>
              <w:right w:val="nil"/>
            </w:tcBorders>
            <w:shd w:val="clear" w:color="auto" w:fill="E6F2FF"/>
            <w:noWrap/>
            <w:vAlign w:val="center"/>
            <w:hideMark/>
          </w:tcPr>
          <w:p w14:paraId="2E569A8A"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327</w:t>
            </w:r>
          </w:p>
        </w:tc>
        <w:tc>
          <w:tcPr>
            <w:tcW w:w="550" w:type="pct"/>
            <w:tcBorders>
              <w:top w:val="nil"/>
              <w:left w:val="nil"/>
              <w:bottom w:val="nil"/>
              <w:right w:val="nil"/>
            </w:tcBorders>
            <w:shd w:val="clear" w:color="000000" w:fill="FFFFFF"/>
            <w:noWrap/>
            <w:vAlign w:val="center"/>
            <w:hideMark/>
          </w:tcPr>
          <w:p w14:paraId="4B735901"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2,761</w:t>
            </w:r>
          </w:p>
        </w:tc>
        <w:tc>
          <w:tcPr>
            <w:tcW w:w="555" w:type="pct"/>
            <w:tcBorders>
              <w:top w:val="nil"/>
              <w:left w:val="nil"/>
              <w:bottom w:val="nil"/>
              <w:right w:val="nil"/>
            </w:tcBorders>
            <w:shd w:val="clear" w:color="000000" w:fill="FFFFFF"/>
            <w:noWrap/>
            <w:vAlign w:val="center"/>
            <w:hideMark/>
          </w:tcPr>
          <w:p w14:paraId="232A5009"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5,566</w:t>
            </w:r>
          </w:p>
        </w:tc>
        <w:tc>
          <w:tcPr>
            <w:tcW w:w="554" w:type="pct"/>
            <w:tcBorders>
              <w:top w:val="nil"/>
              <w:left w:val="nil"/>
              <w:bottom w:val="nil"/>
              <w:right w:val="nil"/>
            </w:tcBorders>
            <w:shd w:val="clear" w:color="000000" w:fill="FFFFFF"/>
            <w:noWrap/>
            <w:vAlign w:val="center"/>
            <w:hideMark/>
          </w:tcPr>
          <w:p w14:paraId="294D267D"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8,301</w:t>
            </w:r>
          </w:p>
        </w:tc>
      </w:tr>
      <w:tr w:rsidR="00BD0FBA" w:rsidRPr="00BD0FBA" w14:paraId="765EB269"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5EDBE7A0" w14:textId="77777777" w:rsidR="00BD0FBA" w:rsidRPr="00BD0FBA" w:rsidRDefault="00BD0FBA" w:rsidP="00BD0FBA">
            <w:pPr>
              <w:spacing w:before="0" w:after="0" w:line="240" w:lineRule="auto"/>
              <w:ind w:left="170"/>
              <w:rPr>
                <w:rFonts w:ascii="Arial" w:hAnsi="Arial" w:cs="Arial"/>
                <w:i/>
                <w:iCs/>
                <w:sz w:val="16"/>
                <w:szCs w:val="16"/>
              </w:rPr>
            </w:pPr>
            <w:r w:rsidRPr="00BD0FBA">
              <w:rPr>
                <w:rFonts w:ascii="Arial" w:hAnsi="Arial" w:cs="Arial"/>
                <w:i/>
                <w:iCs/>
                <w:sz w:val="16"/>
                <w:szCs w:val="16"/>
              </w:rPr>
              <w:t>Unemployment benefits</w:t>
            </w:r>
          </w:p>
        </w:tc>
        <w:tc>
          <w:tcPr>
            <w:tcW w:w="555" w:type="pct"/>
            <w:tcBorders>
              <w:top w:val="nil"/>
              <w:left w:val="nil"/>
              <w:bottom w:val="nil"/>
              <w:right w:val="nil"/>
            </w:tcBorders>
            <w:shd w:val="clear" w:color="auto" w:fill="auto"/>
            <w:noWrap/>
            <w:vAlign w:val="center"/>
            <w:hideMark/>
          </w:tcPr>
          <w:p w14:paraId="3551BDB1"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-65</w:t>
            </w:r>
          </w:p>
        </w:tc>
        <w:tc>
          <w:tcPr>
            <w:tcW w:w="549" w:type="pct"/>
            <w:tcBorders>
              <w:top w:val="nil"/>
              <w:left w:val="nil"/>
              <w:bottom w:val="nil"/>
              <w:right w:val="nil"/>
            </w:tcBorders>
            <w:shd w:val="clear" w:color="auto" w:fill="E6F2FF"/>
            <w:noWrap/>
            <w:vAlign w:val="center"/>
            <w:hideMark/>
          </w:tcPr>
          <w:p w14:paraId="1BE6FD9A"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-591</w:t>
            </w:r>
          </w:p>
        </w:tc>
        <w:tc>
          <w:tcPr>
            <w:tcW w:w="550" w:type="pct"/>
            <w:tcBorders>
              <w:top w:val="nil"/>
              <w:left w:val="nil"/>
              <w:bottom w:val="nil"/>
              <w:right w:val="nil"/>
            </w:tcBorders>
            <w:shd w:val="clear" w:color="000000" w:fill="FFFFFF"/>
            <w:noWrap/>
            <w:vAlign w:val="center"/>
            <w:hideMark/>
          </w:tcPr>
          <w:p w14:paraId="079BCFAB"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323</w:t>
            </w:r>
          </w:p>
        </w:tc>
        <w:tc>
          <w:tcPr>
            <w:tcW w:w="555" w:type="pct"/>
            <w:tcBorders>
              <w:top w:val="nil"/>
              <w:left w:val="nil"/>
              <w:bottom w:val="nil"/>
              <w:right w:val="nil"/>
            </w:tcBorders>
            <w:shd w:val="clear" w:color="000000" w:fill="FFFFFF"/>
            <w:noWrap/>
            <w:vAlign w:val="center"/>
            <w:hideMark/>
          </w:tcPr>
          <w:p w14:paraId="7F7A9AF9"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861</w:t>
            </w:r>
          </w:p>
        </w:tc>
        <w:tc>
          <w:tcPr>
            <w:tcW w:w="554" w:type="pct"/>
            <w:tcBorders>
              <w:top w:val="nil"/>
              <w:left w:val="nil"/>
              <w:bottom w:val="nil"/>
              <w:right w:val="nil"/>
            </w:tcBorders>
            <w:shd w:val="clear" w:color="000000" w:fill="FFFFFF"/>
            <w:noWrap/>
            <w:vAlign w:val="center"/>
            <w:hideMark/>
          </w:tcPr>
          <w:p w14:paraId="1D984A14"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527</w:t>
            </w:r>
          </w:p>
        </w:tc>
      </w:tr>
      <w:tr w:rsidR="00BD0FBA" w:rsidRPr="00BD0FBA" w14:paraId="39A5065B"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29EF5B7C" w14:textId="77777777" w:rsidR="00BD0FBA" w:rsidRPr="00BD0FBA" w:rsidRDefault="00BD0FBA" w:rsidP="00BD0FBA">
            <w:pPr>
              <w:spacing w:before="0" w:after="0" w:line="240" w:lineRule="auto"/>
              <w:ind w:left="170"/>
              <w:rPr>
                <w:rFonts w:ascii="Arial" w:hAnsi="Arial" w:cs="Arial"/>
                <w:i/>
                <w:iCs/>
                <w:sz w:val="16"/>
                <w:szCs w:val="16"/>
              </w:rPr>
            </w:pPr>
            <w:r w:rsidRPr="00BD0FBA">
              <w:rPr>
                <w:rFonts w:ascii="Arial" w:hAnsi="Arial" w:cs="Arial"/>
                <w:i/>
                <w:iCs/>
                <w:sz w:val="16"/>
                <w:szCs w:val="16"/>
              </w:rPr>
              <w:t>Prices and wages</w:t>
            </w:r>
          </w:p>
        </w:tc>
        <w:tc>
          <w:tcPr>
            <w:tcW w:w="555" w:type="pct"/>
            <w:tcBorders>
              <w:top w:val="nil"/>
              <w:left w:val="nil"/>
              <w:bottom w:val="nil"/>
              <w:right w:val="nil"/>
            </w:tcBorders>
            <w:shd w:val="clear" w:color="auto" w:fill="auto"/>
            <w:noWrap/>
            <w:vAlign w:val="center"/>
            <w:hideMark/>
          </w:tcPr>
          <w:p w14:paraId="5E9568E8"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12</w:t>
            </w:r>
          </w:p>
        </w:tc>
        <w:tc>
          <w:tcPr>
            <w:tcW w:w="549" w:type="pct"/>
            <w:tcBorders>
              <w:top w:val="nil"/>
              <w:left w:val="nil"/>
              <w:bottom w:val="nil"/>
              <w:right w:val="nil"/>
            </w:tcBorders>
            <w:shd w:val="clear" w:color="auto" w:fill="E6F2FF"/>
            <w:noWrap/>
            <w:vAlign w:val="center"/>
            <w:hideMark/>
          </w:tcPr>
          <w:p w14:paraId="24E6635A"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499</w:t>
            </w:r>
          </w:p>
        </w:tc>
        <w:tc>
          <w:tcPr>
            <w:tcW w:w="550" w:type="pct"/>
            <w:tcBorders>
              <w:top w:val="nil"/>
              <w:left w:val="nil"/>
              <w:bottom w:val="nil"/>
              <w:right w:val="nil"/>
            </w:tcBorders>
            <w:shd w:val="clear" w:color="000000" w:fill="FFFFFF"/>
            <w:noWrap/>
            <w:vAlign w:val="center"/>
            <w:hideMark/>
          </w:tcPr>
          <w:p w14:paraId="357E29B8"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1,554</w:t>
            </w:r>
          </w:p>
        </w:tc>
        <w:tc>
          <w:tcPr>
            <w:tcW w:w="555" w:type="pct"/>
            <w:tcBorders>
              <w:top w:val="nil"/>
              <w:left w:val="nil"/>
              <w:bottom w:val="nil"/>
              <w:right w:val="nil"/>
            </w:tcBorders>
            <w:shd w:val="clear" w:color="000000" w:fill="FFFFFF"/>
            <w:noWrap/>
            <w:vAlign w:val="center"/>
            <w:hideMark/>
          </w:tcPr>
          <w:p w14:paraId="44135042"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2,924</w:t>
            </w:r>
          </w:p>
        </w:tc>
        <w:tc>
          <w:tcPr>
            <w:tcW w:w="554" w:type="pct"/>
            <w:tcBorders>
              <w:top w:val="nil"/>
              <w:left w:val="nil"/>
              <w:bottom w:val="nil"/>
              <w:right w:val="nil"/>
            </w:tcBorders>
            <w:shd w:val="clear" w:color="000000" w:fill="FFFFFF"/>
            <w:noWrap/>
            <w:vAlign w:val="center"/>
            <w:hideMark/>
          </w:tcPr>
          <w:p w14:paraId="33FADAB4"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4,988</w:t>
            </w:r>
          </w:p>
        </w:tc>
      </w:tr>
      <w:tr w:rsidR="00BD0FBA" w:rsidRPr="00BD0FBA" w14:paraId="7ACE424B"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0AF1982B" w14:textId="77777777" w:rsidR="00BD0FBA" w:rsidRPr="00BD0FBA" w:rsidRDefault="00BD0FBA" w:rsidP="00BD0FBA">
            <w:pPr>
              <w:spacing w:before="0" w:after="0" w:line="240" w:lineRule="auto"/>
              <w:ind w:left="170"/>
              <w:rPr>
                <w:rFonts w:ascii="Arial" w:hAnsi="Arial" w:cs="Arial"/>
                <w:i/>
                <w:iCs/>
                <w:sz w:val="16"/>
                <w:szCs w:val="16"/>
              </w:rPr>
            </w:pPr>
            <w:r w:rsidRPr="00BD0FBA">
              <w:rPr>
                <w:rFonts w:ascii="Arial" w:hAnsi="Arial" w:cs="Arial"/>
                <w:i/>
                <w:iCs/>
                <w:sz w:val="16"/>
                <w:szCs w:val="16"/>
              </w:rPr>
              <w:t>Interest and exchange rates</w:t>
            </w:r>
          </w:p>
        </w:tc>
        <w:tc>
          <w:tcPr>
            <w:tcW w:w="555" w:type="pct"/>
            <w:tcBorders>
              <w:top w:val="nil"/>
              <w:left w:val="nil"/>
              <w:bottom w:val="nil"/>
              <w:right w:val="nil"/>
            </w:tcBorders>
            <w:shd w:val="clear" w:color="auto" w:fill="auto"/>
            <w:noWrap/>
            <w:vAlign w:val="center"/>
            <w:hideMark/>
          </w:tcPr>
          <w:p w14:paraId="71676B8E"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478</w:t>
            </w:r>
          </w:p>
        </w:tc>
        <w:tc>
          <w:tcPr>
            <w:tcW w:w="549" w:type="pct"/>
            <w:tcBorders>
              <w:top w:val="nil"/>
              <w:left w:val="nil"/>
              <w:bottom w:val="nil"/>
              <w:right w:val="nil"/>
            </w:tcBorders>
            <w:shd w:val="clear" w:color="auto" w:fill="E6F2FF"/>
            <w:noWrap/>
            <w:vAlign w:val="center"/>
            <w:hideMark/>
          </w:tcPr>
          <w:p w14:paraId="279620CC"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742</w:t>
            </w:r>
          </w:p>
        </w:tc>
        <w:tc>
          <w:tcPr>
            <w:tcW w:w="550" w:type="pct"/>
            <w:tcBorders>
              <w:top w:val="nil"/>
              <w:left w:val="nil"/>
              <w:bottom w:val="nil"/>
              <w:right w:val="nil"/>
            </w:tcBorders>
            <w:shd w:val="clear" w:color="000000" w:fill="FFFFFF"/>
            <w:noWrap/>
            <w:vAlign w:val="center"/>
            <w:hideMark/>
          </w:tcPr>
          <w:p w14:paraId="4574EF7A"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706</w:t>
            </w:r>
          </w:p>
        </w:tc>
        <w:tc>
          <w:tcPr>
            <w:tcW w:w="555" w:type="pct"/>
            <w:tcBorders>
              <w:top w:val="nil"/>
              <w:left w:val="nil"/>
              <w:bottom w:val="nil"/>
              <w:right w:val="nil"/>
            </w:tcBorders>
            <w:shd w:val="clear" w:color="000000" w:fill="FFFFFF"/>
            <w:noWrap/>
            <w:vAlign w:val="center"/>
            <w:hideMark/>
          </w:tcPr>
          <w:p w14:paraId="3213EC18"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681</w:t>
            </w:r>
          </w:p>
        </w:tc>
        <w:tc>
          <w:tcPr>
            <w:tcW w:w="554" w:type="pct"/>
            <w:tcBorders>
              <w:top w:val="nil"/>
              <w:left w:val="nil"/>
              <w:bottom w:val="nil"/>
              <w:right w:val="nil"/>
            </w:tcBorders>
            <w:shd w:val="clear" w:color="000000" w:fill="FFFFFF"/>
            <w:noWrap/>
            <w:vAlign w:val="center"/>
            <w:hideMark/>
          </w:tcPr>
          <w:p w14:paraId="41552737"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2,607</w:t>
            </w:r>
          </w:p>
        </w:tc>
      </w:tr>
      <w:tr w:rsidR="00BD0FBA" w:rsidRPr="00BD0FBA" w14:paraId="600B9F7B"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55D224DD" w14:textId="77777777" w:rsidR="00BD0FBA" w:rsidRPr="00BD0FBA" w:rsidRDefault="00BD0FBA" w:rsidP="00BD0FBA">
            <w:pPr>
              <w:spacing w:before="0" w:after="0" w:line="240" w:lineRule="auto"/>
              <w:ind w:left="170"/>
              <w:rPr>
                <w:rFonts w:ascii="Arial" w:hAnsi="Arial" w:cs="Arial"/>
                <w:i/>
                <w:iCs/>
                <w:sz w:val="16"/>
                <w:szCs w:val="16"/>
              </w:rPr>
            </w:pPr>
            <w:r w:rsidRPr="00BD0FBA">
              <w:rPr>
                <w:rFonts w:ascii="Arial" w:hAnsi="Arial" w:cs="Arial"/>
                <w:i/>
                <w:iCs/>
                <w:sz w:val="16"/>
                <w:szCs w:val="16"/>
              </w:rPr>
              <w:t>GST payments to the States</w:t>
            </w:r>
          </w:p>
        </w:tc>
        <w:tc>
          <w:tcPr>
            <w:tcW w:w="555" w:type="pct"/>
            <w:tcBorders>
              <w:top w:val="nil"/>
              <w:left w:val="nil"/>
              <w:bottom w:val="nil"/>
              <w:right w:val="nil"/>
            </w:tcBorders>
            <w:shd w:val="clear" w:color="auto" w:fill="auto"/>
            <w:noWrap/>
            <w:vAlign w:val="center"/>
            <w:hideMark/>
          </w:tcPr>
          <w:p w14:paraId="79DD2898"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-776</w:t>
            </w:r>
          </w:p>
        </w:tc>
        <w:tc>
          <w:tcPr>
            <w:tcW w:w="549" w:type="pct"/>
            <w:tcBorders>
              <w:top w:val="nil"/>
              <w:left w:val="nil"/>
              <w:bottom w:val="nil"/>
              <w:right w:val="nil"/>
            </w:tcBorders>
            <w:shd w:val="clear" w:color="auto" w:fill="E6F2FF"/>
            <w:noWrap/>
            <w:vAlign w:val="center"/>
            <w:hideMark/>
          </w:tcPr>
          <w:p w14:paraId="346B4827"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-323</w:t>
            </w:r>
          </w:p>
        </w:tc>
        <w:tc>
          <w:tcPr>
            <w:tcW w:w="550" w:type="pct"/>
            <w:tcBorders>
              <w:top w:val="nil"/>
              <w:left w:val="nil"/>
              <w:bottom w:val="nil"/>
              <w:right w:val="nil"/>
            </w:tcBorders>
            <w:shd w:val="clear" w:color="000000" w:fill="FFFFFF"/>
            <w:noWrap/>
            <w:vAlign w:val="center"/>
            <w:hideMark/>
          </w:tcPr>
          <w:p w14:paraId="12BBE09B"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177</w:t>
            </w:r>
          </w:p>
        </w:tc>
        <w:tc>
          <w:tcPr>
            <w:tcW w:w="555" w:type="pct"/>
            <w:tcBorders>
              <w:top w:val="nil"/>
              <w:left w:val="nil"/>
              <w:bottom w:val="nil"/>
              <w:right w:val="nil"/>
            </w:tcBorders>
            <w:shd w:val="clear" w:color="000000" w:fill="FFFFFF"/>
            <w:noWrap/>
            <w:vAlign w:val="center"/>
            <w:hideMark/>
          </w:tcPr>
          <w:p w14:paraId="4CA44504"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1,100</w:t>
            </w:r>
          </w:p>
        </w:tc>
        <w:tc>
          <w:tcPr>
            <w:tcW w:w="554" w:type="pct"/>
            <w:tcBorders>
              <w:top w:val="nil"/>
              <w:left w:val="nil"/>
              <w:bottom w:val="nil"/>
              <w:right w:val="nil"/>
            </w:tcBorders>
            <w:shd w:val="clear" w:color="000000" w:fill="FFFFFF"/>
            <w:noWrap/>
            <w:vAlign w:val="center"/>
            <w:hideMark/>
          </w:tcPr>
          <w:p w14:paraId="54F898D2" w14:textId="77777777" w:rsidR="00BD0FBA" w:rsidRPr="00BD0FBA" w:rsidRDefault="00BD0FBA" w:rsidP="00BD0FBA">
            <w:pPr>
              <w:spacing w:before="0" w:after="0" w:line="240" w:lineRule="auto"/>
              <w:jc w:val="right"/>
              <w:rPr>
                <w:rFonts w:ascii="Arial" w:hAnsi="Arial" w:cs="Arial"/>
                <w:i/>
                <w:iCs/>
                <w:sz w:val="16"/>
                <w:szCs w:val="16"/>
              </w:rPr>
            </w:pPr>
            <w:r w:rsidRPr="00BD0FBA">
              <w:rPr>
                <w:rFonts w:ascii="Arial" w:hAnsi="Arial" w:cs="Arial"/>
                <w:i/>
                <w:iCs/>
                <w:sz w:val="16"/>
                <w:szCs w:val="16"/>
              </w:rPr>
              <w:t>178</w:t>
            </w:r>
          </w:p>
        </w:tc>
      </w:tr>
      <w:tr w:rsidR="00BD0FBA" w:rsidRPr="00BD0FBA" w14:paraId="34791412"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38F220CE"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Public debt interest</w:t>
            </w:r>
          </w:p>
        </w:tc>
        <w:tc>
          <w:tcPr>
            <w:tcW w:w="555" w:type="pct"/>
            <w:tcBorders>
              <w:top w:val="nil"/>
              <w:left w:val="nil"/>
              <w:bottom w:val="nil"/>
              <w:right w:val="nil"/>
            </w:tcBorders>
            <w:shd w:val="clear" w:color="auto" w:fill="auto"/>
            <w:noWrap/>
            <w:vAlign w:val="center"/>
            <w:hideMark/>
          </w:tcPr>
          <w:p w14:paraId="3BE140A0"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-269</w:t>
            </w:r>
          </w:p>
        </w:tc>
        <w:tc>
          <w:tcPr>
            <w:tcW w:w="549" w:type="pct"/>
            <w:tcBorders>
              <w:top w:val="nil"/>
              <w:left w:val="nil"/>
              <w:bottom w:val="nil"/>
              <w:right w:val="nil"/>
            </w:tcBorders>
            <w:shd w:val="clear" w:color="auto" w:fill="E6F2FF"/>
            <w:noWrap/>
            <w:vAlign w:val="center"/>
            <w:hideMark/>
          </w:tcPr>
          <w:p w14:paraId="4B790008"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-1,554</w:t>
            </w:r>
          </w:p>
        </w:tc>
        <w:tc>
          <w:tcPr>
            <w:tcW w:w="550" w:type="pct"/>
            <w:tcBorders>
              <w:top w:val="nil"/>
              <w:left w:val="nil"/>
              <w:bottom w:val="nil"/>
              <w:right w:val="nil"/>
            </w:tcBorders>
            <w:shd w:val="clear" w:color="000000" w:fill="FFFFFF"/>
            <w:noWrap/>
            <w:vAlign w:val="center"/>
            <w:hideMark/>
          </w:tcPr>
          <w:p w14:paraId="7C031ECD"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-3,813</w:t>
            </w:r>
          </w:p>
        </w:tc>
        <w:tc>
          <w:tcPr>
            <w:tcW w:w="555" w:type="pct"/>
            <w:tcBorders>
              <w:top w:val="nil"/>
              <w:left w:val="nil"/>
              <w:bottom w:val="nil"/>
              <w:right w:val="nil"/>
            </w:tcBorders>
            <w:shd w:val="clear" w:color="000000" w:fill="FFFFFF"/>
            <w:noWrap/>
            <w:vAlign w:val="center"/>
            <w:hideMark/>
          </w:tcPr>
          <w:p w14:paraId="1EC18DE5"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-5,769</w:t>
            </w:r>
          </w:p>
        </w:tc>
        <w:tc>
          <w:tcPr>
            <w:tcW w:w="554" w:type="pct"/>
            <w:tcBorders>
              <w:top w:val="nil"/>
              <w:left w:val="nil"/>
              <w:bottom w:val="nil"/>
              <w:right w:val="nil"/>
            </w:tcBorders>
            <w:shd w:val="clear" w:color="000000" w:fill="FFFFFF"/>
            <w:noWrap/>
            <w:vAlign w:val="center"/>
            <w:hideMark/>
          </w:tcPr>
          <w:p w14:paraId="026D4191"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-11,405</w:t>
            </w:r>
          </w:p>
        </w:tc>
      </w:tr>
      <w:tr w:rsidR="00BD0FBA" w:rsidRPr="00BD0FBA" w14:paraId="7A01289E"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2403B974"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Program specific parameter variations</w:t>
            </w:r>
          </w:p>
        </w:tc>
        <w:tc>
          <w:tcPr>
            <w:tcW w:w="555" w:type="pct"/>
            <w:tcBorders>
              <w:top w:val="nil"/>
              <w:left w:val="nil"/>
              <w:bottom w:val="nil"/>
              <w:right w:val="nil"/>
            </w:tcBorders>
            <w:shd w:val="clear" w:color="auto" w:fill="auto"/>
            <w:noWrap/>
            <w:vAlign w:val="center"/>
            <w:hideMark/>
          </w:tcPr>
          <w:p w14:paraId="3DEE697D"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-1,338</w:t>
            </w:r>
          </w:p>
        </w:tc>
        <w:tc>
          <w:tcPr>
            <w:tcW w:w="549" w:type="pct"/>
            <w:tcBorders>
              <w:top w:val="nil"/>
              <w:left w:val="nil"/>
              <w:bottom w:val="nil"/>
              <w:right w:val="nil"/>
            </w:tcBorders>
            <w:shd w:val="clear" w:color="auto" w:fill="E6F2FF"/>
            <w:noWrap/>
            <w:vAlign w:val="center"/>
            <w:hideMark/>
          </w:tcPr>
          <w:p w14:paraId="7E51ABC9"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-822</w:t>
            </w:r>
          </w:p>
        </w:tc>
        <w:tc>
          <w:tcPr>
            <w:tcW w:w="550" w:type="pct"/>
            <w:tcBorders>
              <w:top w:val="nil"/>
              <w:left w:val="nil"/>
              <w:bottom w:val="nil"/>
              <w:right w:val="nil"/>
            </w:tcBorders>
            <w:shd w:val="clear" w:color="000000" w:fill="FFFFFF"/>
            <w:noWrap/>
            <w:vAlign w:val="center"/>
            <w:hideMark/>
          </w:tcPr>
          <w:p w14:paraId="1E3833E2"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-1,914</w:t>
            </w:r>
          </w:p>
        </w:tc>
        <w:tc>
          <w:tcPr>
            <w:tcW w:w="555" w:type="pct"/>
            <w:tcBorders>
              <w:top w:val="nil"/>
              <w:left w:val="nil"/>
              <w:bottom w:val="nil"/>
              <w:right w:val="nil"/>
            </w:tcBorders>
            <w:shd w:val="clear" w:color="000000" w:fill="FFFFFF"/>
            <w:noWrap/>
            <w:vAlign w:val="center"/>
            <w:hideMark/>
          </w:tcPr>
          <w:p w14:paraId="6D2B344C"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-2,029</w:t>
            </w:r>
          </w:p>
        </w:tc>
        <w:tc>
          <w:tcPr>
            <w:tcW w:w="554" w:type="pct"/>
            <w:tcBorders>
              <w:top w:val="nil"/>
              <w:left w:val="nil"/>
              <w:bottom w:val="nil"/>
              <w:right w:val="nil"/>
            </w:tcBorders>
            <w:shd w:val="clear" w:color="000000" w:fill="FFFFFF"/>
            <w:noWrap/>
            <w:vAlign w:val="center"/>
            <w:hideMark/>
          </w:tcPr>
          <w:p w14:paraId="2D824797"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-6,104</w:t>
            </w:r>
          </w:p>
        </w:tc>
      </w:tr>
      <w:tr w:rsidR="00BD0FBA" w:rsidRPr="00BD0FBA" w14:paraId="6A4F0EDE"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19804184" w14:textId="77777777" w:rsidR="00BD0FBA" w:rsidRPr="00BD0FBA" w:rsidRDefault="00BD0FBA" w:rsidP="00BD0FBA">
            <w:pPr>
              <w:spacing w:before="0" w:after="0" w:line="240" w:lineRule="auto"/>
              <w:rPr>
                <w:rFonts w:ascii="Arial" w:hAnsi="Arial" w:cs="Arial"/>
                <w:sz w:val="16"/>
                <w:szCs w:val="16"/>
              </w:rPr>
            </w:pPr>
            <w:r w:rsidRPr="00BD0FBA">
              <w:rPr>
                <w:rFonts w:ascii="Arial" w:hAnsi="Arial" w:cs="Arial"/>
                <w:sz w:val="16"/>
                <w:szCs w:val="16"/>
              </w:rPr>
              <w:t>Other variations</w:t>
            </w:r>
          </w:p>
        </w:tc>
        <w:tc>
          <w:tcPr>
            <w:tcW w:w="555" w:type="pct"/>
            <w:tcBorders>
              <w:top w:val="nil"/>
              <w:left w:val="nil"/>
              <w:bottom w:val="single" w:sz="4" w:space="0" w:color="293F5B"/>
              <w:right w:val="nil"/>
            </w:tcBorders>
            <w:shd w:val="clear" w:color="auto" w:fill="auto"/>
            <w:noWrap/>
            <w:vAlign w:val="center"/>
            <w:hideMark/>
          </w:tcPr>
          <w:p w14:paraId="685E3234"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-5,923</w:t>
            </w:r>
          </w:p>
        </w:tc>
        <w:tc>
          <w:tcPr>
            <w:tcW w:w="549" w:type="pct"/>
            <w:tcBorders>
              <w:top w:val="nil"/>
              <w:left w:val="nil"/>
              <w:bottom w:val="single" w:sz="4" w:space="0" w:color="293F5B"/>
              <w:right w:val="nil"/>
            </w:tcBorders>
            <w:shd w:val="clear" w:color="auto" w:fill="E6F2FF"/>
            <w:noWrap/>
            <w:vAlign w:val="center"/>
            <w:hideMark/>
          </w:tcPr>
          <w:p w14:paraId="00B8D926"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6,656</w:t>
            </w:r>
          </w:p>
        </w:tc>
        <w:tc>
          <w:tcPr>
            <w:tcW w:w="550" w:type="pct"/>
            <w:tcBorders>
              <w:top w:val="nil"/>
              <w:left w:val="nil"/>
              <w:bottom w:val="single" w:sz="4" w:space="0" w:color="293F5B"/>
              <w:right w:val="nil"/>
            </w:tcBorders>
            <w:shd w:val="clear" w:color="000000" w:fill="FFFFFF"/>
            <w:noWrap/>
            <w:vAlign w:val="center"/>
            <w:hideMark/>
          </w:tcPr>
          <w:p w14:paraId="4E6F3BA1"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5,950</w:t>
            </w:r>
          </w:p>
        </w:tc>
        <w:tc>
          <w:tcPr>
            <w:tcW w:w="555" w:type="pct"/>
            <w:tcBorders>
              <w:top w:val="nil"/>
              <w:left w:val="nil"/>
              <w:bottom w:val="single" w:sz="4" w:space="0" w:color="293F5B"/>
              <w:right w:val="nil"/>
            </w:tcBorders>
            <w:shd w:val="clear" w:color="000000" w:fill="FFFFFF"/>
            <w:noWrap/>
            <w:vAlign w:val="center"/>
            <w:hideMark/>
          </w:tcPr>
          <w:p w14:paraId="1C4F6B81"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6,137</w:t>
            </w:r>
          </w:p>
        </w:tc>
        <w:tc>
          <w:tcPr>
            <w:tcW w:w="554" w:type="pct"/>
            <w:tcBorders>
              <w:top w:val="nil"/>
              <w:left w:val="nil"/>
              <w:bottom w:val="single" w:sz="4" w:space="0" w:color="293F5B"/>
              <w:right w:val="nil"/>
            </w:tcBorders>
            <w:shd w:val="clear" w:color="000000" w:fill="FFFFFF"/>
            <w:noWrap/>
            <w:vAlign w:val="center"/>
            <w:hideMark/>
          </w:tcPr>
          <w:p w14:paraId="2DDBF4E7" w14:textId="77777777" w:rsidR="00BD0FBA" w:rsidRPr="00BD0FBA" w:rsidRDefault="00BD0FBA" w:rsidP="00BD0FBA">
            <w:pPr>
              <w:spacing w:before="0" w:after="0" w:line="240" w:lineRule="auto"/>
              <w:jc w:val="right"/>
              <w:rPr>
                <w:rFonts w:ascii="Arial" w:hAnsi="Arial" w:cs="Arial"/>
                <w:sz w:val="16"/>
                <w:szCs w:val="16"/>
              </w:rPr>
            </w:pPr>
            <w:r w:rsidRPr="00BD0FBA">
              <w:rPr>
                <w:rFonts w:ascii="Arial" w:hAnsi="Arial" w:cs="Arial"/>
                <w:sz w:val="16"/>
                <w:szCs w:val="16"/>
              </w:rPr>
              <w:t>12,819</w:t>
            </w:r>
          </w:p>
        </w:tc>
      </w:tr>
      <w:tr w:rsidR="00BD0FBA" w:rsidRPr="00BD0FBA" w14:paraId="0716FAEB" w14:textId="77777777" w:rsidTr="002B0DE0">
        <w:trPr>
          <w:divId w:val="1050303325"/>
          <w:trHeight w:hRule="exact" w:val="226"/>
        </w:trPr>
        <w:tc>
          <w:tcPr>
            <w:tcW w:w="2237" w:type="pct"/>
            <w:tcBorders>
              <w:top w:val="nil"/>
              <w:left w:val="nil"/>
              <w:bottom w:val="nil"/>
              <w:right w:val="nil"/>
            </w:tcBorders>
            <w:shd w:val="clear" w:color="000000" w:fill="FFFFFF"/>
            <w:noWrap/>
            <w:vAlign w:val="center"/>
            <w:hideMark/>
          </w:tcPr>
          <w:p w14:paraId="75FA4964"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Total variations</w:t>
            </w:r>
          </w:p>
        </w:tc>
        <w:tc>
          <w:tcPr>
            <w:tcW w:w="555" w:type="pct"/>
            <w:tcBorders>
              <w:top w:val="single" w:sz="4" w:space="0" w:color="293F5B"/>
              <w:left w:val="nil"/>
              <w:bottom w:val="single" w:sz="4" w:space="0" w:color="293F5B"/>
              <w:right w:val="nil"/>
            </w:tcBorders>
            <w:shd w:val="clear" w:color="auto" w:fill="auto"/>
            <w:noWrap/>
            <w:vAlign w:val="center"/>
            <w:hideMark/>
          </w:tcPr>
          <w:p w14:paraId="1DDE6D01"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-6,134</w:t>
            </w:r>
          </w:p>
        </w:tc>
        <w:tc>
          <w:tcPr>
            <w:tcW w:w="549" w:type="pct"/>
            <w:tcBorders>
              <w:top w:val="single" w:sz="4" w:space="0" w:color="293F5B"/>
              <w:left w:val="nil"/>
              <w:bottom w:val="single" w:sz="4" w:space="0" w:color="293F5B"/>
              <w:right w:val="nil"/>
            </w:tcBorders>
            <w:shd w:val="clear" w:color="auto" w:fill="E6F2FF"/>
            <w:noWrap/>
            <w:vAlign w:val="center"/>
            <w:hideMark/>
          </w:tcPr>
          <w:p w14:paraId="79087396"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17,620</w:t>
            </w:r>
          </w:p>
        </w:tc>
        <w:tc>
          <w:tcPr>
            <w:tcW w:w="550" w:type="pct"/>
            <w:tcBorders>
              <w:top w:val="single" w:sz="4" w:space="0" w:color="293F5B"/>
              <w:left w:val="nil"/>
              <w:bottom w:val="single" w:sz="4" w:space="0" w:color="293F5B"/>
              <w:right w:val="nil"/>
            </w:tcBorders>
            <w:shd w:val="clear" w:color="000000" w:fill="FFFFFF"/>
            <w:noWrap/>
            <w:vAlign w:val="center"/>
            <w:hideMark/>
          </w:tcPr>
          <w:p w14:paraId="5447327C"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13,129</w:t>
            </w:r>
          </w:p>
        </w:tc>
        <w:tc>
          <w:tcPr>
            <w:tcW w:w="555" w:type="pct"/>
            <w:tcBorders>
              <w:top w:val="single" w:sz="4" w:space="0" w:color="293F5B"/>
              <w:left w:val="nil"/>
              <w:bottom w:val="single" w:sz="4" w:space="0" w:color="293F5B"/>
              <w:right w:val="nil"/>
            </w:tcBorders>
            <w:shd w:val="clear" w:color="000000" w:fill="FFFFFF"/>
            <w:noWrap/>
            <w:vAlign w:val="center"/>
            <w:hideMark/>
          </w:tcPr>
          <w:p w14:paraId="4A689597"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12,364</w:t>
            </w:r>
          </w:p>
        </w:tc>
        <w:tc>
          <w:tcPr>
            <w:tcW w:w="554" w:type="pct"/>
            <w:tcBorders>
              <w:top w:val="single" w:sz="4" w:space="0" w:color="293F5B"/>
              <w:left w:val="nil"/>
              <w:bottom w:val="single" w:sz="4" w:space="0" w:color="293F5B"/>
              <w:right w:val="nil"/>
            </w:tcBorders>
            <w:shd w:val="clear" w:color="000000" w:fill="FFFFFF"/>
            <w:noWrap/>
            <w:vAlign w:val="center"/>
            <w:hideMark/>
          </w:tcPr>
          <w:p w14:paraId="293F93D4"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36,979</w:t>
            </w:r>
          </w:p>
        </w:tc>
      </w:tr>
      <w:tr w:rsidR="00BD0FBA" w:rsidRPr="00BD0FBA" w14:paraId="3B319E99" w14:textId="77777777" w:rsidTr="002B0DE0">
        <w:trPr>
          <w:divId w:val="1050303325"/>
          <w:trHeight w:hRule="exact" w:val="60"/>
        </w:trPr>
        <w:tc>
          <w:tcPr>
            <w:tcW w:w="2237" w:type="pct"/>
            <w:tcBorders>
              <w:top w:val="nil"/>
              <w:left w:val="nil"/>
              <w:bottom w:val="nil"/>
              <w:right w:val="nil"/>
            </w:tcBorders>
            <w:shd w:val="clear" w:color="000000" w:fill="FFFFFF"/>
            <w:noWrap/>
            <w:vAlign w:val="center"/>
            <w:hideMark/>
          </w:tcPr>
          <w:p w14:paraId="17A4C71D"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55" w:type="pct"/>
            <w:tcBorders>
              <w:top w:val="nil"/>
              <w:left w:val="nil"/>
              <w:bottom w:val="nil"/>
              <w:right w:val="nil"/>
            </w:tcBorders>
            <w:shd w:val="clear" w:color="auto" w:fill="auto"/>
            <w:noWrap/>
            <w:vAlign w:val="center"/>
            <w:hideMark/>
          </w:tcPr>
          <w:p w14:paraId="277770CA"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49" w:type="pct"/>
            <w:tcBorders>
              <w:top w:val="nil"/>
              <w:left w:val="nil"/>
              <w:bottom w:val="nil"/>
              <w:right w:val="nil"/>
            </w:tcBorders>
            <w:shd w:val="clear" w:color="auto" w:fill="E6F2FF"/>
            <w:noWrap/>
            <w:vAlign w:val="center"/>
            <w:hideMark/>
          </w:tcPr>
          <w:p w14:paraId="2C2EB346"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50" w:type="pct"/>
            <w:tcBorders>
              <w:top w:val="nil"/>
              <w:left w:val="nil"/>
              <w:bottom w:val="nil"/>
              <w:right w:val="nil"/>
            </w:tcBorders>
            <w:shd w:val="clear" w:color="000000" w:fill="FFFFFF"/>
            <w:noWrap/>
            <w:vAlign w:val="center"/>
            <w:hideMark/>
          </w:tcPr>
          <w:p w14:paraId="16A05F9F"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55" w:type="pct"/>
            <w:tcBorders>
              <w:top w:val="nil"/>
              <w:left w:val="nil"/>
              <w:bottom w:val="nil"/>
              <w:right w:val="nil"/>
            </w:tcBorders>
            <w:shd w:val="clear" w:color="000000" w:fill="FFFFFF"/>
            <w:noWrap/>
            <w:vAlign w:val="center"/>
            <w:hideMark/>
          </w:tcPr>
          <w:p w14:paraId="21810C6A"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c>
          <w:tcPr>
            <w:tcW w:w="554" w:type="pct"/>
            <w:tcBorders>
              <w:top w:val="nil"/>
              <w:left w:val="nil"/>
              <w:bottom w:val="nil"/>
              <w:right w:val="nil"/>
            </w:tcBorders>
            <w:shd w:val="clear" w:color="000000" w:fill="FFFFFF"/>
            <w:noWrap/>
            <w:vAlign w:val="center"/>
            <w:hideMark/>
          </w:tcPr>
          <w:p w14:paraId="6EC5F414"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 </w:t>
            </w:r>
          </w:p>
        </w:tc>
      </w:tr>
      <w:tr w:rsidR="00BD0FBA" w:rsidRPr="00BD0FBA" w14:paraId="6EE4E54B" w14:textId="77777777" w:rsidTr="002B0DE0">
        <w:trPr>
          <w:divId w:val="1050303325"/>
          <w:trHeight w:hRule="exact" w:val="226"/>
        </w:trPr>
        <w:tc>
          <w:tcPr>
            <w:tcW w:w="2237" w:type="pct"/>
            <w:tcBorders>
              <w:top w:val="nil"/>
              <w:left w:val="nil"/>
              <w:bottom w:val="single" w:sz="4" w:space="0" w:color="293F5B"/>
              <w:right w:val="nil"/>
            </w:tcBorders>
            <w:shd w:val="clear" w:color="000000" w:fill="FFFFFF"/>
            <w:noWrap/>
            <w:vAlign w:val="center"/>
            <w:hideMark/>
          </w:tcPr>
          <w:p w14:paraId="799E2CD2" w14:textId="77777777" w:rsidR="00BD0FBA" w:rsidRPr="00BD0FBA" w:rsidRDefault="00BD0FBA" w:rsidP="00BD0FBA">
            <w:pPr>
              <w:spacing w:before="0" w:after="0" w:line="240" w:lineRule="auto"/>
              <w:rPr>
                <w:rFonts w:ascii="Arial" w:hAnsi="Arial" w:cs="Arial"/>
                <w:b/>
                <w:bCs/>
                <w:sz w:val="16"/>
                <w:szCs w:val="16"/>
              </w:rPr>
            </w:pPr>
            <w:r w:rsidRPr="00BD0FBA">
              <w:rPr>
                <w:rFonts w:ascii="Arial" w:hAnsi="Arial" w:cs="Arial"/>
                <w:b/>
                <w:bCs/>
                <w:sz w:val="16"/>
                <w:szCs w:val="16"/>
              </w:rPr>
              <w:t>2023–24 Budget expenses</w:t>
            </w:r>
          </w:p>
        </w:tc>
        <w:tc>
          <w:tcPr>
            <w:tcW w:w="555" w:type="pct"/>
            <w:tcBorders>
              <w:top w:val="nil"/>
              <w:left w:val="nil"/>
              <w:bottom w:val="single" w:sz="4" w:space="0" w:color="293F5B"/>
              <w:right w:val="nil"/>
            </w:tcBorders>
            <w:shd w:val="clear" w:color="auto" w:fill="auto"/>
            <w:noWrap/>
            <w:vAlign w:val="center"/>
            <w:hideMark/>
          </w:tcPr>
          <w:p w14:paraId="442A5AF1"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644,788</w:t>
            </w:r>
          </w:p>
        </w:tc>
        <w:tc>
          <w:tcPr>
            <w:tcW w:w="549" w:type="pct"/>
            <w:tcBorders>
              <w:top w:val="nil"/>
              <w:left w:val="nil"/>
              <w:bottom w:val="single" w:sz="4" w:space="0" w:color="293F5B"/>
              <w:right w:val="nil"/>
            </w:tcBorders>
            <w:shd w:val="clear" w:color="auto" w:fill="E6F2FF"/>
            <w:noWrap/>
            <w:vAlign w:val="center"/>
            <w:hideMark/>
          </w:tcPr>
          <w:p w14:paraId="27EFA3B2"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684,085</w:t>
            </w:r>
          </w:p>
        </w:tc>
        <w:tc>
          <w:tcPr>
            <w:tcW w:w="550" w:type="pct"/>
            <w:tcBorders>
              <w:top w:val="nil"/>
              <w:left w:val="nil"/>
              <w:bottom w:val="single" w:sz="4" w:space="0" w:color="293F5B"/>
              <w:right w:val="nil"/>
            </w:tcBorders>
            <w:shd w:val="clear" w:color="000000" w:fill="FFFFFF"/>
            <w:noWrap/>
            <w:vAlign w:val="center"/>
            <w:hideMark/>
          </w:tcPr>
          <w:p w14:paraId="2F67BCD4"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715,382</w:t>
            </w:r>
          </w:p>
        </w:tc>
        <w:tc>
          <w:tcPr>
            <w:tcW w:w="555" w:type="pct"/>
            <w:tcBorders>
              <w:top w:val="nil"/>
              <w:left w:val="nil"/>
              <w:bottom w:val="single" w:sz="4" w:space="0" w:color="293F5B"/>
              <w:right w:val="nil"/>
            </w:tcBorders>
            <w:shd w:val="clear" w:color="000000" w:fill="FFFFFF"/>
            <w:noWrap/>
            <w:vAlign w:val="center"/>
            <w:hideMark/>
          </w:tcPr>
          <w:p w14:paraId="39C3F0B3"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743,324</w:t>
            </w:r>
          </w:p>
        </w:tc>
        <w:tc>
          <w:tcPr>
            <w:tcW w:w="554" w:type="pct"/>
            <w:tcBorders>
              <w:top w:val="nil"/>
              <w:left w:val="nil"/>
              <w:bottom w:val="single" w:sz="4" w:space="0" w:color="293F5B"/>
              <w:right w:val="nil"/>
            </w:tcBorders>
            <w:shd w:val="clear" w:color="000000" w:fill="FFFFFF"/>
            <w:noWrap/>
            <w:vAlign w:val="center"/>
            <w:hideMark/>
          </w:tcPr>
          <w:p w14:paraId="2CF5DB25" w14:textId="77777777" w:rsidR="00BD0FBA" w:rsidRPr="00BD0FBA" w:rsidRDefault="00BD0FBA" w:rsidP="00BD0FBA">
            <w:pPr>
              <w:spacing w:before="0" w:after="0" w:line="240" w:lineRule="auto"/>
              <w:jc w:val="right"/>
              <w:rPr>
                <w:rFonts w:ascii="Arial" w:hAnsi="Arial" w:cs="Arial"/>
                <w:b/>
                <w:bCs/>
                <w:sz w:val="16"/>
                <w:szCs w:val="16"/>
              </w:rPr>
            </w:pPr>
            <w:r w:rsidRPr="00BD0FBA">
              <w:rPr>
                <w:rFonts w:ascii="Arial" w:hAnsi="Arial" w:cs="Arial"/>
                <w:b/>
                <w:bCs/>
                <w:sz w:val="16"/>
                <w:szCs w:val="16"/>
              </w:rPr>
              <w:t>2,787,579</w:t>
            </w:r>
          </w:p>
        </w:tc>
      </w:tr>
    </w:tbl>
    <w:p w14:paraId="4EACBD31" w14:textId="6A630C63" w:rsidR="00C855DF" w:rsidRPr="000177D7" w:rsidRDefault="00C855DF" w:rsidP="00ED562D">
      <w:pPr>
        <w:pStyle w:val="ChartandTableFootnoteAlpha"/>
        <w:numPr>
          <w:ilvl w:val="0"/>
          <w:numId w:val="38"/>
        </w:numPr>
      </w:pPr>
      <w:r w:rsidRPr="000177D7">
        <w:t>Excludes secondary impacts on public debt interest of policy decisions and offsets from the Contingency Reserve for decisions taken.</w:t>
      </w:r>
    </w:p>
    <w:p w14:paraId="53E2DF5C" w14:textId="77777777" w:rsidR="00C855DF" w:rsidRPr="000177D7" w:rsidRDefault="00C855DF" w:rsidP="00C855DF">
      <w:pPr>
        <w:pStyle w:val="TableLine"/>
      </w:pPr>
    </w:p>
    <w:p w14:paraId="5BADA9D7" w14:textId="57EF755D" w:rsidR="0050166A" w:rsidRPr="0021687D" w:rsidRDefault="0050166A" w:rsidP="0050166A">
      <w:bookmarkStart w:id="13" w:name="_Toc99203676"/>
      <w:bookmarkStart w:id="14" w:name="_Toc117358169"/>
      <w:r w:rsidRPr="0021687D">
        <w:t>The Government is investing in key programs that will assist Australians with cost of living pressures, including support to strengthen Medicare, funding to increase the JobSeeker Payment and the maximum rates of Commonwealth Rent Assistance, and targeted Energy Price Relief. Over the 4 years from 2022</w:t>
      </w:r>
      <w:r w:rsidR="00485F94">
        <w:t>–</w:t>
      </w:r>
      <w:r w:rsidRPr="0021687D">
        <w:t>23 to 2025</w:t>
      </w:r>
      <w:r w:rsidR="00485F94">
        <w:t>–</w:t>
      </w:r>
      <w:r w:rsidRPr="0021687D">
        <w:t>26, policy decisions will increase expenses by $</w:t>
      </w:r>
      <w:r w:rsidR="00411CE4" w:rsidRPr="0021687D">
        <w:t>33.4</w:t>
      </w:r>
      <w:r w:rsidR="008A7D38">
        <w:t> </w:t>
      </w:r>
      <w:r w:rsidRPr="0021687D">
        <w:t xml:space="preserve">billion. </w:t>
      </w:r>
    </w:p>
    <w:p w14:paraId="30597A05" w14:textId="4DD00F97" w:rsidR="0050166A" w:rsidRPr="0021687D" w:rsidRDefault="0050166A" w:rsidP="0050166A">
      <w:r w:rsidRPr="0021687D">
        <w:t>Economic parameters have increased expenses by $</w:t>
      </w:r>
      <w:r w:rsidR="00655AA9" w:rsidRPr="0021687D">
        <w:t>8.3</w:t>
      </w:r>
      <w:r w:rsidR="008A7D38">
        <w:t> </w:t>
      </w:r>
      <w:r w:rsidRPr="0021687D">
        <w:t>billion over the 4 years from 2022</w:t>
      </w:r>
      <w:r w:rsidR="00485F94">
        <w:t>–</w:t>
      </w:r>
      <w:r w:rsidRPr="0021687D">
        <w:t>23 to 2026</w:t>
      </w:r>
      <w:r w:rsidR="00485F94">
        <w:t>–</w:t>
      </w:r>
      <w:r w:rsidRPr="0021687D">
        <w:t>27. The main driver in economic parameter variations is related to an increase in prices and wages, which includes an adjustment to the indexation methodology for a range of government programs. For additional detail about this change see Box 6.1.</w:t>
      </w:r>
    </w:p>
    <w:p w14:paraId="59506F6C" w14:textId="0F1676E9" w:rsidR="00737C1C" w:rsidRDefault="00655AA9" w:rsidP="0050166A">
      <w:r w:rsidRPr="0021687D">
        <w:t>Other variations ($12.8</w:t>
      </w:r>
      <w:r w:rsidR="008A7D38">
        <w:t> </w:t>
      </w:r>
      <w:r w:rsidRPr="0021687D">
        <w:t>billion), variations associated with Public Debt Interest (</w:t>
      </w:r>
      <w:r w:rsidR="00D34B95">
        <w:noBreakHyphen/>
      </w:r>
      <w:r w:rsidRPr="0021687D">
        <w:t>$11.4</w:t>
      </w:r>
      <w:r w:rsidR="001F447E">
        <w:t> </w:t>
      </w:r>
      <w:r w:rsidRPr="0021687D">
        <w:t>billion) and program specific variations (</w:t>
      </w:r>
      <w:r w:rsidR="00D34B95">
        <w:noBreakHyphen/>
      </w:r>
      <w:r w:rsidRPr="0021687D">
        <w:t>$6.1 billion) have reduced expenses by $4.7</w:t>
      </w:r>
      <w:r w:rsidR="008A7D38">
        <w:t> </w:t>
      </w:r>
      <w:r w:rsidRPr="0021687D">
        <w:t>billion over the 4 years</w:t>
      </w:r>
      <w:r>
        <w:t xml:space="preserve"> to 2025</w:t>
      </w:r>
      <w:r w:rsidR="00485F94">
        <w:t>–</w:t>
      </w:r>
      <w:r>
        <w:t>26.</w:t>
      </w:r>
    </w:p>
    <w:p w14:paraId="43817ACA" w14:textId="77777777" w:rsidR="00737C1C" w:rsidRDefault="00737C1C" w:rsidP="00B561FF"/>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C2317" w14:paraId="36E80618" w14:textId="77777777" w:rsidTr="007913DD">
        <w:trPr>
          <w:cantSplit/>
        </w:trPr>
        <w:tc>
          <w:tcPr>
            <w:tcW w:w="5000" w:type="pct"/>
            <w:shd w:val="clear" w:color="auto" w:fill="E6F2FF"/>
          </w:tcPr>
          <w:p w14:paraId="7340A7F7" w14:textId="688813D4" w:rsidR="000C2317" w:rsidRDefault="000C2317">
            <w:pPr>
              <w:pStyle w:val="BoxHeading"/>
            </w:pPr>
            <w:r>
              <w:lastRenderedPageBreak/>
              <w:t>Box 6.1</w:t>
            </w:r>
            <w:r w:rsidR="00E718B8">
              <w:t>:</w:t>
            </w:r>
            <w:r w:rsidR="00B16C50">
              <w:t xml:space="preserve"> </w:t>
            </w:r>
            <w:r>
              <w:t>Indexation funding increase helping organisation</w:t>
            </w:r>
            <w:r w:rsidR="00CE7B66">
              <w:t>s</w:t>
            </w:r>
            <w:r>
              <w:t xml:space="preserve"> address cost and wage pressures. </w:t>
            </w:r>
          </w:p>
          <w:p w14:paraId="0AA90F0A" w14:textId="6A2283B5" w:rsidR="0050166A" w:rsidRDefault="0050166A" w:rsidP="0050166A">
            <w:pPr>
              <w:pStyle w:val="BoxText"/>
            </w:pPr>
            <w:r>
              <w:t>Funding for a range of government programs, including major programs such as the Medicare Benefits Schedule</w:t>
            </w:r>
            <w:r w:rsidR="00816A65">
              <w:t>,</w:t>
            </w:r>
            <w:r>
              <w:t xml:space="preserve"> aged care home support programs, and programs that fund community sector organisations is indexed for wage and price growth</w:t>
            </w:r>
            <w:r w:rsidR="00D34B95">
              <w:t xml:space="preserve">. </w:t>
            </w:r>
            <w:r>
              <w:t>This long</w:t>
            </w:r>
            <w:r w:rsidR="00D34B95">
              <w:noBreakHyphen/>
            </w:r>
            <w:r>
              <w:t>standing framework, implemented in 1996, uses indices that are a weighted average of movements in prices and wages, and include an incentive for programs to improve their efficiency over time.</w:t>
            </w:r>
          </w:p>
          <w:p w14:paraId="12B2B9D1" w14:textId="6DE967AA" w:rsidR="0050166A" w:rsidRDefault="00B16C50" w:rsidP="0050166A">
            <w:pPr>
              <w:pStyle w:val="BoxText"/>
            </w:pPr>
            <w:r w:rsidRPr="00B16C50">
              <w:t>In this Budget the Government has updated the methodology for calculating the indexation factors to better align with changes in economic conditions</w:t>
            </w:r>
            <w:r w:rsidR="00D34B95">
              <w:t xml:space="preserve">. </w:t>
            </w:r>
            <w:r w:rsidRPr="00B16C50">
              <w:t xml:space="preserve">The wages growth component of the index has been updated to growth in the Wage Price Index (a measure not available in 1996) and the previous arrangement to average the wage component over a </w:t>
            </w:r>
            <w:r w:rsidR="00485F94">
              <w:t>5</w:t>
            </w:r>
            <w:r w:rsidR="00D34B95">
              <w:noBreakHyphen/>
            </w:r>
            <w:r w:rsidRPr="00B16C50">
              <w:t>year period has been removed. A productivity offset remains in place, based on the long run rate of productivity growth that underlies the Budget medium term forecasts</w:t>
            </w:r>
            <w:r w:rsidR="0050166A">
              <w:t>.</w:t>
            </w:r>
          </w:p>
          <w:p w14:paraId="12789490" w14:textId="701142AC" w:rsidR="00B16C50" w:rsidRDefault="0050166A" w:rsidP="00D54951">
            <w:pPr>
              <w:pStyle w:val="BoxText"/>
            </w:pPr>
            <w:r>
              <w:t xml:space="preserve">This revised framework will provide additional indexation funding for organisations, including </w:t>
            </w:r>
            <w:r w:rsidR="00816A65">
              <w:t>c</w:t>
            </w:r>
            <w:r>
              <w:t xml:space="preserve">ommunity </w:t>
            </w:r>
            <w:r w:rsidR="00816A65">
              <w:t>s</w:t>
            </w:r>
            <w:r>
              <w:t xml:space="preserve">ector </w:t>
            </w:r>
            <w:r w:rsidR="00816A65">
              <w:t>o</w:t>
            </w:r>
            <w:r>
              <w:t>rganisations, above the indexation increase which would otherwise have been delivered in the 2023</w:t>
            </w:r>
            <w:r w:rsidR="00485F94">
              <w:t>–</w:t>
            </w:r>
            <w:r>
              <w:t xml:space="preserve">24 Budget. Over the period ahead, it will provide indexation to these programs that is more closely aligned with current economic conditions. </w:t>
            </w:r>
          </w:p>
        </w:tc>
      </w:tr>
    </w:tbl>
    <w:p w14:paraId="3E0EB25A" w14:textId="51F71683" w:rsidR="00C855DF" w:rsidRPr="00E44A00" w:rsidRDefault="00C855DF" w:rsidP="00E44A00">
      <w:r>
        <w:br w:type="page"/>
      </w:r>
    </w:p>
    <w:p w14:paraId="0AC9541D" w14:textId="3C73B5B5" w:rsidR="00C855DF" w:rsidRPr="000177D7" w:rsidRDefault="00C855DF" w:rsidP="00C855DF">
      <w:pPr>
        <w:pStyle w:val="Heading2"/>
      </w:pPr>
      <w:bookmarkStart w:id="15" w:name="_Toc134169609"/>
      <w:r w:rsidRPr="000177D7">
        <w:lastRenderedPageBreak/>
        <w:t>Estimated expenses by function</w:t>
      </w:r>
      <w:bookmarkEnd w:id="13"/>
      <w:bookmarkEnd w:id="14"/>
      <w:bookmarkEnd w:id="15"/>
    </w:p>
    <w:p w14:paraId="7C6C6E6C" w14:textId="687F1618" w:rsidR="00B561FF" w:rsidRPr="000177D7" w:rsidRDefault="0050166A" w:rsidP="00B561FF">
      <w:r>
        <w:t>E</w:t>
      </w:r>
      <w:r w:rsidRPr="000177D7">
        <w:t xml:space="preserve">stimates of </w:t>
      </w:r>
      <w:r w:rsidR="001F447E">
        <w:t>GGS</w:t>
      </w:r>
      <w:r w:rsidRPr="000177D7">
        <w:t xml:space="preserve"> expenses by function for the period 202</w:t>
      </w:r>
      <w:r>
        <w:t>2</w:t>
      </w:r>
      <w:r w:rsidR="00485F94">
        <w:t>–</w:t>
      </w:r>
      <w:r w:rsidRPr="000177D7">
        <w:t>2</w:t>
      </w:r>
      <w:r>
        <w:t>3</w:t>
      </w:r>
      <w:r w:rsidRPr="000177D7">
        <w:t xml:space="preserve"> to 202</w:t>
      </w:r>
      <w:r>
        <w:t>6</w:t>
      </w:r>
      <w:r w:rsidR="00485F94">
        <w:t>–</w:t>
      </w:r>
      <w:r w:rsidRPr="000177D7">
        <w:t>2</w:t>
      </w:r>
      <w:r>
        <w:t xml:space="preserve">7 are set out in </w:t>
      </w:r>
      <w:r w:rsidRPr="0021687D">
        <w:t>Table 6.3. The social security and welfare, health, defence and education functions account for 6</w:t>
      </w:r>
      <w:r w:rsidR="00655AA9" w:rsidRPr="0021687D">
        <w:t>6</w:t>
      </w:r>
      <w:r w:rsidR="00893776">
        <w:t> per </w:t>
      </w:r>
      <w:r w:rsidRPr="0021687D">
        <w:t>cent of all government expenses in 2023</w:t>
      </w:r>
      <w:r w:rsidR="00485F94">
        <w:t>–</w:t>
      </w:r>
      <w:r w:rsidRPr="0021687D">
        <w:t>24 (see Box 6.2). Changes to the levels of expenditure within</w:t>
      </w:r>
      <w:r w:rsidRPr="000177D7">
        <w:t xml:space="preserve"> these functions significantly </w:t>
      </w:r>
      <w:r>
        <w:t>affect</w:t>
      </w:r>
      <w:r w:rsidRPr="000177D7">
        <w:t xml:space="preserve"> total </w:t>
      </w:r>
      <w:r w:rsidR="00993EF6">
        <w:t>g</w:t>
      </w:r>
      <w:r w:rsidRPr="000177D7">
        <w:t>overnment spending. Further details of spending trends in all functions are set out under individual function headings.</w:t>
      </w:r>
    </w:p>
    <w:p w14:paraId="59767FB6" w14:textId="6C1CB17E" w:rsidR="003A24A2" w:rsidRPr="003A24A2" w:rsidRDefault="00C855DF" w:rsidP="003A24A2">
      <w:pPr>
        <w:pStyle w:val="TableHeading"/>
        <w:rPr>
          <w:rFonts w:asciiTheme="minorHAnsi" w:eastAsiaTheme="minorHAnsi" w:hAnsiTheme="minorHAnsi" w:cstheme="minorBidi"/>
          <w:b w:val="0"/>
          <w:sz w:val="22"/>
          <w:szCs w:val="22"/>
          <w:lang w:eastAsia="en-US"/>
        </w:rPr>
      </w:pPr>
      <w:r w:rsidRPr="000177D7">
        <w:t>Table 6.3: Estimates of expenses by functio</w:t>
      </w:r>
      <w:bookmarkStart w:id="16" w:name="_1555605880"/>
      <w:bookmarkStart w:id="17" w:name="_1727774257"/>
      <w:bookmarkEnd w:id="16"/>
      <w:bookmarkEnd w:id="17"/>
      <w:r w:rsidR="000A42F6">
        <w:t>n</w:t>
      </w:r>
      <w:r w:rsidR="00CA4E6B" w:rsidRPr="00CA4E6B">
        <w:rPr>
          <w:vertAlign w:val="superscript"/>
        </w:rPr>
        <w:t>(a)</w:t>
      </w:r>
      <w:r w:rsidR="003A24A2">
        <w:t xml:space="preserve"> </w:t>
      </w:r>
      <w:bookmarkStart w:id="18" w:name="_1744700536"/>
      <w:bookmarkStart w:id="19" w:name="_1742907929"/>
      <w:bookmarkEnd w:id="18"/>
      <w:bookmarkEnd w:id="19"/>
    </w:p>
    <w:tbl>
      <w:tblPr>
        <w:tblW w:w="5000" w:type="pct"/>
        <w:tblCellMar>
          <w:left w:w="0" w:type="dxa"/>
          <w:right w:w="28" w:type="dxa"/>
        </w:tblCellMar>
        <w:tblLook w:val="04A0" w:firstRow="1" w:lastRow="0" w:firstColumn="1" w:lastColumn="0" w:noHBand="0" w:noVBand="1"/>
      </w:tblPr>
      <w:tblGrid>
        <w:gridCol w:w="3137"/>
        <w:gridCol w:w="918"/>
        <w:gridCol w:w="914"/>
        <w:gridCol w:w="914"/>
        <w:gridCol w:w="914"/>
        <w:gridCol w:w="913"/>
      </w:tblGrid>
      <w:tr w:rsidR="003A24A2" w:rsidRPr="003A24A2" w14:paraId="1A3DE16C" w14:textId="77777777" w:rsidTr="005E1316">
        <w:trPr>
          <w:divId w:val="883517152"/>
          <w:trHeight w:hRule="exact" w:val="225"/>
        </w:trPr>
        <w:tc>
          <w:tcPr>
            <w:tcW w:w="2034" w:type="pct"/>
            <w:tcBorders>
              <w:top w:val="single" w:sz="4" w:space="0" w:color="002A54" w:themeColor="text2"/>
              <w:left w:val="nil"/>
              <w:bottom w:val="nil"/>
              <w:right w:val="nil"/>
            </w:tcBorders>
            <w:shd w:val="clear" w:color="000000" w:fill="FFFFFF"/>
            <w:noWrap/>
            <w:hideMark/>
          </w:tcPr>
          <w:p w14:paraId="510F8398" w14:textId="3776891A"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 </w:t>
            </w:r>
          </w:p>
        </w:tc>
        <w:tc>
          <w:tcPr>
            <w:tcW w:w="2966" w:type="pct"/>
            <w:gridSpan w:val="5"/>
            <w:tcBorders>
              <w:top w:val="single" w:sz="4" w:space="0" w:color="002A54" w:themeColor="text2"/>
              <w:left w:val="nil"/>
              <w:bottom w:val="single" w:sz="4" w:space="0" w:color="002A54" w:themeColor="text2"/>
              <w:right w:val="nil"/>
            </w:tcBorders>
            <w:shd w:val="clear" w:color="000000" w:fill="FFFFFF"/>
            <w:noWrap/>
            <w:hideMark/>
          </w:tcPr>
          <w:p w14:paraId="5B384F0F" w14:textId="77777777" w:rsidR="003A24A2" w:rsidRPr="003A24A2" w:rsidRDefault="003A24A2" w:rsidP="003A24A2">
            <w:pPr>
              <w:spacing w:before="0" w:after="0" w:line="240" w:lineRule="auto"/>
              <w:jc w:val="center"/>
              <w:rPr>
                <w:rFonts w:ascii="Arial" w:hAnsi="Arial" w:cs="Arial"/>
                <w:sz w:val="16"/>
                <w:szCs w:val="16"/>
              </w:rPr>
            </w:pPr>
            <w:r w:rsidRPr="003A24A2">
              <w:rPr>
                <w:rFonts w:ascii="Arial" w:hAnsi="Arial" w:cs="Arial"/>
                <w:sz w:val="16"/>
                <w:szCs w:val="16"/>
              </w:rPr>
              <w:t>Estimates</w:t>
            </w:r>
          </w:p>
        </w:tc>
      </w:tr>
      <w:tr w:rsidR="003A24A2" w:rsidRPr="003A24A2" w14:paraId="415141DE" w14:textId="77777777" w:rsidTr="005E1316">
        <w:trPr>
          <w:divId w:val="883517152"/>
          <w:trHeight w:hRule="exact" w:val="225"/>
        </w:trPr>
        <w:tc>
          <w:tcPr>
            <w:tcW w:w="2034" w:type="pct"/>
            <w:tcBorders>
              <w:top w:val="nil"/>
              <w:left w:val="nil"/>
              <w:bottom w:val="nil"/>
              <w:right w:val="nil"/>
            </w:tcBorders>
            <w:shd w:val="clear" w:color="000000" w:fill="FFFFFF"/>
            <w:noWrap/>
            <w:hideMark/>
          </w:tcPr>
          <w:p w14:paraId="52FDA015"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 </w:t>
            </w:r>
          </w:p>
        </w:tc>
        <w:tc>
          <w:tcPr>
            <w:tcW w:w="595" w:type="pct"/>
            <w:tcBorders>
              <w:top w:val="single" w:sz="4" w:space="0" w:color="002A54" w:themeColor="text2"/>
              <w:left w:val="nil"/>
              <w:right w:val="nil"/>
            </w:tcBorders>
            <w:shd w:val="clear" w:color="000000" w:fill="FFFFFF"/>
            <w:noWrap/>
            <w:hideMark/>
          </w:tcPr>
          <w:p w14:paraId="66F33A24"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2022–23</w:t>
            </w:r>
          </w:p>
        </w:tc>
        <w:tc>
          <w:tcPr>
            <w:tcW w:w="593" w:type="pct"/>
            <w:tcBorders>
              <w:top w:val="single" w:sz="4" w:space="0" w:color="002A54" w:themeColor="text2"/>
              <w:left w:val="nil"/>
              <w:right w:val="nil"/>
            </w:tcBorders>
            <w:shd w:val="clear" w:color="000000" w:fill="E6F2FF"/>
            <w:noWrap/>
            <w:hideMark/>
          </w:tcPr>
          <w:p w14:paraId="1C0A623A"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2023–24</w:t>
            </w:r>
          </w:p>
        </w:tc>
        <w:tc>
          <w:tcPr>
            <w:tcW w:w="593" w:type="pct"/>
            <w:tcBorders>
              <w:top w:val="single" w:sz="4" w:space="0" w:color="002A54" w:themeColor="text2"/>
              <w:left w:val="nil"/>
              <w:right w:val="nil"/>
            </w:tcBorders>
            <w:shd w:val="clear" w:color="000000" w:fill="FFFFFF"/>
            <w:noWrap/>
            <w:hideMark/>
          </w:tcPr>
          <w:p w14:paraId="55671B2B"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2024–25</w:t>
            </w:r>
          </w:p>
        </w:tc>
        <w:tc>
          <w:tcPr>
            <w:tcW w:w="593" w:type="pct"/>
            <w:tcBorders>
              <w:top w:val="single" w:sz="4" w:space="0" w:color="002A54" w:themeColor="text2"/>
              <w:left w:val="nil"/>
              <w:right w:val="nil"/>
            </w:tcBorders>
            <w:shd w:val="clear" w:color="000000" w:fill="FFFFFF"/>
            <w:noWrap/>
            <w:hideMark/>
          </w:tcPr>
          <w:p w14:paraId="6F8A2120"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2025–26</w:t>
            </w:r>
          </w:p>
        </w:tc>
        <w:tc>
          <w:tcPr>
            <w:tcW w:w="592" w:type="pct"/>
            <w:tcBorders>
              <w:top w:val="single" w:sz="4" w:space="0" w:color="002A54" w:themeColor="text2"/>
              <w:left w:val="nil"/>
              <w:right w:val="nil"/>
            </w:tcBorders>
            <w:shd w:val="clear" w:color="000000" w:fill="FFFFFF"/>
            <w:noWrap/>
            <w:hideMark/>
          </w:tcPr>
          <w:p w14:paraId="2125C708"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2026–27</w:t>
            </w:r>
          </w:p>
        </w:tc>
      </w:tr>
      <w:tr w:rsidR="003A24A2" w:rsidRPr="003A24A2" w14:paraId="284F1388" w14:textId="77777777" w:rsidTr="005E1316">
        <w:trPr>
          <w:divId w:val="883517152"/>
          <w:trHeight w:hRule="exact" w:val="225"/>
        </w:trPr>
        <w:tc>
          <w:tcPr>
            <w:tcW w:w="2034" w:type="pct"/>
            <w:tcBorders>
              <w:top w:val="nil"/>
              <w:left w:val="nil"/>
              <w:bottom w:val="nil"/>
              <w:right w:val="nil"/>
            </w:tcBorders>
            <w:shd w:val="clear" w:color="000000" w:fill="FFFFFF"/>
            <w:noWrap/>
            <w:hideMark/>
          </w:tcPr>
          <w:p w14:paraId="6558B1D2"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 </w:t>
            </w:r>
          </w:p>
        </w:tc>
        <w:tc>
          <w:tcPr>
            <w:tcW w:w="595" w:type="pct"/>
            <w:tcBorders>
              <w:top w:val="nil"/>
              <w:left w:val="nil"/>
              <w:bottom w:val="single" w:sz="4" w:space="0" w:color="002A54" w:themeColor="text2"/>
              <w:right w:val="nil"/>
            </w:tcBorders>
            <w:shd w:val="clear" w:color="000000" w:fill="FFFFFF"/>
            <w:noWrap/>
            <w:hideMark/>
          </w:tcPr>
          <w:p w14:paraId="16AAACC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$m</w:t>
            </w:r>
          </w:p>
        </w:tc>
        <w:tc>
          <w:tcPr>
            <w:tcW w:w="593" w:type="pct"/>
            <w:tcBorders>
              <w:top w:val="nil"/>
              <w:left w:val="nil"/>
              <w:bottom w:val="single" w:sz="4" w:space="0" w:color="002A54" w:themeColor="text2"/>
              <w:right w:val="nil"/>
            </w:tcBorders>
            <w:shd w:val="clear" w:color="000000" w:fill="E6F2FF"/>
            <w:noWrap/>
            <w:hideMark/>
          </w:tcPr>
          <w:p w14:paraId="2CB2AF20"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$m</w:t>
            </w:r>
          </w:p>
        </w:tc>
        <w:tc>
          <w:tcPr>
            <w:tcW w:w="593" w:type="pct"/>
            <w:tcBorders>
              <w:top w:val="nil"/>
              <w:left w:val="nil"/>
              <w:bottom w:val="single" w:sz="4" w:space="0" w:color="002A54" w:themeColor="text2"/>
              <w:right w:val="nil"/>
            </w:tcBorders>
            <w:shd w:val="clear" w:color="000000" w:fill="FFFFFF"/>
            <w:noWrap/>
            <w:hideMark/>
          </w:tcPr>
          <w:p w14:paraId="5DF522E2"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$m</w:t>
            </w:r>
          </w:p>
        </w:tc>
        <w:tc>
          <w:tcPr>
            <w:tcW w:w="593" w:type="pct"/>
            <w:tcBorders>
              <w:top w:val="nil"/>
              <w:left w:val="nil"/>
              <w:bottom w:val="single" w:sz="4" w:space="0" w:color="002A54" w:themeColor="text2"/>
              <w:right w:val="nil"/>
            </w:tcBorders>
            <w:shd w:val="clear" w:color="000000" w:fill="FFFFFF"/>
            <w:noWrap/>
            <w:hideMark/>
          </w:tcPr>
          <w:p w14:paraId="2048242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FFFFFF"/>
            <w:noWrap/>
            <w:hideMark/>
          </w:tcPr>
          <w:p w14:paraId="0A9F9CC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$m</w:t>
            </w:r>
          </w:p>
        </w:tc>
      </w:tr>
      <w:tr w:rsidR="003A24A2" w:rsidRPr="003A24A2" w14:paraId="35F5F59E" w14:textId="77777777" w:rsidTr="005E1316">
        <w:trPr>
          <w:divId w:val="883517152"/>
          <w:trHeight w:hRule="exact" w:val="225"/>
        </w:trPr>
        <w:tc>
          <w:tcPr>
            <w:tcW w:w="2034" w:type="pct"/>
            <w:tcBorders>
              <w:top w:val="nil"/>
              <w:left w:val="nil"/>
              <w:bottom w:val="nil"/>
              <w:right w:val="nil"/>
            </w:tcBorders>
            <w:shd w:val="clear" w:color="000000" w:fill="FFFFFF"/>
            <w:noWrap/>
            <w:hideMark/>
          </w:tcPr>
          <w:p w14:paraId="7CACFE93"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General public services</w:t>
            </w:r>
          </w:p>
        </w:tc>
        <w:tc>
          <w:tcPr>
            <w:tcW w:w="595" w:type="pct"/>
            <w:tcBorders>
              <w:top w:val="single" w:sz="4" w:space="0" w:color="002A54" w:themeColor="text2"/>
              <w:left w:val="nil"/>
              <w:bottom w:val="nil"/>
              <w:right w:val="nil"/>
            </w:tcBorders>
            <w:shd w:val="clear" w:color="000000" w:fill="FFFFFF"/>
            <w:noWrap/>
            <w:hideMark/>
          </w:tcPr>
          <w:p w14:paraId="13AF5A1F"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30,106</w:t>
            </w:r>
          </w:p>
        </w:tc>
        <w:tc>
          <w:tcPr>
            <w:tcW w:w="593" w:type="pct"/>
            <w:tcBorders>
              <w:top w:val="single" w:sz="4" w:space="0" w:color="002A54" w:themeColor="text2"/>
              <w:left w:val="nil"/>
              <w:bottom w:val="nil"/>
              <w:right w:val="nil"/>
            </w:tcBorders>
            <w:shd w:val="clear" w:color="000000" w:fill="E6F2FF"/>
            <w:noWrap/>
            <w:hideMark/>
          </w:tcPr>
          <w:p w14:paraId="49210F88"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29,126</w:t>
            </w:r>
          </w:p>
        </w:tc>
        <w:tc>
          <w:tcPr>
            <w:tcW w:w="593" w:type="pct"/>
            <w:tcBorders>
              <w:top w:val="single" w:sz="4" w:space="0" w:color="002A54" w:themeColor="text2"/>
              <w:left w:val="nil"/>
              <w:bottom w:val="nil"/>
              <w:right w:val="nil"/>
            </w:tcBorders>
            <w:shd w:val="clear" w:color="000000" w:fill="FFFFFF"/>
            <w:noWrap/>
            <w:hideMark/>
          </w:tcPr>
          <w:p w14:paraId="145DBE0F"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30,155</w:t>
            </w:r>
          </w:p>
        </w:tc>
        <w:tc>
          <w:tcPr>
            <w:tcW w:w="593" w:type="pct"/>
            <w:tcBorders>
              <w:top w:val="single" w:sz="4" w:space="0" w:color="002A54" w:themeColor="text2"/>
              <w:left w:val="nil"/>
              <w:bottom w:val="nil"/>
              <w:right w:val="nil"/>
            </w:tcBorders>
            <w:shd w:val="clear" w:color="000000" w:fill="FFFFFF"/>
            <w:noWrap/>
            <w:hideMark/>
          </w:tcPr>
          <w:p w14:paraId="6B50FD4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29,413</w:t>
            </w:r>
          </w:p>
        </w:tc>
        <w:tc>
          <w:tcPr>
            <w:tcW w:w="592" w:type="pct"/>
            <w:tcBorders>
              <w:top w:val="single" w:sz="4" w:space="0" w:color="002A54" w:themeColor="text2"/>
              <w:left w:val="nil"/>
              <w:bottom w:val="nil"/>
              <w:right w:val="nil"/>
            </w:tcBorders>
            <w:shd w:val="clear" w:color="000000" w:fill="FFFFFF"/>
            <w:noWrap/>
            <w:hideMark/>
          </w:tcPr>
          <w:p w14:paraId="1D11264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29,498</w:t>
            </w:r>
          </w:p>
        </w:tc>
      </w:tr>
      <w:tr w:rsidR="003A24A2" w:rsidRPr="003A24A2" w14:paraId="5F766CDD"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37DC6BFE"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Defence</w:t>
            </w:r>
          </w:p>
        </w:tc>
        <w:tc>
          <w:tcPr>
            <w:tcW w:w="595" w:type="pct"/>
            <w:tcBorders>
              <w:top w:val="nil"/>
              <w:left w:val="nil"/>
              <w:bottom w:val="nil"/>
              <w:right w:val="nil"/>
            </w:tcBorders>
            <w:shd w:val="clear" w:color="000000" w:fill="FFFFFF"/>
            <w:noWrap/>
            <w:hideMark/>
          </w:tcPr>
          <w:p w14:paraId="1E27AE9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40,059</w:t>
            </w:r>
          </w:p>
        </w:tc>
        <w:tc>
          <w:tcPr>
            <w:tcW w:w="593" w:type="pct"/>
            <w:tcBorders>
              <w:top w:val="nil"/>
              <w:left w:val="nil"/>
              <w:bottom w:val="nil"/>
              <w:right w:val="nil"/>
            </w:tcBorders>
            <w:shd w:val="clear" w:color="000000" w:fill="E6F2FF"/>
            <w:noWrap/>
            <w:hideMark/>
          </w:tcPr>
          <w:p w14:paraId="73619CFC"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42,850</w:t>
            </w:r>
          </w:p>
        </w:tc>
        <w:tc>
          <w:tcPr>
            <w:tcW w:w="593" w:type="pct"/>
            <w:tcBorders>
              <w:top w:val="nil"/>
              <w:left w:val="nil"/>
              <w:bottom w:val="nil"/>
              <w:right w:val="nil"/>
            </w:tcBorders>
            <w:shd w:val="clear" w:color="000000" w:fill="FFFFFF"/>
            <w:noWrap/>
            <w:hideMark/>
          </w:tcPr>
          <w:p w14:paraId="02D0705A"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44,568</w:t>
            </w:r>
          </w:p>
        </w:tc>
        <w:tc>
          <w:tcPr>
            <w:tcW w:w="593" w:type="pct"/>
            <w:tcBorders>
              <w:top w:val="nil"/>
              <w:left w:val="nil"/>
              <w:bottom w:val="nil"/>
              <w:right w:val="nil"/>
            </w:tcBorders>
            <w:shd w:val="clear" w:color="000000" w:fill="FFFFFF"/>
            <w:noWrap/>
            <w:hideMark/>
          </w:tcPr>
          <w:p w14:paraId="1172E97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49,465</w:t>
            </w:r>
          </w:p>
        </w:tc>
        <w:tc>
          <w:tcPr>
            <w:tcW w:w="592" w:type="pct"/>
            <w:tcBorders>
              <w:top w:val="nil"/>
              <w:left w:val="nil"/>
              <w:bottom w:val="nil"/>
              <w:right w:val="nil"/>
            </w:tcBorders>
            <w:shd w:val="clear" w:color="000000" w:fill="FFFFFF"/>
            <w:noWrap/>
            <w:hideMark/>
          </w:tcPr>
          <w:p w14:paraId="007339A0"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48,840</w:t>
            </w:r>
          </w:p>
        </w:tc>
      </w:tr>
      <w:tr w:rsidR="003A24A2" w:rsidRPr="003A24A2" w14:paraId="0CDBBB15"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5D3B4DE6"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Public order and safety</w:t>
            </w:r>
          </w:p>
        </w:tc>
        <w:tc>
          <w:tcPr>
            <w:tcW w:w="595" w:type="pct"/>
            <w:tcBorders>
              <w:top w:val="nil"/>
              <w:left w:val="nil"/>
              <w:bottom w:val="nil"/>
              <w:right w:val="nil"/>
            </w:tcBorders>
            <w:shd w:val="clear" w:color="000000" w:fill="FFFFFF"/>
            <w:noWrap/>
            <w:hideMark/>
          </w:tcPr>
          <w:p w14:paraId="47286046"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7,384</w:t>
            </w:r>
          </w:p>
        </w:tc>
        <w:tc>
          <w:tcPr>
            <w:tcW w:w="593" w:type="pct"/>
            <w:tcBorders>
              <w:top w:val="nil"/>
              <w:left w:val="nil"/>
              <w:bottom w:val="nil"/>
              <w:right w:val="nil"/>
            </w:tcBorders>
            <w:shd w:val="clear" w:color="000000" w:fill="E6F2FF"/>
            <w:noWrap/>
            <w:hideMark/>
          </w:tcPr>
          <w:p w14:paraId="7302309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7,434</w:t>
            </w:r>
          </w:p>
        </w:tc>
        <w:tc>
          <w:tcPr>
            <w:tcW w:w="593" w:type="pct"/>
            <w:tcBorders>
              <w:top w:val="nil"/>
              <w:left w:val="nil"/>
              <w:bottom w:val="nil"/>
              <w:right w:val="nil"/>
            </w:tcBorders>
            <w:shd w:val="clear" w:color="000000" w:fill="FFFFFF"/>
            <w:noWrap/>
            <w:hideMark/>
          </w:tcPr>
          <w:p w14:paraId="360F4F40"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7,063</w:t>
            </w:r>
          </w:p>
        </w:tc>
        <w:tc>
          <w:tcPr>
            <w:tcW w:w="593" w:type="pct"/>
            <w:tcBorders>
              <w:top w:val="nil"/>
              <w:left w:val="nil"/>
              <w:bottom w:val="nil"/>
              <w:right w:val="nil"/>
            </w:tcBorders>
            <w:shd w:val="clear" w:color="000000" w:fill="FFFFFF"/>
            <w:noWrap/>
            <w:hideMark/>
          </w:tcPr>
          <w:p w14:paraId="046012DC"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6,398</w:t>
            </w:r>
          </w:p>
        </w:tc>
        <w:tc>
          <w:tcPr>
            <w:tcW w:w="592" w:type="pct"/>
            <w:tcBorders>
              <w:top w:val="nil"/>
              <w:left w:val="nil"/>
              <w:bottom w:val="nil"/>
              <w:right w:val="nil"/>
            </w:tcBorders>
            <w:shd w:val="clear" w:color="000000" w:fill="FFFFFF"/>
            <w:noWrap/>
            <w:hideMark/>
          </w:tcPr>
          <w:p w14:paraId="74C035C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6,425</w:t>
            </w:r>
          </w:p>
        </w:tc>
      </w:tr>
      <w:tr w:rsidR="003A24A2" w:rsidRPr="003A24A2" w14:paraId="6755A6B7"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64A4D97C"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Education</w:t>
            </w:r>
          </w:p>
        </w:tc>
        <w:tc>
          <w:tcPr>
            <w:tcW w:w="595" w:type="pct"/>
            <w:tcBorders>
              <w:top w:val="nil"/>
              <w:left w:val="nil"/>
              <w:bottom w:val="nil"/>
              <w:right w:val="nil"/>
            </w:tcBorders>
            <w:shd w:val="clear" w:color="000000" w:fill="FFFFFF"/>
            <w:noWrap/>
            <w:hideMark/>
          </w:tcPr>
          <w:p w14:paraId="2338677B"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45,876</w:t>
            </w:r>
          </w:p>
        </w:tc>
        <w:tc>
          <w:tcPr>
            <w:tcW w:w="593" w:type="pct"/>
            <w:tcBorders>
              <w:top w:val="nil"/>
              <w:left w:val="nil"/>
              <w:bottom w:val="nil"/>
              <w:right w:val="nil"/>
            </w:tcBorders>
            <w:shd w:val="clear" w:color="000000" w:fill="E6F2FF"/>
            <w:noWrap/>
            <w:hideMark/>
          </w:tcPr>
          <w:p w14:paraId="45E68FB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48,258</w:t>
            </w:r>
          </w:p>
        </w:tc>
        <w:tc>
          <w:tcPr>
            <w:tcW w:w="593" w:type="pct"/>
            <w:tcBorders>
              <w:top w:val="nil"/>
              <w:left w:val="nil"/>
              <w:bottom w:val="nil"/>
              <w:right w:val="nil"/>
            </w:tcBorders>
            <w:shd w:val="clear" w:color="000000" w:fill="FFFFFF"/>
            <w:noWrap/>
            <w:hideMark/>
          </w:tcPr>
          <w:p w14:paraId="3923EB2C"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50,385</w:t>
            </w:r>
          </w:p>
        </w:tc>
        <w:tc>
          <w:tcPr>
            <w:tcW w:w="593" w:type="pct"/>
            <w:tcBorders>
              <w:top w:val="nil"/>
              <w:left w:val="nil"/>
              <w:bottom w:val="nil"/>
              <w:right w:val="nil"/>
            </w:tcBorders>
            <w:shd w:val="clear" w:color="000000" w:fill="FFFFFF"/>
            <w:noWrap/>
            <w:hideMark/>
          </w:tcPr>
          <w:p w14:paraId="3201B75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52,114</w:t>
            </w:r>
          </w:p>
        </w:tc>
        <w:tc>
          <w:tcPr>
            <w:tcW w:w="592" w:type="pct"/>
            <w:tcBorders>
              <w:top w:val="nil"/>
              <w:left w:val="nil"/>
              <w:bottom w:val="nil"/>
              <w:right w:val="nil"/>
            </w:tcBorders>
            <w:shd w:val="clear" w:color="000000" w:fill="FFFFFF"/>
            <w:noWrap/>
            <w:hideMark/>
          </w:tcPr>
          <w:p w14:paraId="06E3AC4C"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53,732</w:t>
            </w:r>
          </w:p>
        </w:tc>
      </w:tr>
      <w:tr w:rsidR="003A24A2" w:rsidRPr="003A24A2" w14:paraId="1F640211"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5BE9A2C7"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Health</w:t>
            </w:r>
          </w:p>
        </w:tc>
        <w:tc>
          <w:tcPr>
            <w:tcW w:w="595" w:type="pct"/>
            <w:tcBorders>
              <w:top w:val="nil"/>
              <w:left w:val="nil"/>
              <w:bottom w:val="nil"/>
              <w:right w:val="nil"/>
            </w:tcBorders>
            <w:shd w:val="clear" w:color="000000" w:fill="FFFFFF"/>
            <w:noWrap/>
            <w:hideMark/>
          </w:tcPr>
          <w:p w14:paraId="2D16A681"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107,710</w:t>
            </w:r>
          </w:p>
        </w:tc>
        <w:tc>
          <w:tcPr>
            <w:tcW w:w="593" w:type="pct"/>
            <w:tcBorders>
              <w:top w:val="nil"/>
              <w:left w:val="nil"/>
              <w:bottom w:val="nil"/>
              <w:right w:val="nil"/>
            </w:tcBorders>
            <w:shd w:val="clear" w:color="000000" w:fill="E6F2FF"/>
            <w:noWrap/>
            <w:hideMark/>
          </w:tcPr>
          <w:p w14:paraId="58FE602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106,538</w:t>
            </w:r>
          </w:p>
        </w:tc>
        <w:tc>
          <w:tcPr>
            <w:tcW w:w="593" w:type="pct"/>
            <w:tcBorders>
              <w:top w:val="nil"/>
              <w:left w:val="nil"/>
              <w:bottom w:val="nil"/>
              <w:right w:val="nil"/>
            </w:tcBorders>
            <w:shd w:val="clear" w:color="000000" w:fill="FFFFFF"/>
            <w:noWrap/>
            <w:hideMark/>
          </w:tcPr>
          <w:p w14:paraId="31BBA856"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108,860</w:t>
            </w:r>
          </w:p>
        </w:tc>
        <w:tc>
          <w:tcPr>
            <w:tcW w:w="593" w:type="pct"/>
            <w:tcBorders>
              <w:top w:val="nil"/>
              <w:left w:val="nil"/>
              <w:bottom w:val="nil"/>
              <w:right w:val="nil"/>
            </w:tcBorders>
            <w:shd w:val="clear" w:color="000000" w:fill="FFFFFF"/>
            <w:noWrap/>
            <w:hideMark/>
          </w:tcPr>
          <w:p w14:paraId="0735C1D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112,174</w:t>
            </w:r>
          </w:p>
        </w:tc>
        <w:tc>
          <w:tcPr>
            <w:tcW w:w="592" w:type="pct"/>
            <w:tcBorders>
              <w:top w:val="nil"/>
              <w:left w:val="nil"/>
              <w:bottom w:val="nil"/>
              <w:right w:val="nil"/>
            </w:tcBorders>
            <w:shd w:val="clear" w:color="000000" w:fill="FFFFFF"/>
            <w:noWrap/>
            <w:hideMark/>
          </w:tcPr>
          <w:p w14:paraId="345AEDD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116,293</w:t>
            </w:r>
          </w:p>
        </w:tc>
      </w:tr>
      <w:tr w:rsidR="003A24A2" w:rsidRPr="003A24A2" w14:paraId="0F1FAF7E"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5AB0044A"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Social security and welfare</w:t>
            </w:r>
          </w:p>
        </w:tc>
        <w:tc>
          <w:tcPr>
            <w:tcW w:w="595" w:type="pct"/>
            <w:tcBorders>
              <w:top w:val="nil"/>
              <w:left w:val="nil"/>
              <w:bottom w:val="nil"/>
              <w:right w:val="nil"/>
            </w:tcBorders>
            <w:shd w:val="clear" w:color="000000" w:fill="FFFFFF"/>
            <w:noWrap/>
            <w:hideMark/>
          </w:tcPr>
          <w:p w14:paraId="2DA17AFA"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226,378</w:t>
            </w:r>
          </w:p>
        </w:tc>
        <w:tc>
          <w:tcPr>
            <w:tcW w:w="593" w:type="pct"/>
            <w:tcBorders>
              <w:top w:val="nil"/>
              <w:left w:val="nil"/>
              <w:bottom w:val="nil"/>
              <w:right w:val="nil"/>
            </w:tcBorders>
            <w:shd w:val="clear" w:color="000000" w:fill="E6F2FF"/>
            <w:noWrap/>
            <w:hideMark/>
          </w:tcPr>
          <w:p w14:paraId="26F7987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250,280</w:t>
            </w:r>
          </w:p>
        </w:tc>
        <w:tc>
          <w:tcPr>
            <w:tcW w:w="593" w:type="pct"/>
            <w:tcBorders>
              <w:top w:val="nil"/>
              <w:left w:val="nil"/>
              <w:bottom w:val="nil"/>
              <w:right w:val="nil"/>
            </w:tcBorders>
            <w:shd w:val="clear" w:color="000000" w:fill="FFFFFF"/>
            <w:noWrap/>
            <w:hideMark/>
          </w:tcPr>
          <w:p w14:paraId="03A110A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263,074</w:t>
            </w:r>
          </w:p>
        </w:tc>
        <w:tc>
          <w:tcPr>
            <w:tcW w:w="593" w:type="pct"/>
            <w:tcBorders>
              <w:top w:val="nil"/>
              <w:left w:val="nil"/>
              <w:bottom w:val="nil"/>
              <w:right w:val="nil"/>
            </w:tcBorders>
            <w:shd w:val="clear" w:color="000000" w:fill="FFFFFF"/>
            <w:noWrap/>
            <w:hideMark/>
          </w:tcPr>
          <w:p w14:paraId="5508C76F"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277,054</w:t>
            </w:r>
          </w:p>
        </w:tc>
        <w:tc>
          <w:tcPr>
            <w:tcW w:w="592" w:type="pct"/>
            <w:tcBorders>
              <w:top w:val="nil"/>
              <w:left w:val="nil"/>
              <w:bottom w:val="nil"/>
              <w:right w:val="nil"/>
            </w:tcBorders>
            <w:shd w:val="clear" w:color="000000" w:fill="FFFFFF"/>
            <w:noWrap/>
            <w:hideMark/>
          </w:tcPr>
          <w:p w14:paraId="4CD7D553"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288,442</w:t>
            </w:r>
          </w:p>
        </w:tc>
      </w:tr>
      <w:tr w:rsidR="003A24A2" w:rsidRPr="003A24A2" w14:paraId="10436764"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4D9C1C2F"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Housing and community amenities</w:t>
            </w:r>
          </w:p>
        </w:tc>
        <w:tc>
          <w:tcPr>
            <w:tcW w:w="595" w:type="pct"/>
            <w:tcBorders>
              <w:top w:val="nil"/>
              <w:left w:val="nil"/>
              <w:bottom w:val="nil"/>
              <w:right w:val="nil"/>
            </w:tcBorders>
            <w:shd w:val="clear" w:color="000000" w:fill="FFFFFF"/>
            <w:noWrap/>
            <w:hideMark/>
          </w:tcPr>
          <w:p w14:paraId="78F225B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7,135</w:t>
            </w:r>
          </w:p>
        </w:tc>
        <w:tc>
          <w:tcPr>
            <w:tcW w:w="593" w:type="pct"/>
            <w:tcBorders>
              <w:top w:val="nil"/>
              <w:left w:val="nil"/>
              <w:bottom w:val="nil"/>
              <w:right w:val="nil"/>
            </w:tcBorders>
            <w:shd w:val="clear" w:color="000000" w:fill="E6F2FF"/>
            <w:noWrap/>
            <w:hideMark/>
          </w:tcPr>
          <w:p w14:paraId="7C9ECEB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7,940</w:t>
            </w:r>
          </w:p>
        </w:tc>
        <w:tc>
          <w:tcPr>
            <w:tcW w:w="593" w:type="pct"/>
            <w:tcBorders>
              <w:top w:val="nil"/>
              <w:left w:val="nil"/>
              <w:bottom w:val="nil"/>
              <w:right w:val="nil"/>
            </w:tcBorders>
            <w:shd w:val="clear" w:color="000000" w:fill="FFFFFF"/>
            <w:noWrap/>
            <w:hideMark/>
          </w:tcPr>
          <w:p w14:paraId="736D9434"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8,074</w:t>
            </w:r>
          </w:p>
        </w:tc>
        <w:tc>
          <w:tcPr>
            <w:tcW w:w="593" w:type="pct"/>
            <w:tcBorders>
              <w:top w:val="nil"/>
              <w:left w:val="nil"/>
              <w:bottom w:val="nil"/>
              <w:right w:val="nil"/>
            </w:tcBorders>
            <w:shd w:val="clear" w:color="000000" w:fill="FFFFFF"/>
            <w:noWrap/>
            <w:hideMark/>
          </w:tcPr>
          <w:p w14:paraId="4DDB789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7,767</w:t>
            </w:r>
          </w:p>
        </w:tc>
        <w:tc>
          <w:tcPr>
            <w:tcW w:w="592" w:type="pct"/>
            <w:tcBorders>
              <w:top w:val="nil"/>
              <w:left w:val="nil"/>
              <w:bottom w:val="nil"/>
              <w:right w:val="nil"/>
            </w:tcBorders>
            <w:shd w:val="clear" w:color="000000" w:fill="FFFFFF"/>
            <w:noWrap/>
            <w:hideMark/>
          </w:tcPr>
          <w:p w14:paraId="77AF0443"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5,864</w:t>
            </w:r>
          </w:p>
        </w:tc>
      </w:tr>
      <w:tr w:rsidR="003A24A2" w:rsidRPr="003A24A2" w14:paraId="6B908B27"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04E23449"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Recreation and culture</w:t>
            </w:r>
          </w:p>
        </w:tc>
        <w:tc>
          <w:tcPr>
            <w:tcW w:w="595" w:type="pct"/>
            <w:tcBorders>
              <w:top w:val="nil"/>
              <w:left w:val="nil"/>
              <w:bottom w:val="nil"/>
              <w:right w:val="nil"/>
            </w:tcBorders>
            <w:shd w:val="clear" w:color="000000" w:fill="FFFFFF"/>
            <w:noWrap/>
            <w:hideMark/>
          </w:tcPr>
          <w:p w14:paraId="74FC768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4,840</w:t>
            </w:r>
          </w:p>
        </w:tc>
        <w:tc>
          <w:tcPr>
            <w:tcW w:w="593" w:type="pct"/>
            <w:tcBorders>
              <w:top w:val="nil"/>
              <w:left w:val="nil"/>
              <w:bottom w:val="nil"/>
              <w:right w:val="nil"/>
            </w:tcBorders>
            <w:shd w:val="clear" w:color="000000" w:fill="E6F2FF"/>
            <w:noWrap/>
            <w:hideMark/>
          </w:tcPr>
          <w:p w14:paraId="145C5172"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4,776</w:t>
            </w:r>
          </w:p>
        </w:tc>
        <w:tc>
          <w:tcPr>
            <w:tcW w:w="593" w:type="pct"/>
            <w:tcBorders>
              <w:top w:val="nil"/>
              <w:left w:val="nil"/>
              <w:bottom w:val="nil"/>
              <w:right w:val="nil"/>
            </w:tcBorders>
            <w:shd w:val="clear" w:color="000000" w:fill="FFFFFF"/>
            <w:noWrap/>
            <w:hideMark/>
          </w:tcPr>
          <w:p w14:paraId="34AD36A4"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4,809</w:t>
            </w:r>
          </w:p>
        </w:tc>
        <w:tc>
          <w:tcPr>
            <w:tcW w:w="593" w:type="pct"/>
            <w:tcBorders>
              <w:top w:val="nil"/>
              <w:left w:val="nil"/>
              <w:bottom w:val="nil"/>
              <w:right w:val="nil"/>
            </w:tcBorders>
            <w:shd w:val="clear" w:color="000000" w:fill="FFFFFF"/>
            <w:noWrap/>
            <w:hideMark/>
          </w:tcPr>
          <w:p w14:paraId="7415FC34"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5,133</w:t>
            </w:r>
          </w:p>
        </w:tc>
        <w:tc>
          <w:tcPr>
            <w:tcW w:w="592" w:type="pct"/>
            <w:tcBorders>
              <w:top w:val="nil"/>
              <w:left w:val="nil"/>
              <w:bottom w:val="nil"/>
              <w:right w:val="nil"/>
            </w:tcBorders>
            <w:shd w:val="clear" w:color="000000" w:fill="FFFFFF"/>
            <w:noWrap/>
            <w:hideMark/>
          </w:tcPr>
          <w:p w14:paraId="0A7953C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5,363</w:t>
            </w:r>
          </w:p>
        </w:tc>
      </w:tr>
      <w:tr w:rsidR="003A24A2" w:rsidRPr="003A24A2" w14:paraId="41137E26"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23375367"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Fuel and energy</w:t>
            </w:r>
          </w:p>
        </w:tc>
        <w:tc>
          <w:tcPr>
            <w:tcW w:w="595" w:type="pct"/>
            <w:tcBorders>
              <w:top w:val="nil"/>
              <w:left w:val="nil"/>
              <w:bottom w:val="nil"/>
              <w:right w:val="nil"/>
            </w:tcBorders>
            <w:shd w:val="clear" w:color="000000" w:fill="FFFFFF"/>
            <w:noWrap/>
            <w:hideMark/>
          </w:tcPr>
          <w:p w14:paraId="1C875031"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8,953</w:t>
            </w:r>
          </w:p>
        </w:tc>
        <w:tc>
          <w:tcPr>
            <w:tcW w:w="593" w:type="pct"/>
            <w:tcBorders>
              <w:top w:val="nil"/>
              <w:left w:val="nil"/>
              <w:bottom w:val="nil"/>
              <w:right w:val="nil"/>
            </w:tcBorders>
            <w:shd w:val="clear" w:color="000000" w:fill="E6F2FF"/>
            <w:noWrap/>
            <w:hideMark/>
          </w:tcPr>
          <w:p w14:paraId="0E1C1D01"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13,006</w:t>
            </w:r>
          </w:p>
        </w:tc>
        <w:tc>
          <w:tcPr>
            <w:tcW w:w="593" w:type="pct"/>
            <w:tcBorders>
              <w:top w:val="nil"/>
              <w:left w:val="nil"/>
              <w:bottom w:val="nil"/>
              <w:right w:val="nil"/>
            </w:tcBorders>
            <w:shd w:val="clear" w:color="000000" w:fill="FFFFFF"/>
            <w:noWrap/>
            <w:hideMark/>
          </w:tcPr>
          <w:p w14:paraId="6791617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16,521</w:t>
            </w:r>
          </w:p>
        </w:tc>
        <w:tc>
          <w:tcPr>
            <w:tcW w:w="593" w:type="pct"/>
            <w:tcBorders>
              <w:top w:val="nil"/>
              <w:left w:val="nil"/>
              <w:bottom w:val="nil"/>
              <w:right w:val="nil"/>
            </w:tcBorders>
            <w:shd w:val="clear" w:color="000000" w:fill="FFFFFF"/>
            <w:noWrap/>
            <w:hideMark/>
          </w:tcPr>
          <w:p w14:paraId="4F55E61B"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12,107</w:t>
            </w:r>
          </w:p>
        </w:tc>
        <w:tc>
          <w:tcPr>
            <w:tcW w:w="592" w:type="pct"/>
            <w:tcBorders>
              <w:top w:val="nil"/>
              <w:left w:val="nil"/>
              <w:bottom w:val="nil"/>
              <w:right w:val="nil"/>
            </w:tcBorders>
            <w:shd w:val="clear" w:color="000000" w:fill="FFFFFF"/>
            <w:noWrap/>
            <w:hideMark/>
          </w:tcPr>
          <w:p w14:paraId="2D6970A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13,962</w:t>
            </w:r>
          </w:p>
        </w:tc>
      </w:tr>
      <w:tr w:rsidR="003A24A2" w:rsidRPr="003A24A2" w14:paraId="53AF7BD7"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23DB5C96"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Agriculture, forestry and fishing</w:t>
            </w:r>
          </w:p>
        </w:tc>
        <w:tc>
          <w:tcPr>
            <w:tcW w:w="595" w:type="pct"/>
            <w:tcBorders>
              <w:top w:val="nil"/>
              <w:left w:val="nil"/>
              <w:bottom w:val="nil"/>
              <w:right w:val="nil"/>
            </w:tcBorders>
            <w:shd w:val="clear" w:color="000000" w:fill="FFFFFF"/>
            <w:noWrap/>
            <w:hideMark/>
          </w:tcPr>
          <w:p w14:paraId="317BA5BC"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4,737</w:t>
            </w:r>
          </w:p>
        </w:tc>
        <w:tc>
          <w:tcPr>
            <w:tcW w:w="593" w:type="pct"/>
            <w:tcBorders>
              <w:top w:val="nil"/>
              <w:left w:val="nil"/>
              <w:bottom w:val="nil"/>
              <w:right w:val="nil"/>
            </w:tcBorders>
            <w:shd w:val="clear" w:color="000000" w:fill="E6F2FF"/>
            <w:noWrap/>
            <w:hideMark/>
          </w:tcPr>
          <w:p w14:paraId="6F91DC75"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5,156</w:t>
            </w:r>
          </w:p>
        </w:tc>
        <w:tc>
          <w:tcPr>
            <w:tcW w:w="593" w:type="pct"/>
            <w:tcBorders>
              <w:top w:val="nil"/>
              <w:left w:val="nil"/>
              <w:bottom w:val="nil"/>
              <w:right w:val="nil"/>
            </w:tcBorders>
            <w:shd w:val="clear" w:color="000000" w:fill="FFFFFF"/>
            <w:noWrap/>
            <w:hideMark/>
          </w:tcPr>
          <w:p w14:paraId="49C3796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3,227</w:t>
            </w:r>
          </w:p>
        </w:tc>
        <w:tc>
          <w:tcPr>
            <w:tcW w:w="593" w:type="pct"/>
            <w:tcBorders>
              <w:top w:val="nil"/>
              <w:left w:val="nil"/>
              <w:bottom w:val="nil"/>
              <w:right w:val="nil"/>
            </w:tcBorders>
            <w:shd w:val="clear" w:color="000000" w:fill="FFFFFF"/>
            <w:noWrap/>
            <w:hideMark/>
          </w:tcPr>
          <w:p w14:paraId="6B162D6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3,045</w:t>
            </w:r>
          </w:p>
        </w:tc>
        <w:tc>
          <w:tcPr>
            <w:tcW w:w="592" w:type="pct"/>
            <w:tcBorders>
              <w:top w:val="nil"/>
              <w:left w:val="nil"/>
              <w:bottom w:val="nil"/>
              <w:right w:val="nil"/>
            </w:tcBorders>
            <w:shd w:val="clear" w:color="000000" w:fill="FFFFFF"/>
            <w:noWrap/>
            <w:hideMark/>
          </w:tcPr>
          <w:p w14:paraId="4CD99ED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2,999</w:t>
            </w:r>
          </w:p>
        </w:tc>
      </w:tr>
      <w:tr w:rsidR="003A24A2" w:rsidRPr="003A24A2" w14:paraId="45CE3C26"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0E2EC9DD"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Mining, manufacturing and construction</w:t>
            </w:r>
          </w:p>
        </w:tc>
        <w:tc>
          <w:tcPr>
            <w:tcW w:w="595" w:type="pct"/>
            <w:tcBorders>
              <w:top w:val="nil"/>
              <w:left w:val="nil"/>
              <w:bottom w:val="nil"/>
              <w:right w:val="nil"/>
            </w:tcBorders>
            <w:shd w:val="clear" w:color="000000" w:fill="FFFFFF"/>
            <w:noWrap/>
            <w:hideMark/>
          </w:tcPr>
          <w:p w14:paraId="3402E632"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4,905</w:t>
            </w:r>
          </w:p>
        </w:tc>
        <w:tc>
          <w:tcPr>
            <w:tcW w:w="593" w:type="pct"/>
            <w:tcBorders>
              <w:top w:val="nil"/>
              <w:left w:val="nil"/>
              <w:bottom w:val="nil"/>
              <w:right w:val="nil"/>
            </w:tcBorders>
            <w:shd w:val="clear" w:color="000000" w:fill="E6F2FF"/>
            <w:noWrap/>
            <w:hideMark/>
          </w:tcPr>
          <w:p w14:paraId="6E45EDDE"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5,022</w:t>
            </w:r>
          </w:p>
        </w:tc>
        <w:tc>
          <w:tcPr>
            <w:tcW w:w="593" w:type="pct"/>
            <w:tcBorders>
              <w:top w:val="nil"/>
              <w:left w:val="nil"/>
              <w:bottom w:val="nil"/>
              <w:right w:val="nil"/>
            </w:tcBorders>
            <w:shd w:val="clear" w:color="000000" w:fill="FFFFFF"/>
            <w:noWrap/>
            <w:hideMark/>
          </w:tcPr>
          <w:p w14:paraId="0BC35876"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4,696</w:t>
            </w:r>
          </w:p>
        </w:tc>
        <w:tc>
          <w:tcPr>
            <w:tcW w:w="593" w:type="pct"/>
            <w:tcBorders>
              <w:top w:val="nil"/>
              <w:left w:val="nil"/>
              <w:bottom w:val="nil"/>
              <w:right w:val="nil"/>
            </w:tcBorders>
            <w:shd w:val="clear" w:color="000000" w:fill="FFFFFF"/>
            <w:noWrap/>
            <w:hideMark/>
          </w:tcPr>
          <w:p w14:paraId="60254F40"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4,418</w:t>
            </w:r>
          </w:p>
        </w:tc>
        <w:tc>
          <w:tcPr>
            <w:tcW w:w="592" w:type="pct"/>
            <w:tcBorders>
              <w:top w:val="nil"/>
              <w:left w:val="nil"/>
              <w:bottom w:val="nil"/>
              <w:right w:val="nil"/>
            </w:tcBorders>
            <w:shd w:val="clear" w:color="000000" w:fill="FFFFFF"/>
            <w:noWrap/>
            <w:hideMark/>
          </w:tcPr>
          <w:p w14:paraId="125E46C9"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4,444</w:t>
            </w:r>
          </w:p>
        </w:tc>
      </w:tr>
      <w:tr w:rsidR="003A24A2" w:rsidRPr="003A24A2" w14:paraId="4EB57B49"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13E66150"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Transport and communication</w:t>
            </w:r>
          </w:p>
        </w:tc>
        <w:tc>
          <w:tcPr>
            <w:tcW w:w="595" w:type="pct"/>
            <w:tcBorders>
              <w:top w:val="nil"/>
              <w:left w:val="nil"/>
              <w:bottom w:val="nil"/>
              <w:right w:val="nil"/>
            </w:tcBorders>
            <w:shd w:val="clear" w:color="000000" w:fill="FFFFFF"/>
            <w:noWrap/>
            <w:hideMark/>
          </w:tcPr>
          <w:p w14:paraId="082FF5EF"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13,461</w:t>
            </w:r>
          </w:p>
        </w:tc>
        <w:tc>
          <w:tcPr>
            <w:tcW w:w="593" w:type="pct"/>
            <w:tcBorders>
              <w:top w:val="nil"/>
              <w:left w:val="nil"/>
              <w:bottom w:val="nil"/>
              <w:right w:val="nil"/>
            </w:tcBorders>
            <w:shd w:val="clear" w:color="000000" w:fill="E6F2FF"/>
            <w:noWrap/>
            <w:hideMark/>
          </w:tcPr>
          <w:p w14:paraId="32FA8A52"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17,508</w:t>
            </w:r>
          </w:p>
        </w:tc>
        <w:tc>
          <w:tcPr>
            <w:tcW w:w="593" w:type="pct"/>
            <w:tcBorders>
              <w:top w:val="nil"/>
              <w:left w:val="nil"/>
              <w:bottom w:val="nil"/>
              <w:right w:val="nil"/>
            </w:tcBorders>
            <w:shd w:val="clear" w:color="000000" w:fill="FFFFFF"/>
            <w:noWrap/>
            <w:hideMark/>
          </w:tcPr>
          <w:p w14:paraId="509943FB"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17,733</w:t>
            </w:r>
          </w:p>
        </w:tc>
        <w:tc>
          <w:tcPr>
            <w:tcW w:w="593" w:type="pct"/>
            <w:tcBorders>
              <w:top w:val="nil"/>
              <w:left w:val="nil"/>
              <w:bottom w:val="nil"/>
              <w:right w:val="nil"/>
            </w:tcBorders>
            <w:shd w:val="clear" w:color="000000" w:fill="FFFFFF"/>
            <w:noWrap/>
            <w:hideMark/>
          </w:tcPr>
          <w:p w14:paraId="22D1C602"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16,744</w:t>
            </w:r>
          </w:p>
        </w:tc>
        <w:tc>
          <w:tcPr>
            <w:tcW w:w="592" w:type="pct"/>
            <w:tcBorders>
              <w:top w:val="nil"/>
              <w:left w:val="nil"/>
              <w:bottom w:val="nil"/>
              <w:right w:val="nil"/>
            </w:tcBorders>
            <w:shd w:val="clear" w:color="000000" w:fill="FFFFFF"/>
            <w:noWrap/>
            <w:hideMark/>
          </w:tcPr>
          <w:p w14:paraId="64A5FBB0"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15,225</w:t>
            </w:r>
          </w:p>
        </w:tc>
      </w:tr>
      <w:tr w:rsidR="003A24A2" w:rsidRPr="003A24A2" w14:paraId="5553DA84" w14:textId="77777777" w:rsidTr="005E1316">
        <w:trPr>
          <w:divId w:val="883517152"/>
          <w:trHeight w:hRule="exact" w:val="225"/>
        </w:trPr>
        <w:tc>
          <w:tcPr>
            <w:tcW w:w="2034" w:type="pct"/>
            <w:tcBorders>
              <w:top w:val="nil"/>
              <w:left w:val="nil"/>
              <w:bottom w:val="nil"/>
              <w:right w:val="nil"/>
            </w:tcBorders>
            <w:shd w:val="clear" w:color="000000" w:fill="FFFFFF"/>
            <w:noWrap/>
            <w:hideMark/>
          </w:tcPr>
          <w:p w14:paraId="23476C06" w14:textId="77777777" w:rsidR="003A24A2" w:rsidRPr="003A24A2" w:rsidRDefault="003A24A2" w:rsidP="003A24A2">
            <w:pPr>
              <w:spacing w:before="0" w:after="0" w:line="240" w:lineRule="auto"/>
              <w:rPr>
                <w:rFonts w:ascii="Arial" w:hAnsi="Arial" w:cs="Arial"/>
                <w:color w:val="000000"/>
                <w:sz w:val="16"/>
                <w:szCs w:val="16"/>
              </w:rPr>
            </w:pPr>
            <w:r w:rsidRPr="003A24A2">
              <w:rPr>
                <w:rFonts w:ascii="Arial" w:hAnsi="Arial" w:cs="Arial"/>
                <w:color w:val="000000"/>
                <w:sz w:val="16"/>
                <w:szCs w:val="16"/>
              </w:rPr>
              <w:t>Other economic affairs</w:t>
            </w:r>
          </w:p>
        </w:tc>
        <w:tc>
          <w:tcPr>
            <w:tcW w:w="595" w:type="pct"/>
            <w:tcBorders>
              <w:top w:val="nil"/>
              <w:left w:val="nil"/>
              <w:right w:val="nil"/>
            </w:tcBorders>
            <w:shd w:val="clear" w:color="000000" w:fill="FFFFFF"/>
            <w:noWrap/>
            <w:hideMark/>
          </w:tcPr>
          <w:p w14:paraId="0607E71E"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14,935</w:t>
            </w:r>
          </w:p>
        </w:tc>
        <w:tc>
          <w:tcPr>
            <w:tcW w:w="593" w:type="pct"/>
            <w:tcBorders>
              <w:top w:val="nil"/>
              <w:left w:val="nil"/>
              <w:right w:val="nil"/>
            </w:tcBorders>
            <w:shd w:val="clear" w:color="000000" w:fill="E6F2FF"/>
            <w:noWrap/>
            <w:hideMark/>
          </w:tcPr>
          <w:p w14:paraId="783A2191"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12,447</w:t>
            </w:r>
          </w:p>
        </w:tc>
        <w:tc>
          <w:tcPr>
            <w:tcW w:w="593" w:type="pct"/>
            <w:tcBorders>
              <w:top w:val="nil"/>
              <w:left w:val="nil"/>
              <w:right w:val="nil"/>
            </w:tcBorders>
            <w:shd w:val="clear" w:color="000000" w:fill="FFFFFF"/>
            <w:noWrap/>
            <w:hideMark/>
          </w:tcPr>
          <w:p w14:paraId="6926B64D"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11,647</w:t>
            </w:r>
          </w:p>
        </w:tc>
        <w:tc>
          <w:tcPr>
            <w:tcW w:w="593" w:type="pct"/>
            <w:tcBorders>
              <w:top w:val="nil"/>
              <w:left w:val="nil"/>
              <w:right w:val="nil"/>
            </w:tcBorders>
            <w:shd w:val="clear" w:color="000000" w:fill="FFFFFF"/>
            <w:noWrap/>
            <w:hideMark/>
          </w:tcPr>
          <w:p w14:paraId="0D2CA747"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11,274</w:t>
            </w:r>
          </w:p>
        </w:tc>
        <w:tc>
          <w:tcPr>
            <w:tcW w:w="592" w:type="pct"/>
            <w:tcBorders>
              <w:top w:val="nil"/>
              <w:left w:val="nil"/>
              <w:right w:val="nil"/>
            </w:tcBorders>
            <w:shd w:val="clear" w:color="000000" w:fill="FFFFFF"/>
            <w:noWrap/>
            <w:hideMark/>
          </w:tcPr>
          <w:p w14:paraId="051A1993" w14:textId="77777777" w:rsidR="003A24A2" w:rsidRPr="003A24A2" w:rsidRDefault="003A24A2" w:rsidP="003A24A2">
            <w:pPr>
              <w:spacing w:before="0" w:after="0" w:line="240" w:lineRule="auto"/>
              <w:jc w:val="right"/>
              <w:rPr>
                <w:rFonts w:ascii="Arial" w:hAnsi="Arial" w:cs="Arial"/>
                <w:color w:val="000000"/>
                <w:sz w:val="16"/>
                <w:szCs w:val="16"/>
              </w:rPr>
            </w:pPr>
            <w:r w:rsidRPr="003A24A2">
              <w:rPr>
                <w:rFonts w:ascii="Arial" w:hAnsi="Arial" w:cs="Arial"/>
                <w:color w:val="000000"/>
                <w:sz w:val="16"/>
                <w:szCs w:val="16"/>
              </w:rPr>
              <w:t>11,100</w:t>
            </w:r>
          </w:p>
        </w:tc>
      </w:tr>
      <w:tr w:rsidR="003A24A2" w:rsidRPr="003A24A2" w14:paraId="53289505" w14:textId="77777777" w:rsidTr="003A24A2">
        <w:trPr>
          <w:divId w:val="883517152"/>
          <w:trHeight w:hRule="exact" w:val="225"/>
        </w:trPr>
        <w:tc>
          <w:tcPr>
            <w:tcW w:w="2034" w:type="pct"/>
            <w:tcBorders>
              <w:top w:val="nil"/>
              <w:left w:val="nil"/>
              <w:bottom w:val="nil"/>
              <w:right w:val="nil"/>
            </w:tcBorders>
            <w:shd w:val="clear" w:color="000000" w:fill="FFFFFF"/>
            <w:noWrap/>
            <w:hideMark/>
          </w:tcPr>
          <w:p w14:paraId="0CF2EA0D" w14:textId="77777777" w:rsidR="003A24A2" w:rsidRPr="003A24A2" w:rsidRDefault="003A24A2" w:rsidP="003A24A2">
            <w:pPr>
              <w:spacing w:before="0" w:after="0" w:line="240" w:lineRule="auto"/>
              <w:rPr>
                <w:rFonts w:ascii="Arial" w:hAnsi="Arial" w:cs="Arial"/>
                <w:sz w:val="16"/>
                <w:szCs w:val="16"/>
              </w:rPr>
            </w:pPr>
            <w:r w:rsidRPr="003A24A2">
              <w:rPr>
                <w:rFonts w:ascii="Arial" w:hAnsi="Arial" w:cs="Arial"/>
                <w:sz w:val="16"/>
                <w:szCs w:val="16"/>
              </w:rPr>
              <w:t>Other purposes</w:t>
            </w:r>
          </w:p>
        </w:tc>
        <w:tc>
          <w:tcPr>
            <w:tcW w:w="595" w:type="pct"/>
            <w:tcBorders>
              <w:top w:val="nil"/>
              <w:left w:val="nil"/>
              <w:bottom w:val="single" w:sz="4" w:space="0" w:color="293F5B"/>
              <w:right w:val="nil"/>
            </w:tcBorders>
            <w:shd w:val="clear" w:color="000000" w:fill="FFFFFF"/>
            <w:noWrap/>
            <w:hideMark/>
          </w:tcPr>
          <w:p w14:paraId="5E099E02"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128,309</w:t>
            </w:r>
          </w:p>
        </w:tc>
        <w:tc>
          <w:tcPr>
            <w:tcW w:w="593" w:type="pct"/>
            <w:tcBorders>
              <w:top w:val="nil"/>
              <w:left w:val="nil"/>
              <w:bottom w:val="single" w:sz="4" w:space="0" w:color="293F5B"/>
              <w:right w:val="nil"/>
            </w:tcBorders>
            <w:shd w:val="clear" w:color="000000" w:fill="E6F2FF"/>
            <w:noWrap/>
            <w:hideMark/>
          </w:tcPr>
          <w:p w14:paraId="31FF8FCA"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133,743</w:t>
            </w:r>
          </w:p>
        </w:tc>
        <w:tc>
          <w:tcPr>
            <w:tcW w:w="593" w:type="pct"/>
            <w:tcBorders>
              <w:top w:val="nil"/>
              <w:left w:val="nil"/>
              <w:bottom w:val="single" w:sz="4" w:space="0" w:color="293F5B"/>
              <w:right w:val="nil"/>
            </w:tcBorders>
            <w:shd w:val="clear" w:color="000000" w:fill="FFFFFF"/>
            <w:noWrap/>
            <w:hideMark/>
          </w:tcPr>
          <w:p w14:paraId="343C02CA"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144,569</w:t>
            </w:r>
          </w:p>
        </w:tc>
        <w:tc>
          <w:tcPr>
            <w:tcW w:w="593" w:type="pct"/>
            <w:tcBorders>
              <w:top w:val="nil"/>
              <w:left w:val="nil"/>
              <w:bottom w:val="single" w:sz="4" w:space="0" w:color="293F5B"/>
              <w:right w:val="nil"/>
            </w:tcBorders>
            <w:shd w:val="clear" w:color="000000" w:fill="FFFFFF"/>
            <w:noWrap/>
            <w:hideMark/>
          </w:tcPr>
          <w:p w14:paraId="7D43C104"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156,217</w:t>
            </w:r>
          </w:p>
        </w:tc>
        <w:tc>
          <w:tcPr>
            <w:tcW w:w="592" w:type="pct"/>
            <w:tcBorders>
              <w:top w:val="nil"/>
              <w:left w:val="nil"/>
              <w:bottom w:val="single" w:sz="4" w:space="0" w:color="293F5B"/>
              <w:right w:val="nil"/>
            </w:tcBorders>
            <w:shd w:val="clear" w:color="000000" w:fill="FFFFFF"/>
            <w:noWrap/>
            <w:hideMark/>
          </w:tcPr>
          <w:p w14:paraId="2B50BB27" w14:textId="77777777" w:rsidR="003A24A2" w:rsidRPr="003A24A2" w:rsidRDefault="003A24A2" w:rsidP="003A24A2">
            <w:pPr>
              <w:spacing w:before="0" w:after="0" w:line="240" w:lineRule="auto"/>
              <w:jc w:val="right"/>
              <w:rPr>
                <w:rFonts w:ascii="Arial" w:hAnsi="Arial" w:cs="Arial"/>
                <w:sz w:val="16"/>
                <w:szCs w:val="16"/>
              </w:rPr>
            </w:pPr>
            <w:r w:rsidRPr="003A24A2">
              <w:rPr>
                <w:rFonts w:ascii="Arial" w:hAnsi="Arial" w:cs="Arial"/>
                <w:sz w:val="16"/>
                <w:szCs w:val="16"/>
              </w:rPr>
              <w:t>169,591</w:t>
            </w:r>
          </w:p>
        </w:tc>
      </w:tr>
      <w:tr w:rsidR="003A24A2" w:rsidRPr="003A24A2" w14:paraId="0D6F56C4" w14:textId="77777777" w:rsidTr="005E1316">
        <w:trPr>
          <w:divId w:val="883517152"/>
          <w:trHeight w:hRule="exact" w:val="225"/>
        </w:trPr>
        <w:tc>
          <w:tcPr>
            <w:tcW w:w="2034" w:type="pct"/>
            <w:tcBorders>
              <w:top w:val="nil"/>
              <w:left w:val="nil"/>
              <w:bottom w:val="single" w:sz="4" w:space="0" w:color="002A54" w:themeColor="text2"/>
              <w:right w:val="nil"/>
            </w:tcBorders>
            <w:shd w:val="clear" w:color="000000" w:fill="FFFFFF"/>
            <w:noWrap/>
            <w:hideMark/>
          </w:tcPr>
          <w:p w14:paraId="56E9B017" w14:textId="77777777" w:rsidR="003A24A2" w:rsidRPr="003A24A2" w:rsidRDefault="003A24A2" w:rsidP="003A24A2">
            <w:pPr>
              <w:spacing w:before="0" w:after="0" w:line="240" w:lineRule="auto"/>
              <w:rPr>
                <w:rFonts w:ascii="Arial" w:hAnsi="Arial" w:cs="Arial"/>
                <w:b/>
                <w:bCs/>
                <w:color w:val="000000"/>
                <w:sz w:val="16"/>
                <w:szCs w:val="16"/>
              </w:rPr>
            </w:pPr>
            <w:r w:rsidRPr="003A24A2">
              <w:rPr>
                <w:rFonts w:ascii="Arial" w:hAnsi="Arial" w:cs="Arial"/>
                <w:b/>
                <w:bCs/>
                <w:color w:val="000000"/>
                <w:sz w:val="16"/>
                <w:szCs w:val="16"/>
              </w:rPr>
              <w:t>Total expenses</w:t>
            </w:r>
          </w:p>
        </w:tc>
        <w:tc>
          <w:tcPr>
            <w:tcW w:w="595" w:type="pct"/>
            <w:tcBorders>
              <w:top w:val="single" w:sz="4" w:space="0" w:color="293F5B"/>
              <w:left w:val="nil"/>
              <w:bottom w:val="single" w:sz="4" w:space="0" w:color="002A54" w:themeColor="text2"/>
              <w:right w:val="nil"/>
            </w:tcBorders>
            <w:shd w:val="clear" w:color="000000" w:fill="FFFFFF"/>
            <w:noWrap/>
            <w:hideMark/>
          </w:tcPr>
          <w:p w14:paraId="5E1542F0" w14:textId="77777777" w:rsidR="003A24A2" w:rsidRPr="003A24A2" w:rsidRDefault="003A24A2" w:rsidP="003A24A2">
            <w:pPr>
              <w:spacing w:before="0" w:after="0" w:line="240" w:lineRule="auto"/>
              <w:jc w:val="right"/>
              <w:rPr>
                <w:rFonts w:ascii="Arial" w:hAnsi="Arial" w:cs="Arial"/>
                <w:b/>
                <w:bCs/>
                <w:color w:val="000000"/>
                <w:sz w:val="16"/>
                <w:szCs w:val="16"/>
              </w:rPr>
            </w:pPr>
            <w:r w:rsidRPr="003A24A2">
              <w:rPr>
                <w:rFonts w:ascii="Arial" w:hAnsi="Arial" w:cs="Arial"/>
                <w:b/>
                <w:bCs/>
                <w:color w:val="000000"/>
                <w:sz w:val="16"/>
                <w:szCs w:val="16"/>
              </w:rPr>
              <w:t>644,788</w:t>
            </w:r>
          </w:p>
        </w:tc>
        <w:tc>
          <w:tcPr>
            <w:tcW w:w="593" w:type="pct"/>
            <w:tcBorders>
              <w:top w:val="single" w:sz="4" w:space="0" w:color="293F5B"/>
              <w:left w:val="nil"/>
              <w:bottom w:val="single" w:sz="4" w:space="0" w:color="002A54" w:themeColor="text2"/>
              <w:right w:val="nil"/>
            </w:tcBorders>
            <w:shd w:val="clear" w:color="000000" w:fill="E6F2FF"/>
            <w:noWrap/>
            <w:hideMark/>
          </w:tcPr>
          <w:p w14:paraId="70B5D032" w14:textId="77777777" w:rsidR="003A24A2" w:rsidRPr="003A24A2" w:rsidRDefault="003A24A2" w:rsidP="003A24A2">
            <w:pPr>
              <w:spacing w:before="0" w:after="0" w:line="240" w:lineRule="auto"/>
              <w:jc w:val="right"/>
              <w:rPr>
                <w:rFonts w:ascii="Arial" w:hAnsi="Arial" w:cs="Arial"/>
                <w:b/>
                <w:bCs/>
                <w:color w:val="000000"/>
                <w:sz w:val="16"/>
                <w:szCs w:val="16"/>
              </w:rPr>
            </w:pPr>
            <w:r w:rsidRPr="003A24A2">
              <w:rPr>
                <w:rFonts w:ascii="Arial" w:hAnsi="Arial" w:cs="Arial"/>
                <w:b/>
                <w:bCs/>
                <w:color w:val="000000"/>
                <w:sz w:val="16"/>
                <w:szCs w:val="16"/>
              </w:rPr>
              <w:t>684,085</w:t>
            </w:r>
          </w:p>
        </w:tc>
        <w:tc>
          <w:tcPr>
            <w:tcW w:w="593" w:type="pct"/>
            <w:tcBorders>
              <w:top w:val="single" w:sz="4" w:space="0" w:color="293F5B"/>
              <w:left w:val="nil"/>
              <w:bottom w:val="single" w:sz="4" w:space="0" w:color="002A54" w:themeColor="text2"/>
              <w:right w:val="nil"/>
            </w:tcBorders>
            <w:shd w:val="clear" w:color="000000" w:fill="FFFFFF"/>
            <w:noWrap/>
            <w:hideMark/>
          </w:tcPr>
          <w:p w14:paraId="0A00F44C" w14:textId="77777777" w:rsidR="003A24A2" w:rsidRPr="003A24A2" w:rsidRDefault="003A24A2" w:rsidP="003A24A2">
            <w:pPr>
              <w:spacing w:before="0" w:after="0" w:line="240" w:lineRule="auto"/>
              <w:jc w:val="right"/>
              <w:rPr>
                <w:rFonts w:ascii="Arial" w:hAnsi="Arial" w:cs="Arial"/>
                <w:b/>
                <w:bCs/>
                <w:color w:val="000000"/>
                <w:sz w:val="16"/>
                <w:szCs w:val="16"/>
              </w:rPr>
            </w:pPr>
            <w:r w:rsidRPr="003A24A2">
              <w:rPr>
                <w:rFonts w:ascii="Arial" w:hAnsi="Arial" w:cs="Arial"/>
                <w:b/>
                <w:bCs/>
                <w:color w:val="000000"/>
                <w:sz w:val="16"/>
                <w:szCs w:val="16"/>
              </w:rPr>
              <w:t>715,382</w:t>
            </w:r>
          </w:p>
        </w:tc>
        <w:tc>
          <w:tcPr>
            <w:tcW w:w="593" w:type="pct"/>
            <w:tcBorders>
              <w:top w:val="single" w:sz="4" w:space="0" w:color="293F5B"/>
              <w:left w:val="nil"/>
              <w:bottom w:val="single" w:sz="4" w:space="0" w:color="002A54" w:themeColor="text2"/>
              <w:right w:val="nil"/>
            </w:tcBorders>
            <w:shd w:val="clear" w:color="000000" w:fill="FFFFFF"/>
            <w:noWrap/>
            <w:hideMark/>
          </w:tcPr>
          <w:p w14:paraId="61A8AAE6" w14:textId="77777777" w:rsidR="003A24A2" w:rsidRPr="003A24A2" w:rsidRDefault="003A24A2" w:rsidP="003A24A2">
            <w:pPr>
              <w:spacing w:before="0" w:after="0" w:line="240" w:lineRule="auto"/>
              <w:jc w:val="right"/>
              <w:rPr>
                <w:rFonts w:ascii="Arial" w:hAnsi="Arial" w:cs="Arial"/>
                <w:b/>
                <w:bCs/>
                <w:color w:val="000000"/>
                <w:sz w:val="16"/>
                <w:szCs w:val="16"/>
              </w:rPr>
            </w:pPr>
            <w:r w:rsidRPr="003A24A2">
              <w:rPr>
                <w:rFonts w:ascii="Arial" w:hAnsi="Arial" w:cs="Arial"/>
                <w:b/>
                <w:bCs/>
                <w:color w:val="000000"/>
                <w:sz w:val="16"/>
                <w:szCs w:val="16"/>
              </w:rPr>
              <w:t>743,324</w:t>
            </w:r>
          </w:p>
        </w:tc>
        <w:tc>
          <w:tcPr>
            <w:tcW w:w="592" w:type="pct"/>
            <w:tcBorders>
              <w:top w:val="single" w:sz="4" w:space="0" w:color="293F5B"/>
              <w:left w:val="nil"/>
              <w:bottom w:val="single" w:sz="4" w:space="0" w:color="002A54" w:themeColor="text2"/>
              <w:right w:val="nil"/>
            </w:tcBorders>
            <w:shd w:val="clear" w:color="000000" w:fill="FFFFFF"/>
            <w:noWrap/>
            <w:hideMark/>
          </w:tcPr>
          <w:p w14:paraId="1EB1289A" w14:textId="77777777" w:rsidR="003A24A2" w:rsidRPr="003A24A2" w:rsidRDefault="003A24A2" w:rsidP="003A24A2">
            <w:pPr>
              <w:spacing w:before="0" w:after="0" w:line="240" w:lineRule="auto"/>
              <w:jc w:val="right"/>
              <w:rPr>
                <w:rFonts w:ascii="Arial" w:hAnsi="Arial" w:cs="Arial"/>
                <w:b/>
                <w:bCs/>
                <w:color w:val="000000"/>
                <w:sz w:val="16"/>
                <w:szCs w:val="16"/>
              </w:rPr>
            </w:pPr>
            <w:r w:rsidRPr="003A24A2">
              <w:rPr>
                <w:rFonts w:ascii="Arial" w:hAnsi="Arial" w:cs="Arial"/>
                <w:b/>
                <w:bCs/>
                <w:color w:val="000000"/>
                <w:sz w:val="16"/>
                <w:szCs w:val="16"/>
              </w:rPr>
              <w:t>771,779</w:t>
            </w:r>
          </w:p>
        </w:tc>
      </w:tr>
    </w:tbl>
    <w:p w14:paraId="104E401D" w14:textId="6899B75F" w:rsidR="0050166A" w:rsidRDefault="0050166A" w:rsidP="00173739">
      <w:pPr>
        <w:pStyle w:val="ChartandTableFootnoteAlpha"/>
        <w:numPr>
          <w:ilvl w:val="0"/>
          <w:numId w:val="4"/>
        </w:numPr>
        <w:ind w:left="284" w:hanging="284"/>
        <w:rPr>
          <w:color w:val="auto"/>
        </w:rPr>
      </w:pPr>
      <w:bookmarkStart w:id="20" w:name="_Hlk133761362"/>
      <w:r w:rsidRPr="00DE482B">
        <w:rPr>
          <w:color w:val="auto"/>
        </w:rPr>
        <w:t>The functions are based on an international standard classification of functions of government that is incorporated into the Government Finance Statistics (GFS) reporting framework</w:t>
      </w:r>
      <w:r w:rsidRPr="000177D7">
        <w:rPr>
          <w:color w:val="auto"/>
        </w:rPr>
        <w:t>.</w:t>
      </w:r>
    </w:p>
    <w:p w14:paraId="31F5C9A9" w14:textId="77777777" w:rsidR="000C5340" w:rsidRPr="000177D7" w:rsidRDefault="000C5340" w:rsidP="000C5340">
      <w:pPr>
        <w:pStyle w:val="TableLine"/>
      </w:pPr>
    </w:p>
    <w:p w14:paraId="7EE85445" w14:textId="77777777" w:rsidR="000C5340" w:rsidRPr="000C5340" w:rsidRDefault="000C5340" w:rsidP="000C5340"/>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855DF" w:rsidRPr="00F4263A" w14:paraId="08404186" w14:textId="77777777" w:rsidTr="008C22FB">
        <w:trPr>
          <w:cantSplit/>
        </w:trPr>
        <w:tc>
          <w:tcPr>
            <w:tcW w:w="7710" w:type="dxa"/>
            <w:shd w:val="clear" w:color="auto" w:fill="E6F2FF"/>
          </w:tcPr>
          <w:bookmarkEnd w:id="20"/>
          <w:p w14:paraId="6B295B88" w14:textId="22E0E389" w:rsidR="00B561FF" w:rsidRPr="000177D7" w:rsidRDefault="00B561FF" w:rsidP="00B561FF">
            <w:pPr>
              <w:pStyle w:val="BoxHeading"/>
            </w:pPr>
            <w:r w:rsidRPr="000177D7">
              <w:lastRenderedPageBreak/>
              <w:t>Box 6.</w:t>
            </w:r>
            <w:r w:rsidR="00E718B8">
              <w:t>2</w:t>
            </w:r>
            <w:r w:rsidRPr="000177D7">
              <w:t>: Where does government spending go in 202</w:t>
            </w:r>
            <w:r>
              <w:t>3–</w:t>
            </w:r>
            <w:r w:rsidRPr="000177D7">
              <w:t>2</w:t>
            </w:r>
            <w:r>
              <w:t>4</w:t>
            </w:r>
            <w:r w:rsidRPr="000177D7">
              <w:t>?</w:t>
            </w:r>
          </w:p>
          <w:p w14:paraId="2CA9594F" w14:textId="7AFF5FCE" w:rsidR="00B561FF" w:rsidRPr="000177D7" w:rsidRDefault="00B561FF" w:rsidP="00B561FF">
            <w:pPr>
              <w:pStyle w:val="BoxText"/>
            </w:pPr>
            <w:r w:rsidRPr="000177D7">
              <w:t>Government spending provides a wide range of services to the community. The</w:t>
            </w:r>
            <w:r w:rsidR="003E0B64">
              <w:t xml:space="preserve"> </w:t>
            </w:r>
            <w:r w:rsidRPr="000177D7">
              <w:t>most significant component of government spending relates to social security and welfare, with over one third of total expenses providing support to the aged, families with children, people with disabilities, veterans, carers and unemployed</w:t>
            </w:r>
            <w:r w:rsidR="003E0B64">
              <w:t xml:space="preserve"> </w:t>
            </w:r>
            <w:r w:rsidRPr="000177D7">
              <w:t>people.</w:t>
            </w:r>
          </w:p>
          <w:p w14:paraId="10FDB64B" w14:textId="77777777" w:rsidR="00B561FF" w:rsidRPr="0021687D" w:rsidRDefault="00B561FF" w:rsidP="00B561FF">
            <w:pPr>
              <w:pStyle w:val="BoxText"/>
            </w:pPr>
            <w:r w:rsidRPr="0021687D">
              <w:t>Around</w:t>
            </w:r>
            <w:r w:rsidRPr="0021687D" w:rsidDel="00577F49">
              <w:t xml:space="preserve"> </w:t>
            </w:r>
            <w:r w:rsidRPr="0021687D">
              <w:t>a sixth of government expenses occur in health, including Medicare Benefits Schedule and Pharmaceutical Benefits Scheme expenditure.</w:t>
            </w:r>
          </w:p>
          <w:p w14:paraId="70470CD9" w14:textId="47C5A2A9" w:rsidR="00B561FF" w:rsidRPr="000177D7" w:rsidRDefault="00B561FF" w:rsidP="00B561FF">
            <w:pPr>
              <w:pStyle w:val="BoxText"/>
            </w:pPr>
            <w:r w:rsidRPr="0021687D">
              <w:t>The Government also provides significant investment under the education function, supporting government and non</w:t>
            </w:r>
            <w:r w:rsidR="00D34B95">
              <w:noBreakHyphen/>
            </w:r>
            <w:r w:rsidRPr="0021687D">
              <w:t>government schools, as well as higher education and vocational education</w:t>
            </w:r>
            <w:r w:rsidRPr="000177D7">
              <w:t xml:space="preserve"> and training.</w:t>
            </w:r>
          </w:p>
          <w:p w14:paraId="5FF59A40" w14:textId="66BC110D" w:rsidR="00B561FF" w:rsidRPr="000177D7" w:rsidRDefault="00B561FF" w:rsidP="0047176C">
            <w:pPr>
              <w:pStyle w:val="BoxText"/>
            </w:pPr>
            <w:r w:rsidRPr="000177D7">
              <w:t xml:space="preserve">Defence is another significant component of government expenditure, providing capability to the Australian Defence Force to protect </w:t>
            </w:r>
            <w:r w:rsidRPr="0047176C">
              <w:t>Australia</w:t>
            </w:r>
            <w:r w:rsidR="00D34B95" w:rsidRPr="0047176C">
              <w:t>’</w:t>
            </w:r>
            <w:r w:rsidRPr="0047176C">
              <w:t>s</w:t>
            </w:r>
            <w:r w:rsidRPr="000177D7">
              <w:t xml:space="preserve"> security and defend our national interests.</w:t>
            </w:r>
          </w:p>
          <w:p w14:paraId="5CDDD771" w14:textId="77777777" w:rsidR="00A06387" w:rsidRDefault="004F6E56" w:rsidP="0047176C">
            <w:pPr>
              <w:pStyle w:val="ChartMainHeading"/>
              <w:spacing w:after="120"/>
            </w:pPr>
            <w:r w:rsidRPr="000177D7">
              <w:t xml:space="preserve">Chart 6.1: Expenses by </w:t>
            </w:r>
            <w:r w:rsidRPr="00A06387">
              <w:t>function</w:t>
            </w:r>
            <w:r w:rsidRPr="000177D7">
              <w:t xml:space="preserve"> in 202</w:t>
            </w:r>
            <w:r>
              <w:t>3–</w:t>
            </w:r>
            <w:r w:rsidRPr="0047176C">
              <w:t>24</w:t>
            </w:r>
          </w:p>
          <w:p w14:paraId="51BBEDE8" w14:textId="22561E87" w:rsidR="004F6E56" w:rsidRPr="0047176C" w:rsidRDefault="00A06387" w:rsidP="0047176C">
            <w:pPr>
              <w:pStyle w:val="ChartGraphic"/>
            </w:pPr>
            <w:r>
              <w:rPr>
                <w:noProof/>
              </w:rPr>
              <w:drawing>
                <wp:inline distT="0" distB="0" distL="0" distR="0" wp14:anchorId="1D41B5A9" wp14:editId="74BB59F1">
                  <wp:extent cx="4536000" cy="2736332"/>
                  <wp:effectExtent l="0" t="0" r="0" b="6985"/>
                  <wp:docPr id="1" name="Chart 1" descr="This chart shows estimated expenses by function in 2023-24. Social security and welfare is 36.6 per cent of expenses, other purposes is 19.6 per cent of expenses, health is 15.6 per cent of expenses, education is 7.1 per cent of expenses, defence is 6.3 per cent of expenses, general public services is 4.3 per cent of expenses, and all other functions is 10.7 per cent of expenses.">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C4A8DC" w14:textId="77777777" w:rsidR="00A06387" w:rsidRPr="000177D7" w:rsidRDefault="00A06387" w:rsidP="00A06387">
            <w:pPr>
              <w:pStyle w:val="ChartLine"/>
            </w:pPr>
          </w:p>
          <w:p w14:paraId="5903F7A4" w14:textId="5625A1D5" w:rsidR="00D2751A" w:rsidRPr="000177D7" w:rsidRDefault="004F6E56" w:rsidP="00A06387">
            <w:pPr>
              <w:pStyle w:val="BoxText"/>
            </w:pPr>
            <w:r w:rsidRPr="000177D7">
              <w:t>The estimates presented in the chart above are explained in greater detail under each individual function in the following pages</w:t>
            </w:r>
            <w:r w:rsidR="00C855DF" w:rsidRPr="000177D7">
              <w:t>.</w:t>
            </w:r>
          </w:p>
        </w:tc>
      </w:tr>
    </w:tbl>
    <w:p w14:paraId="241E5739" w14:textId="77777777" w:rsidR="00C855DF" w:rsidRPr="000177D7" w:rsidRDefault="00C855DF" w:rsidP="00C855DF">
      <w:pPr>
        <w:spacing w:before="0" w:after="160" w:line="259" w:lineRule="auto"/>
      </w:pPr>
      <w:r w:rsidRPr="000177D7">
        <w:br w:type="page"/>
      </w:r>
    </w:p>
    <w:p w14:paraId="3B04D942" w14:textId="77777777" w:rsidR="00C855DF" w:rsidRPr="000177D7" w:rsidRDefault="00C855DF" w:rsidP="00C855DF">
      <w:pPr>
        <w:pStyle w:val="Heading3"/>
      </w:pPr>
      <w:bookmarkStart w:id="21" w:name="_Toc4577268"/>
      <w:bookmarkStart w:id="22" w:name="_Toc4689179"/>
      <w:bookmarkStart w:id="23" w:name="_Toc99203677"/>
      <w:bookmarkStart w:id="24" w:name="_Toc117358170"/>
      <w:bookmarkStart w:id="25" w:name="_Toc134169610"/>
      <w:r w:rsidRPr="000177D7">
        <w:lastRenderedPageBreak/>
        <w:t>Program expenses</w:t>
      </w:r>
      <w:bookmarkEnd w:id="21"/>
      <w:bookmarkEnd w:id="22"/>
      <w:bookmarkEnd w:id="23"/>
      <w:bookmarkEnd w:id="24"/>
      <w:bookmarkEnd w:id="25"/>
    </w:p>
    <w:p w14:paraId="5415AE08" w14:textId="7B2C15B1" w:rsidR="00B561FF" w:rsidRPr="000177D7" w:rsidRDefault="0050166A" w:rsidP="00B561FF">
      <w:bookmarkStart w:id="26" w:name="_Toc4577269"/>
      <w:bookmarkStart w:id="27" w:name="_Toc4689180"/>
      <w:r>
        <w:t>T</w:t>
      </w:r>
      <w:r w:rsidRPr="000177D7">
        <w:t xml:space="preserve">he top 20 expense programs in the </w:t>
      </w:r>
      <w:r>
        <w:t>2023</w:t>
      </w:r>
      <w:r w:rsidR="00485F94">
        <w:t>–</w:t>
      </w:r>
      <w:r>
        <w:t>24</w:t>
      </w:r>
      <w:r w:rsidRPr="000177D7">
        <w:t> financial year</w:t>
      </w:r>
      <w:r>
        <w:t xml:space="preserve"> are presented in Table 6.3.1</w:t>
      </w:r>
      <w:r w:rsidRPr="000177D7">
        <w:t>. These programs represent more than two thirds of total expenses in that year.</w:t>
      </w:r>
      <w:r w:rsidR="00B561FF" w:rsidRPr="000177D7">
        <w:t xml:space="preserve"> </w:t>
      </w:r>
    </w:p>
    <w:p w14:paraId="71388759" w14:textId="05BAC163" w:rsidR="00EE6FF2" w:rsidRDefault="00C855DF" w:rsidP="00EE6FF2">
      <w:pPr>
        <w:pStyle w:val="TableHeading"/>
        <w:rPr>
          <w:rFonts w:asciiTheme="minorHAnsi" w:eastAsiaTheme="minorHAnsi" w:hAnsiTheme="minorHAnsi" w:cstheme="minorBidi"/>
          <w:sz w:val="22"/>
          <w:szCs w:val="22"/>
          <w:lang w:eastAsia="en-US"/>
        </w:rPr>
      </w:pPr>
      <w:r w:rsidRPr="000177D7">
        <w:t>Table 6.3.1: Top 20 programs by expense</w:t>
      </w:r>
      <w:bookmarkStart w:id="28" w:name="_1727953875"/>
      <w:bookmarkStart w:id="29" w:name="_1727955052"/>
      <w:bookmarkEnd w:id="28"/>
      <w:bookmarkEnd w:id="29"/>
    </w:p>
    <w:tbl>
      <w:tblPr>
        <w:tblW w:w="5000" w:type="pct"/>
        <w:tblCellMar>
          <w:left w:w="0" w:type="dxa"/>
          <w:right w:w="28" w:type="dxa"/>
        </w:tblCellMar>
        <w:tblLook w:val="04A0" w:firstRow="1" w:lastRow="0" w:firstColumn="1" w:lastColumn="0" w:noHBand="0" w:noVBand="1"/>
      </w:tblPr>
      <w:tblGrid>
        <w:gridCol w:w="2700"/>
        <w:gridCol w:w="1315"/>
        <w:gridCol w:w="739"/>
        <w:gridCol w:w="739"/>
        <w:gridCol w:w="739"/>
        <w:gridCol w:w="739"/>
        <w:gridCol w:w="739"/>
      </w:tblGrid>
      <w:tr w:rsidR="00225A2F" w:rsidRPr="00EE6FF2" w14:paraId="71CF5866" w14:textId="77777777" w:rsidTr="00EE6FF2">
        <w:trPr>
          <w:divId w:val="1805847572"/>
          <w:trHeight w:val="226"/>
        </w:trPr>
        <w:tc>
          <w:tcPr>
            <w:tcW w:w="1751" w:type="pct"/>
            <w:tcBorders>
              <w:top w:val="single" w:sz="4" w:space="0" w:color="293F5B"/>
              <w:left w:val="nil"/>
              <w:bottom w:val="nil"/>
              <w:right w:val="nil"/>
            </w:tcBorders>
            <w:shd w:val="clear" w:color="000000" w:fill="FFFFFF"/>
            <w:noWrap/>
            <w:vAlign w:val="center"/>
            <w:hideMark/>
          </w:tcPr>
          <w:p w14:paraId="75933DCC" w14:textId="736B2A09"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853" w:type="pct"/>
            <w:tcBorders>
              <w:top w:val="single" w:sz="4" w:space="0" w:color="293F5B"/>
              <w:left w:val="nil"/>
              <w:bottom w:val="nil"/>
              <w:right w:val="nil"/>
            </w:tcBorders>
            <w:shd w:val="clear" w:color="000000" w:fill="FFFFFF"/>
            <w:noWrap/>
            <w:vAlign w:val="center"/>
            <w:hideMark/>
          </w:tcPr>
          <w:p w14:paraId="2CB6A2A9"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2395" w:type="pct"/>
            <w:gridSpan w:val="5"/>
            <w:tcBorders>
              <w:top w:val="single" w:sz="4" w:space="0" w:color="293F5B"/>
              <w:left w:val="nil"/>
              <w:bottom w:val="single" w:sz="4" w:space="0" w:color="293F5B"/>
              <w:right w:val="nil"/>
            </w:tcBorders>
            <w:shd w:val="clear" w:color="000000" w:fill="FFFFFF"/>
            <w:noWrap/>
            <w:vAlign w:val="center"/>
            <w:hideMark/>
          </w:tcPr>
          <w:p w14:paraId="758B086E" w14:textId="77777777" w:rsidR="00EE6FF2" w:rsidRPr="00EE6FF2" w:rsidRDefault="00EE6FF2" w:rsidP="00EE6FF2">
            <w:pPr>
              <w:spacing w:before="0" w:after="0" w:line="240" w:lineRule="auto"/>
              <w:jc w:val="center"/>
              <w:rPr>
                <w:rFonts w:ascii="Arial" w:hAnsi="Arial" w:cs="Arial"/>
                <w:sz w:val="16"/>
                <w:szCs w:val="16"/>
              </w:rPr>
            </w:pPr>
            <w:r w:rsidRPr="00EE6FF2">
              <w:rPr>
                <w:rFonts w:ascii="Arial" w:hAnsi="Arial" w:cs="Arial"/>
                <w:sz w:val="16"/>
                <w:szCs w:val="16"/>
              </w:rPr>
              <w:t>Estimates</w:t>
            </w:r>
          </w:p>
        </w:tc>
      </w:tr>
      <w:tr w:rsidR="00225A2F" w:rsidRPr="00EE6FF2" w14:paraId="0A1DAEC9"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A7F2562"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853" w:type="pct"/>
            <w:tcBorders>
              <w:top w:val="nil"/>
              <w:left w:val="nil"/>
              <w:bottom w:val="nil"/>
              <w:right w:val="nil"/>
            </w:tcBorders>
            <w:shd w:val="clear" w:color="000000" w:fill="FFFFFF"/>
            <w:noWrap/>
            <w:vAlign w:val="center"/>
            <w:hideMark/>
          </w:tcPr>
          <w:p w14:paraId="3ACA02D5"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479" w:type="pct"/>
            <w:tcBorders>
              <w:top w:val="single" w:sz="4" w:space="0" w:color="293F5B"/>
              <w:left w:val="nil"/>
              <w:bottom w:val="nil"/>
              <w:right w:val="nil"/>
            </w:tcBorders>
            <w:shd w:val="clear" w:color="000000" w:fill="FFFFFF"/>
            <w:noWrap/>
            <w:vAlign w:val="center"/>
            <w:hideMark/>
          </w:tcPr>
          <w:p w14:paraId="72DB843C"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2022-23</w:t>
            </w:r>
          </w:p>
        </w:tc>
        <w:tc>
          <w:tcPr>
            <w:tcW w:w="479" w:type="pct"/>
            <w:tcBorders>
              <w:top w:val="single" w:sz="4" w:space="0" w:color="293F5B"/>
              <w:left w:val="nil"/>
              <w:bottom w:val="nil"/>
              <w:right w:val="nil"/>
            </w:tcBorders>
            <w:shd w:val="clear" w:color="000000" w:fill="E6F2FF"/>
            <w:noWrap/>
            <w:vAlign w:val="center"/>
            <w:hideMark/>
          </w:tcPr>
          <w:p w14:paraId="6A6CF05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2023-24</w:t>
            </w:r>
          </w:p>
        </w:tc>
        <w:tc>
          <w:tcPr>
            <w:tcW w:w="479" w:type="pct"/>
            <w:tcBorders>
              <w:top w:val="single" w:sz="4" w:space="0" w:color="293F5B"/>
              <w:left w:val="nil"/>
              <w:bottom w:val="nil"/>
              <w:right w:val="nil"/>
            </w:tcBorders>
            <w:shd w:val="clear" w:color="000000" w:fill="FFFFFF"/>
            <w:noWrap/>
            <w:vAlign w:val="center"/>
            <w:hideMark/>
          </w:tcPr>
          <w:p w14:paraId="704D7E9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2024-25</w:t>
            </w:r>
          </w:p>
        </w:tc>
        <w:tc>
          <w:tcPr>
            <w:tcW w:w="479" w:type="pct"/>
            <w:tcBorders>
              <w:top w:val="single" w:sz="4" w:space="0" w:color="293F5B"/>
              <w:left w:val="nil"/>
              <w:bottom w:val="nil"/>
              <w:right w:val="nil"/>
            </w:tcBorders>
            <w:shd w:val="clear" w:color="000000" w:fill="FFFFFF"/>
            <w:noWrap/>
            <w:vAlign w:val="center"/>
            <w:hideMark/>
          </w:tcPr>
          <w:p w14:paraId="67FE552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2025-26</w:t>
            </w:r>
          </w:p>
        </w:tc>
        <w:tc>
          <w:tcPr>
            <w:tcW w:w="479" w:type="pct"/>
            <w:tcBorders>
              <w:top w:val="single" w:sz="4" w:space="0" w:color="293F5B"/>
              <w:left w:val="nil"/>
              <w:bottom w:val="nil"/>
              <w:right w:val="nil"/>
            </w:tcBorders>
            <w:shd w:val="clear" w:color="000000" w:fill="FFFFFF"/>
            <w:noWrap/>
            <w:vAlign w:val="center"/>
            <w:hideMark/>
          </w:tcPr>
          <w:p w14:paraId="23157B08"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2026-27</w:t>
            </w:r>
          </w:p>
        </w:tc>
      </w:tr>
      <w:tr w:rsidR="00225A2F" w:rsidRPr="00EE6FF2" w14:paraId="50C6B485"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FC7166F" w14:textId="77777777" w:rsidR="00EE6FF2" w:rsidRPr="00EE6FF2" w:rsidRDefault="00EE6FF2" w:rsidP="00EE6FF2">
            <w:pPr>
              <w:spacing w:before="0" w:after="0" w:line="240" w:lineRule="auto"/>
              <w:rPr>
                <w:rFonts w:ascii="Arial" w:hAnsi="Arial" w:cs="Arial"/>
                <w:b/>
                <w:bCs/>
                <w:color w:val="000000"/>
                <w:sz w:val="16"/>
                <w:szCs w:val="16"/>
              </w:rPr>
            </w:pPr>
            <w:r w:rsidRPr="00EE6FF2">
              <w:rPr>
                <w:rFonts w:ascii="Arial" w:hAnsi="Arial" w:cs="Arial"/>
                <w:b/>
                <w:bCs/>
                <w:color w:val="000000"/>
                <w:sz w:val="16"/>
                <w:szCs w:val="16"/>
              </w:rPr>
              <w:t>Program(a)</w:t>
            </w:r>
          </w:p>
        </w:tc>
        <w:tc>
          <w:tcPr>
            <w:tcW w:w="853" w:type="pct"/>
            <w:tcBorders>
              <w:top w:val="nil"/>
              <w:left w:val="nil"/>
              <w:bottom w:val="nil"/>
              <w:right w:val="nil"/>
            </w:tcBorders>
            <w:shd w:val="clear" w:color="000000" w:fill="FFFFFF"/>
            <w:noWrap/>
            <w:vAlign w:val="center"/>
            <w:hideMark/>
          </w:tcPr>
          <w:p w14:paraId="03B469C2" w14:textId="77777777" w:rsidR="00EE6FF2" w:rsidRPr="00EE6FF2" w:rsidRDefault="00EE6FF2" w:rsidP="00EE6FF2">
            <w:pPr>
              <w:spacing w:before="0" w:after="0" w:line="240" w:lineRule="auto"/>
              <w:rPr>
                <w:rFonts w:ascii="Arial" w:hAnsi="Arial" w:cs="Arial"/>
                <w:b/>
                <w:bCs/>
                <w:color w:val="000000"/>
                <w:sz w:val="16"/>
                <w:szCs w:val="16"/>
              </w:rPr>
            </w:pPr>
            <w:r w:rsidRPr="00EE6FF2">
              <w:rPr>
                <w:rFonts w:ascii="Arial" w:hAnsi="Arial" w:cs="Arial"/>
                <w:b/>
                <w:bCs/>
                <w:color w:val="000000"/>
                <w:sz w:val="16"/>
                <w:szCs w:val="16"/>
              </w:rPr>
              <w:t>Function</w:t>
            </w:r>
          </w:p>
        </w:tc>
        <w:tc>
          <w:tcPr>
            <w:tcW w:w="479" w:type="pct"/>
            <w:tcBorders>
              <w:top w:val="single" w:sz="4" w:space="0" w:color="293F5B"/>
              <w:left w:val="nil"/>
              <w:bottom w:val="single" w:sz="4" w:space="0" w:color="293F5B"/>
              <w:right w:val="nil"/>
            </w:tcBorders>
            <w:shd w:val="clear" w:color="000000" w:fill="FFFFFF"/>
            <w:noWrap/>
            <w:vAlign w:val="center"/>
            <w:hideMark/>
          </w:tcPr>
          <w:p w14:paraId="3B49EB41"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$m</w:t>
            </w:r>
          </w:p>
        </w:tc>
        <w:tc>
          <w:tcPr>
            <w:tcW w:w="479" w:type="pct"/>
            <w:tcBorders>
              <w:top w:val="single" w:sz="4" w:space="0" w:color="293F5B"/>
              <w:left w:val="nil"/>
              <w:bottom w:val="single" w:sz="4" w:space="0" w:color="293F5B"/>
              <w:right w:val="nil"/>
            </w:tcBorders>
            <w:shd w:val="clear" w:color="000000" w:fill="E6F2FF"/>
            <w:noWrap/>
            <w:vAlign w:val="center"/>
            <w:hideMark/>
          </w:tcPr>
          <w:p w14:paraId="1DD2E3CC"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$m</w:t>
            </w:r>
          </w:p>
        </w:tc>
        <w:tc>
          <w:tcPr>
            <w:tcW w:w="479" w:type="pct"/>
            <w:tcBorders>
              <w:top w:val="single" w:sz="4" w:space="0" w:color="293F5B"/>
              <w:left w:val="nil"/>
              <w:bottom w:val="single" w:sz="4" w:space="0" w:color="293F5B"/>
              <w:right w:val="nil"/>
            </w:tcBorders>
            <w:shd w:val="clear" w:color="000000" w:fill="FFFFFF"/>
            <w:noWrap/>
            <w:vAlign w:val="center"/>
            <w:hideMark/>
          </w:tcPr>
          <w:p w14:paraId="3E79D204"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$m</w:t>
            </w:r>
          </w:p>
        </w:tc>
        <w:tc>
          <w:tcPr>
            <w:tcW w:w="479" w:type="pct"/>
            <w:tcBorders>
              <w:top w:val="single" w:sz="4" w:space="0" w:color="293F5B"/>
              <w:left w:val="nil"/>
              <w:bottom w:val="single" w:sz="4" w:space="0" w:color="293F5B"/>
              <w:right w:val="nil"/>
            </w:tcBorders>
            <w:shd w:val="clear" w:color="000000" w:fill="FFFFFF"/>
            <w:noWrap/>
            <w:vAlign w:val="center"/>
            <w:hideMark/>
          </w:tcPr>
          <w:p w14:paraId="627AB32D"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$m</w:t>
            </w:r>
          </w:p>
        </w:tc>
        <w:tc>
          <w:tcPr>
            <w:tcW w:w="479" w:type="pct"/>
            <w:tcBorders>
              <w:top w:val="single" w:sz="4" w:space="0" w:color="293F5B"/>
              <w:left w:val="nil"/>
              <w:bottom w:val="single" w:sz="4" w:space="0" w:color="293F5B"/>
              <w:right w:val="nil"/>
            </w:tcBorders>
            <w:shd w:val="clear" w:color="000000" w:fill="FFFFFF"/>
            <w:noWrap/>
            <w:vAlign w:val="center"/>
            <w:hideMark/>
          </w:tcPr>
          <w:p w14:paraId="1838A961"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$m</w:t>
            </w:r>
          </w:p>
        </w:tc>
      </w:tr>
      <w:tr w:rsidR="00225A2F" w:rsidRPr="00EE6FF2" w14:paraId="181D2FD9"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2083AB0"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Revenue assistance to the</w:t>
            </w:r>
          </w:p>
        </w:tc>
        <w:tc>
          <w:tcPr>
            <w:tcW w:w="853" w:type="pct"/>
            <w:tcBorders>
              <w:top w:val="nil"/>
              <w:left w:val="nil"/>
              <w:bottom w:val="nil"/>
              <w:right w:val="nil"/>
            </w:tcBorders>
            <w:shd w:val="clear" w:color="auto" w:fill="auto"/>
            <w:noWrap/>
            <w:vAlign w:val="center"/>
            <w:hideMark/>
          </w:tcPr>
          <w:p w14:paraId="40C0731D" w14:textId="77777777" w:rsidR="00EE6FF2" w:rsidRPr="00EE6FF2" w:rsidRDefault="00EE6FF2" w:rsidP="00EE6FF2">
            <w:pPr>
              <w:spacing w:before="0" w:after="0" w:line="240" w:lineRule="auto"/>
              <w:rPr>
                <w:rFonts w:ascii="Arial" w:hAnsi="Arial" w:cs="Arial"/>
                <w:color w:val="000000"/>
                <w:sz w:val="16"/>
                <w:szCs w:val="16"/>
              </w:rPr>
            </w:pPr>
          </w:p>
        </w:tc>
        <w:tc>
          <w:tcPr>
            <w:tcW w:w="479" w:type="pct"/>
            <w:tcBorders>
              <w:top w:val="nil"/>
              <w:left w:val="nil"/>
              <w:bottom w:val="nil"/>
              <w:right w:val="nil"/>
            </w:tcBorders>
            <w:shd w:val="clear" w:color="000000" w:fill="FFFFFF"/>
            <w:noWrap/>
            <w:vAlign w:val="center"/>
            <w:hideMark/>
          </w:tcPr>
          <w:p w14:paraId="320CFF12"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479" w:type="pct"/>
            <w:tcBorders>
              <w:top w:val="nil"/>
              <w:left w:val="nil"/>
              <w:bottom w:val="nil"/>
              <w:right w:val="nil"/>
            </w:tcBorders>
            <w:shd w:val="clear" w:color="000000" w:fill="E6F2FF"/>
            <w:noWrap/>
            <w:vAlign w:val="center"/>
            <w:hideMark/>
          </w:tcPr>
          <w:p w14:paraId="37A21FB8"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61A7A8F0"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7808E9E2"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c>
          <w:tcPr>
            <w:tcW w:w="479" w:type="pct"/>
            <w:tcBorders>
              <w:top w:val="nil"/>
              <w:left w:val="nil"/>
              <w:bottom w:val="nil"/>
              <w:right w:val="nil"/>
            </w:tcBorders>
            <w:shd w:val="clear" w:color="000000" w:fill="FFFFFF"/>
            <w:noWrap/>
            <w:vAlign w:val="center"/>
            <w:hideMark/>
          </w:tcPr>
          <w:p w14:paraId="0901761F"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 </w:t>
            </w:r>
          </w:p>
        </w:tc>
      </w:tr>
      <w:tr w:rsidR="00225A2F" w:rsidRPr="00EE6FF2" w14:paraId="6B386416"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2C14E3B" w14:textId="77777777" w:rsidR="00EE6FF2" w:rsidRPr="00EE6FF2" w:rsidRDefault="00EE6FF2" w:rsidP="00EE6FF2">
            <w:pPr>
              <w:spacing w:before="0" w:after="0" w:line="240" w:lineRule="auto"/>
              <w:ind w:left="170"/>
              <w:rPr>
                <w:rFonts w:ascii="Arial" w:hAnsi="Arial" w:cs="Arial"/>
                <w:color w:val="000000"/>
                <w:sz w:val="16"/>
                <w:szCs w:val="16"/>
              </w:rPr>
            </w:pPr>
            <w:r w:rsidRPr="00EE6FF2">
              <w:rPr>
                <w:rFonts w:ascii="Arial" w:hAnsi="Arial" w:cs="Arial"/>
                <w:color w:val="000000"/>
                <w:sz w:val="16"/>
                <w:szCs w:val="16"/>
              </w:rPr>
              <w:t xml:space="preserve">States and Territories </w:t>
            </w:r>
          </w:p>
        </w:tc>
        <w:tc>
          <w:tcPr>
            <w:tcW w:w="853" w:type="pct"/>
            <w:tcBorders>
              <w:top w:val="nil"/>
              <w:left w:val="nil"/>
              <w:bottom w:val="nil"/>
              <w:right w:val="nil"/>
            </w:tcBorders>
            <w:shd w:val="clear" w:color="000000" w:fill="FFFFFF"/>
            <w:noWrap/>
            <w:vAlign w:val="center"/>
            <w:hideMark/>
          </w:tcPr>
          <w:p w14:paraId="3CE30254"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Other purposes</w:t>
            </w:r>
          </w:p>
        </w:tc>
        <w:tc>
          <w:tcPr>
            <w:tcW w:w="479" w:type="pct"/>
            <w:tcBorders>
              <w:top w:val="nil"/>
              <w:left w:val="nil"/>
              <w:bottom w:val="nil"/>
              <w:right w:val="nil"/>
            </w:tcBorders>
            <w:shd w:val="clear" w:color="000000" w:fill="FFFFFF"/>
            <w:noWrap/>
            <w:vAlign w:val="center"/>
            <w:hideMark/>
          </w:tcPr>
          <w:p w14:paraId="6BDD22A2"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88,021</w:t>
            </w:r>
          </w:p>
        </w:tc>
        <w:tc>
          <w:tcPr>
            <w:tcW w:w="479" w:type="pct"/>
            <w:tcBorders>
              <w:top w:val="nil"/>
              <w:left w:val="nil"/>
              <w:bottom w:val="nil"/>
              <w:right w:val="nil"/>
            </w:tcBorders>
            <w:shd w:val="clear" w:color="000000" w:fill="E6F2FF"/>
            <w:noWrap/>
            <w:vAlign w:val="center"/>
            <w:hideMark/>
          </w:tcPr>
          <w:p w14:paraId="1D86A40E"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92,470</w:t>
            </w:r>
          </w:p>
        </w:tc>
        <w:tc>
          <w:tcPr>
            <w:tcW w:w="479" w:type="pct"/>
            <w:tcBorders>
              <w:top w:val="nil"/>
              <w:left w:val="nil"/>
              <w:bottom w:val="nil"/>
              <w:right w:val="nil"/>
            </w:tcBorders>
            <w:shd w:val="clear" w:color="000000" w:fill="FFFFFF"/>
            <w:noWrap/>
            <w:vAlign w:val="center"/>
            <w:hideMark/>
          </w:tcPr>
          <w:p w14:paraId="515062A9"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96,345</w:t>
            </w:r>
          </w:p>
        </w:tc>
        <w:tc>
          <w:tcPr>
            <w:tcW w:w="479" w:type="pct"/>
            <w:tcBorders>
              <w:top w:val="nil"/>
              <w:left w:val="nil"/>
              <w:bottom w:val="nil"/>
              <w:right w:val="nil"/>
            </w:tcBorders>
            <w:shd w:val="clear" w:color="000000" w:fill="FFFFFF"/>
            <w:noWrap/>
            <w:vAlign w:val="center"/>
            <w:hideMark/>
          </w:tcPr>
          <w:p w14:paraId="13E5C25E"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101,782</w:t>
            </w:r>
          </w:p>
        </w:tc>
        <w:tc>
          <w:tcPr>
            <w:tcW w:w="479" w:type="pct"/>
            <w:tcBorders>
              <w:top w:val="nil"/>
              <w:left w:val="nil"/>
              <w:bottom w:val="nil"/>
              <w:right w:val="nil"/>
            </w:tcBorders>
            <w:shd w:val="clear" w:color="000000" w:fill="FFFFFF"/>
            <w:noWrap/>
            <w:vAlign w:val="center"/>
            <w:hideMark/>
          </w:tcPr>
          <w:p w14:paraId="705E42DF"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105,261</w:t>
            </w:r>
          </w:p>
        </w:tc>
      </w:tr>
      <w:tr w:rsidR="00225A2F" w:rsidRPr="00EE6FF2" w14:paraId="21116B9C"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6D64A297"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Support for Seniors</w:t>
            </w:r>
          </w:p>
        </w:tc>
        <w:tc>
          <w:tcPr>
            <w:tcW w:w="853" w:type="pct"/>
            <w:tcBorders>
              <w:top w:val="nil"/>
              <w:left w:val="nil"/>
              <w:bottom w:val="nil"/>
              <w:right w:val="nil"/>
            </w:tcBorders>
            <w:shd w:val="clear" w:color="000000" w:fill="FFFFFF"/>
            <w:noWrap/>
            <w:vAlign w:val="center"/>
            <w:hideMark/>
          </w:tcPr>
          <w:p w14:paraId="48BE6BC6" w14:textId="77777777" w:rsidR="00EE6FF2" w:rsidRPr="00EE6FF2" w:rsidRDefault="00EE6FF2" w:rsidP="00EE6FF2">
            <w:pPr>
              <w:spacing w:before="0" w:after="0" w:line="240" w:lineRule="auto"/>
              <w:rPr>
                <w:rFonts w:ascii="Arial" w:hAnsi="Arial" w:cs="Arial"/>
                <w:color w:val="000000"/>
                <w:sz w:val="16"/>
                <w:szCs w:val="16"/>
              </w:rPr>
            </w:pPr>
            <w:r w:rsidRPr="00EE6FF2">
              <w:rPr>
                <w:rFonts w:ascii="Arial" w:hAnsi="Arial" w:cs="Arial"/>
                <w:color w:val="000000"/>
                <w:sz w:val="16"/>
                <w:szCs w:val="16"/>
              </w:rPr>
              <w:t>SSW</w:t>
            </w:r>
          </w:p>
        </w:tc>
        <w:tc>
          <w:tcPr>
            <w:tcW w:w="479" w:type="pct"/>
            <w:tcBorders>
              <w:top w:val="nil"/>
              <w:left w:val="nil"/>
              <w:bottom w:val="nil"/>
              <w:right w:val="nil"/>
            </w:tcBorders>
            <w:shd w:val="clear" w:color="000000" w:fill="FFFFFF"/>
            <w:noWrap/>
            <w:vAlign w:val="center"/>
            <w:hideMark/>
          </w:tcPr>
          <w:p w14:paraId="4C395A94"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54,873</w:t>
            </w:r>
          </w:p>
        </w:tc>
        <w:tc>
          <w:tcPr>
            <w:tcW w:w="479" w:type="pct"/>
            <w:tcBorders>
              <w:top w:val="nil"/>
              <w:left w:val="nil"/>
              <w:bottom w:val="nil"/>
              <w:right w:val="nil"/>
            </w:tcBorders>
            <w:shd w:val="clear" w:color="000000" w:fill="E6F2FF"/>
            <w:noWrap/>
            <w:vAlign w:val="center"/>
            <w:hideMark/>
          </w:tcPr>
          <w:p w14:paraId="4F54BCD3"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59,192</w:t>
            </w:r>
          </w:p>
        </w:tc>
        <w:tc>
          <w:tcPr>
            <w:tcW w:w="479" w:type="pct"/>
            <w:tcBorders>
              <w:top w:val="nil"/>
              <w:left w:val="nil"/>
              <w:bottom w:val="nil"/>
              <w:right w:val="nil"/>
            </w:tcBorders>
            <w:shd w:val="clear" w:color="000000" w:fill="FFFFFF"/>
            <w:noWrap/>
            <w:vAlign w:val="center"/>
            <w:hideMark/>
          </w:tcPr>
          <w:p w14:paraId="00DCDB6C"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61,684</w:t>
            </w:r>
          </w:p>
        </w:tc>
        <w:tc>
          <w:tcPr>
            <w:tcW w:w="479" w:type="pct"/>
            <w:tcBorders>
              <w:top w:val="nil"/>
              <w:left w:val="nil"/>
              <w:bottom w:val="nil"/>
              <w:right w:val="nil"/>
            </w:tcBorders>
            <w:shd w:val="clear" w:color="000000" w:fill="FFFFFF"/>
            <w:noWrap/>
            <w:vAlign w:val="center"/>
            <w:hideMark/>
          </w:tcPr>
          <w:p w14:paraId="33DA7FDF"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64,590</w:t>
            </w:r>
          </w:p>
        </w:tc>
        <w:tc>
          <w:tcPr>
            <w:tcW w:w="479" w:type="pct"/>
            <w:tcBorders>
              <w:top w:val="nil"/>
              <w:left w:val="nil"/>
              <w:bottom w:val="nil"/>
              <w:right w:val="nil"/>
            </w:tcBorders>
            <w:shd w:val="clear" w:color="000000" w:fill="FFFFFF"/>
            <w:noWrap/>
            <w:vAlign w:val="center"/>
            <w:hideMark/>
          </w:tcPr>
          <w:p w14:paraId="60686C59" w14:textId="77777777" w:rsidR="00EE6FF2" w:rsidRPr="00EE6FF2" w:rsidRDefault="00EE6FF2" w:rsidP="00EE6FF2">
            <w:pPr>
              <w:spacing w:before="0" w:after="0" w:line="240" w:lineRule="auto"/>
              <w:jc w:val="right"/>
              <w:rPr>
                <w:rFonts w:ascii="Arial" w:hAnsi="Arial" w:cs="Arial"/>
                <w:color w:val="000000"/>
                <w:sz w:val="16"/>
                <w:szCs w:val="16"/>
              </w:rPr>
            </w:pPr>
            <w:r w:rsidRPr="00EE6FF2">
              <w:rPr>
                <w:rFonts w:ascii="Arial" w:hAnsi="Arial" w:cs="Arial"/>
                <w:color w:val="000000"/>
                <w:sz w:val="16"/>
                <w:szCs w:val="16"/>
              </w:rPr>
              <w:t>67,322</w:t>
            </w:r>
          </w:p>
        </w:tc>
      </w:tr>
      <w:tr w:rsidR="00225A2F" w:rsidRPr="00EE6FF2" w14:paraId="4D9208E3"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45A169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National Disability Insurance</w:t>
            </w:r>
          </w:p>
        </w:tc>
        <w:tc>
          <w:tcPr>
            <w:tcW w:w="853" w:type="pct"/>
            <w:tcBorders>
              <w:top w:val="nil"/>
              <w:left w:val="nil"/>
              <w:bottom w:val="nil"/>
              <w:right w:val="nil"/>
            </w:tcBorders>
            <w:shd w:val="clear" w:color="auto" w:fill="auto"/>
            <w:noWrap/>
            <w:vAlign w:val="center"/>
            <w:hideMark/>
          </w:tcPr>
          <w:p w14:paraId="7F216D4D"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406B29FE"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6A36DB6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558BC7F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E8469B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8D8506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3AB3EFF3"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66BDB81"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Scheme(b)</w:t>
            </w:r>
          </w:p>
        </w:tc>
        <w:tc>
          <w:tcPr>
            <w:tcW w:w="853" w:type="pct"/>
            <w:tcBorders>
              <w:top w:val="nil"/>
              <w:left w:val="nil"/>
              <w:bottom w:val="nil"/>
              <w:right w:val="nil"/>
            </w:tcBorders>
            <w:shd w:val="clear" w:color="000000" w:fill="FFFFFF"/>
            <w:noWrap/>
            <w:vAlign w:val="center"/>
            <w:hideMark/>
          </w:tcPr>
          <w:p w14:paraId="22D0EB6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43E3E54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36,654</w:t>
            </w:r>
          </w:p>
        </w:tc>
        <w:tc>
          <w:tcPr>
            <w:tcW w:w="479" w:type="pct"/>
            <w:tcBorders>
              <w:top w:val="nil"/>
              <w:left w:val="nil"/>
              <w:bottom w:val="nil"/>
              <w:right w:val="nil"/>
            </w:tcBorders>
            <w:shd w:val="clear" w:color="000000" w:fill="E6F2FF"/>
            <w:noWrap/>
            <w:vAlign w:val="center"/>
            <w:hideMark/>
          </w:tcPr>
          <w:p w14:paraId="18DE946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41,922</w:t>
            </w:r>
          </w:p>
        </w:tc>
        <w:tc>
          <w:tcPr>
            <w:tcW w:w="479" w:type="pct"/>
            <w:tcBorders>
              <w:top w:val="nil"/>
              <w:left w:val="nil"/>
              <w:bottom w:val="nil"/>
              <w:right w:val="nil"/>
            </w:tcBorders>
            <w:shd w:val="clear" w:color="000000" w:fill="FFFFFF"/>
            <w:noWrap/>
            <w:vAlign w:val="center"/>
            <w:hideMark/>
          </w:tcPr>
          <w:p w14:paraId="2DEF15B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46,765</w:t>
            </w:r>
          </w:p>
        </w:tc>
        <w:tc>
          <w:tcPr>
            <w:tcW w:w="479" w:type="pct"/>
            <w:tcBorders>
              <w:top w:val="nil"/>
              <w:left w:val="nil"/>
              <w:bottom w:val="nil"/>
              <w:right w:val="nil"/>
            </w:tcBorders>
            <w:shd w:val="clear" w:color="000000" w:fill="FFFFFF"/>
            <w:noWrap/>
            <w:vAlign w:val="center"/>
            <w:hideMark/>
          </w:tcPr>
          <w:p w14:paraId="482019F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51,852</w:t>
            </w:r>
          </w:p>
        </w:tc>
        <w:tc>
          <w:tcPr>
            <w:tcW w:w="479" w:type="pct"/>
            <w:tcBorders>
              <w:top w:val="nil"/>
              <w:left w:val="nil"/>
              <w:bottom w:val="nil"/>
              <w:right w:val="nil"/>
            </w:tcBorders>
            <w:shd w:val="clear" w:color="000000" w:fill="FFFFFF"/>
            <w:noWrap/>
            <w:vAlign w:val="center"/>
            <w:hideMark/>
          </w:tcPr>
          <w:p w14:paraId="129008F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55,936</w:t>
            </w:r>
          </w:p>
        </w:tc>
      </w:tr>
      <w:tr w:rsidR="00225A2F" w:rsidRPr="00EE6FF2" w14:paraId="6B9D03A2"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409146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Aged Care Services</w:t>
            </w:r>
          </w:p>
        </w:tc>
        <w:tc>
          <w:tcPr>
            <w:tcW w:w="853" w:type="pct"/>
            <w:tcBorders>
              <w:top w:val="nil"/>
              <w:left w:val="nil"/>
              <w:bottom w:val="nil"/>
              <w:right w:val="nil"/>
            </w:tcBorders>
            <w:shd w:val="clear" w:color="000000" w:fill="FFFFFF"/>
            <w:noWrap/>
            <w:vAlign w:val="center"/>
            <w:hideMark/>
          </w:tcPr>
          <w:p w14:paraId="0B61303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2A83F55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26,900</w:t>
            </w:r>
          </w:p>
        </w:tc>
        <w:tc>
          <w:tcPr>
            <w:tcW w:w="479" w:type="pct"/>
            <w:tcBorders>
              <w:top w:val="nil"/>
              <w:left w:val="nil"/>
              <w:bottom w:val="nil"/>
              <w:right w:val="nil"/>
            </w:tcBorders>
            <w:shd w:val="clear" w:color="000000" w:fill="E6F2FF"/>
            <w:noWrap/>
            <w:vAlign w:val="center"/>
            <w:hideMark/>
          </w:tcPr>
          <w:p w14:paraId="2368D7E3"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32,668</w:t>
            </w:r>
          </w:p>
        </w:tc>
        <w:tc>
          <w:tcPr>
            <w:tcW w:w="479" w:type="pct"/>
            <w:tcBorders>
              <w:top w:val="nil"/>
              <w:left w:val="nil"/>
              <w:bottom w:val="nil"/>
              <w:right w:val="nil"/>
            </w:tcBorders>
            <w:shd w:val="clear" w:color="000000" w:fill="FFFFFF"/>
            <w:noWrap/>
            <w:vAlign w:val="center"/>
            <w:hideMark/>
          </w:tcPr>
          <w:p w14:paraId="082EF6E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35,894</w:t>
            </w:r>
          </w:p>
        </w:tc>
        <w:tc>
          <w:tcPr>
            <w:tcW w:w="479" w:type="pct"/>
            <w:tcBorders>
              <w:top w:val="nil"/>
              <w:left w:val="nil"/>
              <w:bottom w:val="nil"/>
              <w:right w:val="nil"/>
            </w:tcBorders>
            <w:shd w:val="clear" w:color="000000" w:fill="FFFFFF"/>
            <w:noWrap/>
            <w:vAlign w:val="center"/>
            <w:hideMark/>
          </w:tcPr>
          <w:p w14:paraId="0CC2FB2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37,988</w:t>
            </w:r>
          </w:p>
        </w:tc>
        <w:tc>
          <w:tcPr>
            <w:tcW w:w="479" w:type="pct"/>
            <w:tcBorders>
              <w:top w:val="nil"/>
              <w:left w:val="nil"/>
              <w:bottom w:val="nil"/>
              <w:right w:val="nil"/>
            </w:tcBorders>
            <w:shd w:val="clear" w:color="000000" w:fill="FFFFFF"/>
            <w:noWrap/>
            <w:vAlign w:val="center"/>
            <w:hideMark/>
          </w:tcPr>
          <w:p w14:paraId="2F29A49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39,854</w:t>
            </w:r>
          </w:p>
        </w:tc>
      </w:tr>
      <w:tr w:rsidR="00225A2F" w:rsidRPr="00EE6FF2" w14:paraId="4532F712"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01A14D93"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Medical Benefits</w:t>
            </w:r>
          </w:p>
        </w:tc>
        <w:tc>
          <w:tcPr>
            <w:tcW w:w="853" w:type="pct"/>
            <w:tcBorders>
              <w:top w:val="nil"/>
              <w:left w:val="nil"/>
              <w:bottom w:val="nil"/>
              <w:right w:val="nil"/>
            </w:tcBorders>
            <w:shd w:val="clear" w:color="000000" w:fill="FFFFFF"/>
            <w:noWrap/>
            <w:vAlign w:val="center"/>
            <w:hideMark/>
          </w:tcPr>
          <w:p w14:paraId="2429AD4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Health</w:t>
            </w:r>
          </w:p>
        </w:tc>
        <w:tc>
          <w:tcPr>
            <w:tcW w:w="479" w:type="pct"/>
            <w:tcBorders>
              <w:top w:val="nil"/>
              <w:left w:val="nil"/>
              <w:bottom w:val="nil"/>
              <w:right w:val="nil"/>
            </w:tcBorders>
            <w:shd w:val="clear" w:color="000000" w:fill="FFFFFF"/>
            <w:noWrap/>
            <w:vAlign w:val="center"/>
            <w:hideMark/>
          </w:tcPr>
          <w:p w14:paraId="6DE99BCA"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28,245</w:t>
            </w:r>
          </w:p>
        </w:tc>
        <w:tc>
          <w:tcPr>
            <w:tcW w:w="479" w:type="pct"/>
            <w:tcBorders>
              <w:top w:val="nil"/>
              <w:left w:val="nil"/>
              <w:bottom w:val="nil"/>
              <w:right w:val="nil"/>
            </w:tcBorders>
            <w:shd w:val="clear" w:color="000000" w:fill="E6F2FF"/>
            <w:noWrap/>
            <w:vAlign w:val="center"/>
            <w:hideMark/>
          </w:tcPr>
          <w:p w14:paraId="360A8AA8"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30,413</w:t>
            </w:r>
          </w:p>
        </w:tc>
        <w:tc>
          <w:tcPr>
            <w:tcW w:w="479" w:type="pct"/>
            <w:tcBorders>
              <w:top w:val="nil"/>
              <w:left w:val="nil"/>
              <w:bottom w:val="nil"/>
              <w:right w:val="nil"/>
            </w:tcBorders>
            <w:shd w:val="clear" w:color="000000" w:fill="FFFFFF"/>
            <w:noWrap/>
            <w:vAlign w:val="center"/>
            <w:hideMark/>
          </w:tcPr>
          <w:p w14:paraId="4D76316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32,242</w:t>
            </w:r>
          </w:p>
        </w:tc>
        <w:tc>
          <w:tcPr>
            <w:tcW w:w="479" w:type="pct"/>
            <w:tcBorders>
              <w:top w:val="nil"/>
              <w:left w:val="nil"/>
              <w:bottom w:val="nil"/>
              <w:right w:val="nil"/>
            </w:tcBorders>
            <w:shd w:val="clear" w:color="000000" w:fill="FFFFFF"/>
            <w:noWrap/>
            <w:vAlign w:val="center"/>
            <w:hideMark/>
          </w:tcPr>
          <w:p w14:paraId="4A5275F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34,114</w:t>
            </w:r>
          </w:p>
        </w:tc>
        <w:tc>
          <w:tcPr>
            <w:tcW w:w="479" w:type="pct"/>
            <w:tcBorders>
              <w:top w:val="nil"/>
              <w:left w:val="nil"/>
              <w:bottom w:val="nil"/>
              <w:right w:val="nil"/>
            </w:tcBorders>
            <w:shd w:val="clear" w:color="000000" w:fill="FFFFFF"/>
            <w:noWrap/>
            <w:vAlign w:val="center"/>
            <w:hideMark/>
          </w:tcPr>
          <w:p w14:paraId="58836E8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35,975</w:t>
            </w:r>
          </w:p>
        </w:tc>
      </w:tr>
      <w:tr w:rsidR="00225A2F" w:rsidRPr="00EE6FF2" w14:paraId="3DAF3652"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4F3D4DD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Assistance to the States for</w:t>
            </w:r>
          </w:p>
        </w:tc>
        <w:tc>
          <w:tcPr>
            <w:tcW w:w="853" w:type="pct"/>
            <w:tcBorders>
              <w:top w:val="nil"/>
              <w:left w:val="nil"/>
              <w:bottom w:val="nil"/>
              <w:right w:val="nil"/>
            </w:tcBorders>
            <w:shd w:val="clear" w:color="auto" w:fill="auto"/>
            <w:noWrap/>
            <w:vAlign w:val="center"/>
            <w:hideMark/>
          </w:tcPr>
          <w:p w14:paraId="7DDF5AC9"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7CAAC7A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3EB95A0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7BED59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1F14098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5EBE1818"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12CD1E9F"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05C3CD52"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Healthcare Services</w:t>
            </w:r>
          </w:p>
        </w:tc>
        <w:tc>
          <w:tcPr>
            <w:tcW w:w="853" w:type="pct"/>
            <w:tcBorders>
              <w:top w:val="nil"/>
              <w:left w:val="nil"/>
              <w:bottom w:val="nil"/>
              <w:right w:val="nil"/>
            </w:tcBorders>
            <w:shd w:val="clear" w:color="000000" w:fill="FFFFFF"/>
            <w:noWrap/>
            <w:vAlign w:val="center"/>
            <w:hideMark/>
          </w:tcPr>
          <w:p w14:paraId="43A87AF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Health</w:t>
            </w:r>
          </w:p>
        </w:tc>
        <w:tc>
          <w:tcPr>
            <w:tcW w:w="479" w:type="pct"/>
            <w:tcBorders>
              <w:top w:val="nil"/>
              <w:left w:val="nil"/>
              <w:bottom w:val="nil"/>
              <w:right w:val="nil"/>
            </w:tcBorders>
            <w:shd w:val="clear" w:color="000000" w:fill="FFFFFF"/>
            <w:noWrap/>
            <w:vAlign w:val="center"/>
            <w:hideMark/>
          </w:tcPr>
          <w:p w14:paraId="3182F83B"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25,658</w:t>
            </w:r>
          </w:p>
        </w:tc>
        <w:tc>
          <w:tcPr>
            <w:tcW w:w="479" w:type="pct"/>
            <w:tcBorders>
              <w:top w:val="nil"/>
              <w:left w:val="nil"/>
              <w:bottom w:val="nil"/>
              <w:right w:val="nil"/>
            </w:tcBorders>
            <w:shd w:val="clear" w:color="000000" w:fill="E6F2FF"/>
            <w:noWrap/>
            <w:vAlign w:val="center"/>
            <w:hideMark/>
          </w:tcPr>
          <w:p w14:paraId="0879AB6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28,392</w:t>
            </w:r>
          </w:p>
        </w:tc>
        <w:tc>
          <w:tcPr>
            <w:tcW w:w="479" w:type="pct"/>
            <w:tcBorders>
              <w:top w:val="nil"/>
              <w:left w:val="nil"/>
              <w:bottom w:val="nil"/>
              <w:right w:val="nil"/>
            </w:tcBorders>
            <w:shd w:val="clear" w:color="000000" w:fill="FFFFFF"/>
            <w:noWrap/>
            <w:vAlign w:val="center"/>
            <w:hideMark/>
          </w:tcPr>
          <w:p w14:paraId="3EB067B4"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30,456</w:t>
            </w:r>
          </w:p>
        </w:tc>
        <w:tc>
          <w:tcPr>
            <w:tcW w:w="479" w:type="pct"/>
            <w:tcBorders>
              <w:top w:val="nil"/>
              <w:left w:val="nil"/>
              <w:bottom w:val="nil"/>
              <w:right w:val="nil"/>
            </w:tcBorders>
            <w:shd w:val="clear" w:color="000000" w:fill="FFFFFF"/>
            <w:noWrap/>
            <w:vAlign w:val="center"/>
            <w:hideMark/>
          </w:tcPr>
          <w:p w14:paraId="1087387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32,215</w:t>
            </w:r>
          </w:p>
        </w:tc>
        <w:tc>
          <w:tcPr>
            <w:tcW w:w="479" w:type="pct"/>
            <w:tcBorders>
              <w:top w:val="nil"/>
              <w:left w:val="nil"/>
              <w:bottom w:val="nil"/>
              <w:right w:val="nil"/>
            </w:tcBorders>
            <w:shd w:val="clear" w:color="000000" w:fill="FFFFFF"/>
            <w:noWrap/>
            <w:vAlign w:val="center"/>
            <w:hideMark/>
          </w:tcPr>
          <w:p w14:paraId="2E8DD91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34,296</w:t>
            </w:r>
          </w:p>
        </w:tc>
      </w:tr>
      <w:tr w:rsidR="00225A2F" w:rsidRPr="00EE6FF2" w14:paraId="51FA7DE5"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621C6B23"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Commonwealth Debt</w:t>
            </w:r>
          </w:p>
        </w:tc>
        <w:tc>
          <w:tcPr>
            <w:tcW w:w="853" w:type="pct"/>
            <w:tcBorders>
              <w:top w:val="nil"/>
              <w:left w:val="nil"/>
              <w:bottom w:val="nil"/>
              <w:right w:val="nil"/>
            </w:tcBorders>
            <w:shd w:val="clear" w:color="auto" w:fill="auto"/>
            <w:noWrap/>
            <w:vAlign w:val="center"/>
            <w:hideMark/>
          </w:tcPr>
          <w:p w14:paraId="77471273"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7C9BC5D4"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7F01402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E085A1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5175DAE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315CD8E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3F5B13FD"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11BCA1D2"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Management</w:t>
            </w:r>
          </w:p>
        </w:tc>
        <w:tc>
          <w:tcPr>
            <w:tcW w:w="853" w:type="pct"/>
            <w:tcBorders>
              <w:top w:val="nil"/>
              <w:left w:val="nil"/>
              <w:bottom w:val="nil"/>
              <w:right w:val="nil"/>
            </w:tcBorders>
            <w:shd w:val="clear" w:color="000000" w:fill="FFFFFF"/>
            <w:noWrap/>
            <w:vAlign w:val="center"/>
            <w:hideMark/>
          </w:tcPr>
          <w:p w14:paraId="0C98B0C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Other purposes</w:t>
            </w:r>
          </w:p>
        </w:tc>
        <w:tc>
          <w:tcPr>
            <w:tcW w:w="479" w:type="pct"/>
            <w:tcBorders>
              <w:top w:val="nil"/>
              <w:left w:val="nil"/>
              <w:bottom w:val="nil"/>
              <w:right w:val="nil"/>
            </w:tcBorders>
            <w:shd w:val="clear" w:color="000000" w:fill="FFFFFF"/>
            <w:noWrap/>
            <w:vAlign w:val="center"/>
            <w:hideMark/>
          </w:tcPr>
          <w:p w14:paraId="58C2CB0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22,152</w:t>
            </w:r>
          </w:p>
        </w:tc>
        <w:tc>
          <w:tcPr>
            <w:tcW w:w="479" w:type="pct"/>
            <w:tcBorders>
              <w:top w:val="nil"/>
              <w:left w:val="nil"/>
              <w:bottom w:val="nil"/>
              <w:right w:val="nil"/>
            </w:tcBorders>
            <w:shd w:val="clear" w:color="000000" w:fill="E6F2FF"/>
            <w:noWrap/>
            <w:vAlign w:val="center"/>
            <w:hideMark/>
          </w:tcPr>
          <w:p w14:paraId="43F4051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22,611</w:t>
            </w:r>
          </w:p>
        </w:tc>
        <w:tc>
          <w:tcPr>
            <w:tcW w:w="479" w:type="pct"/>
            <w:tcBorders>
              <w:top w:val="nil"/>
              <w:left w:val="nil"/>
              <w:bottom w:val="nil"/>
              <w:right w:val="nil"/>
            </w:tcBorders>
            <w:shd w:val="clear" w:color="000000" w:fill="FFFFFF"/>
            <w:noWrap/>
            <w:vAlign w:val="center"/>
            <w:hideMark/>
          </w:tcPr>
          <w:p w14:paraId="03732D2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23,890</w:t>
            </w:r>
          </w:p>
        </w:tc>
        <w:tc>
          <w:tcPr>
            <w:tcW w:w="479" w:type="pct"/>
            <w:tcBorders>
              <w:top w:val="nil"/>
              <w:left w:val="nil"/>
              <w:bottom w:val="nil"/>
              <w:right w:val="nil"/>
            </w:tcBorders>
            <w:shd w:val="clear" w:color="000000" w:fill="FFFFFF"/>
            <w:noWrap/>
            <w:vAlign w:val="center"/>
            <w:hideMark/>
          </w:tcPr>
          <w:p w14:paraId="7496F73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26,224</w:t>
            </w:r>
          </w:p>
        </w:tc>
        <w:tc>
          <w:tcPr>
            <w:tcW w:w="479" w:type="pct"/>
            <w:tcBorders>
              <w:top w:val="nil"/>
              <w:left w:val="nil"/>
              <w:bottom w:val="nil"/>
              <w:right w:val="nil"/>
            </w:tcBorders>
            <w:shd w:val="clear" w:color="000000" w:fill="FFFFFF"/>
            <w:noWrap/>
            <w:vAlign w:val="center"/>
            <w:hideMark/>
          </w:tcPr>
          <w:p w14:paraId="5E96197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29,077</w:t>
            </w:r>
          </w:p>
        </w:tc>
      </w:tr>
      <w:tr w:rsidR="00225A2F" w:rsidRPr="00EE6FF2" w14:paraId="6AF91B0C"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41AA82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Financial Support for People</w:t>
            </w:r>
          </w:p>
        </w:tc>
        <w:tc>
          <w:tcPr>
            <w:tcW w:w="853" w:type="pct"/>
            <w:tcBorders>
              <w:top w:val="nil"/>
              <w:left w:val="nil"/>
              <w:bottom w:val="nil"/>
              <w:right w:val="nil"/>
            </w:tcBorders>
            <w:shd w:val="clear" w:color="auto" w:fill="auto"/>
            <w:noWrap/>
            <w:vAlign w:val="center"/>
            <w:hideMark/>
          </w:tcPr>
          <w:p w14:paraId="2DB0BDF3"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7073E373"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28E99A4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24CF839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47F8C2E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2D59D97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02B6C96F"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18F939E"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with Disability</w:t>
            </w:r>
          </w:p>
        </w:tc>
        <w:tc>
          <w:tcPr>
            <w:tcW w:w="853" w:type="pct"/>
            <w:tcBorders>
              <w:top w:val="nil"/>
              <w:left w:val="nil"/>
              <w:bottom w:val="nil"/>
              <w:right w:val="nil"/>
            </w:tcBorders>
            <w:shd w:val="clear" w:color="000000" w:fill="FFFFFF"/>
            <w:noWrap/>
            <w:vAlign w:val="center"/>
            <w:hideMark/>
          </w:tcPr>
          <w:p w14:paraId="2C1F02C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3CBA087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19,392</w:t>
            </w:r>
          </w:p>
        </w:tc>
        <w:tc>
          <w:tcPr>
            <w:tcW w:w="479" w:type="pct"/>
            <w:tcBorders>
              <w:top w:val="nil"/>
              <w:left w:val="nil"/>
              <w:bottom w:val="nil"/>
              <w:right w:val="nil"/>
            </w:tcBorders>
            <w:shd w:val="clear" w:color="000000" w:fill="E6F2FF"/>
            <w:noWrap/>
            <w:vAlign w:val="center"/>
            <w:hideMark/>
          </w:tcPr>
          <w:p w14:paraId="47E3D9A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21,043</w:t>
            </w:r>
          </w:p>
        </w:tc>
        <w:tc>
          <w:tcPr>
            <w:tcW w:w="479" w:type="pct"/>
            <w:tcBorders>
              <w:top w:val="nil"/>
              <w:left w:val="nil"/>
              <w:bottom w:val="nil"/>
              <w:right w:val="nil"/>
            </w:tcBorders>
            <w:shd w:val="clear" w:color="000000" w:fill="FFFFFF"/>
            <w:noWrap/>
            <w:vAlign w:val="center"/>
            <w:hideMark/>
          </w:tcPr>
          <w:p w14:paraId="0B22CC3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21,800</w:t>
            </w:r>
          </w:p>
        </w:tc>
        <w:tc>
          <w:tcPr>
            <w:tcW w:w="479" w:type="pct"/>
            <w:tcBorders>
              <w:top w:val="nil"/>
              <w:left w:val="nil"/>
              <w:bottom w:val="nil"/>
              <w:right w:val="nil"/>
            </w:tcBorders>
            <w:shd w:val="clear" w:color="000000" w:fill="FFFFFF"/>
            <w:noWrap/>
            <w:vAlign w:val="center"/>
            <w:hideMark/>
          </w:tcPr>
          <w:p w14:paraId="51022CC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22,608</w:t>
            </w:r>
          </w:p>
        </w:tc>
        <w:tc>
          <w:tcPr>
            <w:tcW w:w="479" w:type="pct"/>
            <w:tcBorders>
              <w:top w:val="nil"/>
              <w:left w:val="nil"/>
              <w:bottom w:val="nil"/>
              <w:right w:val="nil"/>
            </w:tcBorders>
            <w:shd w:val="clear" w:color="000000" w:fill="FFFFFF"/>
            <w:noWrap/>
            <w:vAlign w:val="center"/>
            <w:hideMark/>
          </w:tcPr>
          <w:p w14:paraId="5B7DC33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23,046</w:t>
            </w:r>
          </w:p>
        </w:tc>
      </w:tr>
      <w:tr w:rsidR="00225A2F" w:rsidRPr="00EE6FF2" w14:paraId="23B8294F"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95A607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Support for Families (c)</w:t>
            </w:r>
          </w:p>
        </w:tc>
        <w:tc>
          <w:tcPr>
            <w:tcW w:w="853" w:type="pct"/>
            <w:tcBorders>
              <w:top w:val="nil"/>
              <w:left w:val="nil"/>
              <w:bottom w:val="nil"/>
              <w:right w:val="nil"/>
            </w:tcBorders>
            <w:shd w:val="clear" w:color="000000" w:fill="FFFFFF"/>
            <w:noWrap/>
            <w:vAlign w:val="center"/>
            <w:hideMark/>
          </w:tcPr>
          <w:p w14:paraId="5B34B25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0FA9B787" w14:textId="77777777" w:rsidR="00EE6FF2" w:rsidRPr="00EE6FF2" w:rsidRDefault="00EE6FF2" w:rsidP="00EE6FF2">
            <w:pPr>
              <w:spacing w:before="0" w:after="0" w:line="240" w:lineRule="auto"/>
              <w:jc w:val="center"/>
              <w:rPr>
                <w:rFonts w:ascii="Arial" w:hAnsi="Arial" w:cs="Arial"/>
                <w:sz w:val="16"/>
                <w:szCs w:val="16"/>
              </w:rPr>
            </w:pPr>
            <w:r w:rsidRPr="00EE6FF2">
              <w:rPr>
                <w:rFonts w:ascii="Arial" w:hAnsi="Arial" w:cs="Arial"/>
                <w:sz w:val="16"/>
                <w:szCs w:val="16"/>
              </w:rPr>
              <w:t>-</w:t>
            </w:r>
          </w:p>
        </w:tc>
        <w:tc>
          <w:tcPr>
            <w:tcW w:w="479" w:type="pct"/>
            <w:tcBorders>
              <w:top w:val="nil"/>
              <w:left w:val="nil"/>
              <w:bottom w:val="nil"/>
              <w:right w:val="nil"/>
            </w:tcBorders>
            <w:shd w:val="clear" w:color="000000" w:fill="E6F2FF"/>
            <w:noWrap/>
            <w:vAlign w:val="center"/>
            <w:hideMark/>
          </w:tcPr>
          <w:p w14:paraId="7CF2714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18,323</w:t>
            </w:r>
          </w:p>
        </w:tc>
        <w:tc>
          <w:tcPr>
            <w:tcW w:w="479" w:type="pct"/>
            <w:tcBorders>
              <w:top w:val="nil"/>
              <w:left w:val="nil"/>
              <w:bottom w:val="nil"/>
              <w:right w:val="nil"/>
            </w:tcBorders>
            <w:shd w:val="clear" w:color="000000" w:fill="FFFFFF"/>
            <w:noWrap/>
            <w:vAlign w:val="center"/>
            <w:hideMark/>
          </w:tcPr>
          <w:p w14:paraId="7BF1D78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19,276</w:t>
            </w:r>
          </w:p>
        </w:tc>
        <w:tc>
          <w:tcPr>
            <w:tcW w:w="479" w:type="pct"/>
            <w:tcBorders>
              <w:top w:val="nil"/>
              <w:left w:val="nil"/>
              <w:bottom w:val="nil"/>
              <w:right w:val="nil"/>
            </w:tcBorders>
            <w:shd w:val="clear" w:color="000000" w:fill="FFFFFF"/>
            <w:noWrap/>
            <w:vAlign w:val="center"/>
            <w:hideMark/>
          </w:tcPr>
          <w:p w14:paraId="07E69C15"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19,955</w:t>
            </w:r>
          </w:p>
        </w:tc>
        <w:tc>
          <w:tcPr>
            <w:tcW w:w="479" w:type="pct"/>
            <w:tcBorders>
              <w:top w:val="nil"/>
              <w:left w:val="nil"/>
              <w:bottom w:val="nil"/>
              <w:right w:val="nil"/>
            </w:tcBorders>
            <w:shd w:val="clear" w:color="000000" w:fill="FFFFFF"/>
            <w:noWrap/>
            <w:vAlign w:val="center"/>
            <w:hideMark/>
          </w:tcPr>
          <w:p w14:paraId="34FE881A"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20,355</w:t>
            </w:r>
          </w:p>
        </w:tc>
      </w:tr>
      <w:tr w:rsidR="00225A2F" w:rsidRPr="00EE6FF2" w14:paraId="4574B7C4"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6B1589B3"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Pharmaceutical Benefits</w:t>
            </w:r>
          </w:p>
        </w:tc>
        <w:tc>
          <w:tcPr>
            <w:tcW w:w="853" w:type="pct"/>
            <w:tcBorders>
              <w:top w:val="nil"/>
              <w:left w:val="nil"/>
              <w:bottom w:val="nil"/>
              <w:right w:val="nil"/>
            </w:tcBorders>
            <w:shd w:val="clear" w:color="000000" w:fill="FFFFFF"/>
            <w:noWrap/>
            <w:vAlign w:val="center"/>
            <w:hideMark/>
          </w:tcPr>
          <w:p w14:paraId="3450753D"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Health</w:t>
            </w:r>
          </w:p>
        </w:tc>
        <w:tc>
          <w:tcPr>
            <w:tcW w:w="479" w:type="pct"/>
            <w:tcBorders>
              <w:top w:val="nil"/>
              <w:left w:val="nil"/>
              <w:bottom w:val="nil"/>
              <w:right w:val="nil"/>
            </w:tcBorders>
            <w:shd w:val="clear" w:color="000000" w:fill="FFFFFF"/>
            <w:noWrap/>
            <w:vAlign w:val="center"/>
            <w:hideMark/>
          </w:tcPr>
          <w:p w14:paraId="0DAE7D8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18,733</w:t>
            </w:r>
          </w:p>
        </w:tc>
        <w:tc>
          <w:tcPr>
            <w:tcW w:w="479" w:type="pct"/>
            <w:tcBorders>
              <w:top w:val="nil"/>
              <w:left w:val="nil"/>
              <w:bottom w:val="nil"/>
              <w:right w:val="nil"/>
            </w:tcBorders>
            <w:shd w:val="clear" w:color="000000" w:fill="E6F2FF"/>
            <w:noWrap/>
            <w:vAlign w:val="center"/>
            <w:hideMark/>
          </w:tcPr>
          <w:p w14:paraId="7A11774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18,218</w:t>
            </w:r>
          </w:p>
        </w:tc>
        <w:tc>
          <w:tcPr>
            <w:tcW w:w="479" w:type="pct"/>
            <w:tcBorders>
              <w:top w:val="nil"/>
              <w:left w:val="nil"/>
              <w:bottom w:val="nil"/>
              <w:right w:val="nil"/>
            </w:tcBorders>
            <w:shd w:val="clear" w:color="000000" w:fill="FFFFFF"/>
            <w:noWrap/>
            <w:vAlign w:val="center"/>
            <w:hideMark/>
          </w:tcPr>
          <w:p w14:paraId="0B18FE1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18,121</w:t>
            </w:r>
          </w:p>
        </w:tc>
        <w:tc>
          <w:tcPr>
            <w:tcW w:w="479" w:type="pct"/>
            <w:tcBorders>
              <w:top w:val="nil"/>
              <w:left w:val="nil"/>
              <w:bottom w:val="nil"/>
              <w:right w:val="nil"/>
            </w:tcBorders>
            <w:shd w:val="clear" w:color="000000" w:fill="FFFFFF"/>
            <w:noWrap/>
            <w:vAlign w:val="center"/>
            <w:hideMark/>
          </w:tcPr>
          <w:p w14:paraId="58D7729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18,300</w:t>
            </w:r>
          </w:p>
        </w:tc>
        <w:tc>
          <w:tcPr>
            <w:tcW w:w="479" w:type="pct"/>
            <w:tcBorders>
              <w:top w:val="nil"/>
              <w:left w:val="nil"/>
              <w:bottom w:val="nil"/>
              <w:right w:val="nil"/>
            </w:tcBorders>
            <w:shd w:val="clear" w:color="000000" w:fill="FFFFFF"/>
            <w:noWrap/>
            <w:vAlign w:val="center"/>
            <w:hideMark/>
          </w:tcPr>
          <w:p w14:paraId="5C550A3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18,319</w:t>
            </w:r>
          </w:p>
        </w:tc>
      </w:tr>
      <w:tr w:rsidR="00225A2F" w:rsidRPr="00EE6FF2" w14:paraId="381C51C6"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9BABC5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Non-Government Schools</w:t>
            </w:r>
          </w:p>
        </w:tc>
        <w:tc>
          <w:tcPr>
            <w:tcW w:w="853" w:type="pct"/>
            <w:tcBorders>
              <w:top w:val="nil"/>
              <w:left w:val="nil"/>
              <w:bottom w:val="nil"/>
              <w:right w:val="nil"/>
            </w:tcBorders>
            <w:shd w:val="clear" w:color="auto" w:fill="auto"/>
            <w:noWrap/>
            <w:vAlign w:val="center"/>
            <w:hideMark/>
          </w:tcPr>
          <w:p w14:paraId="7BD8ED4F"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4C14F260"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5AA31E5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3ECF1AA3"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2A3DB9CE"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1D0DDE78"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343A45D8"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179EAE7"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National Support</w:t>
            </w:r>
          </w:p>
        </w:tc>
        <w:tc>
          <w:tcPr>
            <w:tcW w:w="853" w:type="pct"/>
            <w:tcBorders>
              <w:top w:val="nil"/>
              <w:left w:val="nil"/>
              <w:bottom w:val="nil"/>
              <w:right w:val="nil"/>
            </w:tcBorders>
            <w:shd w:val="clear" w:color="000000" w:fill="FFFFFF"/>
            <w:noWrap/>
            <w:vAlign w:val="center"/>
            <w:hideMark/>
          </w:tcPr>
          <w:p w14:paraId="2D356ED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Education</w:t>
            </w:r>
          </w:p>
        </w:tc>
        <w:tc>
          <w:tcPr>
            <w:tcW w:w="479" w:type="pct"/>
            <w:tcBorders>
              <w:top w:val="nil"/>
              <w:left w:val="nil"/>
              <w:bottom w:val="nil"/>
              <w:right w:val="nil"/>
            </w:tcBorders>
            <w:shd w:val="clear" w:color="000000" w:fill="FFFFFF"/>
            <w:noWrap/>
            <w:vAlign w:val="center"/>
            <w:hideMark/>
          </w:tcPr>
          <w:p w14:paraId="75E92C0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16,646</w:t>
            </w:r>
          </w:p>
        </w:tc>
        <w:tc>
          <w:tcPr>
            <w:tcW w:w="479" w:type="pct"/>
            <w:tcBorders>
              <w:top w:val="nil"/>
              <w:left w:val="nil"/>
              <w:bottom w:val="nil"/>
              <w:right w:val="nil"/>
            </w:tcBorders>
            <w:shd w:val="clear" w:color="000000" w:fill="E6F2FF"/>
            <w:noWrap/>
            <w:vAlign w:val="center"/>
            <w:hideMark/>
          </w:tcPr>
          <w:p w14:paraId="0D4AFC2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17,441</w:t>
            </w:r>
          </w:p>
        </w:tc>
        <w:tc>
          <w:tcPr>
            <w:tcW w:w="479" w:type="pct"/>
            <w:tcBorders>
              <w:top w:val="nil"/>
              <w:left w:val="nil"/>
              <w:bottom w:val="nil"/>
              <w:right w:val="nil"/>
            </w:tcBorders>
            <w:shd w:val="clear" w:color="000000" w:fill="FFFFFF"/>
            <w:noWrap/>
            <w:vAlign w:val="center"/>
            <w:hideMark/>
          </w:tcPr>
          <w:p w14:paraId="10B86EDD"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18,131</w:t>
            </w:r>
          </w:p>
        </w:tc>
        <w:tc>
          <w:tcPr>
            <w:tcW w:w="479" w:type="pct"/>
            <w:tcBorders>
              <w:top w:val="nil"/>
              <w:left w:val="nil"/>
              <w:bottom w:val="nil"/>
              <w:right w:val="nil"/>
            </w:tcBorders>
            <w:shd w:val="clear" w:color="000000" w:fill="FFFFFF"/>
            <w:noWrap/>
            <w:vAlign w:val="center"/>
            <w:hideMark/>
          </w:tcPr>
          <w:p w14:paraId="0E81D015"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18,681</w:t>
            </w:r>
          </w:p>
        </w:tc>
        <w:tc>
          <w:tcPr>
            <w:tcW w:w="479" w:type="pct"/>
            <w:tcBorders>
              <w:top w:val="nil"/>
              <w:left w:val="nil"/>
              <w:bottom w:val="nil"/>
              <w:right w:val="nil"/>
            </w:tcBorders>
            <w:shd w:val="clear" w:color="000000" w:fill="FFFFFF"/>
            <w:noWrap/>
            <w:vAlign w:val="center"/>
            <w:hideMark/>
          </w:tcPr>
          <w:p w14:paraId="2518672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19,260</w:t>
            </w:r>
          </w:p>
        </w:tc>
      </w:tr>
      <w:tr w:rsidR="00225A2F" w:rsidRPr="00EE6FF2" w14:paraId="0087EA81"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A9640E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Job Seeker Income Support</w:t>
            </w:r>
          </w:p>
        </w:tc>
        <w:tc>
          <w:tcPr>
            <w:tcW w:w="853" w:type="pct"/>
            <w:tcBorders>
              <w:top w:val="nil"/>
              <w:left w:val="nil"/>
              <w:bottom w:val="nil"/>
              <w:right w:val="nil"/>
            </w:tcBorders>
            <w:shd w:val="clear" w:color="000000" w:fill="FFFFFF"/>
            <w:noWrap/>
            <w:vAlign w:val="center"/>
            <w:hideMark/>
          </w:tcPr>
          <w:p w14:paraId="31453BDB"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48161B2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13,867</w:t>
            </w:r>
          </w:p>
        </w:tc>
        <w:tc>
          <w:tcPr>
            <w:tcW w:w="479" w:type="pct"/>
            <w:tcBorders>
              <w:top w:val="nil"/>
              <w:left w:val="nil"/>
              <w:bottom w:val="nil"/>
              <w:right w:val="nil"/>
            </w:tcBorders>
            <w:shd w:val="clear" w:color="000000" w:fill="E6F2FF"/>
            <w:noWrap/>
            <w:vAlign w:val="center"/>
            <w:hideMark/>
          </w:tcPr>
          <w:p w14:paraId="131C4B7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13,830</w:t>
            </w:r>
          </w:p>
        </w:tc>
        <w:tc>
          <w:tcPr>
            <w:tcW w:w="479" w:type="pct"/>
            <w:tcBorders>
              <w:top w:val="nil"/>
              <w:left w:val="nil"/>
              <w:bottom w:val="nil"/>
              <w:right w:val="nil"/>
            </w:tcBorders>
            <w:shd w:val="clear" w:color="000000" w:fill="FFFFFF"/>
            <w:noWrap/>
            <w:vAlign w:val="center"/>
            <w:hideMark/>
          </w:tcPr>
          <w:p w14:paraId="3F86B7D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15,483</w:t>
            </w:r>
          </w:p>
        </w:tc>
        <w:tc>
          <w:tcPr>
            <w:tcW w:w="479" w:type="pct"/>
            <w:tcBorders>
              <w:top w:val="nil"/>
              <w:left w:val="nil"/>
              <w:bottom w:val="nil"/>
              <w:right w:val="nil"/>
            </w:tcBorders>
            <w:shd w:val="clear" w:color="000000" w:fill="FFFFFF"/>
            <w:noWrap/>
            <w:vAlign w:val="center"/>
            <w:hideMark/>
          </w:tcPr>
          <w:p w14:paraId="2E48919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15,999</w:t>
            </w:r>
          </w:p>
        </w:tc>
        <w:tc>
          <w:tcPr>
            <w:tcW w:w="479" w:type="pct"/>
            <w:tcBorders>
              <w:top w:val="nil"/>
              <w:left w:val="nil"/>
              <w:bottom w:val="nil"/>
              <w:right w:val="nil"/>
            </w:tcBorders>
            <w:shd w:val="clear" w:color="000000" w:fill="FFFFFF"/>
            <w:noWrap/>
            <w:vAlign w:val="center"/>
            <w:hideMark/>
          </w:tcPr>
          <w:p w14:paraId="31074FAA"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15,915</w:t>
            </w:r>
          </w:p>
        </w:tc>
      </w:tr>
      <w:tr w:rsidR="00225A2F" w:rsidRPr="00EE6FF2" w14:paraId="38C8A40E"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93BFDB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Child Care Subsidy</w:t>
            </w:r>
          </w:p>
        </w:tc>
        <w:tc>
          <w:tcPr>
            <w:tcW w:w="853" w:type="pct"/>
            <w:tcBorders>
              <w:top w:val="nil"/>
              <w:left w:val="nil"/>
              <w:bottom w:val="nil"/>
              <w:right w:val="nil"/>
            </w:tcBorders>
            <w:shd w:val="clear" w:color="000000" w:fill="FFFFFF"/>
            <w:noWrap/>
            <w:vAlign w:val="center"/>
            <w:hideMark/>
          </w:tcPr>
          <w:p w14:paraId="0D82930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654E741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10,626</w:t>
            </w:r>
          </w:p>
        </w:tc>
        <w:tc>
          <w:tcPr>
            <w:tcW w:w="479" w:type="pct"/>
            <w:tcBorders>
              <w:top w:val="nil"/>
              <w:left w:val="nil"/>
              <w:bottom w:val="nil"/>
              <w:right w:val="nil"/>
            </w:tcBorders>
            <w:shd w:val="clear" w:color="000000" w:fill="E6F2FF"/>
            <w:noWrap/>
            <w:vAlign w:val="center"/>
            <w:hideMark/>
          </w:tcPr>
          <w:p w14:paraId="0DC8715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12,716</w:t>
            </w:r>
          </w:p>
        </w:tc>
        <w:tc>
          <w:tcPr>
            <w:tcW w:w="479" w:type="pct"/>
            <w:tcBorders>
              <w:top w:val="nil"/>
              <w:left w:val="nil"/>
              <w:bottom w:val="nil"/>
              <w:right w:val="nil"/>
            </w:tcBorders>
            <w:shd w:val="clear" w:color="000000" w:fill="FFFFFF"/>
            <w:noWrap/>
            <w:vAlign w:val="center"/>
            <w:hideMark/>
          </w:tcPr>
          <w:p w14:paraId="5DB01DE5"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13,474</w:t>
            </w:r>
          </w:p>
        </w:tc>
        <w:tc>
          <w:tcPr>
            <w:tcW w:w="479" w:type="pct"/>
            <w:tcBorders>
              <w:top w:val="nil"/>
              <w:left w:val="nil"/>
              <w:bottom w:val="nil"/>
              <w:right w:val="nil"/>
            </w:tcBorders>
            <w:shd w:val="clear" w:color="000000" w:fill="FFFFFF"/>
            <w:noWrap/>
            <w:vAlign w:val="center"/>
            <w:hideMark/>
          </w:tcPr>
          <w:p w14:paraId="4877C27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14,160</w:t>
            </w:r>
          </w:p>
        </w:tc>
        <w:tc>
          <w:tcPr>
            <w:tcW w:w="479" w:type="pct"/>
            <w:tcBorders>
              <w:top w:val="nil"/>
              <w:left w:val="nil"/>
              <w:bottom w:val="nil"/>
              <w:right w:val="nil"/>
            </w:tcBorders>
            <w:shd w:val="clear" w:color="000000" w:fill="FFFFFF"/>
            <w:noWrap/>
            <w:vAlign w:val="center"/>
            <w:hideMark/>
          </w:tcPr>
          <w:p w14:paraId="356D2F9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14,958</w:t>
            </w:r>
          </w:p>
        </w:tc>
      </w:tr>
      <w:tr w:rsidR="00225A2F" w:rsidRPr="00EE6FF2" w14:paraId="6015D460"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044A76E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Financial Support for Carers</w:t>
            </w:r>
          </w:p>
        </w:tc>
        <w:tc>
          <w:tcPr>
            <w:tcW w:w="853" w:type="pct"/>
            <w:tcBorders>
              <w:top w:val="nil"/>
              <w:left w:val="nil"/>
              <w:bottom w:val="nil"/>
              <w:right w:val="nil"/>
            </w:tcBorders>
            <w:shd w:val="clear" w:color="000000" w:fill="FFFFFF"/>
            <w:noWrap/>
            <w:vAlign w:val="center"/>
            <w:hideMark/>
          </w:tcPr>
          <w:p w14:paraId="37BFDF7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SSW</w:t>
            </w:r>
          </w:p>
        </w:tc>
        <w:tc>
          <w:tcPr>
            <w:tcW w:w="479" w:type="pct"/>
            <w:tcBorders>
              <w:top w:val="nil"/>
              <w:left w:val="nil"/>
              <w:bottom w:val="nil"/>
              <w:right w:val="nil"/>
            </w:tcBorders>
            <w:shd w:val="clear" w:color="000000" w:fill="FFFFFF"/>
            <w:noWrap/>
            <w:vAlign w:val="center"/>
            <w:hideMark/>
          </w:tcPr>
          <w:p w14:paraId="56EBF15A"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10,570</w:t>
            </w:r>
          </w:p>
        </w:tc>
        <w:tc>
          <w:tcPr>
            <w:tcW w:w="479" w:type="pct"/>
            <w:tcBorders>
              <w:top w:val="nil"/>
              <w:left w:val="nil"/>
              <w:bottom w:val="nil"/>
              <w:right w:val="nil"/>
            </w:tcBorders>
            <w:shd w:val="clear" w:color="000000" w:fill="E6F2FF"/>
            <w:noWrap/>
            <w:vAlign w:val="center"/>
            <w:hideMark/>
          </w:tcPr>
          <w:p w14:paraId="3496FAD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11,539</w:t>
            </w:r>
          </w:p>
        </w:tc>
        <w:tc>
          <w:tcPr>
            <w:tcW w:w="479" w:type="pct"/>
            <w:tcBorders>
              <w:top w:val="nil"/>
              <w:left w:val="nil"/>
              <w:bottom w:val="nil"/>
              <w:right w:val="nil"/>
            </w:tcBorders>
            <w:shd w:val="clear" w:color="000000" w:fill="FFFFFF"/>
            <w:noWrap/>
            <w:vAlign w:val="center"/>
            <w:hideMark/>
          </w:tcPr>
          <w:p w14:paraId="1F21C83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12,238</w:t>
            </w:r>
          </w:p>
        </w:tc>
        <w:tc>
          <w:tcPr>
            <w:tcW w:w="479" w:type="pct"/>
            <w:tcBorders>
              <w:top w:val="nil"/>
              <w:left w:val="nil"/>
              <w:bottom w:val="nil"/>
              <w:right w:val="nil"/>
            </w:tcBorders>
            <w:shd w:val="clear" w:color="000000" w:fill="FFFFFF"/>
            <w:noWrap/>
            <w:vAlign w:val="center"/>
            <w:hideMark/>
          </w:tcPr>
          <w:p w14:paraId="6E0AFC6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12,923</w:t>
            </w:r>
          </w:p>
        </w:tc>
        <w:tc>
          <w:tcPr>
            <w:tcW w:w="479" w:type="pct"/>
            <w:tcBorders>
              <w:top w:val="nil"/>
              <w:left w:val="nil"/>
              <w:bottom w:val="nil"/>
              <w:right w:val="nil"/>
            </w:tcBorders>
            <w:shd w:val="clear" w:color="000000" w:fill="FFFFFF"/>
            <w:noWrap/>
            <w:vAlign w:val="center"/>
            <w:hideMark/>
          </w:tcPr>
          <w:p w14:paraId="3683245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13,369</w:t>
            </w:r>
          </w:p>
        </w:tc>
      </w:tr>
      <w:tr w:rsidR="00225A2F" w:rsidRPr="00EE6FF2" w14:paraId="2F7179BD"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40815E9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Government Schools National</w:t>
            </w:r>
          </w:p>
        </w:tc>
        <w:tc>
          <w:tcPr>
            <w:tcW w:w="853" w:type="pct"/>
            <w:tcBorders>
              <w:top w:val="nil"/>
              <w:left w:val="nil"/>
              <w:bottom w:val="nil"/>
              <w:right w:val="nil"/>
            </w:tcBorders>
            <w:shd w:val="clear" w:color="auto" w:fill="auto"/>
            <w:noWrap/>
            <w:vAlign w:val="center"/>
            <w:hideMark/>
          </w:tcPr>
          <w:p w14:paraId="3E176A8D" w14:textId="77777777" w:rsidR="00EE6FF2" w:rsidRPr="00EE6FF2" w:rsidRDefault="00EE6FF2" w:rsidP="00EE6FF2">
            <w:pPr>
              <w:spacing w:before="0" w:after="0" w:line="240" w:lineRule="auto"/>
              <w:rPr>
                <w:rFonts w:ascii="Arial" w:hAnsi="Arial" w:cs="Arial"/>
                <w:sz w:val="16"/>
                <w:szCs w:val="16"/>
              </w:rPr>
            </w:pPr>
          </w:p>
        </w:tc>
        <w:tc>
          <w:tcPr>
            <w:tcW w:w="479" w:type="pct"/>
            <w:tcBorders>
              <w:top w:val="nil"/>
              <w:left w:val="nil"/>
              <w:bottom w:val="nil"/>
              <w:right w:val="nil"/>
            </w:tcBorders>
            <w:shd w:val="clear" w:color="000000" w:fill="FFFFFF"/>
            <w:noWrap/>
            <w:vAlign w:val="center"/>
            <w:hideMark/>
          </w:tcPr>
          <w:p w14:paraId="235F81E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2208781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39F3715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4B4F8A18"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457187B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13E904FD"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F5808D9"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Support</w:t>
            </w:r>
          </w:p>
        </w:tc>
        <w:tc>
          <w:tcPr>
            <w:tcW w:w="853" w:type="pct"/>
            <w:tcBorders>
              <w:top w:val="nil"/>
              <w:left w:val="nil"/>
              <w:bottom w:val="nil"/>
              <w:right w:val="nil"/>
            </w:tcBorders>
            <w:shd w:val="clear" w:color="000000" w:fill="FFFFFF"/>
            <w:noWrap/>
            <w:vAlign w:val="center"/>
            <w:hideMark/>
          </w:tcPr>
          <w:p w14:paraId="5F5847B8"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Education</w:t>
            </w:r>
          </w:p>
        </w:tc>
        <w:tc>
          <w:tcPr>
            <w:tcW w:w="479" w:type="pct"/>
            <w:tcBorders>
              <w:top w:val="nil"/>
              <w:left w:val="nil"/>
              <w:bottom w:val="nil"/>
              <w:right w:val="nil"/>
            </w:tcBorders>
            <w:shd w:val="clear" w:color="000000" w:fill="FFFFFF"/>
            <w:noWrap/>
            <w:vAlign w:val="center"/>
            <w:hideMark/>
          </w:tcPr>
          <w:p w14:paraId="58C44458"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10,264</w:t>
            </w:r>
          </w:p>
        </w:tc>
        <w:tc>
          <w:tcPr>
            <w:tcW w:w="479" w:type="pct"/>
            <w:tcBorders>
              <w:top w:val="nil"/>
              <w:left w:val="nil"/>
              <w:bottom w:val="nil"/>
              <w:right w:val="nil"/>
            </w:tcBorders>
            <w:shd w:val="clear" w:color="000000" w:fill="E6F2FF"/>
            <w:noWrap/>
            <w:vAlign w:val="center"/>
            <w:hideMark/>
          </w:tcPr>
          <w:p w14:paraId="7C7ED063"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10,845</w:t>
            </w:r>
          </w:p>
        </w:tc>
        <w:tc>
          <w:tcPr>
            <w:tcW w:w="479" w:type="pct"/>
            <w:tcBorders>
              <w:top w:val="nil"/>
              <w:left w:val="nil"/>
              <w:bottom w:val="nil"/>
              <w:right w:val="nil"/>
            </w:tcBorders>
            <w:shd w:val="clear" w:color="000000" w:fill="FFFFFF"/>
            <w:noWrap/>
            <w:vAlign w:val="center"/>
            <w:hideMark/>
          </w:tcPr>
          <w:p w14:paraId="280D5FCD"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11,266</w:t>
            </w:r>
          </w:p>
        </w:tc>
        <w:tc>
          <w:tcPr>
            <w:tcW w:w="479" w:type="pct"/>
            <w:tcBorders>
              <w:top w:val="nil"/>
              <w:left w:val="nil"/>
              <w:bottom w:val="nil"/>
              <w:right w:val="nil"/>
            </w:tcBorders>
            <w:shd w:val="clear" w:color="000000" w:fill="FFFFFF"/>
            <w:noWrap/>
            <w:vAlign w:val="center"/>
            <w:hideMark/>
          </w:tcPr>
          <w:p w14:paraId="2420FC7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11,676</w:t>
            </w:r>
          </w:p>
        </w:tc>
        <w:tc>
          <w:tcPr>
            <w:tcW w:w="479" w:type="pct"/>
            <w:tcBorders>
              <w:top w:val="nil"/>
              <w:left w:val="nil"/>
              <w:bottom w:val="nil"/>
              <w:right w:val="nil"/>
            </w:tcBorders>
            <w:shd w:val="clear" w:color="000000" w:fill="FFFFFF"/>
            <w:noWrap/>
            <w:vAlign w:val="center"/>
            <w:hideMark/>
          </w:tcPr>
          <w:p w14:paraId="20811AAC"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12,108</w:t>
            </w:r>
          </w:p>
        </w:tc>
      </w:tr>
      <w:tr w:rsidR="00225A2F" w:rsidRPr="00EE6FF2" w14:paraId="5EBECD84"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6D7122D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National Partnership Payments -</w:t>
            </w:r>
          </w:p>
        </w:tc>
        <w:tc>
          <w:tcPr>
            <w:tcW w:w="853" w:type="pct"/>
            <w:tcBorders>
              <w:top w:val="nil"/>
              <w:left w:val="nil"/>
              <w:bottom w:val="nil"/>
              <w:right w:val="nil"/>
            </w:tcBorders>
            <w:shd w:val="clear" w:color="000000" w:fill="FFFFFF"/>
            <w:noWrap/>
            <w:vAlign w:val="center"/>
            <w:hideMark/>
          </w:tcPr>
          <w:p w14:paraId="2852968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Transport and</w:t>
            </w:r>
          </w:p>
        </w:tc>
        <w:tc>
          <w:tcPr>
            <w:tcW w:w="479" w:type="pct"/>
            <w:tcBorders>
              <w:top w:val="nil"/>
              <w:left w:val="nil"/>
              <w:bottom w:val="nil"/>
              <w:right w:val="nil"/>
            </w:tcBorders>
            <w:shd w:val="clear" w:color="000000" w:fill="FFFFFF"/>
            <w:noWrap/>
            <w:vAlign w:val="center"/>
            <w:hideMark/>
          </w:tcPr>
          <w:p w14:paraId="0364AB3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4808C9A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142CC464"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1476F710"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32F0E64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72501D5B"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58DF22BC"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Road Transport</w:t>
            </w:r>
          </w:p>
        </w:tc>
        <w:tc>
          <w:tcPr>
            <w:tcW w:w="853" w:type="pct"/>
            <w:tcBorders>
              <w:top w:val="nil"/>
              <w:left w:val="nil"/>
              <w:bottom w:val="nil"/>
              <w:right w:val="nil"/>
            </w:tcBorders>
            <w:shd w:val="clear" w:color="000000" w:fill="FFFFFF"/>
            <w:noWrap/>
            <w:vAlign w:val="center"/>
            <w:hideMark/>
          </w:tcPr>
          <w:p w14:paraId="034461B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communication</w:t>
            </w:r>
          </w:p>
        </w:tc>
        <w:tc>
          <w:tcPr>
            <w:tcW w:w="479" w:type="pct"/>
            <w:tcBorders>
              <w:top w:val="nil"/>
              <w:left w:val="nil"/>
              <w:bottom w:val="nil"/>
              <w:right w:val="nil"/>
            </w:tcBorders>
            <w:shd w:val="clear" w:color="000000" w:fill="FFFFFF"/>
            <w:noWrap/>
            <w:vAlign w:val="center"/>
            <w:hideMark/>
          </w:tcPr>
          <w:p w14:paraId="71654DAB"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7,109</w:t>
            </w:r>
          </w:p>
        </w:tc>
        <w:tc>
          <w:tcPr>
            <w:tcW w:w="479" w:type="pct"/>
            <w:tcBorders>
              <w:top w:val="nil"/>
              <w:left w:val="nil"/>
              <w:bottom w:val="nil"/>
              <w:right w:val="nil"/>
            </w:tcBorders>
            <w:shd w:val="clear" w:color="000000" w:fill="E6F2FF"/>
            <w:noWrap/>
            <w:vAlign w:val="center"/>
            <w:hideMark/>
          </w:tcPr>
          <w:p w14:paraId="56618F0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9,801</w:t>
            </w:r>
          </w:p>
        </w:tc>
        <w:tc>
          <w:tcPr>
            <w:tcW w:w="479" w:type="pct"/>
            <w:tcBorders>
              <w:top w:val="nil"/>
              <w:left w:val="nil"/>
              <w:bottom w:val="nil"/>
              <w:right w:val="nil"/>
            </w:tcBorders>
            <w:shd w:val="clear" w:color="000000" w:fill="FFFFFF"/>
            <w:noWrap/>
            <w:vAlign w:val="center"/>
            <w:hideMark/>
          </w:tcPr>
          <w:p w14:paraId="77BA1F9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10,065</w:t>
            </w:r>
          </w:p>
        </w:tc>
        <w:tc>
          <w:tcPr>
            <w:tcW w:w="479" w:type="pct"/>
            <w:tcBorders>
              <w:top w:val="nil"/>
              <w:left w:val="nil"/>
              <w:bottom w:val="nil"/>
              <w:right w:val="nil"/>
            </w:tcBorders>
            <w:shd w:val="clear" w:color="000000" w:fill="FFFFFF"/>
            <w:noWrap/>
            <w:vAlign w:val="center"/>
            <w:hideMark/>
          </w:tcPr>
          <w:p w14:paraId="3A5BE330"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9,542</w:t>
            </w:r>
          </w:p>
        </w:tc>
        <w:tc>
          <w:tcPr>
            <w:tcW w:w="479" w:type="pct"/>
            <w:tcBorders>
              <w:top w:val="nil"/>
              <w:left w:val="nil"/>
              <w:bottom w:val="nil"/>
              <w:right w:val="nil"/>
            </w:tcBorders>
            <w:shd w:val="clear" w:color="000000" w:fill="FFFFFF"/>
            <w:noWrap/>
            <w:vAlign w:val="center"/>
            <w:hideMark/>
          </w:tcPr>
          <w:p w14:paraId="72278CC4"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8,778</w:t>
            </w:r>
          </w:p>
        </w:tc>
      </w:tr>
      <w:tr w:rsidR="00225A2F" w:rsidRPr="00EE6FF2" w14:paraId="38B9B4A4"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06832A7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Public Sector Superannuation -</w:t>
            </w:r>
          </w:p>
        </w:tc>
        <w:tc>
          <w:tcPr>
            <w:tcW w:w="853" w:type="pct"/>
            <w:tcBorders>
              <w:top w:val="nil"/>
              <w:left w:val="nil"/>
              <w:bottom w:val="nil"/>
              <w:right w:val="nil"/>
            </w:tcBorders>
            <w:shd w:val="clear" w:color="000000" w:fill="FFFFFF"/>
            <w:noWrap/>
            <w:vAlign w:val="center"/>
            <w:hideMark/>
          </w:tcPr>
          <w:p w14:paraId="7100DB30"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Other purposes;</w:t>
            </w:r>
          </w:p>
        </w:tc>
        <w:tc>
          <w:tcPr>
            <w:tcW w:w="479" w:type="pct"/>
            <w:tcBorders>
              <w:top w:val="nil"/>
              <w:left w:val="nil"/>
              <w:bottom w:val="nil"/>
              <w:right w:val="nil"/>
            </w:tcBorders>
            <w:shd w:val="clear" w:color="000000" w:fill="FFFFFF"/>
            <w:noWrap/>
            <w:vAlign w:val="center"/>
            <w:hideMark/>
          </w:tcPr>
          <w:p w14:paraId="48E5B6F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2FA9561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0E58457D"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6B6E886D"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0A74AA6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7902BA82"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4753CA26"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Benefits(d)</w:t>
            </w:r>
          </w:p>
        </w:tc>
        <w:tc>
          <w:tcPr>
            <w:tcW w:w="853" w:type="pct"/>
            <w:tcBorders>
              <w:top w:val="nil"/>
              <w:left w:val="nil"/>
              <w:bottom w:val="nil"/>
              <w:right w:val="nil"/>
            </w:tcBorders>
            <w:shd w:val="clear" w:color="000000" w:fill="FFFFFF"/>
            <w:noWrap/>
            <w:vAlign w:val="center"/>
            <w:hideMark/>
          </w:tcPr>
          <w:p w14:paraId="747EF41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General public</w:t>
            </w:r>
          </w:p>
        </w:tc>
        <w:tc>
          <w:tcPr>
            <w:tcW w:w="479" w:type="pct"/>
            <w:tcBorders>
              <w:top w:val="nil"/>
              <w:left w:val="nil"/>
              <w:bottom w:val="nil"/>
              <w:right w:val="nil"/>
            </w:tcBorders>
            <w:shd w:val="clear" w:color="000000" w:fill="FFFFFF"/>
            <w:noWrap/>
            <w:vAlign w:val="center"/>
            <w:hideMark/>
          </w:tcPr>
          <w:p w14:paraId="4566D97E"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15B2870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7CF2B94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06BA0F24"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2AE39CCA"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7CA4816A"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8BA1837"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 </w:t>
            </w:r>
          </w:p>
        </w:tc>
        <w:tc>
          <w:tcPr>
            <w:tcW w:w="853" w:type="pct"/>
            <w:tcBorders>
              <w:top w:val="nil"/>
              <w:left w:val="nil"/>
              <w:bottom w:val="nil"/>
              <w:right w:val="nil"/>
            </w:tcBorders>
            <w:shd w:val="clear" w:color="000000" w:fill="FFFFFF"/>
            <w:noWrap/>
            <w:vAlign w:val="center"/>
            <w:hideMark/>
          </w:tcPr>
          <w:p w14:paraId="163FF41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services</w:t>
            </w:r>
          </w:p>
        </w:tc>
        <w:tc>
          <w:tcPr>
            <w:tcW w:w="479" w:type="pct"/>
            <w:tcBorders>
              <w:top w:val="nil"/>
              <w:left w:val="nil"/>
              <w:bottom w:val="nil"/>
              <w:right w:val="nil"/>
            </w:tcBorders>
            <w:shd w:val="clear" w:color="000000" w:fill="FFFFFF"/>
            <w:noWrap/>
            <w:vAlign w:val="center"/>
            <w:hideMark/>
          </w:tcPr>
          <w:p w14:paraId="2E83BE7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9,392</w:t>
            </w:r>
          </w:p>
        </w:tc>
        <w:tc>
          <w:tcPr>
            <w:tcW w:w="479" w:type="pct"/>
            <w:tcBorders>
              <w:top w:val="nil"/>
              <w:left w:val="nil"/>
              <w:bottom w:val="nil"/>
              <w:right w:val="nil"/>
            </w:tcBorders>
            <w:shd w:val="clear" w:color="000000" w:fill="E6F2FF"/>
            <w:noWrap/>
            <w:vAlign w:val="center"/>
            <w:hideMark/>
          </w:tcPr>
          <w:p w14:paraId="0F2DD5B6"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9,668</w:t>
            </w:r>
          </w:p>
        </w:tc>
        <w:tc>
          <w:tcPr>
            <w:tcW w:w="479" w:type="pct"/>
            <w:tcBorders>
              <w:top w:val="nil"/>
              <w:left w:val="nil"/>
              <w:bottom w:val="nil"/>
              <w:right w:val="nil"/>
            </w:tcBorders>
            <w:shd w:val="clear" w:color="000000" w:fill="FFFFFF"/>
            <w:noWrap/>
            <w:vAlign w:val="center"/>
            <w:hideMark/>
          </w:tcPr>
          <w:p w14:paraId="6C6C66BB"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9,691</w:t>
            </w:r>
          </w:p>
        </w:tc>
        <w:tc>
          <w:tcPr>
            <w:tcW w:w="479" w:type="pct"/>
            <w:tcBorders>
              <w:top w:val="nil"/>
              <w:left w:val="nil"/>
              <w:bottom w:val="nil"/>
              <w:right w:val="nil"/>
            </w:tcBorders>
            <w:shd w:val="clear" w:color="000000" w:fill="FFFFFF"/>
            <w:noWrap/>
            <w:vAlign w:val="center"/>
            <w:hideMark/>
          </w:tcPr>
          <w:p w14:paraId="15ADF5F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10,061</w:t>
            </w:r>
          </w:p>
        </w:tc>
        <w:tc>
          <w:tcPr>
            <w:tcW w:w="479" w:type="pct"/>
            <w:tcBorders>
              <w:top w:val="nil"/>
              <w:left w:val="nil"/>
              <w:bottom w:val="nil"/>
              <w:right w:val="nil"/>
            </w:tcBorders>
            <w:shd w:val="clear" w:color="000000" w:fill="FFFFFF"/>
            <w:noWrap/>
            <w:vAlign w:val="center"/>
            <w:hideMark/>
          </w:tcPr>
          <w:p w14:paraId="4DC0E881"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10,179</w:t>
            </w:r>
          </w:p>
        </w:tc>
      </w:tr>
      <w:tr w:rsidR="00225A2F" w:rsidRPr="00EE6FF2" w14:paraId="3D2E68DF" w14:textId="77777777" w:rsidTr="00EE6FF2">
        <w:trPr>
          <w:divId w:val="1805847572"/>
          <w:trHeight w:hRule="exact" w:val="222"/>
        </w:trPr>
        <w:tc>
          <w:tcPr>
            <w:tcW w:w="1751" w:type="pct"/>
            <w:tcBorders>
              <w:top w:val="nil"/>
              <w:left w:val="nil"/>
              <w:bottom w:val="nil"/>
              <w:right w:val="nil"/>
            </w:tcBorders>
            <w:shd w:val="clear" w:color="000000" w:fill="FFFFFF"/>
            <w:noWrap/>
            <w:vAlign w:val="center"/>
            <w:hideMark/>
          </w:tcPr>
          <w:p w14:paraId="4E05B69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Fuel Tax Credits Scheme</w:t>
            </w:r>
          </w:p>
        </w:tc>
        <w:tc>
          <w:tcPr>
            <w:tcW w:w="853" w:type="pct"/>
            <w:tcBorders>
              <w:top w:val="nil"/>
              <w:left w:val="nil"/>
              <w:bottom w:val="nil"/>
              <w:right w:val="nil"/>
            </w:tcBorders>
            <w:shd w:val="clear" w:color="000000" w:fill="FFFFFF"/>
            <w:noWrap/>
            <w:vAlign w:val="center"/>
            <w:hideMark/>
          </w:tcPr>
          <w:p w14:paraId="4C39CAA4"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Fuel and energy</w:t>
            </w:r>
          </w:p>
        </w:tc>
        <w:tc>
          <w:tcPr>
            <w:tcW w:w="479" w:type="pct"/>
            <w:tcBorders>
              <w:top w:val="nil"/>
              <w:left w:val="nil"/>
              <w:bottom w:val="nil"/>
              <w:right w:val="nil"/>
            </w:tcBorders>
            <w:shd w:val="clear" w:color="000000" w:fill="FFFFFF"/>
            <w:noWrap/>
            <w:vAlign w:val="center"/>
            <w:hideMark/>
          </w:tcPr>
          <w:p w14:paraId="601FD9FB"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7,466</w:t>
            </w:r>
          </w:p>
        </w:tc>
        <w:tc>
          <w:tcPr>
            <w:tcW w:w="479" w:type="pct"/>
            <w:tcBorders>
              <w:top w:val="nil"/>
              <w:left w:val="nil"/>
              <w:bottom w:val="nil"/>
              <w:right w:val="nil"/>
            </w:tcBorders>
            <w:shd w:val="clear" w:color="000000" w:fill="E6F2FF"/>
            <w:noWrap/>
            <w:vAlign w:val="center"/>
            <w:hideMark/>
          </w:tcPr>
          <w:p w14:paraId="40FA5B4F"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9,583</w:t>
            </w:r>
          </w:p>
        </w:tc>
        <w:tc>
          <w:tcPr>
            <w:tcW w:w="479" w:type="pct"/>
            <w:tcBorders>
              <w:top w:val="nil"/>
              <w:left w:val="nil"/>
              <w:bottom w:val="nil"/>
              <w:right w:val="nil"/>
            </w:tcBorders>
            <w:shd w:val="clear" w:color="000000" w:fill="FFFFFF"/>
            <w:noWrap/>
            <w:vAlign w:val="center"/>
            <w:hideMark/>
          </w:tcPr>
          <w:p w14:paraId="5F8DB978"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9,874</w:t>
            </w:r>
          </w:p>
        </w:tc>
        <w:tc>
          <w:tcPr>
            <w:tcW w:w="479" w:type="pct"/>
            <w:tcBorders>
              <w:top w:val="nil"/>
              <w:left w:val="nil"/>
              <w:bottom w:val="nil"/>
              <w:right w:val="nil"/>
            </w:tcBorders>
            <w:shd w:val="clear" w:color="000000" w:fill="FFFFFF"/>
            <w:noWrap/>
            <w:vAlign w:val="center"/>
            <w:hideMark/>
          </w:tcPr>
          <w:p w14:paraId="5B110D47"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10,473</w:t>
            </w:r>
          </w:p>
        </w:tc>
        <w:tc>
          <w:tcPr>
            <w:tcW w:w="479" w:type="pct"/>
            <w:tcBorders>
              <w:top w:val="nil"/>
              <w:left w:val="nil"/>
              <w:bottom w:val="nil"/>
              <w:right w:val="nil"/>
            </w:tcBorders>
            <w:shd w:val="clear" w:color="000000" w:fill="FFFFFF"/>
            <w:noWrap/>
            <w:vAlign w:val="center"/>
            <w:hideMark/>
          </w:tcPr>
          <w:p w14:paraId="38375115"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11,218</w:t>
            </w:r>
          </w:p>
        </w:tc>
      </w:tr>
      <w:tr w:rsidR="00225A2F" w:rsidRPr="00EE6FF2" w14:paraId="400F2599"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387A0F7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Defence Force Superannuation -</w:t>
            </w:r>
          </w:p>
        </w:tc>
        <w:tc>
          <w:tcPr>
            <w:tcW w:w="853" w:type="pct"/>
            <w:tcBorders>
              <w:top w:val="nil"/>
              <w:left w:val="nil"/>
              <w:bottom w:val="nil"/>
              <w:right w:val="nil"/>
            </w:tcBorders>
            <w:shd w:val="clear" w:color="000000" w:fill="FFFFFF"/>
            <w:noWrap/>
            <w:vAlign w:val="center"/>
            <w:hideMark/>
          </w:tcPr>
          <w:p w14:paraId="3DB0745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Other purposes;</w:t>
            </w:r>
          </w:p>
        </w:tc>
        <w:tc>
          <w:tcPr>
            <w:tcW w:w="479" w:type="pct"/>
            <w:tcBorders>
              <w:top w:val="nil"/>
              <w:left w:val="nil"/>
              <w:bottom w:val="nil"/>
              <w:right w:val="nil"/>
            </w:tcBorders>
            <w:shd w:val="clear" w:color="000000" w:fill="FFFFFF"/>
            <w:noWrap/>
            <w:vAlign w:val="center"/>
            <w:hideMark/>
          </w:tcPr>
          <w:p w14:paraId="356C103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0DB6C2F5"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3761F49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43F1188D"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1347AEF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03E95558"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0223474" w14:textId="77777777" w:rsidR="00EE6FF2" w:rsidRPr="00EE6FF2" w:rsidRDefault="00EE6FF2" w:rsidP="00EE6FF2">
            <w:pPr>
              <w:spacing w:before="0" w:after="0" w:line="240" w:lineRule="auto"/>
              <w:ind w:left="170"/>
              <w:rPr>
                <w:rFonts w:ascii="Arial" w:hAnsi="Arial" w:cs="Arial"/>
                <w:sz w:val="16"/>
                <w:szCs w:val="16"/>
              </w:rPr>
            </w:pPr>
            <w:r w:rsidRPr="00EE6FF2">
              <w:rPr>
                <w:rFonts w:ascii="Arial" w:hAnsi="Arial" w:cs="Arial"/>
                <w:sz w:val="16"/>
                <w:szCs w:val="16"/>
              </w:rPr>
              <w:t>Benefits(d)</w:t>
            </w:r>
          </w:p>
        </w:tc>
        <w:tc>
          <w:tcPr>
            <w:tcW w:w="853" w:type="pct"/>
            <w:tcBorders>
              <w:top w:val="nil"/>
              <w:left w:val="nil"/>
              <w:bottom w:val="nil"/>
              <w:right w:val="nil"/>
            </w:tcBorders>
            <w:shd w:val="clear" w:color="000000" w:fill="FFFFFF"/>
            <w:noWrap/>
            <w:vAlign w:val="center"/>
            <w:hideMark/>
          </w:tcPr>
          <w:p w14:paraId="5B42FFC2"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General public</w:t>
            </w:r>
          </w:p>
        </w:tc>
        <w:tc>
          <w:tcPr>
            <w:tcW w:w="479" w:type="pct"/>
            <w:tcBorders>
              <w:top w:val="nil"/>
              <w:left w:val="nil"/>
              <w:bottom w:val="nil"/>
              <w:right w:val="nil"/>
            </w:tcBorders>
            <w:shd w:val="clear" w:color="000000" w:fill="FFFFFF"/>
            <w:noWrap/>
            <w:vAlign w:val="center"/>
            <w:hideMark/>
          </w:tcPr>
          <w:p w14:paraId="345AA97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E6F2FF"/>
            <w:noWrap/>
            <w:vAlign w:val="center"/>
            <w:hideMark/>
          </w:tcPr>
          <w:p w14:paraId="15241AF7"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252B3C5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06B5A6F4"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nil"/>
              <w:left w:val="nil"/>
              <w:bottom w:val="nil"/>
              <w:right w:val="nil"/>
            </w:tcBorders>
            <w:shd w:val="clear" w:color="000000" w:fill="FFFFFF"/>
            <w:noWrap/>
            <w:vAlign w:val="center"/>
            <w:hideMark/>
          </w:tcPr>
          <w:p w14:paraId="01D2829C"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r>
      <w:tr w:rsidR="00225A2F" w:rsidRPr="00EE6FF2" w14:paraId="62305179"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97BCD11"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853" w:type="pct"/>
            <w:tcBorders>
              <w:top w:val="nil"/>
              <w:left w:val="nil"/>
              <w:bottom w:val="nil"/>
              <w:right w:val="nil"/>
            </w:tcBorders>
            <w:shd w:val="clear" w:color="000000" w:fill="FFFFFF"/>
            <w:noWrap/>
            <w:vAlign w:val="center"/>
            <w:hideMark/>
          </w:tcPr>
          <w:p w14:paraId="0D76C33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services</w:t>
            </w:r>
          </w:p>
        </w:tc>
        <w:tc>
          <w:tcPr>
            <w:tcW w:w="479" w:type="pct"/>
            <w:tcBorders>
              <w:top w:val="nil"/>
              <w:left w:val="nil"/>
              <w:bottom w:val="nil"/>
              <w:right w:val="nil"/>
            </w:tcBorders>
            <w:shd w:val="clear" w:color="000000" w:fill="FFFFFF"/>
            <w:noWrap/>
            <w:vAlign w:val="center"/>
            <w:hideMark/>
          </w:tcPr>
          <w:p w14:paraId="202BA22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9,730</w:t>
            </w:r>
          </w:p>
        </w:tc>
        <w:tc>
          <w:tcPr>
            <w:tcW w:w="479" w:type="pct"/>
            <w:tcBorders>
              <w:top w:val="nil"/>
              <w:left w:val="nil"/>
              <w:bottom w:val="nil"/>
              <w:right w:val="nil"/>
            </w:tcBorders>
            <w:shd w:val="clear" w:color="000000" w:fill="E6F2FF"/>
            <w:noWrap/>
            <w:vAlign w:val="center"/>
            <w:hideMark/>
          </w:tcPr>
          <w:p w14:paraId="44F7B453"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9,482</w:t>
            </w:r>
          </w:p>
        </w:tc>
        <w:tc>
          <w:tcPr>
            <w:tcW w:w="479" w:type="pct"/>
            <w:tcBorders>
              <w:top w:val="nil"/>
              <w:left w:val="nil"/>
              <w:bottom w:val="nil"/>
              <w:right w:val="nil"/>
            </w:tcBorders>
            <w:shd w:val="clear" w:color="000000" w:fill="FFFFFF"/>
            <w:noWrap/>
            <w:vAlign w:val="center"/>
            <w:hideMark/>
          </w:tcPr>
          <w:p w14:paraId="6DCDBEA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9,920</w:t>
            </w:r>
          </w:p>
        </w:tc>
        <w:tc>
          <w:tcPr>
            <w:tcW w:w="479" w:type="pct"/>
            <w:tcBorders>
              <w:top w:val="nil"/>
              <w:left w:val="nil"/>
              <w:bottom w:val="nil"/>
              <w:right w:val="nil"/>
            </w:tcBorders>
            <w:shd w:val="clear" w:color="000000" w:fill="FFFFFF"/>
            <w:noWrap/>
            <w:vAlign w:val="center"/>
            <w:hideMark/>
          </w:tcPr>
          <w:p w14:paraId="09184E23"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10,416</w:t>
            </w:r>
          </w:p>
        </w:tc>
        <w:tc>
          <w:tcPr>
            <w:tcW w:w="479" w:type="pct"/>
            <w:tcBorders>
              <w:top w:val="nil"/>
              <w:left w:val="nil"/>
              <w:bottom w:val="nil"/>
              <w:right w:val="nil"/>
            </w:tcBorders>
            <w:shd w:val="clear" w:color="000000" w:fill="FFFFFF"/>
            <w:noWrap/>
            <w:vAlign w:val="center"/>
            <w:hideMark/>
          </w:tcPr>
          <w:p w14:paraId="047A4832"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10,950</w:t>
            </w:r>
          </w:p>
        </w:tc>
      </w:tr>
      <w:tr w:rsidR="00225A2F" w:rsidRPr="00EE6FF2" w14:paraId="208BAC9B"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72B26858"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Air Force Capabilities</w:t>
            </w:r>
          </w:p>
        </w:tc>
        <w:tc>
          <w:tcPr>
            <w:tcW w:w="853" w:type="pct"/>
            <w:tcBorders>
              <w:top w:val="nil"/>
              <w:left w:val="nil"/>
              <w:bottom w:val="nil"/>
              <w:right w:val="nil"/>
            </w:tcBorders>
            <w:shd w:val="clear" w:color="000000" w:fill="FFFFFF"/>
            <w:noWrap/>
            <w:vAlign w:val="center"/>
            <w:hideMark/>
          </w:tcPr>
          <w:p w14:paraId="4159EC8F"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Defence</w:t>
            </w:r>
          </w:p>
        </w:tc>
        <w:tc>
          <w:tcPr>
            <w:tcW w:w="479" w:type="pct"/>
            <w:tcBorders>
              <w:top w:val="nil"/>
              <w:left w:val="nil"/>
              <w:bottom w:val="nil"/>
              <w:right w:val="nil"/>
            </w:tcBorders>
            <w:shd w:val="clear" w:color="000000" w:fill="FFFFFF"/>
            <w:noWrap/>
            <w:vAlign w:val="center"/>
            <w:hideMark/>
          </w:tcPr>
          <w:p w14:paraId="31D4F5B4"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8,430</w:t>
            </w:r>
          </w:p>
        </w:tc>
        <w:tc>
          <w:tcPr>
            <w:tcW w:w="479" w:type="pct"/>
            <w:tcBorders>
              <w:top w:val="nil"/>
              <w:left w:val="nil"/>
              <w:bottom w:val="nil"/>
              <w:right w:val="nil"/>
            </w:tcBorders>
            <w:shd w:val="clear" w:color="000000" w:fill="E6F2FF"/>
            <w:noWrap/>
            <w:vAlign w:val="center"/>
            <w:hideMark/>
          </w:tcPr>
          <w:p w14:paraId="51E2C65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8,846</w:t>
            </w:r>
          </w:p>
        </w:tc>
        <w:tc>
          <w:tcPr>
            <w:tcW w:w="479" w:type="pct"/>
            <w:tcBorders>
              <w:top w:val="nil"/>
              <w:left w:val="nil"/>
              <w:bottom w:val="nil"/>
              <w:right w:val="nil"/>
            </w:tcBorders>
            <w:shd w:val="clear" w:color="000000" w:fill="FFFFFF"/>
            <w:noWrap/>
            <w:vAlign w:val="center"/>
            <w:hideMark/>
          </w:tcPr>
          <w:p w14:paraId="03E0E50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9,399</w:t>
            </w:r>
          </w:p>
        </w:tc>
        <w:tc>
          <w:tcPr>
            <w:tcW w:w="479" w:type="pct"/>
            <w:tcBorders>
              <w:top w:val="nil"/>
              <w:left w:val="nil"/>
              <w:bottom w:val="nil"/>
              <w:right w:val="nil"/>
            </w:tcBorders>
            <w:shd w:val="clear" w:color="000000" w:fill="FFFFFF"/>
            <w:noWrap/>
            <w:vAlign w:val="center"/>
            <w:hideMark/>
          </w:tcPr>
          <w:p w14:paraId="65BF386C"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9,520</w:t>
            </w:r>
          </w:p>
        </w:tc>
        <w:tc>
          <w:tcPr>
            <w:tcW w:w="479" w:type="pct"/>
            <w:tcBorders>
              <w:top w:val="nil"/>
              <w:left w:val="nil"/>
              <w:bottom w:val="nil"/>
              <w:right w:val="nil"/>
            </w:tcBorders>
            <w:shd w:val="clear" w:color="000000" w:fill="FFFFFF"/>
            <w:noWrap/>
            <w:vAlign w:val="center"/>
            <w:hideMark/>
          </w:tcPr>
          <w:p w14:paraId="73E4833D"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10,164</w:t>
            </w:r>
          </w:p>
        </w:tc>
      </w:tr>
      <w:tr w:rsidR="00225A2F" w:rsidRPr="00EE6FF2" w14:paraId="08F99597"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29696A16" w14:textId="77777777" w:rsidR="00EE6FF2" w:rsidRPr="00EE6FF2" w:rsidRDefault="00EE6FF2" w:rsidP="00EE6FF2">
            <w:pPr>
              <w:spacing w:before="0" w:after="0" w:line="240" w:lineRule="auto"/>
              <w:rPr>
                <w:rFonts w:ascii="Arial" w:hAnsi="Arial" w:cs="Arial"/>
                <w:b/>
                <w:bCs/>
                <w:sz w:val="16"/>
                <w:szCs w:val="16"/>
              </w:rPr>
            </w:pPr>
            <w:r w:rsidRPr="00EE6FF2">
              <w:rPr>
                <w:rFonts w:ascii="Arial" w:hAnsi="Arial" w:cs="Arial"/>
                <w:b/>
                <w:bCs/>
                <w:sz w:val="16"/>
                <w:szCs w:val="16"/>
              </w:rPr>
              <w:t>Sub-total</w:t>
            </w:r>
          </w:p>
        </w:tc>
        <w:tc>
          <w:tcPr>
            <w:tcW w:w="853" w:type="pct"/>
            <w:tcBorders>
              <w:top w:val="nil"/>
              <w:left w:val="nil"/>
              <w:bottom w:val="nil"/>
              <w:right w:val="nil"/>
            </w:tcBorders>
            <w:shd w:val="clear" w:color="000000" w:fill="FFFFFF"/>
            <w:noWrap/>
            <w:vAlign w:val="center"/>
            <w:hideMark/>
          </w:tcPr>
          <w:p w14:paraId="4C17952C" w14:textId="77777777" w:rsidR="00EE6FF2" w:rsidRPr="00EE6FF2" w:rsidRDefault="00EE6FF2" w:rsidP="00EE6FF2">
            <w:pPr>
              <w:spacing w:before="0" w:after="0" w:line="240" w:lineRule="auto"/>
              <w:rPr>
                <w:rFonts w:ascii="Arial" w:hAnsi="Arial" w:cs="Arial"/>
                <w:b/>
                <w:bCs/>
                <w:sz w:val="16"/>
                <w:szCs w:val="16"/>
              </w:rPr>
            </w:pPr>
            <w:r w:rsidRPr="00EE6FF2">
              <w:rPr>
                <w:rFonts w:ascii="Arial" w:hAnsi="Arial" w:cs="Arial"/>
                <w:b/>
                <w:bCs/>
                <w:sz w:val="16"/>
                <w:szCs w:val="16"/>
              </w:rPr>
              <w:t> </w:t>
            </w:r>
          </w:p>
        </w:tc>
        <w:tc>
          <w:tcPr>
            <w:tcW w:w="479" w:type="pct"/>
            <w:tcBorders>
              <w:top w:val="single" w:sz="4" w:space="0" w:color="293F5B"/>
              <w:left w:val="nil"/>
              <w:bottom w:val="nil"/>
              <w:right w:val="nil"/>
            </w:tcBorders>
            <w:shd w:val="clear" w:color="000000" w:fill="FFFFFF"/>
            <w:noWrap/>
            <w:vAlign w:val="center"/>
            <w:hideMark/>
          </w:tcPr>
          <w:p w14:paraId="3FC2A841"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424,727</w:t>
            </w:r>
          </w:p>
        </w:tc>
        <w:tc>
          <w:tcPr>
            <w:tcW w:w="479" w:type="pct"/>
            <w:tcBorders>
              <w:top w:val="single" w:sz="4" w:space="0" w:color="293F5B"/>
              <w:left w:val="nil"/>
              <w:bottom w:val="nil"/>
              <w:right w:val="nil"/>
            </w:tcBorders>
            <w:shd w:val="clear" w:color="000000" w:fill="E6F2FF"/>
            <w:noWrap/>
            <w:vAlign w:val="center"/>
            <w:hideMark/>
          </w:tcPr>
          <w:p w14:paraId="29BD9557"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479,006</w:t>
            </w:r>
          </w:p>
        </w:tc>
        <w:tc>
          <w:tcPr>
            <w:tcW w:w="479" w:type="pct"/>
            <w:tcBorders>
              <w:top w:val="single" w:sz="4" w:space="0" w:color="293F5B"/>
              <w:left w:val="nil"/>
              <w:bottom w:val="nil"/>
              <w:right w:val="nil"/>
            </w:tcBorders>
            <w:shd w:val="clear" w:color="000000" w:fill="FFFFFF"/>
            <w:noWrap/>
            <w:vAlign w:val="center"/>
            <w:hideMark/>
          </w:tcPr>
          <w:p w14:paraId="6916E845"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506,016</w:t>
            </w:r>
          </w:p>
        </w:tc>
        <w:tc>
          <w:tcPr>
            <w:tcW w:w="479" w:type="pct"/>
            <w:tcBorders>
              <w:top w:val="single" w:sz="4" w:space="0" w:color="293F5B"/>
              <w:left w:val="nil"/>
              <w:bottom w:val="nil"/>
              <w:right w:val="nil"/>
            </w:tcBorders>
            <w:shd w:val="clear" w:color="000000" w:fill="FFFFFF"/>
            <w:noWrap/>
            <w:vAlign w:val="center"/>
            <w:hideMark/>
          </w:tcPr>
          <w:p w14:paraId="2ED98BB7"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533,080</w:t>
            </w:r>
          </w:p>
        </w:tc>
        <w:tc>
          <w:tcPr>
            <w:tcW w:w="479" w:type="pct"/>
            <w:tcBorders>
              <w:top w:val="single" w:sz="4" w:space="0" w:color="293F5B"/>
              <w:left w:val="nil"/>
              <w:bottom w:val="nil"/>
              <w:right w:val="nil"/>
            </w:tcBorders>
            <w:shd w:val="clear" w:color="000000" w:fill="FFFFFF"/>
            <w:noWrap/>
            <w:vAlign w:val="center"/>
            <w:hideMark/>
          </w:tcPr>
          <w:p w14:paraId="6AD1AD7D"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556,342</w:t>
            </w:r>
          </w:p>
        </w:tc>
      </w:tr>
      <w:tr w:rsidR="00225A2F" w:rsidRPr="00EE6FF2" w14:paraId="12B2758A" w14:textId="77777777" w:rsidTr="00EE6FF2">
        <w:trPr>
          <w:divId w:val="1805847572"/>
          <w:trHeight w:hRule="exact" w:val="226"/>
        </w:trPr>
        <w:tc>
          <w:tcPr>
            <w:tcW w:w="1751" w:type="pct"/>
            <w:tcBorders>
              <w:top w:val="nil"/>
              <w:left w:val="nil"/>
              <w:bottom w:val="nil"/>
              <w:right w:val="nil"/>
            </w:tcBorders>
            <w:shd w:val="clear" w:color="000000" w:fill="FFFFFF"/>
            <w:noWrap/>
            <w:vAlign w:val="center"/>
            <w:hideMark/>
          </w:tcPr>
          <w:p w14:paraId="69EC7B06"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Other programs</w:t>
            </w:r>
          </w:p>
        </w:tc>
        <w:tc>
          <w:tcPr>
            <w:tcW w:w="853" w:type="pct"/>
            <w:tcBorders>
              <w:top w:val="nil"/>
              <w:left w:val="nil"/>
              <w:bottom w:val="nil"/>
              <w:right w:val="nil"/>
            </w:tcBorders>
            <w:shd w:val="clear" w:color="000000" w:fill="FFFFFF"/>
            <w:noWrap/>
            <w:vAlign w:val="center"/>
            <w:hideMark/>
          </w:tcPr>
          <w:p w14:paraId="303885B9" w14:textId="77777777" w:rsidR="00EE6FF2" w:rsidRPr="00EE6FF2" w:rsidRDefault="00EE6FF2" w:rsidP="00EE6FF2">
            <w:pPr>
              <w:spacing w:before="0" w:after="0" w:line="240" w:lineRule="auto"/>
              <w:rPr>
                <w:rFonts w:ascii="Arial" w:hAnsi="Arial" w:cs="Arial"/>
                <w:sz w:val="16"/>
                <w:szCs w:val="16"/>
              </w:rPr>
            </w:pPr>
            <w:r w:rsidRPr="00EE6FF2">
              <w:rPr>
                <w:rFonts w:ascii="Arial" w:hAnsi="Arial" w:cs="Arial"/>
                <w:sz w:val="16"/>
                <w:szCs w:val="16"/>
              </w:rPr>
              <w:t> </w:t>
            </w:r>
          </w:p>
        </w:tc>
        <w:tc>
          <w:tcPr>
            <w:tcW w:w="479" w:type="pct"/>
            <w:tcBorders>
              <w:top w:val="single" w:sz="4" w:space="0" w:color="293F5B"/>
              <w:left w:val="nil"/>
              <w:bottom w:val="nil"/>
              <w:right w:val="nil"/>
            </w:tcBorders>
            <w:shd w:val="clear" w:color="000000" w:fill="FFFFFF"/>
            <w:noWrap/>
            <w:vAlign w:val="center"/>
            <w:hideMark/>
          </w:tcPr>
          <w:p w14:paraId="036EDD4E"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220,061</w:t>
            </w:r>
          </w:p>
        </w:tc>
        <w:tc>
          <w:tcPr>
            <w:tcW w:w="479" w:type="pct"/>
            <w:tcBorders>
              <w:top w:val="single" w:sz="4" w:space="0" w:color="293F5B"/>
              <w:left w:val="nil"/>
              <w:bottom w:val="nil"/>
              <w:right w:val="nil"/>
            </w:tcBorders>
            <w:shd w:val="clear" w:color="000000" w:fill="E6F2FF"/>
            <w:noWrap/>
            <w:vAlign w:val="center"/>
            <w:hideMark/>
          </w:tcPr>
          <w:p w14:paraId="4F2CBDAC"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205,079</w:t>
            </w:r>
          </w:p>
        </w:tc>
        <w:tc>
          <w:tcPr>
            <w:tcW w:w="479" w:type="pct"/>
            <w:tcBorders>
              <w:top w:val="single" w:sz="4" w:space="0" w:color="293F5B"/>
              <w:left w:val="nil"/>
              <w:bottom w:val="nil"/>
              <w:right w:val="nil"/>
            </w:tcBorders>
            <w:shd w:val="clear" w:color="000000" w:fill="FFFFFF"/>
            <w:noWrap/>
            <w:vAlign w:val="center"/>
            <w:hideMark/>
          </w:tcPr>
          <w:p w14:paraId="02753C24"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209,366</w:t>
            </w:r>
          </w:p>
        </w:tc>
        <w:tc>
          <w:tcPr>
            <w:tcW w:w="479" w:type="pct"/>
            <w:tcBorders>
              <w:top w:val="single" w:sz="4" w:space="0" w:color="293F5B"/>
              <w:left w:val="nil"/>
              <w:bottom w:val="nil"/>
              <w:right w:val="nil"/>
            </w:tcBorders>
            <w:shd w:val="clear" w:color="000000" w:fill="FFFFFF"/>
            <w:noWrap/>
            <w:vAlign w:val="center"/>
            <w:hideMark/>
          </w:tcPr>
          <w:p w14:paraId="6690DD95"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210,244</w:t>
            </w:r>
          </w:p>
        </w:tc>
        <w:tc>
          <w:tcPr>
            <w:tcW w:w="479" w:type="pct"/>
            <w:tcBorders>
              <w:top w:val="single" w:sz="4" w:space="0" w:color="293F5B"/>
              <w:left w:val="nil"/>
              <w:bottom w:val="nil"/>
              <w:right w:val="nil"/>
            </w:tcBorders>
            <w:shd w:val="clear" w:color="000000" w:fill="FFFFFF"/>
            <w:noWrap/>
            <w:vAlign w:val="center"/>
            <w:hideMark/>
          </w:tcPr>
          <w:p w14:paraId="5E919949" w14:textId="77777777" w:rsidR="00EE6FF2" w:rsidRPr="00EE6FF2" w:rsidRDefault="00EE6FF2" w:rsidP="00EE6FF2">
            <w:pPr>
              <w:spacing w:before="0" w:after="0" w:line="240" w:lineRule="auto"/>
              <w:jc w:val="right"/>
              <w:rPr>
                <w:rFonts w:ascii="Arial" w:hAnsi="Arial" w:cs="Arial"/>
                <w:sz w:val="16"/>
                <w:szCs w:val="16"/>
              </w:rPr>
            </w:pPr>
            <w:r w:rsidRPr="00EE6FF2">
              <w:rPr>
                <w:rFonts w:ascii="Arial" w:hAnsi="Arial" w:cs="Arial"/>
                <w:sz w:val="16"/>
                <w:szCs w:val="16"/>
              </w:rPr>
              <w:t>215,437</w:t>
            </w:r>
          </w:p>
        </w:tc>
      </w:tr>
      <w:tr w:rsidR="00225A2F" w:rsidRPr="00EE6FF2" w14:paraId="27141171" w14:textId="77777777" w:rsidTr="00EE6FF2">
        <w:trPr>
          <w:divId w:val="1805847572"/>
          <w:trHeight w:hRule="exact" w:val="226"/>
        </w:trPr>
        <w:tc>
          <w:tcPr>
            <w:tcW w:w="1751" w:type="pct"/>
            <w:tcBorders>
              <w:top w:val="nil"/>
              <w:left w:val="nil"/>
              <w:bottom w:val="single" w:sz="4" w:space="0" w:color="293F5B"/>
              <w:right w:val="nil"/>
            </w:tcBorders>
            <w:shd w:val="clear" w:color="000000" w:fill="FFFFFF"/>
            <w:noWrap/>
            <w:vAlign w:val="center"/>
            <w:hideMark/>
          </w:tcPr>
          <w:p w14:paraId="6353F7D0" w14:textId="77777777" w:rsidR="00EE6FF2" w:rsidRPr="00EE6FF2" w:rsidRDefault="00EE6FF2" w:rsidP="00EE6FF2">
            <w:pPr>
              <w:spacing w:before="0" w:after="0" w:line="240" w:lineRule="auto"/>
              <w:rPr>
                <w:rFonts w:ascii="Arial" w:hAnsi="Arial" w:cs="Arial"/>
                <w:b/>
                <w:bCs/>
                <w:sz w:val="16"/>
                <w:szCs w:val="16"/>
              </w:rPr>
            </w:pPr>
            <w:r w:rsidRPr="00EE6FF2">
              <w:rPr>
                <w:rFonts w:ascii="Arial" w:hAnsi="Arial" w:cs="Arial"/>
                <w:b/>
                <w:bCs/>
                <w:sz w:val="16"/>
                <w:szCs w:val="16"/>
              </w:rPr>
              <w:t>Total expenses</w:t>
            </w:r>
          </w:p>
        </w:tc>
        <w:tc>
          <w:tcPr>
            <w:tcW w:w="853" w:type="pct"/>
            <w:tcBorders>
              <w:top w:val="nil"/>
              <w:left w:val="nil"/>
              <w:bottom w:val="single" w:sz="4" w:space="0" w:color="293F5B"/>
              <w:right w:val="nil"/>
            </w:tcBorders>
            <w:shd w:val="clear" w:color="000000" w:fill="FFFFFF"/>
            <w:noWrap/>
            <w:vAlign w:val="center"/>
            <w:hideMark/>
          </w:tcPr>
          <w:p w14:paraId="2756C7BF" w14:textId="77777777" w:rsidR="00EE6FF2" w:rsidRPr="00EE6FF2" w:rsidRDefault="00EE6FF2" w:rsidP="00EE6FF2">
            <w:pPr>
              <w:spacing w:before="0" w:after="0" w:line="240" w:lineRule="auto"/>
              <w:rPr>
                <w:rFonts w:ascii="Arial" w:hAnsi="Arial" w:cs="Arial"/>
                <w:b/>
                <w:bCs/>
                <w:sz w:val="16"/>
                <w:szCs w:val="16"/>
              </w:rPr>
            </w:pPr>
            <w:r w:rsidRPr="00EE6FF2">
              <w:rPr>
                <w:rFonts w:ascii="Arial" w:hAnsi="Arial" w:cs="Arial"/>
                <w:b/>
                <w:bCs/>
                <w:sz w:val="16"/>
                <w:szCs w:val="16"/>
              </w:rPr>
              <w:t> </w:t>
            </w:r>
          </w:p>
        </w:tc>
        <w:tc>
          <w:tcPr>
            <w:tcW w:w="479" w:type="pct"/>
            <w:tcBorders>
              <w:top w:val="single" w:sz="4" w:space="0" w:color="293F5B"/>
              <w:left w:val="nil"/>
              <w:bottom w:val="single" w:sz="4" w:space="0" w:color="293F5B"/>
              <w:right w:val="nil"/>
            </w:tcBorders>
            <w:shd w:val="clear" w:color="000000" w:fill="FFFFFF"/>
            <w:noWrap/>
            <w:vAlign w:val="center"/>
            <w:hideMark/>
          </w:tcPr>
          <w:p w14:paraId="4739B46A"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644,788</w:t>
            </w:r>
          </w:p>
        </w:tc>
        <w:tc>
          <w:tcPr>
            <w:tcW w:w="479" w:type="pct"/>
            <w:tcBorders>
              <w:top w:val="single" w:sz="4" w:space="0" w:color="293F5B"/>
              <w:left w:val="nil"/>
              <w:bottom w:val="single" w:sz="4" w:space="0" w:color="293F5B"/>
              <w:right w:val="nil"/>
            </w:tcBorders>
            <w:shd w:val="clear" w:color="000000" w:fill="E6F2FF"/>
            <w:noWrap/>
            <w:vAlign w:val="center"/>
            <w:hideMark/>
          </w:tcPr>
          <w:p w14:paraId="0BCB3209"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684,085</w:t>
            </w:r>
          </w:p>
        </w:tc>
        <w:tc>
          <w:tcPr>
            <w:tcW w:w="479" w:type="pct"/>
            <w:tcBorders>
              <w:top w:val="single" w:sz="4" w:space="0" w:color="293F5B"/>
              <w:left w:val="nil"/>
              <w:bottom w:val="single" w:sz="4" w:space="0" w:color="293F5B"/>
              <w:right w:val="nil"/>
            </w:tcBorders>
            <w:shd w:val="clear" w:color="000000" w:fill="FFFFFF"/>
            <w:noWrap/>
            <w:vAlign w:val="center"/>
            <w:hideMark/>
          </w:tcPr>
          <w:p w14:paraId="0D4B297D"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715,382</w:t>
            </w:r>
          </w:p>
        </w:tc>
        <w:tc>
          <w:tcPr>
            <w:tcW w:w="479" w:type="pct"/>
            <w:tcBorders>
              <w:top w:val="single" w:sz="4" w:space="0" w:color="293F5B"/>
              <w:left w:val="nil"/>
              <w:bottom w:val="single" w:sz="4" w:space="0" w:color="293F5B"/>
              <w:right w:val="nil"/>
            </w:tcBorders>
            <w:shd w:val="clear" w:color="000000" w:fill="FFFFFF"/>
            <w:noWrap/>
            <w:vAlign w:val="center"/>
            <w:hideMark/>
          </w:tcPr>
          <w:p w14:paraId="178345F4"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743,324</w:t>
            </w:r>
          </w:p>
        </w:tc>
        <w:tc>
          <w:tcPr>
            <w:tcW w:w="479" w:type="pct"/>
            <w:tcBorders>
              <w:top w:val="single" w:sz="4" w:space="0" w:color="293F5B"/>
              <w:left w:val="nil"/>
              <w:bottom w:val="single" w:sz="4" w:space="0" w:color="293F5B"/>
              <w:right w:val="nil"/>
            </w:tcBorders>
            <w:shd w:val="clear" w:color="000000" w:fill="FFFFFF"/>
            <w:noWrap/>
            <w:vAlign w:val="center"/>
            <w:hideMark/>
          </w:tcPr>
          <w:p w14:paraId="221F5532" w14:textId="77777777" w:rsidR="00EE6FF2" w:rsidRPr="00EE6FF2" w:rsidRDefault="00EE6FF2" w:rsidP="00EE6FF2">
            <w:pPr>
              <w:spacing w:before="0" w:after="0" w:line="240" w:lineRule="auto"/>
              <w:jc w:val="right"/>
              <w:rPr>
                <w:rFonts w:ascii="Arial" w:hAnsi="Arial" w:cs="Arial"/>
                <w:b/>
                <w:bCs/>
                <w:sz w:val="16"/>
                <w:szCs w:val="16"/>
              </w:rPr>
            </w:pPr>
            <w:r w:rsidRPr="00EE6FF2">
              <w:rPr>
                <w:rFonts w:ascii="Arial" w:hAnsi="Arial" w:cs="Arial"/>
                <w:b/>
                <w:bCs/>
                <w:sz w:val="16"/>
                <w:szCs w:val="16"/>
              </w:rPr>
              <w:t>771,779</w:t>
            </w:r>
          </w:p>
        </w:tc>
      </w:tr>
    </w:tbl>
    <w:p w14:paraId="259848EA" w14:textId="4F5EDFC1" w:rsidR="00C855DF" w:rsidRDefault="00C855DF" w:rsidP="00173739">
      <w:pPr>
        <w:pStyle w:val="ChartandTableFootnoteAlpha"/>
        <w:numPr>
          <w:ilvl w:val="0"/>
          <w:numId w:val="24"/>
        </w:numPr>
      </w:pPr>
      <w:r w:rsidRPr="000177D7">
        <w:t>The entry for each program includes eliminations for inter</w:t>
      </w:r>
      <w:r w:rsidR="00D34B95">
        <w:noBreakHyphen/>
      </w:r>
      <w:r w:rsidRPr="000177D7">
        <w:t>agency transactions within that program.</w:t>
      </w:r>
    </w:p>
    <w:p w14:paraId="712811ED" w14:textId="77777777" w:rsidR="00C855DF" w:rsidRDefault="00C855DF" w:rsidP="00173739">
      <w:pPr>
        <w:pStyle w:val="ChartandTableFootnoteAlpha"/>
      </w:pPr>
      <w:r w:rsidRPr="000177D7">
        <w:rPr>
          <w:color w:val="auto"/>
        </w:rPr>
        <w:t>This program is a combination of agency costs, support for participants and administered expenses.</w:t>
      </w:r>
    </w:p>
    <w:p w14:paraId="62DF4C36" w14:textId="77777777" w:rsidR="00FF5C7C" w:rsidRPr="00FF5C7C" w:rsidRDefault="00FF5C7C" w:rsidP="00173739">
      <w:pPr>
        <w:pStyle w:val="ChartandTableFootnoteAlpha"/>
      </w:pPr>
      <w:r>
        <w:t>This program is a new program at the 2023</w:t>
      </w:r>
      <w:r w:rsidR="00485F94">
        <w:t>–</w:t>
      </w:r>
      <w:r>
        <w:t>24 Budget and reflects the majority of the expenditure of the October Budget program Family Assistance.</w:t>
      </w:r>
    </w:p>
    <w:p w14:paraId="66A7CD92" w14:textId="28EB3865" w:rsidR="00C855DF" w:rsidRPr="00A74A89" w:rsidRDefault="00C855DF" w:rsidP="00173739">
      <w:pPr>
        <w:pStyle w:val="ChartandTableFootnoteAlpha"/>
      </w:pPr>
      <w:r w:rsidRPr="000177D7">
        <w:rPr>
          <w:color w:val="auto"/>
        </w:rPr>
        <w:t>This program is a combination of superannuation nominal interest and accrual expenses.</w:t>
      </w:r>
      <w:bookmarkStart w:id="30" w:name="_Toc99203678"/>
    </w:p>
    <w:p w14:paraId="4E863C7F" w14:textId="77777777" w:rsidR="00C855DF" w:rsidRPr="000177D7" w:rsidRDefault="00C855DF" w:rsidP="00C855DF">
      <w:pPr>
        <w:pStyle w:val="TableLine"/>
      </w:pPr>
    </w:p>
    <w:p w14:paraId="19C4A2DF" w14:textId="77777777" w:rsidR="004F6E56" w:rsidRPr="000177D7" w:rsidRDefault="004F6E56" w:rsidP="004F6E56">
      <w:pPr>
        <w:pStyle w:val="Heading3"/>
      </w:pPr>
      <w:bookmarkStart w:id="31" w:name="_Toc134169611"/>
      <w:bookmarkStart w:id="32" w:name="_Toc117358171"/>
      <w:r w:rsidRPr="000177D7">
        <w:lastRenderedPageBreak/>
        <w:t xml:space="preserve">Program </w:t>
      </w:r>
      <w:r>
        <w:t>payments</w:t>
      </w:r>
      <w:bookmarkEnd w:id="31"/>
    </w:p>
    <w:p w14:paraId="316DFA26" w14:textId="5CD6AA4B" w:rsidR="00B561FF" w:rsidRDefault="0050166A" w:rsidP="00B561FF">
      <w:r>
        <w:t>T</w:t>
      </w:r>
      <w:r w:rsidRPr="000177D7">
        <w:t xml:space="preserve">he top 20 </w:t>
      </w:r>
      <w:r>
        <w:t>payment</w:t>
      </w:r>
      <w:r w:rsidRPr="000177D7">
        <w:t xml:space="preserve"> programs in the 202</w:t>
      </w:r>
      <w:r>
        <w:t>3</w:t>
      </w:r>
      <w:r w:rsidR="00485F94">
        <w:t>–</w:t>
      </w:r>
      <w:r w:rsidRPr="000177D7">
        <w:t>2</w:t>
      </w:r>
      <w:r>
        <w:t>4</w:t>
      </w:r>
      <w:r w:rsidRPr="000177D7">
        <w:t> financial year</w:t>
      </w:r>
      <w:r>
        <w:t xml:space="preserve"> are presented in </w:t>
      </w:r>
      <w:r w:rsidRPr="000177D7">
        <w:t>Table 6.</w:t>
      </w:r>
      <w:r>
        <w:t>3</w:t>
      </w:r>
      <w:r w:rsidRPr="000177D7">
        <w:t>.</w:t>
      </w:r>
      <w:r>
        <w:t>2</w:t>
      </w:r>
      <w:r w:rsidRPr="000177D7">
        <w:t xml:space="preserve">. </w:t>
      </w:r>
      <w:r w:rsidRPr="00F60C80">
        <w:t xml:space="preserve">Although broadly similar to the top 20 expense programs there are some differences in the timing of reporting between </w:t>
      </w:r>
      <w:r>
        <w:t>payments and expenses</w:t>
      </w:r>
      <w:r w:rsidRPr="00F60C80">
        <w:t xml:space="preserve">. Additionally, the reported payment figures include expenditure </w:t>
      </w:r>
      <w:r w:rsidR="00061B74">
        <w:t>capital investment</w:t>
      </w:r>
      <w:r w:rsidRPr="00F60C80">
        <w:t xml:space="preserve"> but exclude depreciation.</w:t>
      </w:r>
    </w:p>
    <w:p w14:paraId="74DD75B8" w14:textId="0B94326B" w:rsidR="00ED1C90" w:rsidRDefault="00D211CC" w:rsidP="00ED1C90">
      <w:pPr>
        <w:pStyle w:val="TableHeading"/>
        <w:rPr>
          <w:rFonts w:asciiTheme="minorHAnsi" w:eastAsiaTheme="minorHAnsi" w:hAnsiTheme="minorHAnsi" w:cstheme="minorBidi"/>
          <w:sz w:val="22"/>
          <w:szCs w:val="22"/>
          <w:lang w:eastAsia="en-US"/>
        </w:rPr>
      </w:pPr>
      <w:r w:rsidRPr="000177D7">
        <w:t>Table 6.3.</w:t>
      </w:r>
      <w:r w:rsidR="00D363C9">
        <w:t>2</w:t>
      </w:r>
      <w:r w:rsidRPr="000177D7">
        <w:t xml:space="preserve">: Top 20 programs by </w:t>
      </w:r>
      <w:r>
        <w:t>payment</w:t>
      </w:r>
    </w:p>
    <w:tbl>
      <w:tblPr>
        <w:tblW w:w="5000" w:type="pct"/>
        <w:tblCellMar>
          <w:left w:w="0" w:type="dxa"/>
          <w:right w:w="28" w:type="dxa"/>
        </w:tblCellMar>
        <w:tblLook w:val="04A0" w:firstRow="1" w:lastRow="0" w:firstColumn="1" w:lastColumn="0" w:noHBand="0" w:noVBand="1"/>
      </w:tblPr>
      <w:tblGrid>
        <w:gridCol w:w="2484"/>
        <w:gridCol w:w="1479"/>
        <w:gridCol w:w="749"/>
        <w:gridCol w:w="749"/>
        <w:gridCol w:w="749"/>
        <w:gridCol w:w="749"/>
        <w:gridCol w:w="751"/>
      </w:tblGrid>
      <w:tr w:rsidR="00DC108A" w:rsidRPr="00DC108A" w14:paraId="6FE86F3C" w14:textId="77777777" w:rsidTr="00815BAB">
        <w:trPr>
          <w:divId w:val="2066180223"/>
          <w:trHeight w:hRule="exact" w:val="225"/>
        </w:trPr>
        <w:tc>
          <w:tcPr>
            <w:tcW w:w="2568" w:type="pct"/>
            <w:gridSpan w:val="2"/>
            <w:tcBorders>
              <w:top w:val="single" w:sz="4" w:space="0" w:color="002A54" w:themeColor="text2"/>
              <w:left w:val="nil"/>
              <w:bottom w:val="nil"/>
              <w:right w:val="nil"/>
            </w:tcBorders>
            <w:shd w:val="clear" w:color="000000" w:fill="FFFFFF"/>
            <w:noWrap/>
            <w:vAlign w:val="center"/>
            <w:hideMark/>
          </w:tcPr>
          <w:p w14:paraId="7E4EBEF6" w14:textId="164875D7" w:rsidR="00DC108A" w:rsidRPr="00DC108A" w:rsidRDefault="00DC108A" w:rsidP="00815BAB">
            <w:pPr>
              <w:pStyle w:val="TableTextLeft"/>
              <w:rPr>
                <w:rFonts w:cs="Arial"/>
                <w:szCs w:val="16"/>
              </w:rPr>
            </w:pPr>
            <w:r w:rsidRPr="00DC108A">
              <w:t> </w:t>
            </w:r>
          </w:p>
        </w:tc>
        <w:tc>
          <w:tcPr>
            <w:tcW w:w="2432" w:type="pct"/>
            <w:gridSpan w:val="5"/>
            <w:tcBorders>
              <w:top w:val="single" w:sz="4" w:space="0" w:color="002A54" w:themeColor="text2"/>
              <w:left w:val="nil"/>
              <w:bottom w:val="single" w:sz="4" w:space="0" w:color="293F5B"/>
              <w:right w:val="nil"/>
            </w:tcBorders>
            <w:shd w:val="clear" w:color="000000" w:fill="FFFFFF"/>
            <w:noWrap/>
            <w:vAlign w:val="center"/>
            <w:hideMark/>
          </w:tcPr>
          <w:p w14:paraId="2E00CDEB" w14:textId="77777777" w:rsidR="00DC108A" w:rsidRPr="00DC108A" w:rsidRDefault="00DC108A" w:rsidP="00DC108A">
            <w:pPr>
              <w:spacing w:before="0" w:after="0" w:line="240" w:lineRule="auto"/>
              <w:jc w:val="center"/>
              <w:rPr>
                <w:rFonts w:ascii="Arial" w:hAnsi="Arial" w:cs="Arial"/>
                <w:sz w:val="16"/>
                <w:szCs w:val="16"/>
              </w:rPr>
            </w:pPr>
            <w:r w:rsidRPr="00DC108A">
              <w:rPr>
                <w:rFonts w:ascii="Arial" w:hAnsi="Arial" w:cs="Arial"/>
                <w:sz w:val="16"/>
                <w:szCs w:val="16"/>
              </w:rPr>
              <w:t>Estimates</w:t>
            </w:r>
          </w:p>
        </w:tc>
      </w:tr>
      <w:tr w:rsidR="00CD6A1C" w:rsidRPr="00DC108A" w14:paraId="7AADC66D"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430039D9"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959" w:type="pct"/>
            <w:tcBorders>
              <w:top w:val="nil"/>
              <w:left w:val="nil"/>
              <w:bottom w:val="nil"/>
              <w:right w:val="nil"/>
            </w:tcBorders>
            <w:shd w:val="clear" w:color="000000" w:fill="FFFFFF"/>
            <w:noWrap/>
            <w:vAlign w:val="center"/>
            <w:hideMark/>
          </w:tcPr>
          <w:p w14:paraId="7AB806C8"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486" w:type="pct"/>
            <w:tcBorders>
              <w:top w:val="single" w:sz="4" w:space="0" w:color="293F5B"/>
              <w:left w:val="nil"/>
              <w:bottom w:val="single" w:sz="4" w:space="0" w:color="293F5B"/>
              <w:right w:val="nil"/>
            </w:tcBorders>
            <w:shd w:val="clear" w:color="000000" w:fill="FFFFFF"/>
            <w:noWrap/>
            <w:vAlign w:val="center"/>
            <w:hideMark/>
          </w:tcPr>
          <w:p w14:paraId="00E91568" w14:textId="77777777" w:rsidR="00DC108A" w:rsidRPr="00DC108A" w:rsidRDefault="00DC108A" w:rsidP="00DC108A">
            <w:pPr>
              <w:spacing w:before="0" w:after="0" w:line="240" w:lineRule="auto"/>
              <w:jc w:val="right"/>
              <w:rPr>
                <w:rFonts w:ascii="Arial" w:hAnsi="Arial" w:cs="Arial"/>
                <w:sz w:val="16"/>
                <w:szCs w:val="16"/>
              </w:rPr>
            </w:pPr>
            <w:r w:rsidRPr="00DC108A">
              <w:rPr>
                <w:rFonts w:ascii="Arial" w:hAnsi="Arial" w:cs="Arial"/>
                <w:sz w:val="16"/>
                <w:szCs w:val="16"/>
              </w:rPr>
              <w:t>2022-23</w:t>
            </w:r>
          </w:p>
        </w:tc>
        <w:tc>
          <w:tcPr>
            <w:tcW w:w="486" w:type="pct"/>
            <w:tcBorders>
              <w:top w:val="single" w:sz="4" w:space="0" w:color="293F5B"/>
              <w:left w:val="nil"/>
              <w:bottom w:val="single" w:sz="4" w:space="0" w:color="293F5B"/>
              <w:right w:val="nil"/>
            </w:tcBorders>
            <w:shd w:val="clear" w:color="000000" w:fill="E6F2FF"/>
            <w:noWrap/>
            <w:vAlign w:val="center"/>
            <w:hideMark/>
          </w:tcPr>
          <w:p w14:paraId="08E6D5E1" w14:textId="77777777" w:rsidR="00DC108A" w:rsidRPr="00DC108A" w:rsidRDefault="00DC108A" w:rsidP="00DC108A">
            <w:pPr>
              <w:spacing w:before="0" w:after="0" w:line="240" w:lineRule="auto"/>
              <w:jc w:val="right"/>
              <w:rPr>
                <w:rFonts w:ascii="Arial" w:hAnsi="Arial" w:cs="Arial"/>
                <w:sz w:val="16"/>
                <w:szCs w:val="16"/>
              </w:rPr>
            </w:pPr>
            <w:r w:rsidRPr="00DC108A">
              <w:rPr>
                <w:rFonts w:ascii="Arial" w:hAnsi="Arial" w:cs="Arial"/>
                <w:sz w:val="16"/>
                <w:szCs w:val="16"/>
              </w:rPr>
              <w:t>2023-24</w:t>
            </w:r>
          </w:p>
        </w:tc>
        <w:tc>
          <w:tcPr>
            <w:tcW w:w="486" w:type="pct"/>
            <w:tcBorders>
              <w:top w:val="single" w:sz="4" w:space="0" w:color="293F5B"/>
              <w:left w:val="nil"/>
              <w:bottom w:val="single" w:sz="4" w:space="0" w:color="293F5B"/>
              <w:right w:val="nil"/>
            </w:tcBorders>
            <w:shd w:val="clear" w:color="000000" w:fill="FFFFFF"/>
            <w:noWrap/>
            <w:vAlign w:val="center"/>
            <w:hideMark/>
          </w:tcPr>
          <w:p w14:paraId="1AA7DAD4" w14:textId="77777777" w:rsidR="00DC108A" w:rsidRPr="00DC108A" w:rsidRDefault="00DC108A" w:rsidP="00DC108A">
            <w:pPr>
              <w:spacing w:before="0" w:after="0" w:line="240" w:lineRule="auto"/>
              <w:jc w:val="right"/>
              <w:rPr>
                <w:rFonts w:ascii="Arial" w:hAnsi="Arial" w:cs="Arial"/>
                <w:sz w:val="16"/>
                <w:szCs w:val="16"/>
              </w:rPr>
            </w:pPr>
            <w:r w:rsidRPr="00DC108A">
              <w:rPr>
                <w:rFonts w:ascii="Arial" w:hAnsi="Arial" w:cs="Arial"/>
                <w:sz w:val="16"/>
                <w:szCs w:val="16"/>
              </w:rPr>
              <w:t>2024-25</w:t>
            </w:r>
          </w:p>
        </w:tc>
        <w:tc>
          <w:tcPr>
            <w:tcW w:w="486" w:type="pct"/>
            <w:tcBorders>
              <w:top w:val="single" w:sz="4" w:space="0" w:color="293F5B"/>
              <w:left w:val="nil"/>
              <w:bottom w:val="single" w:sz="4" w:space="0" w:color="293F5B"/>
              <w:right w:val="nil"/>
            </w:tcBorders>
            <w:shd w:val="clear" w:color="000000" w:fill="FFFFFF"/>
            <w:noWrap/>
            <w:vAlign w:val="center"/>
            <w:hideMark/>
          </w:tcPr>
          <w:p w14:paraId="3482BDF0" w14:textId="77777777" w:rsidR="00DC108A" w:rsidRPr="00DC108A" w:rsidRDefault="00DC108A" w:rsidP="00DC108A">
            <w:pPr>
              <w:spacing w:before="0" w:after="0" w:line="240" w:lineRule="auto"/>
              <w:jc w:val="right"/>
              <w:rPr>
                <w:rFonts w:ascii="Arial" w:hAnsi="Arial" w:cs="Arial"/>
                <w:sz w:val="16"/>
                <w:szCs w:val="16"/>
              </w:rPr>
            </w:pPr>
            <w:r w:rsidRPr="00DC108A">
              <w:rPr>
                <w:rFonts w:ascii="Arial" w:hAnsi="Arial" w:cs="Arial"/>
                <w:sz w:val="16"/>
                <w:szCs w:val="16"/>
              </w:rPr>
              <w:t>2025-26</w:t>
            </w:r>
          </w:p>
        </w:tc>
        <w:tc>
          <w:tcPr>
            <w:tcW w:w="486" w:type="pct"/>
            <w:tcBorders>
              <w:top w:val="single" w:sz="4" w:space="0" w:color="293F5B"/>
              <w:left w:val="nil"/>
              <w:bottom w:val="single" w:sz="4" w:space="0" w:color="293F5B"/>
              <w:right w:val="nil"/>
            </w:tcBorders>
            <w:shd w:val="clear" w:color="000000" w:fill="FFFFFF"/>
            <w:noWrap/>
            <w:vAlign w:val="center"/>
            <w:hideMark/>
          </w:tcPr>
          <w:p w14:paraId="16BD63E3"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2026-27</w:t>
            </w:r>
          </w:p>
        </w:tc>
      </w:tr>
      <w:tr w:rsidR="00CD6A1C" w:rsidRPr="00DC108A" w14:paraId="6BA7786D"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77A24CAD" w14:textId="77777777" w:rsidR="00DC108A" w:rsidRPr="00DC108A" w:rsidRDefault="00DC108A" w:rsidP="00DC108A">
            <w:pPr>
              <w:spacing w:before="0" w:after="0" w:line="240" w:lineRule="auto"/>
              <w:rPr>
                <w:rFonts w:ascii="Arial" w:hAnsi="Arial" w:cs="Arial"/>
                <w:b/>
                <w:bCs/>
                <w:color w:val="000000"/>
                <w:sz w:val="16"/>
                <w:szCs w:val="16"/>
              </w:rPr>
            </w:pPr>
            <w:r w:rsidRPr="00DC108A">
              <w:rPr>
                <w:rFonts w:ascii="Arial" w:hAnsi="Arial" w:cs="Arial"/>
                <w:b/>
                <w:bCs/>
                <w:color w:val="000000"/>
                <w:sz w:val="16"/>
                <w:szCs w:val="16"/>
              </w:rPr>
              <w:t>Program(a)</w:t>
            </w:r>
          </w:p>
        </w:tc>
        <w:tc>
          <w:tcPr>
            <w:tcW w:w="959" w:type="pct"/>
            <w:tcBorders>
              <w:top w:val="nil"/>
              <w:left w:val="nil"/>
              <w:bottom w:val="nil"/>
              <w:right w:val="nil"/>
            </w:tcBorders>
            <w:shd w:val="clear" w:color="000000" w:fill="FFFFFF"/>
            <w:noWrap/>
            <w:vAlign w:val="center"/>
            <w:hideMark/>
          </w:tcPr>
          <w:p w14:paraId="286481DC" w14:textId="77777777" w:rsidR="00DC108A" w:rsidRPr="00DC108A" w:rsidRDefault="00DC108A" w:rsidP="00DC108A">
            <w:pPr>
              <w:spacing w:before="0" w:after="0" w:line="240" w:lineRule="auto"/>
              <w:rPr>
                <w:rFonts w:ascii="Arial" w:hAnsi="Arial" w:cs="Arial"/>
                <w:b/>
                <w:bCs/>
                <w:color w:val="000000"/>
                <w:sz w:val="16"/>
                <w:szCs w:val="16"/>
              </w:rPr>
            </w:pPr>
            <w:r w:rsidRPr="00DC108A">
              <w:rPr>
                <w:rFonts w:ascii="Arial" w:hAnsi="Arial" w:cs="Arial"/>
                <w:b/>
                <w:bCs/>
                <w:color w:val="000000"/>
                <w:sz w:val="16"/>
                <w:szCs w:val="16"/>
              </w:rPr>
              <w:t>Function</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32D695E3"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$m</w:t>
            </w:r>
          </w:p>
        </w:tc>
        <w:tc>
          <w:tcPr>
            <w:tcW w:w="486" w:type="pct"/>
            <w:tcBorders>
              <w:top w:val="single" w:sz="4" w:space="0" w:color="293F5B"/>
              <w:left w:val="nil"/>
              <w:bottom w:val="single" w:sz="4" w:space="0" w:color="002A54" w:themeColor="text2"/>
              <w:right w:val="nil"/>
            </w:tcBorders>
            <w:shd w:val="clear" w:color="000000" w:fill="E6F2FF"/>
            <w:noWrap/>
            <w:vAlign w:val="center"/>
            <w:hideMark/>
          </w:tcPr>
          <w:p w14:paraId="6D40EB72"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$m</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6E956747"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$m</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74A7FA2A"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$m</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6B350255" w14:textId="77777777" w:rsidR="00DC108A" w:rsidRPr="00DC108A" w:rsidRDefault="00DC108A" w:rsidP="00DC108A">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$m</w:t>
            </w:r>
          </w:p>
        </w:tc>
      </w:tr>
      <w:tr w:rsidR="00225A2F" w:rsidRPr="00DC108A" w14:paraId="51542451" w14:textId="77777777" w:rsidTr="00815BAB">
        <w:trPr>
          <w:divId w:val="2066180223"/>
          <w:trHeight w:val="225"/>
        </w:trPr>
        <w:tc>
          <w:tcPr>
            <w:tcW w:w="1610" w:type="pct"/>
            <w:tcBorders>
              <w:top w:val="nil"/>
              <w:left w:val="nil"/>
              <w:bottom w:val="nil"/>
              <w:right w:val="nil"/>
            </w:tcBorders>
            <w:shd w:val="clear" w:color="000000" w:fill="FFFFFF"/>
            <w:noWrap/>
            <w:vAlign w:val="center"/>
            <w:hideMark/>
          </w:tcPr>
          <w:p w14:paraId="12C3F00D"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Revenue assistance to the</w:t>
            </w:r>
          </w:p>
        </w:tc>
        <w:tc>
          <w:tcPr>
            <w:tcW w:w="959" w:type="pct"/>
            <w:tcBorders>
              <w:top w:val="nil"/>
              <w:left w:val="nil"/>
              <w:bottom w:val="nil"/>
              <w:right w:val="nil"/>
            </w:tcBorders>
            <w:shd w:val="clear" w:color="auto" w:fill="auto"/>
            <w:noWrap/>
            <w:vAlign w:val="center"/>
            <w:hideMark/>
          </w:tcPr>
          <w:p w14:paraId="01DCDF58" w14:textId="77777777" w:rsidR="00DC108A" w:rsidRPr="00DC108A" w:rsidRDefault="00DC108A" w:rsidP="00DC108A">
            <w:pPr>
              <w:spacing w:before="0" w:after="0" w:line="240" w:lineRule="auto"/>
              <w:rPr>
                <w:rFonts w:ascii="Arial" w:hAnsi="Arial" w:cs="Arial"/>
                <w:color w:val="000000"/>
                <w:sz w:val="16"/>
                <w:szCs w:val="16"/>
              </w:rPr>
            </w:pPr>
          </w:p>
        </w:tc>
        <w:tc>
          <w:tcPr>
            <w:tcW w:w="486" w:type="pct"/>
            <w:tcBorders>
              <w:top w:val="single" w:sz="4" w:space="0" w:color="002A54" w:themeColor="text2"/>
              <w:left w:val="nil"/>
              <w:bottom w:val="nil"/>
              <w:right w:val="nil"/>
            </w:tcBorders>
            <w:shd w:val="clear" w:color="000000" w:fill="FFFFFF"/>
            <w:noWrap/>
            <w:vAlign w:val="center"/>
            <w:hideMark/>
          </w:tcPr>
          <w:p w14:paraId="1170E46D"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486" w:type="pct"/>
            <w:tcBorders>
              <w:top w:val="single" w:sz="4" w:space="0" w:color="002A54" w:themeColor="text2"/>
              <w:left w:val="nil"/>
              <w:bottom w:val="nil"/>
              <w:right w:val="nil"/>
            </w:tcBorders>
            <w:shd w:val="clear" w:color="000000" w:fill="E6F2FF"/>
            <w:noWrap/>
            <w:vAlign w:val="center"/>
            <w:hideMark/>
          </w:tcPr>
          <w:p w14:paraId="32F7D895"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486" w:type="pct"/>
            <w:tcBorders>
              <w:top w:val="single" w:sz="4" w:space="0" w:color="002A54" w:themeColor="text2"/>
              <w:left w:val="nil"/>
              <w:bottom w:val="nil"/>
              <w:right w:val="nil"/>
            </w:tcBorders>
            <w:shd w:val="clear" w:color="000000" w:fill="FFFFFF"/>
            <w:noWrap/>
            <w:vAlign w:val="center"/>
            <w:hideMark/>
          </w:tcPr>
          <w:p w14:paraId="693C9256"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486" w:type="pct"/>
            <w:tcBorders>
              <w:top w:val="single" w:sz="4" w:space="0" w:color="002A54" w:themeColor="text2"/>
              <w:left w:val="nil"/>
              <w:bottom w:val="nil"/>
              <w:right w:val="nil"/>
            </w:tcBorders>
            <w:shd w:val="clear" w:color="000000" w:fill="FFFFFF"/>
            <w:noWrap/>
            <w:vAlign w:val="center"/>
            <w:hideMark/>
          </w:tcPr>
          <w:p w14:paraId="53C6CEA6"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c>
          <w:tcPr>
            <w:tcW w:w="486" w:type="pct"/>
            <w:tcBorders>
              <w:top w:val="single" w:sz="4" w:space="0" w:color="002A54" w:themeColor="text2"/>
              <w:left w:val="nil"/>
              <w:bottom w:val="nil"/>
              <w:right w:val="nil"/>
            </w:tcBorders>
            <w:shd w:val="clear" w:color="000000" w:fill="FFFFFF"/>
            <w:noWrap/>
            <w:vAlign w:val="center"/>
            <w:hideMark/>
          </w:tcPr>
          <w:p w14:paraId="0CF2953E" w14:textId="77777777" w:rsidR="00DC108A" w:rsidRPr="00DC108A" w:rsidRDefault="00DC108A" w:rsidP="00DC108A">
            <w:pPr>
              <w:spacing w:before="0" w:after="0" w:line="240" w:lineRule="auto"/>
              <w:rPr>
                <w:rFonts w:ascii="Arial" w:hAnsi="Arial" w:cs="Arial"/>
                <w:color w:val="000000"/>
                <w:sz w:val="16"/>
                <w:szCs w:val="16"/>
              </w:rPr>
            </w:pPr>
            <w:r w:rsidRPr="00DC108A">
              <w:rPr>
                <w:rFonts w:ascii="Arial" w:hAnsi="Arial" w:cs="Arial"/>
                <w:color w:val="000000"/>
                <w:sz w:val="16"/>
                <w:szCs w:val="16"/>
              </w:rPr>
              <w:t> </w:t>
            </w:r>
          </w:p>
        </w:tc>
      </w:tr>
      <w:tr w:rsidR="00DC108A" w:rsidRPr="00DC108A" w14:paraId="0B622D53"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24022B7E" w14:textId="77777777" w:rsidR="00DC108A" w:rsidRPr="00DC108A" w:rsidRDefault="00DC108A" w:rsidP="00DC108A">
            <w:pPr>
              <w:spacing w:before="0" w:after="0" w:line="240" w:lineRule="auto"/>
              <w:ind w:left="170"/>
              <w:rPr>
                <w:rFonts w:ascii="Arial" w:hAnsi="Arial" w:cs="Arial"/>
                <w:color w:val="000000"/>
                <w:sz w:val="16"/>
                <w:szCs w:val="16"/>
              </w:rPr>
            </w:pPr>
            <w:r w:rsidRPr="00DC108A">
              <w:rPr>
                <w:rFonts w:ascii="Arial" w:hAnsi="Arial" w:cs="Arial"/>
                <w:color w:val="000000"/>
                <w:sz w:val="16"/>
                <w:szCs w:val="16"/>
              </w:rPr>
              <w:t xml:space="preserve">States and Territories </w:t>
            </w:r>
          </w:p>
        </w:tc>
        <w:tc>
          <w:tcPr>
            <w:tcW w:w="959" w:type="pct"/>
            <w:tcBorders>
              <w:top w:val="nil"/>
              <w:left w:val="nil"/>
              <w:bottom w:val="nil"/>
              <w:right w:val="nil"/>
            </w:tcBorders>
            <w:shd w:val="clear" w:color="000000" w:fill="FFFFFF"/>
            <w:noWrap/>
            <w:vAlign w:val="center"/>
            <w:hideMark/>
          </w:tcPr>
          <w:p w14:paraId="024B421D" w14:textId="77777777" w:rsidR="00DC108A" w:rsidRPr="00DC108A" w:rsidRDefault="00DC108A" w:rsidP="00671031">
            <w:pPr>
              <w:spacing w:before="0" w:after="0" w:line="240" w:lineRule="auto"/>
              <w:rPr>
                <w:rFonts w:ascii="Arial" w:hAnsi="Arial" w:cs="Arial"/>
                <w:color w:val="000000"/>
                <w:sz w:val="16"/>
                <w:szCs w:val="16"/>
              </w:rPr>
            </w:pPr>
            <w:r w:rsidRPr="00DC108A">
              <w:rPr>
                <w:rFonts w:ascii="Arial" w:hAnsi="Arial" w:cs="Arial"/>
                <w:color w:val="000000"/>
                <w:sz w:val="16"/>
                <w:szCs w:val="16"/>
              </w:rPr>
              <w:t>Other purposes</w:t>
            </w:r>
          </w:p>
        </w:tc>
        <w:tc>
          <w:tcPr>
            <w:tcW w:w="486" w:type="pct"/>
            <w:tcBorders>
              <w:top w:val="nil"/>
              <w:left w:val="nil"/>
              <w:bottom w:val="nil"/>
              <w:right w:val="nil"/>
            </w:tcBorders>
            <w:shd w:val="clear" w:color="000000" w:fill="FFFFFF"/>
            <w:noWrap/>
            <w:vAlign w:val="center"/>
            <w:hideMark/>
          </w:tcPr>
          <w:p w14:paraId="1C341500" w14:textId="77777777" w:rsidR="00DC108A" w:rsidRPr="00DC108A" w:rsidRDefault="00DC108A" w:rsidP="00671031">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88,958</w:t>
            </w:r>
          </w:p>
        </w:tc>
        <w:tc>
          <w:tcPr>
            <w:tcW w:w="486" w:type="pct"/>
            <w:tcBorders>
              <w:top w:val="nil"/>
              <w:left w:val="nil"/>
              <w:bottom w:val="nil"/>
              <w:right w:val="nil"/>
            </w:tcBorders>
            <w:shd w:val="clear" w:color="000000" w:fill="E6F2FF"/>
            <w:noWrap/>
            <w:vAlign w:val="center"/>
            <w:hideMark/>
          </w:tcPr>
          <w:p w14:paraId="151658E7" w14:textId="77777777" w:rsidR="00DC108A" w:rsidRPr="00DC108A" w:rsidRDefault="00DC108A" w:rsidP="00671031">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92,448</w:t>
            </w:r>
          </w:p>
        </w:tc>
        <w:tc>
          <w:tcPr>
            <w:tcW w:w="486" w:type="pct"/>
            <w:tcBorders>
              <w:top w:val="nil"/>
              <w:left w:val="nil"/>
              <w:bottom w:val="nil"/>
              <w:right w:val="nil"/>
            </w:tcBorders>
            <w:shd w:val="clear" w:color="000000" w:fill="FFFFFF"/>
            <w:noWrap/>
            <w:vAlign w:val="center"/>
            <w:hideMark/>
          </w:tcPr>
          <w:p w14:paraId="155D4D5E" w14:textId="77777777" w:rsidR="00DC108A" w:rsidRPr="00DC108A" w:rsidRDefault="00DC108A" w:rsidP="00671031">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96,354</w:t>
            </w:r>
          </w:p>
        </w:tc>
        <w:tc>
          <w:tcPr>
            <w:tcW w:w="486" w:type="pct"/>
            <w:tcBorders>
              <w:top w:val="nil"/>
              <w:left w:val="nil"/>
              <w:bottom w:val="nil"/>
              <w:right w:val="nil"/>
            </w:tcBorders>
            <w:shd w:val="clear" w:color="000000" w:fill="FFFFFF"/>
            <w:noWrap/>
            <w:vAlign w:val="center"/>
            <w:hideMark/>
          </w:tcPr>
          <w:p w14:paraId="376DD283" w14:textId="77777777" w:rsidR="00DC108A" w:rsidRPr="00DC108A" w:rsidRDefault="00DC108A" w:rsidP="00671031">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101,797</w:t>
            </w:r>
          </w:p>
        </w:tc>
        <w:tc>
          <w:tcPr>
            <w:tcW w:w="486" w:type="pct"/>
            <w:tcBorders>
              <w:top w:val="nil"/>
              <w:left w:val="nil"/>
              <w:bottom w:val="nil"/>
              <w:right w:val="nil"/>
            </w:tcBorders>
            <w:shd w:val="clear" w:color="000000" w:fill="FFFFFF"/>
            <w:noWrap/>
            <w:vAlign w:val="center"/>
            <w:hideMark/>
          </w:tcPr>
          <w:p w14:paraId="0B31AA62" w14:textId="77777777" w:rsidR="00DC108A" w:rsidRPr="00DC108A" w:rsidRDefault="00DC108A" w:rsidP="00671031">
            <w:pPr>
              <w:spacing w:before="0" w:after="0" w:line="240" w:lineRule="auto"/>
              <w:jc w:val="right"/>
              <w:rPr>
                <w:rFonts w:ascii="Arial" w:hAnsi="Arial" w:cs="Arial"/>
                <w:color w:val="000000"/>
                <w:sz w:val="16"/>
                <w:szCs w:val="16"/>
              </w:rPr>
            </w:pPr>
            <w:r w:rsidRPr="00DC108A">
              <w:rPr>
                <w:rFonts w:ascii="Arial" w:hAnsi="Arial" w:cs="Arial"/>
                <w:color w:val="000000"/>
                <w:sz w:val="16"/>
                <w:szCs w:val="16"/>
              </w:rPr>
              <w:t>105,273</w:t>
            </w:r>
          </w:p>
        </w:tc>
      </w:tr>
      <w:tr w:rsidR="00DC108A" w:rsidRPr="00DC108A" w14:paraId="2DEBB3C4"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507173B6" w14:textId="77777777" w:rsidR="00DC108A" w:rsidRPr="0069084D" w:rsidRDefault="00DC108A" w:rsidP="0069084D">
            <w:pPr>
              <w:spacing w:before="0" w:after="0" w:line="240" w:lineRule="auto"/>
              <w:rPr>
                <w:rFonts w:ascii="Arial" w:hAnsi="Arial" w:cs="Arial"/>
                <w:color w:val="000000"/>
                <w:sz w:val="16"/>
                <w:szCs w:val="16"/>
              </w:rPr>
            </w:pPr>
            <w:r w:rsidRPr="0069084D">
              <w:rPr>
                <w:rFonts w:ascii="Arial" w:hAnsi="Arial" w:cs="Arial"/>
                <w:color w:val="000000"/>
                <w:sz w:val="16"/>
                <w:szCs w:val="16"/>
              </w:rPr>
              <w:t>Support for Seniors</w:t>
            </w:r>
          </w:p>
        </w:tc>
        <w:tc>
          <w:tcPr>
            <w:tcW w:w="959" w:type="pct"/>
            <w:tcBorders>
              <w:top w:val="nil"/>
              <w:left w:val="nil"/>
              <w:bottom w:val="nil"/>
              <w:right w:val="nil"/>
            </w:tcBorders>
            <w:shd w:val="clear" w:color="000000" w:fill="FFFFFF"/>
            <w:noWrap/>
            <w:vAlign w:val="center"/>
            <w:hideMark/>
          </w:tcPr>
          <w:p w14:paraId="2B70ED8D" w14:textId="77777777" w:rsidR="00DC108A" w:rsidRPr="0069084D" w:rsidRDefault="00DC108A" w:rsidP="0069084D">
            <w:pPr>
              <w:spacing w:before="0" w:after="0" w:line="240" w:lineRule="auto"/>
              <w:rPr>
                <w:rFonts w:ascii="Arial" w:hAnsi="Arial" w:cs="Arial"/>
                <w:color w:val="000000"/>
                <w:sz w:val="16"/>
                <w:szCs w:val="16"/>
              </w:rPr>
            </w:pPr>
            <w:r w:rsidRPr="0069084D">
              <w:rPr>
                <w:rFonts w:ascii="Arial" w:hAnsi="Arial" w:cs="Arial"/>
                <w:color w:val="000000"/>
                <w:sz w:val="16"/>
                <w:szCs w:val="16"/>
              </w:rPr>
              <w:t>SSW</w:t>
            </w:r>
          </w:p>
        </w:tc>
        <w:tc>
          <w:tcPr>
            <w:tcW w:w="486" w:type="pct"/>
            <w:tcBorders>
              <w:top w:val="nil"/>
              <w:left w:val="nil"/>
              <w:bottom w:val="nil"/>
              <w:right w:val="nil"/>
            </w:tcBorders>
            <w:shd w:val="clear" w:color="000000" w:fill="FFFFFF"/>
            <w:noWrap/>
            <w:vAlign w:val="center"/>
            <w:hideMark/>
          </w:tcPr>
          <w:p w14:paraId="26560B4C" w14:textId="77777777" w:rsidR="00DC108A" w:rsidRPr="0069084D" w:rsidRDefault="00DC108A" w:rsidP="0069084D">
            <w:pPr>
              <w:spacing w:before="0" w:after="0" w:line="240" w:lineRule="auto"/>
              <w:jc w:val="right"/>
              <w:rPr>
                <w:rFonts w:ascii="Arial" w:hAnsi="Arial" w:cs="Arial"/>
                <w:color w:val="000000"/>
                <w:sz w:val="16"/>
                <w:szCs w:val="16"/>
              </w:rPr>
            </w:pPr>
            <w:r w:rsidRPr="0069084D">
              <w:rPr>
                <w:rFonts w:ascii="Arial" w:hAnsi="Arial" w:cs="Arial"/>
                <w:color w:val="000000"/>
                <w:sz w:val="16"/>
                <w:szCs w:val="16"/>
              </w:rPr>
              <w:t>54,851</w:t>
            </w:r>
          </w:p>
        </w:tc>
        <w:tc>
          <w:tcPr>
            <w:tcW w:w="486" w:type="pct"/>
            <w:tcBorders>
              <w:top w:val="nil"/>
              <w:left w:val="nil"/>
              <w:bottom w:val="nil"/>
              <w:right w:val="nil"/>
            </w:tcBorders>
            <w:shd w:val="clear" w:color="000000" w:fill="E6F2FF"/>
            <w:noWrap/>
            <w:vAlign w:val="center"/>
            <w:hideMark/>
          </w:tcPr>
          <w:p w14:paraId="4DFC2A9D" w14:textId="77777777" w:rsidR="00DC108A" w:rsidRPr="0069084D" w:rsidRDefault="00DC108A" w:rsidP="0069084D">
            <w:pPr>
              <w:spacing w:before="0" w:after="0" w:line="240" w:lineRule="auto"/>
              <w:jc w:val="right"/>
              <w:rPr>
                <w:rFonts w:ascii="Arial" w:hAnsi="Arial" w:cs="Arial"/>
                <w:color w:val="000000"/>
                <w:sz w:val="16"/>
                <w:szCs w:val="16"/>
              </w:rPr>
            </w:pPr>
            <w:r w:rsidRPr="0069084D">
              <w:rPr>
                <w:rFonts w:ascii="Arial" w:hAnsi="Arial" w:cs="Arial"/>
                <w:color w:val="000000"/>
                <w:sz w:val="16"/>
                <w:szCs w:val="16"/>
              </w:rPr>
              <w:t>58,870</w:t>
            </w:r>
          </w:p>
        </w:tc>
        <w:tc>
          <w:tcPr>
            <w:tcW w:w="486" w:type="pct"/>
            <w:tcBorders>
              <w:top w:val="nil"/>
              <w:left w:val="nil"/>
              <w:bottom w:val="nil"/>
              <w:right w:val="nil"/>
            </w:tcBorders>
            <w:shd w:val="clear" w:color="000000" w:fill="FFFFFF"/>
            <w:noWrap/>
            <w:vAlign w:val="center"/>
            <w:hideMark/>
          </w:tcPr>
          <w:p w14:paraId="5DFBB83A" w14:textId="77777777" w:rsidR="00DC108A" w:rsidRPr="0069084D" w:rsidRDefault="00DC108A" w:rsidP="0069084D">
            <w:pPr>
              <w:spacing w:before="0" w:after="0" w:line="240" w:lineRule="auto"/>
              <w:jc w:val="right"/>
              <w:rPr>
                <w:rFonts w:ascii="Arial" w:hAnsi="Arial" w:cs="Arial"/>
                <w:color w:val="000000"/>
                <w:sz w:val="16"/>
                <w:szCs w:val="16"/>
              </w:rPr>
            </w:pPr>
            <w:r w:rsidRPr="0069084D">
              <w:rPr>
                <w:rFonts w:ascii="Arial" w:hAnsi="Arial" w:cs="Arial"/>
                <w:color w:val="000000"/>
                <w:sz w:val="16"/>
                <w:szCs w:val="16"/>
              </w:rPr>
              <w:t>61,710</w:t>
            </w:r>
          </w:p>
        </w:tc>
        <w:tc>
          <w:tcPr>
            <w:tcW w:w="486" w:type="pct"/>
            <w:tcBorders>
              <w:top w:val="nil"/>
              <w:left w:val="nil"/>
              <w:bottom w:val="nil"/>
              <w:right w:val="nil"/>
            </w:tcBorders>
            <w:shd w:val="clear" w:color="000000" w:fill="FFFFFF"/>
            <w:noWrap/>
            <w:vAlign w:val="center"/>
            <w:hideMark/>
          </w:tcPr>
          <w:p w14:paraId="1CD77831" w14:textId="77777777" w:rsidR="00DC108A" w:rsidRPr="0069084D" w:rsidRDefault="00DC108A" w:rsidP="0069084D">
            <w:pPr>
              <w:spacing w:before="0" w:after="0" w:line="240" w:lineRule="auto"/>
              <w:jc w:val="right"/>
              <w:rPr>
                <w:rFonts w:ascii="Arial" w:hAnsi="Arial" w:cs="Arial"/>
                <w:color w:val="000000"/>
                <w:sz w:val="16"/>
                <w:szCs w:val="16"/>
              </w:rPr>
            </w:pPr>
            <w:r w:rsidRPr="0069084D">
              <w:rPr>
                <w:rFonts w:ascii="Arial" w:hAnsi="Arial" w:cs="Arial"/>
                <w:color w:val="000000"/>
                <w:sz w:val="16"/>
                <w:szCs w:val="16"/>
              </w:rPr>
              <w:t>64,616</w:t>
            </w:r>
          </w:p>
        </w:tc>
        <w:tc>
          <w:tcPr>
            <w:tcW w:w="486" w:type="pct"/>
            <w:tcBorders>
              <w:top w:val="nil"/>
              <w:left w:val="nil"/>
              <w:bottom w:val="nil"/>
              <w:right w:val="nil"/>
            </w:tcBorders>
            <w:shd w:val="clear" w:color="000000" w:fill="FFFFFF"/>
            <w:noWrap/>
            <w:vAlign w:val="center"/>
            <w:hideMark/>
          </w:tcPr>
          <w:p w14:paraId="112AB197" w14:textId="77777777" w:rsidR="00DC108A" w:rsidRPr="0069084D" w:rsidRDefault="00DC108A" w:rsidP="0069084D">
            <w:pPr>
              <w:spacing w:before="0" w:after="0" w:line="240" w:lineRule="auto"/>
              <w:jc w:val="right"/>
              <w:rPr>
                <w:rFonts w:ascii="Arial" w:hAnsi="Arial" w:cs="Arial"/>
                <w:color w:val="000000"/>
                <w:sz w:val="16"/>
                <w:szCs w:val="16"/>
              </w:rPr>
            </w:pPr>
            <w:r w:rsidRPr="0069084D">
              <w:rPr>
                <w:rFonts w:ascii="Arial" w:hAnsi="Arial" w:cs="Arial"/>
                <w:color w:val="000000"/>
                <w:sz w:val="16"/>
                <w:szCs w:val="16"/>
              </w:rPr>
              <w:t>67,446</w:t>
            </w:r>
          </w:p>
        </w:tc>
      </w:tr>
      <w:tr w:rsidR="00DC108A" w:rsidRPr="00DC108A" w14:paraId="6D79156C"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465C2BBD"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National Disability Insurance</w:t>
            </w:r>
          </w:p>
        </w:tc>
        <w:tc>
          <w:tcPr>
            <w:tcW w:w="959" w:type="pct"/>
            <w:tcBorders>
              <w:top w:val="nil"/>
              <w:left w:val="nil"/>
              <w:bottom w:val="nil"/>
              <w:right w:val="nil"/>
            </w:tcBorders>
            <w:shd w:val="clear" w:color="auto" w:fill="auto"/>
            <w:noWrap/>
            <w:vAlign w:val="center"/>
            <w:hideMark/>
          </w:tcPr>
          <w:p w14:paraId="5906BAB7" w14:textId="77777777" w:rsidR="00DC108A" w:rsidRPr="0069084D" w:rsidRDefault="00DC108A" w:rsidP="0069084D">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7235DC23"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174B2CDE"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A0507C2"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E075F69"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2BE4395B"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r>
      <w:tr w:rsidR="00DC108A" w:rsidRPr="00DC108A" w14:paraId="08979B36"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5937C75F" w14:textId="77777777" w:rsidR="00DC108A" w:rsidRPr="0069084D" w:rsidRDefault="00DC108A" w:rsidP="0069084D">
            <w:pPr>
              <w:spacing w:before="0" w:after="0" w:line="240" w:lineRule="auto"/>
              <w:ind w:left="170"/>
              <w:rPr>
                <w:rFonts w:ascii="Arial" w:hAnsi="Arial" w:cs="Arial"/>
                <w:sz w:val="16"/>
                <w:szCs w:val="16"/>
              </w:rPr>
            </w:pPr>
            <w:r w:rsidRPr="0069084D">
              <w:rPr>
                <w:rFonts w:ascii="Arial" w:hAnsi="Arial" w:cs="Arial"/>
                <w:sz w:val="16"/>
                <w:szCs w:val="16"/>
              </w:rPr>
              <w:t>Scheme(b)</w:t>
            </w:r>
          </w:p>
        </w:tc>
        <w:tc>
          <w:tcPr>
            <w:tcW w:w="959" w:type="pct"/>
            <w:tcBorders>
              <w:top w:val="nil"/>
              <w:left w:val="nil"/>
              <w:bottom w:val="nil"/>
              <w:right w:val="nil"/>
            </w:tcBorders>
            <w:shd w:val="clear" w:color="000000" w:fill="FFFFFF"/>
            <w:noWrap/>
            <w:vAlign w:val="center"/>
            <w:hideMark/>
          </w:tcPr>
          <w:p w14:paraId="4BE85A28"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2BD797C9"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35,026</w:t>
            </w:r>
          </w:p>
        </w:tc>
        <w:tc>
          <w:tcPr>
            <w:tcW w:w="486" w:type="pct"/>
            <w:tcBorders>
              <w:top w:val="nil"/>
              <w:left w:val="nil"/>
              <w:bottom w:val="nil"/>
              <w:right w:val="nil"/>
            </w:tcBorders>
            <w:shd w:val="clear" w:color="000000" w:fill="E6F2FF"/>
            <w:noWrap/>
            <w:vAlign w:val="center"/>
            <w:hideMark/>
          </w:tcPr>
          <w:p w14:paraId="08E6B90A"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41,013</w:t>
            </w:r>
          </w:p>
        </w:tc>
        <w:tc>
          <w:tcPr>
            <w:tcW w:w="486" w:type="pct"/>
            <w:tcBorders>
              <w:top w:val="nil"/>
              <w:left w:val="nil"/>
              <w:bottom w:val="nil"/>
              <w:right w:val="nil"/>
            </w:tcBorders>
            <w:shd w:val="clear" w:color="000000" w:fill="FFFFFF"/>
            <w:noWrap/>
            <w:vAlign w:val="center"/>
            <w:hideMark/>
          </w:tcPr>
          <w:p w14:paraId="16555EE5"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46,083</w:t>
            </w:r>
          </w:p>
        </w:tc>
        <w:tc>
          <w:tcPr>
            <w:tcW w:w="486" w:type="pct"/>
            <w:tcBorders>
              <w:top w:val="nil"/>
              <w:left w:val="nil"/>
              <w:bottom w:val="nil"/>
              <w:right w:val="nil"/>
            </w:tcBorders>
            <w:shd w:val="clear" w:color="000000" w:fill="FFFFFF"/>
            <w:noWrap/>
            <w:vAlign w:val="center"/>
            <w:hideMark/>
          </w:tcPr>
          <w:p w14:paraId="64263BC0"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51,102</w:t>
            </w:r>
          </w:p>
        </w:tc>
        <w:tc>
          <w:tcPr>
            <w:tcW w:w="486" w:type="pct"/>
            <w:tcBorders>
              <w:top w:val="nil"/>
              <w:left w:val="nil"/>
              <w:bottom w:val="nil"/>
              <w:right w:val="nil"/>
            </w:tcBorders>
            <w:shd w:val="clear" w:color="000000" w:fill="FFFFFF"/>
            <w:noWrap/>
            <w:vAlign w:val="center"/>
            <w:hideMark/>
          </w:tcPr>
          <w:p w14:paraId="29CF164F"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55,126</w:t>
            </w:r>
          </w:p>
        </w:tc>
      </w:tr>
      <w:tr w:rsidR="00DC108A" w:rsidRPr="00DC108A" w14:paraId="57B57C9E"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3B2A172C"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Aged Care Services</w:t>
            </w:r>
          </w:p>
        </w:tc>
        <w:tc>
          <w:tcPr>
            <w:tcW w:w="959" w:type="pct"/>
            <w:tcBorders>
              <w:top w:val="nil"/>
              <w:left w:val="nil"/>
              <w:bottom w:val="nil"/>
              <w:right w:val="nil"/>
            </w:tcBorders>
            <w:shd w:val="clear" w:color="000000" w:fill="FFFFFF"/>
            <w:noWrap/>
            <w:vAlign w:val="center"/>
            <w:hideMark/>
          </w:tcPr>
          <w:p w14:paraId="58C7C16F"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02549FFC"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25,770</w:t>
            </w:r>
          </w:p>
        </w:tc>
        <w:tc>
          <w:tcPr>
            <w:tcW w:w="486" w:type="pct"/>
            <w:tcBorders>
              <w:top w:val="nil"/>
              <w:left w:val="nil"/>
              <w:bottom w:val="nil"/>
              <w:right w:val="nil"/>
            </w:tcBorders>
            <w:shd w:val="clear" w:color="000000" w:fill="E6F2FF"/>
            <w:noWrap/>
            <w:vAlign w:val="center"/>
            <w:hideMark/>
          </w:tcPr>
          <w:p w14:paraId="038A462A"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31,778</w:t>
            </w:r>
          </w:p>
        </w:tc>
        <w:tc>
          <w:tcPr>
            <w:tcW w:w="486" w:type="pct"/>
            <w:tcBorders>
              <w:top w:val="nil"/>
              <w:left w:val="nil"/>
              <w:bottom w:val="nil"/>
              <w:right w:val="nil"/>
            </w:tcBorders>
            <w:shd w:val="clear" w:color="000000" w:fill="FFFFFF"/>
            <w:noWrap/>
            <w:vAlign w:val="center"/>
            <w:hideMark/>
          </w:tcPr>
          <w:p w14:paraId="6AB274E7"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35,863</w:t>
            </w:r>
          </w:p>
        </w:tc>
        <w:tc>
          <w:tcPr>
            <w:tcW w:w="486" w:type="pct"/>
            <w:tcBorders>
              <w:top w:val="nil"/>
              <w:left w:val="nil"/>
              <w:bottom w:val="nil"/>
              <w:right w:val="nil"/>
            </w:tcBorders>
            <w:shd w:val="clear" w:color="000000" w:fill="FFFFFF"/>
            <w:noWrap/>
            <w:vAlign w:val="center"/>
            <w:hideMark/>
          </w:tcPr>
          <w:p w14:paraId="5B3BA2DD"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37,955</w:t>
            </w:r>
          </w:p>
        </w:tc>
        <w:tc>
          <w:tcPr>
            <w:tcW w:w="486" w:type="pct"/>
            <w:tcBorders>
              <w:top w:val="nil"/>
              <w:left w:val="nil"/>
              <w:bottom w:val="nil"/>
              <w:right w:val="nil"/>
            </w:tcBorders>
            <w:shd w:val="clear" w:color="000000" w:fill="FFFFFF"/>
            <w:noWrap/>
            <w:vAlign w:val="center"/>
            <w:hideMark/>
          </w:tcPr>
          <w:p w14:paraId="19E3EADA"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39,822</w:t>
            </w:r>
          </w:p>
        </w:tc>
      </w:tr>
      <w:tr w:rsidR="00DC108A" w:rsidRPr="00DC108A" w14:paraId="0FD48331"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687AA7EA"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Medical Benefits</w:t>
            </w:r>
          </w:p>
        </w:tc>
        <w:tc>
          <w:tcPr>
            <w:tcW w:w="959" w:type="pct"/>
            <w:tcBorders>
              <w:top w:val="nil"/>
              <w:left w:val="nil"/>
              <w:bottom w:val="nil"/>
              <w:right w:val="nil"/>
            </w:tcBorders>
            <w:shd w:val="clear" w:color="000000" w:fill="FFFFFF"/>
            <w:noWrap/>
            <w:vAlign w:val="center"/>
            <w:hideMark/>
          </w:tcPr>
          <w:p w14:paraId="4488B923"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Health</w:t>
            </w:r>
          </w:p>
        </w:tc>
        <w:tc>
          <w:tcPr>
            <w:tcW w:w="486" w:type="pct"/>
            <w:tcBorders>
              <w:top w:val="nil"/>
              <w:left w:val="nil"/>
              <w:bottom w:val="nil"/>
              <w:right w:val="nil"/>
            </w:tcBorders>
            <w:shd w:val="clear" w:color="000000" w:fill="FFFFFF"/>
            <w:noWrap/>
            <w:vAlign w:val="center"/>
            <w:hideMark/>
          </w:tcPr>
          <w:p w14:paraId="4C335A97"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28,213</w:t>
            </w:r>
          </w:p>
        </w:tc>
        <w:tc>
          <w:tcPr>
            <w:tcW w:w="486" w:type="pct"/>
            <w:tcBorders>
              <w:top w:val="nil"/>
              <w:left w:val="nil"/>
              <w:bottom w:val="nil"/>
              <w:right w:val="nil"/>
            </w:tcBorders>
            <w:shd w:val="clear" w:color="000000" w:fill="E6F2FF"/>
            <w:noWrap/>
            <w:vAlign w:val="center"/>
            <w:hideMark/>
          </w:tcPr>
          <w:p w14:paraId="69273BC1"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30,368</w:t>
            </w:r>
          </w:p>
        </w:tc>
        <w:tc>
          <w:tcPr>
            <w:tcW w:w="486" w:type="pct"/>
            <w:tcBorders>
              <w:top w:val="nil"/>
              <w:left w:val="nil"/>
              <w:bottom w:val="nil"/>
              <w:right w:val="nil"/>
            </w:tcBorders>
            <w:shd w:val="clear" w:color="000000" w:fill="FFFFFF"/>
            <w:noWrap/>
            <w:vAlign w:val="center"/>
            <w:hideMark/>
          </w:tcPr>
          <w:p w14:paraId="212C405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32,219</w:t>
            </w:r>
          </w:p>
        </w:tc>
        <w:tc>
          <w:tcPr>
            <w:tcW w:w="486" w:type="pct"/>
            <w:tcBorders>
              <w:top w:val="nil"/>
              <w:left w:val="nil"/>
              <w:bottom w:val="nil"/>
              <w:right w:val="nil"/>
            </w:tcBorders>
            <w:shd w:val="clear" w:color="000000" w:fill="FFFFFF"/>
            <w:noWrap/>
            <w:vAlign w:val="center"/>
            <w:hideMark/>
          </w:tcPr>
          <w:p w14:paraId="39AD32A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34,108</w:t>
            </w:r>
          </w:p>
        </w:tc>
        <w:tc>
          <w:tcPr>
            <w:tcW w:w="486" w:type="pct"/>
            <w:tcBorders>
              <w:top w:val="nil"/>
              <w:left w:val="nil"/>
              <w:bottom w:val="nil"/>
              <w:right w:val="nil"/>
            </w:tcBorders>
            <w:shd w:val="clear" w:color="000000" w:fill="FFFFFF"/>
            <w:noWrap/>
            <w:vAlign w:val="center"/>
            <w:hideMark/>
          </w:tcPr>
          <w:p w14:paraId="447D23D5"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35,970</w:t>
            </w:r>
          </w:p>
        </w:tc>
      </w:tr>
      <w:tr w:rsidR="00DC108A" w:rsidRPr="00DC108A" w14:paraId="03547637"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66B995FC"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Assistance to the States for</w:t>
            </w:r>
          </w:p>
        </w:tc>
        <w:tc>
          <w:tcPr>
            <w:tcW w:w="959" w:type="pct"/>
            <w:tcBorders>
              <w:top w:val="nil"/>
              <w:left w:val="nil"/>
              <w:bottom w:val="nil"/>
              <w:right w:val="nil"/>
            </w:tcBorders>
            <w:shd w:val="clear" w:color="auto" w:fill="auto"/>
            <w:noWrap/>
            <w:vAlign w:val="center"/>
            <w:hideMark/>
          </w:tcPr>
          <w:p w14:paraId="78BBE4AC" w14:textId="77777777" w:rsidR="00DC108A" w:rsidRPr="0069084D" w:rsidRDefault="00DC108A" w:rsidP="0069084D">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5B408B8D"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56367DCF" w14:textId="77777777" w:rsidR="00DC108A" w:rsidRPr="0069084D" w:rsidRDefault="00DC108A" w:rsidP="0069084D">
            <w:pPr>
              <w:spacing w:before="0" w:after="0" w:line="240" w:lineRule="auto"/>
              <w:rPr>
                <w:rFonts w:ascii="Arial" w:hAnsi="Arial" w:cs="Arial"/>
                <w:color w:val="FF0000"/>
                <w:sz w:val="16"/>
                <w:szCs w:val="16"/>
              </w:rPr>
            </w:pPr>
            <w:r w:rsidRPr="0069084D">
              <w:rPr>
                <w:rFonts w:ascii="Arial" w:hAnsi="Arial" w:cs="Arial"/>
                <w:color w:val="FF0000"/>
                <w:sz w:val="16"/>
                <w:szCs w:val="16"/>
              </w:rPr>
              <w:t> </w:t>
            </w:r>
          </w:p>
        </w:tc>
        <w:tc>
          <w:tcPr>
            <w:tcW w:w="486" w:type="pct"/>
            <w:tcBorders>
              <w:top w:val="nil"/>
              <w:left w:val="nil"/>
              <w:bottom w:val="nil"/>
              <w:right w:val="nil"/>
            </w:tcBorders>
            <w:shd w:val="clear" w:color="000000" w:fill="FFFFFF"/>
            <w:noWrap/>
            <w:vAlign w:val="center"/>
            <w:hideMark/>
          </w:tcPr>
          <w:p w14:paraId="03854306" w14:textId="77777777" w:rsidR="00DC108A" w:rsidRPr="0069084D" w:rsidRDefault="00DC108A" w:rsidP="0069084D">
            <w:pPr>
              <w:spacing w:before="0" w:after="0" w:line="240" w:lineRule="auto"/>
              <w:rPr>
                <w:rFonts w:ascii="Arial" w:hAnsi="Arial" w:cs="Arial"/>
                <w:color w:val="FF0000"/>
                <w:sz w:val="16"/>
                <w:szCs w:val="16"/>
              </w:rPr>
            </w:pPr>
            <w:r w:rsidRPr="0069084D">
              <w:rPr>
                <w:rFonts w:ascii="Arial" w:hAnsi="Arial" w:cs="Arial"/>
                <w:color w:val="FF0000"/>
                <w:sz w:val="16"/>
                <w:szCs w:val="16"/>
              </w:rPr>
              <w:t> </w:t>
            </w:r>
          </w:p>
        </w:tc>
        <w:tc>
          <w:tcPr>
            <w:tcW w:w="486" w:type="pct"/>
            <w:tcBorders>
              <w:top w:val="nil"/>
              <w:left w:val="nil"/>
              <w:bottom w:val="nil"/>
              <w:right w:val="nil"/>
            </w:tcBorders>
            <w:shd w:val="clear" w:color="000000" w:fill="FFFFFF"/>
            <w:noWrap/>
            <w:vAlign w:val="center"/>
            <w:hideMark/>
          </w:tcPr>
          <w:p w14:paraId="2A68E1F9" w14:textId="77777777" w:rsidR="00DC108A" w:rsidRPr="0069084D" w:rsidRDefault="00DC108A" w:rsidP="0069084D">
            <w:pPr>
              <w:spacing w:before="0" w:after="0" w:line="240" w:lineRule="auto"/>
              <w:rPr>
                <w:rFonts w:ascii="Arial" w:hAnsi="Arial" w:cs="Arial"/>
                <w:color w:val="FF0000"/>
                <w:sz w:val="16"/>
                <w:szCs w:val="16"/>
              </w:rPr>
            </w:pPr>
            <w:r w:rsidRPr="0069084D">
              <w:rPr>
                <w:rFonts w:ascii="Arial" w:hAnsi="Arial" w:cs="Arial"/>
                <w:color w:val="FF0000"/>
                <w:sz w:val="16"/>
                <w:szCs w:val="16"/>
              </w:rPr>
              <w:t> </w:t>
            </w:r>
          </w:p>
        </w:tc>
        <w:tc>
          <w:tcPr>
            <w:tcW w:w="486" w:type="pct"/>
            <w:tcBorders>
              <w:top w:val="nil"/>
              <w:left w:val="nil"/>
              <w:bottom w:val="nil"/>
              <w:right w:val="nil"/>
            </w:tcBorders>
            <w:shd w:val="clear" w:color="000000" w:fill="FFFFFF"/>
            <w:noWrap/>
            <w:vAlign w:val="center"/>
            <w:hideMark/>
          </w:tcPr>
          <w:p w14:paraId="14B1C80E" w14:textId="77777777" w:rsidR="00DC108A" w:rsidRPr="0069084D" w:rsidRDefault="00DC108A" w:rsidP="0069084D">
            <w:pPr>
              <w:spacing w:before="0" w:after="0" w:line="240" w:lineRule="auto"/>
              <w:rPr>
                <w:rFonts w:ascii="Arial" w:hAnsi="Arial" w:cs="Arial"/>
                <w:color w:val="FF0000"/>
                <w:sz w:val="16"/>
                <w:szCs w:val="16"/>
              </w:rPr>
            </w:pPr>
            <w:r w:rsidRPr="0069084D">
              <w:rPr>
                <w:rFonts w:ascii="Arial" w:hAnsi="Arial" w:cs="Arial"/>
                <w:color w:val="FF0000"/>
                <w:sz w:val="16"/>
                <w:szCs w:val="16"/>
              </w:rPr>
              <w:t> </w:t>
            </w:r>
          </w:p>
        </w:tc>
      </w:tr>
      <w:tr w:rsidR="00DC108A" w:rsidRPr="00DC108A" w14:paraId="292F8EE5"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5A47C723" w14:textId="77777777" w:rsidR="00DC108A" w:rsidRPr="0069084D" w:rsidRDefault="00DC108A" w:rsidP="0069084D">
            <w:pPr>
              <w:spacing w:before="0" w:after="0" w:line="240" w:lineRule="auto"/>
              <w:ind w:left="170"/>
              <w:rPr>
                <w:rFonts w:ascii="Arial" w:hAnsi="Arial" w:cs="Arial"/>
                <w:sz w:val="16"/>
                <w:szCs w:val="16"/>
              </w:rPr>
            </w:pPr>
            <w:r w:rsidRPr="0069084D">
              <w:rPr>
                <w:rFonts w:ascii="Arial" w:hAnsi="Arial" w:cs="Arial"/>
                <w:sz w:val="16"/>
                <w:szCs w:val="16"/>
              </w:rPr>
              <w:t>Healthcare Services</w:t>
            </w:r>
          </w:p>
        </w:tc>
        <w:tc>
          <w:tcPr>
            <w:tcW w:w="959" w:type="pct"/>
            <w:tcBorders>
              <w:top w:val="nil"/>
              <w:left w:val="nil"/>
              <w:bottom w:val="nil"/>
              <w:right w:val="nil"/>
            </w:tcBorders>
            <w:shd w:val="clear" w:color="000000" w:fill="FFFFFF"/>
            <w:noWrap/>
            <w:vAlign w:val="center"/>
            <w:hideMark/>
          </w:tcPr>
          <w:p w14:paraId="0EAF7B89"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Health</w:t>
            </w:r>
          </w:p>
        </w:tc>
        <w:tc>
          <w:tcPr>
            <w:tcW w:w="486" w:type="pct"/>
            <w:tcBorders>
              <w:top w:val="nil"/>
              <w:left w:val="nil"/>
              <w:bottom w:val="nil"/>
              <w:right w:val="nil"/>
            </w:tcBorders>
            <w:shd w:val="clear" w:color="000000" w:fill="FFFFFF"/>
            <w:noWrap/>
            <w:vAlign w:val="center"/>
            <w:hideMark/>
          </w:tcPr>
          <w:p w14:paraId="7D22FDE0"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25,661</w:t>
            </w:r>
          </w:p>
        </w:tc>
        <w:tc>
          <w:tcPr>
            <w:tcW w:w="486" w:type="pct"/>
            <w:tcBorders>
              <w:top w:val="nil"/>
              <w:left w:val="nil"/>
              <w:bottom w:val="nil"/>
              <w:right w:val="nil"/>
            </w:tcBorders>
            <w:shd w:val="clear" w:color="000000" w:fill="E6F2FF"/>
            <w:noWrap/>
            <w:vAlign w:val="center"/>
            <w:hideMark/>
          </w:tcPr>
          <w:p w14:paraId="427262AD"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28,392</w:t>
            </w:r>
          </w:p>
        </w:tc>
        <w:tc>
          <w:tcPr>
            <w:tcW w:w="486" w:type="pct"/>
            <w:tcBorders>
              <w:top w:val="nil"/>
              <w:left w:val="nil"/>
              <w:bottom w:val="nil"/>
              <w:right w:val="nil"/>
            </w:tcBorders>
            <w:shd w:val="clear" w:color="000000" w:fill="FFFFFF"/>
            <w:noWrap/>
            <w:vAlign w:val="center"/>
            <w:hideMark/>
          </w:tcPr>
          <w:p w14:paraId="39405AB1"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30,456</w:t>
            </w:r>
          </w:p>
        </w:tc>
        <w:tc>
          <w:tcPr>
            <w:tcW w:w="486" w:type="pct"/>
            <w:tcBorders>
              <w:top w:val="nil"/>
              <w:left w:val="nil"/>
              <w:bottom w:val="nil"/>
              <w:right w:val="nil"/>
            </w:tcBorders>
            <w:shd w:val="clear" w:color="000000" w:fill="FFFFFF"/>
            <w:noWrap/>
            <w:vAlign w:val="center"/>
            <w:hideMark/>
          </w:tcPr>
          <w:p w14:paraId="74E41BF4"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32,215</w:t>
            </w:r>
          </w:p>
        </w:tc>
        <w:tc>
          <w:tcPr>
            <w:tcW w:w="486" w:type="pct"/>
            <w:tcBorders>
              <w:top w:val="nil"/>
              <w:left w:val="nil"/>
              <w:bottom w:val="nil"/>
              <w:right w:val="nil"/>
            </w:tcBorders>
            <w:shd w:val="clear" w:color="000000" w:fill="FFFFFF"/>
            <w:noWrap/>
            <w:vAlign w:val="center"/>
            <w:hideMark/>
          </w:tcPr>
          <w:p w14:paraId="6E114FCE"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34,296</w:t>
            </w:r>
          </w:p>
        </w:tc>
      </w:tr>
      <w:tr w:rsidR="00DC108A" w:rsidRPr="00DC108A" w14:paraId="3F7A0621"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2089A0D0"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Financial Support for People</w:t>
            </w:r>
          </w:p>
        </w:tc>
        <w:tc>
          <w:tcPr>
            <w:tcW w:w="959" w:type="pct"/>
            <w:tcBorders>
              <w:top w:val="nil"/>
              <w:left w:val="nil"/>
              <w:bottom w:val="nil"/>
              <w:right w:val="nil"/>
            </w:tcBorders>
            <w:shd w:val="clear" w:color="auto" w:fill="auto"/>
            <w:noWrap/>
            <w:vAlign w:val="center"/>
            <w:hideMark/>
          </w:tcPr>
          <w:p w14:paraId="5AEB1930" w14:textId="77777777" w:rsidR="00DC108A" w:rsidRPr="0069084D" w:rsidRDefault="00DC108A" w:rsidP="0069084D">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0832272C"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07158992"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04B5D8F"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465127A4"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26A9F9D"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r>
      <w:tr w:rsidR="00DC108A" w:rsidRPr="00DC108A" w14:paraId="42DD1E22"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4749ED64" w14:textId="77777777" w:rsidR="00DC108A" w:rsidRPr="0069084D" w:rsidRDefault="00DC108A" w:rsidP="0069084D">
            <w:pPr>
              <w:spacing w:before="0" w:after="0" w:line="240" w:lineRule="auto"/>
              <w:ind w:left="170"/>
              <w:rPr>
                <w:rFonts w:ascii="Arial" w:hAnsi="Arial" w:cs="Arial"/>
                <w:sz w:val="16"/>
                <w:szCs w:val="16"/>
              </w:rPr>
            </w:pPr>
            <w:r w:rsidRPr="0069084D">
              <w:rPr>
                <w:rFonts w:ascii="Arial" w:hAnsi="Arial" w:cs="Arial"/>
                <w:sz w:val="16"/>
                <w:szCs w:val="16"/>
              </w:rPr>
              <w:t>with Disability</w:t>
            </w:r>
          </w:p>
        </w:tc>
        <w:tc>
          <w:tcPr>
            <w:tcW w:w="959" w:type="pct"/>
            <w:tcBorders>
              <w:top w:val="nil"/>
              <w:left w:val="nil"/>
              <w:bottom w:val="nil"/>
              <w:right w:val="nil"/>
            </w:tcBorders>
            <w:shd w:val="clear" w:color="000000" w:fill="FFFFFF"/>
            <w:noWrap/>
            <w:vAlign w:val="center"/>
            <w:hideMark/>
          </w:tcPr>
          <w:p w14:paraId="7A24E127"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73DE8E79"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19,468</w:t>
            </w:r>
          </w:p>
        </w:tc>
        <w:tc>
          <w:tcPr>
            <w:tcW w:w="486" w:type="pct"/>
            <w:tcBorders>
              <w:top w:val="nil"/>
              <w:left w:val="nil"/>
              <w:bottom w:val="nil"/>
              <w:right w:val="nil"/>
            </w:tcBorders>
            <w:shd w:val="clear" w:color="000000" w:fill="E6F2FF"/>
            <w:noWrap/>
            <w:vAlign w:val="center"/>
            <w:hideMark/>
          </w:tcPr>
          <w:p w14:paraId="3C0CBB2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20,994</w:t>
            </w:r>
          </w:p>
        </w:tc>
        <w:tc>
          <w:tcPr>
            <w:tcW w:w="486" w:type="pct"/>
            <w:tcBorders>
              <w:top w:val="nil"/>
              <w:left w:val="nil"/>
              <w:bottom w:val="nil"/>
              <w:right w:val="nil"/>
            </w:tcBorders>
            <w:shd w:val="clear" w:color="000000" w:fill="FFFFFF"/>
            <w:noWrap/>
            <w:vAlign w:val="center"/>
            <w:hideMark/>
          </w:tcPr>
          <w:p w14:paraId="4F74C97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21,878</w:t>
            </w:r>
          </w:p>
        </w:tc>
        <w:tc>
          <w:tcPr>
            <w:tcW w:w="486" w:type="pct"/>
            <w:tcBorders>
              <w:top w:val="nil"/>
              <w:left w:val="nil"/>
              <w:bottom w:val="nil"/>
              <w:right w:val="nil"/>
            </w:tcBorders>
            <w:shd w:val="clear" w:color="000000" w:fill="FFFFFF"/>
            <w:noWrap/>
            <w:vAlign w:val="center"/>
            <w:hideMark/>
          </w:tcPr>
          <w:p w14:paraId="4E61D590"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22,692</w:t>
            </w:r>
          </w:p>
        </w:tc>
        <w:tc>
          <w:tcPr>
            <w:tcW w:w="486" w:type="pct"/>
            <w:tcBorders>
              <w:top w:val="nil"/>
              <w:left w:val="nil"/>
              <w:bottom w:val="nil"/>
              <w:right w:val="nil"/>
            </w:tcBorders>
            <w:shd w:val="clear" w:color="000000" w:fill="FFFFFF"/>
            <w:noWrap/>
            <w:vAlign w:val="center"/>
            <w:hideMark/>
          </w:tcPr>
          <w:p w14:paraId="1A4ACE6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23,127</w:t>
            </w:r>
          </w:p>
        </w:tc>
      </w:tr>
      <w:tr w:rsidR="00DC108A" w:rsidRPr="00DC108A" w14:paraId="7BFBA609"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37D9DA97"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Commonwealth Debt</w:t>
            </w:r>
          </w:p>
        </w:tc>
        <w:tc>
          <w:tcPr>
            <w:tcW w:w="959" w:type="pct"/>
            <w:tcBorders>
              <w:top w:val="nil"/>
              <w:left w:val="nil"/>
              <w:bottom w:val="nil"/>
              <w:right w:val="nil"/>
            </w:tcBorders>
            <w:shd w:val="clear" w:color="auto" w:fill="auto"/>
            <w:noWrap/>
            <w:vAlign w:val="center"/>
            <w:hideMark/>
          </w:tcPr>
          <w:p w14:paraId="3BA39D56" w14:textId="77777777" w:rsidR="00DC108A" w:rsidRPr="0069084D" w:rsidRDefault="00DC108A" w:rsidP="0069084D">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0ED7B4DA"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0441C30D"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9E47182"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7BE3735F"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5FCDF9F9"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 </w:t>
            </w:r>
          </w:p>
        </w:tc>
      </w:tr>
      <w:tr w:rsidR="00DC108A" w:rsidRPr="00DC108A" w14:paraId="33934215"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001DACA5" w14:textId="77777777" w:rsidR="00DC108A" w:rsidRPr="0069084D" w:rsidRDefault="00DC108A" w:rsidP="0069084D">
            <w:pPr>
              <w:spacing w:before="0" w:after="0" w:line="240" w:lineRule="auto"/>
              <w:ind w:left="170"/>
              <w:rPr>
                <w:rFonts w:ascii="Arial" w:hAnsi="Arial" w:cs="Arial"/>
                <w:sz w:val="16"/>
                <w:szCs w:val="16"/>
              </w:rPr>
            </w:pPr>
            <w:r w:rsidRPr="0069084D">
              <w:rPr>
                <w:rFonts w:ascii="Arial" w:hAnsi="Arial" w:cs="Arial"/>
                <w:sz w:val="16"/>
                <w:szCs w:val="16"/>
              </w:rPr>
              <w:t>Management</w:t>
            </w:r>
          </w:p>
        </w:tc>
        <w:tc>
          <w:tcPr>
            <w:tcW w:w="959" w:type="pct"/>
            <w:tcBorders>
              <w:top w:val="nil"/>
              <w:left w:val="nil"/>
              <w:bottom w:val="nil"/>
              <w:right w:val="nil"/>
            </w:tcBorders>
            <w:shd w:val="clear" w:color="000000" w:fill="FFFFFF"/>
            <w:noWrap/>
            <w:vAlign w:val="center"/>
            <w:hideMark/>
          </w:tcPr>
          <w:p w14:paraId="0D74F5B5"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Other purposes</w:t>
            </w:r>
          </w:p>
        </w:tc>
        <w:tc>
          <w:tcPr>
            <w:tcW w:w="486" w:type="pct"/>
            <w:tcBorders>
              <w:top w:val="nil"/>
              <w:left w:val="nil"/>
              <w:bottom w:val="nil"/>
              <w:right w:val="nil"/>
            </w:tcBorders>
            <w:shd w:val="clear" w:color="000000" w:fill="FFFFFF"/>
            <w:noWrap/>
            <w:vAlign w:val="center"/>
            <w:hideMark/>
          </w:tcPr>
          <w:p w14:paraId="5B02EA55"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17,724</w:t>
            </w:r>
          </w:p>
        </w:tc>
        <w:tc>
          <w:tcPr>
            <w:tcW w:w="486" w:type="pct"/>
            <w:tcBorders>
              <w:top w:val="nil"/>
              <w:left w:val="nil"/>
              <w:bottom w:val="nil"/>
              <w:right w:val="nil"/>
            </w:tcBorders>
            <w:shd w:val="clear" w:color="000000" w:fill="E6F2FF"/>
            <w:noWrap/>
            <w:vAlign w:val="center"/>
            <w:hideMark/>
          </w:tcPr>
          <w:p w14:paraId="19E4B553"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19,799</w:t>
            </w:r>
          </w:p>
        </w:tc>
        <w:tc>
          <w:tcPr>
            <w:tcW w:w="486" w:type="pct"/>
            <w:tcBorders>
              <w:top w:val="nil"/>
              <w:left w:val="nil"/>
              <w:bottom w:val="nil"/>
              <w:right w:val="nil"/>
            </w:tcBorders>
            <w:shd w:val="clear" w:color="000000" w:fill="FFFFFF"/>
            <w:noWrap/>
            <w:vAlign w:val="center"/>
            <w:hideMark/>
          </w:tcPr>
          <w:p w14:paraId="760CF329"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21,241</w:t>
            </w:r>
          </w:p>
        </w:tc>
        <w:tc>
          <w:tcPr>
            <w:tcW w:w="486" w:type="pct"/>
            <w:tcBorders>
              <w:top w:val="nil"/>
              <w:left w:val="nil"/>
              <w:bottom w:val="nil"/>
              <w:right w:val="nil"/>
            </w:tcBorders>
            <w:shd w:val="clear" w:color="000000" w:fill="FFFFFF"/>
            <w:noWrap/>
            <w:vAlign w:val="center"/>
            <w:hideMark/>
          </w:tcPr>
          <w:p w14:paraId="69D96D12"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27,061</w:t>
            </w:r>
          </w:p>
        </w:tc>
        <w:tc>
          <w:tcPr>
            <w:tcW w:w="486" w:type="pct"/>
            <w:tcBorders>
              <w:top w:val="nil"/>
              <w:left w:val="nil"/>
              <w:bottom w:val="nil"/>
              <w:right w:val="nil"/>
            </w:tcBorders>
            <w:shd w:val="clear" w:color="000000" w:fill="FFFFFF"/>
            <w:noWrap/>
            <w:vAlign w:val="center"/>
            <w:hideMark/>
          </w:tcPr>
          <w:p w14:paraId="553A2B12"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25,969</w:t>
            </w:r>
          </w:p>
        </w:tc>
      </w:tr>
      <w:tr w:rsidR="00DC108A" w:rsidRPr="00DC108A" w14:paraId="22292AEF"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335AF2BA"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Support for Families (c)</w:t>
            </w:r>
          </w:p>
        </w:tc>
        <w:tc>
          <w:tcPr>
            <w:tcW w:w="959" w:type="pct"/>
            <w:tcBorders>
              <w:top w:val="nil"/>
              <w:left w:val="nil"/>
              <w:bottom w:val="nil"/>
              <w:right w:val="nil"/>
            </w:tcBorders>
            <w:shd w:val="clear" w:color="000000" w:fill="FFFFFF"/>
            <w:noWrap/>
            <w:vAlign w:val="center"/>
            <w:hideMark/>
          </w:tcPr>
          <w:p w14:paraId="431E8DE8" w14:textId="77777777" w:rsidR="00DC108A" w:rsidRPr="0069084D" w:rsidRDefault="00DC108A" w:rsidP="0069084D">
            <w:pPr>
              <w:spacing w:before="0" w:after="0" w:line="240" w:lineRule="auto"/>
              <w:rPr>
                <w:rFonts w:ascii="Arial" w:hAnsi="Arial" w:cs="Arial"/>
                <w:sz w:val="16"/>
                <w:szCs w:val="16"/>
              </w:rPr>
            </w:pPr>
            <w:r w:rsidRPr="0069084D">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0636C9F0"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w:t>
            </w:r>
          </w:p>
        </w:tc>
        <w:tc>
          <w:tcPr>
            <w:tcW w:w="486" w:type="pct"/>
            <w:tcBorders>
              <w:top w:val="nil"/>
              <w:left w:val="nil"/>
              <w:bottom w:val="nil"/>
              <w:right w:val="nil"/>
            </w:tcBorders>
            <w:shd w:val="clear" w:color="000000" w:fill="E6F2FF"/>
            <w:noWrap/>
            <w:vAlign w:val="center"/>
            <w:hideMark/>
          </w:tcPr>
          <w:p w14:paraId="7EEDA8B1"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18,430</w:t>
            </w:r>
          </w:p>
        </w:tc>
        <w:tc>
          <w:tcPr>
            <w:tcW w:w="486" w:type="pct"/>
            <w:tcBorders>
              <w:top w:val="nil"/>
              <w:left w:val="nil"/>
              <w:bottom w:val="nil"/>
              <w:right w:val="nil"/>
            </w:tcBorders>
            <w:shd w:val="clear" w:color="000000" w:fill="FFFFFF"/>
            <w:noWrap/>
            <w:vAlign w:val="center"/>
            <w:hideMark/>
          </w:tcPr>
          <w:p w14:paraId="7E6D8A74"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19,441</w:t>
            </w:r>
          </w:p>
        </w:tc>
        <w:tc>
          <w:tcPr>
            <w:tcW w:w="486" w:type="pct"/>
            <w:tcBorders>
              <w:top w:val="nil"/>
              <w:left w:val="nil"/>
              <w:bottom w:val="nil"/>
              <w:right w:val="nil"/>
            </w:tcBorders>
            <w:shd w:val="clear" w:color="000000" w:fill="FFFFFF"/>
            <w:noWrap/>
            <w:vAlign w:val="center"/>
            <w:hideMark/>
          </w:tcPr>
          <w:p w14:paraId="4B658398"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20,111</w:t>
            </w:r>
          </w:p>
        </w:tc>
        <w:tc>
          <w:tcPr>
            <w:tcW w:w="486" w:type="pct"/>
            <w:tcBorders>
              <w:top w:val="nil"/>
              <w:left w:val="nil"/>
              <w:bottom w:val="nil"/>
              <w:right w:val="nil"/>
            </w:tcBorders>
            <w:shd w:val="clear" w:color="000000" w:fill="FFFFFF"/>
            <w:noWrap/>
            <w:vAlign w:val="center"/>
            <w:hideMark/>
          </w:tcPr>
          <w:p w14:paraId="10763703" w14:textId="77777777" w:rsidR="00DC108A" w:rsidRPr="0069084D" w:rsidRDefault="00DC108A" w:rsidP="0069084D">
            <w:pPr>
              <w:spacing w:before="0" w:after="0" w:line="240" w:lineRule="auto"/>
              <w:jc w:val="right"/>
              <w:rPr>
                <w:rFonts w:ascii="Arial" w:hAnsi="Arial" w:cs="Arial"/>
                <w:sz w:val="16"/>
                <w:szCs w:val="16"/>
              </w:rPr>
            </w:pPr>
            <w:r w:rsidRPr="0069084D">
              <w:rPr>
                <w:rFonts w:ascii="Arial" w:hAnsi="Arial" w:cs="Arial"/>
                <w:sz w:val="16"/>
                <w:szCs w:val="16"/>
              </w:rPr>
              <w:t>20,567</w:t>
            </w:r>
          </w:p>
        </w:tc>
      </w:tr>
      <w:tr w:rsidR="00DC108A" w:rsidRPr="00DC108A" w14:paraId="3E006D59"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2060D92F" w14:textId="77777777" w:rsidR="00DC108A" w:rsidRPr="00AB6D80" w:rsidRDefault="00DC108A" w:rsidP="00852A8E">
            <w:pPr>
              <w:spacing w:before="0" w:after="0" w:line="240" w:lineRule="auto"/>
              <w:rPr>
                <w:rFonts w:ascii="Arial" w:hAnsi="Arial" w:cs="Arial"/>
                <w:sz w:val="16"/>
                <w:szCs w:val="16"/>
              </w:rPr>
            </w:pPr>
            <w:r w:rsidRPr="00AB6D80">
              <w:rPr>
                <w:rFonts w:ascii="Arial" w:hAnsi="Arial" w:cs="Arial"/>
                <w:sz w:val="16"/>
                <w:szCs w:val="16"/>
              </w:rPr>
              <w:t>Pharmaceutical Benefits</w:t>
            </w:r>
          </w:p>
        </w:tc>
        <w:tc>
          <w:tcPr>
            <w:tcW w:w="959" w:type="pct"/>
            <w:tcBorders>
              <w:top w:val="nil"/>
              <w:left w:val="nil"/>
              <w:bottom w:val="nil"/>
              <w:right w:val="nil"/>
            </w:tcBorders>
            <w:shd w:val="clear" w:color="000000" w:fill="FFFFFF"/>
            <w:noWrap/>
            <w:vAlign w:val="center"/>
            <w:hideMark/>
          </w:tcPr>
          <w:p w14:paraId="3E78A90E" w14:textId="77777777" w:rsidR="00DC108A" w:rsidRPr="00AB6D80" w:rsidRDefault="00DC108A" w:rsidP="00852A8E">
            <w:pPr>
              <w:spacing w:before="0" w:after="0" w:line="240" w:lineRule="auto"/>
              <w:rPr>
                <w:rFonts w:ascii="Arial" w:hAnsi="Arial" w:cs="Arial"/>
                <w:sz w:val="16"/>
                <w:szCs w:val="16"/>
              </w:rPr>
            </w:pPr>
            <w:r w:rsidRPr="00AB6D80">
              <w:rPr>
                <w:rFonts w:ascii="Arial" w:hAnsi="Arial" w:cs="Arial"/>
                <w:sz w:val="16"/>
                <w:szCs w:val="16"/>
              </w:rPr>
              <w:t>Health</w:t>
            </w:r>
          </w:p>
        </w:tc>
        <w:tc>
          <w:tcPr>
            <w:tcW w:w="486" w:type="pct"/>
            <w:tcBorders>
              <w:top w:val="nil"/>
              <w:left w:val="nil"/>
              <w:bottom w:val="nil"/>
              <w:right w:val="nil"/>
            </w:tcBorders>
            <w:shd w:val="clear" w:color="000000" w:fill="FFFFFF"/>
            <w:noWrap/>
            <w:vAlign w:val="center"/>
            <w:hideMark/>
          </w:tcPr>
          <w:p w14:paraId="35FA54C7" w14:textId="77777777" w:rsidR="00DC108A" w:rsidRPr="00AB6D80" w:rsidRDefault="00DC108A" w:rsidP="00852A8E">
            <w:pPr>
              <w:spacing w:before="0" w:after="0" w:line="240" w:lineRule="auto"/>
              <w:jc w:val="right"/>
              <w:rPr>
                <w:rFonts w:ascii="Arial" w:hAnsi="Arial" w:cs="Arial"/>
                <w:sz w:val="16"/>
                <w:szCs w:val="16"/>
              </w:rPr>
            </w:pPr>
            <w:r w:rsidRPr="00AB6D80">
              <w:rPr>
                <w:rFonts w:ascii="Arial" w:hAnsi="Arial" w:cs="Arial"/>
                <w:sz w:val="16"/>
                <w:szCs w:val="16"/>
              </w:rPr>
              <w:t>18,643</w:t>
            </w:r>
          </w:p>
        </w:tc>
        <w:tc>
          <w:tcPr>
            <w:tcW w:w="486" w:type="pct"/>
            <w:tcBorders>
              <w:top w:val="nil"/>
              <w:left w:val="nil"/>
              <w:bottom w:val="nil"/>
              <w:right w:val="nil"/>
            </w:tcBorders>
            <w:shd w:val="clear" w:color="000000" w:fill="E6F2FF"/>
            <w:noWrap/>
            <w:vAlign w:val="center"/>
            <w:hideMark/>
          </w:tcPr>
          <w:p w14:paraId="5F933633" w14:textId="77777777" w:rsidR="00DC108A" w:rsidRPr="00AB6D80" w:rsidRDefault="00DC108A" w:rsidP="00852A8E">
            <w:pPr>
              <w:spacing w:before="0" w:after="0" w:line="240" w:lineRule="auto"/>
              <w:jc w:val="right"/>
              <w:rPr>
                <w:rFonts w:ascii="Arial" w:hAnsi="Arial" w:cs="Arial"/>
                <w:sz w:val="16"/>
                <w:szCs w:val="16"/>
              </w:rPr>
            </w:pPr>
            <w:r w:rsidRPr="00AB6D80">
              <w:rPr>
                <w:rFonts w:ascii="Arial" w:hAnsi="Arial" w:cs="Arial"/>
                <w:sz w:val="16"/>
                <w:szCs w:val="16"/>
              </w:rPr>
              <w:t>18,227</w:t>
            </w:r>
          </w:p>
        </w:tc>
        <w:tc>
          <w:tcPr>
            <w:tcW w:w="486" w:type="pct"/>
            <w:tcBorders>
              <w:top w:val="nil"/>
              <w:left w:val="nil"/>
              <w:bottom w:val="nil"/>
              <w:right w:val="nil"/>
            </w:tcBorders>
            <w:shd w:val="clear" w:color="000000" w:fill="FFFFFF"/>
            <w:noWrap/>
            <w:vAlign w:val="center"/>
            <w:hideMark/>
          </w:tcPr>
          <w:p w14:paraId="2D932F8D" w14:textId="77777777" w:rsidR="00DC108A" w:rsidRPr="00AB6D80" w:rsidRDefault="00DC108A" w:rsidP="00852A8E">
            <w:pPr>
              <w:spacing w:before="0" w:after="0" w:line="240" w:lineRule="auto"/>
              <w:jc w:val="right"/>
              <w:rPr>
                <w:rFonts w:ascii="Arial" w:hAnsi="Arial" w:cs="Arial"/>
                <w:sz w:val="16"/>
                <w:szCs w:val="16"/>
              </w:rPr>
            </w:pPr>
            <w:r w:rsidRPr="00AB6D80">
              <w:rPr>
                <w:rFonts w:ascii="Arial" w:hAnsi="Arial" w:cs="Arial"/>
                <w:sz w:val="16"/>
                <w:szCs w:val="16"/>
              </w:rPr>
              <w:t>18,118</w:t>
            </w:r>
          </w:p>
        </w:tc>
        <w:tc>
          <w:tcPr>
            <w:tcW w:w="486" w:type="pct"/>
            <w:tcBorders>
              <w:top w:val="nil"/>
              <w:left w:val="nil"/>
              <w:bottom w:val="nil"/>
              <w:right w:val="nil"/>
            </w:tcBorders>
            <w:shd w:val="clear" w:color="000000" w:fill="FFFFFF"/>
            <w:noWrap/>
            <w:vAlign w:val="center"/>
            <w:hideMark/>
          </w:tcPr>
          <w:p w14:paraId="0293F2B8" w14:textId="77777777" w:rsidR="00DC108A" w:rsidRPr="00AB6D80" w:rsidRDefault="00DC108A" w:rsidP="00852A8E">
            <w:pPr>
              <w:spacing w:before="0" w:after="0" w:line="240" w:lineRule="auto"/>
              <w:jc w:val="right"/>
              <w:rPr>
                <w:rFonts w:ascii="Arial" w:hAnsi="Arial" w:cs="Arial"/>
                <w:sz w:val="16"/>
                <w:szCs w:val="16"/>
              </w:rPr>
            </w:pPr>
            <w:r w:rsidRPr="00AB6D80">
              <w:rPr>
                <w:rFonts w:ascii="Arial" w:hAnsi="Arial" w:cs="Arial"/>
                <w:sz w:val="16"/>
                <w:szCs w:val="16"/>
              </w:rPr>
              <w:t>18,296</w:t>
            </w:r>
          </w:p>
        </w:tc>
        <w:tc>
          <w:tcPr>
            <w:tcW w:w="486" w:type="pct"/>
            <w:tcBorders>
              <w:top w:val="nil"/>
              <w:left w:val="nil"/>
              <w:bottom w:val="nil"/>
              <w:right w:val="nil"/>
            </w:tcBorders>
            <w:shd w:val="clear" w:color="000000" w:fill="FFFFFF"/>
            <w:noWrap/>
            <w:vAlign w:val="center"/>
            <w:hideMark/>
          </w:tcPr>
          <w:p w14:paraId="00D31CB1" w14:textId="77777777" w:rsidR="00DC108A" w:rsidRPr="00AB6D80" w:rsidRDefault="00DC108A" w:rsidP="00852A8E">
            <w:pPr>
              <w:spacing w:before="0" w:after="0" w:line="240" w:lineRule="auto"/>
              <w:jc w:val="right"/>
              <w:rPr>
                <w:rFonts w:ascii="Arial" w:hAnsi="Arial" w:cs="Arial"/>
                <w:sz w:val="16"/>
                <w:szCs w:val="16"/>
              </w:rPr>
            </w:pPr>
            <w:r w:rsidRPr="00AB6D80">
              <w:rPr>
                <w:rFonts w:ascii="Arial" w:hAnsi="Arial" w:cs="Arial"/>
                <w:sz w:val="16"/>
                <w:szCs w:val="16"/>
              </w:rPr>
              <w:t>18,312</w:t>
            </w:r>
          </w:p>
        </w:tc>
      </w:tr>
      <w:tr w:rsidR="00DC108A" w:rsidRPr="00DC108A" w14:paraId="1AA10116"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316FBEE7"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Non-Government Schools</w:t>
            </w:r>
          </w:p>
        </w:tc>
        <w:tc>
          <w:tcPr>
            <w:tcW w:w="959" w:type="pct"/>
            <w:tcBorders>
              <w:top w:val="nil"/>
              <w:left w:val="nil"/>
              <w:bottom w:val="nil"/>
              <w:right w:val="nil"/>
            </w:tcBorders>
            <w:shd w:val="clear" w:color="auto" w:fill="auto"/>
            <w:noWrap/>
            <w:vAlign w:val="center"/>
            <w:hideMark/>
          </w:tcPr>
          <w:p w14:paraId="26FB66E8" w14:textId="77777777" w:rsidR="00DC108A" w:rsidRPr="00852A8E" w:rsidRDefault="00DC108A" w:rsidP="00852A8E">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15A79498"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58FC5B8A"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6450B28B"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06DE708A"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E902325"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r>
      <w:tr w:rsidR="00DC108A" w:rsidRPr="00DC108A" w14:paraId="1E887519"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2DB356C6" w14:textId="77777777" w:rsidR="00DC108A" w:rsidRPr="00852A8E" w:rsidRDefault="00DC108A" w:rsidP="00852A8E">
            <w:pPr>
              <w:spacing w:before="0" w:after="0" w:line="240" w:lineRule="auto"/>
              <w:ind w:left="170"/>
              <w:rPr>
                <w:rFonts w:ascii="Arial" w:hAnsi="Arial" w:cs="Arial"/>
                <w:sz w:val="16"/>
                <w:szCs w:val="16"/>
              </w:rPr>
            </w:pPr>
            <w:r w:rsidRPr="00852A8E">
              <w:rPr>
                <w:rFonts w:ascii="Arial" w:hAnsi="Arial" w:cs="Arial"/>
                <w:sz w:val="16"/>
                <w:szCs w:val="16"/>
              </w:rPr>
              <w:t>National Support</w:t>
            </w:r>
          </w:p>
        </w:tc>
        <w:tc>
          <w:tcPr>
            <w:tcW w:w="959" w:type="pct"/>
            <w:tcBorders>
              <w:top w:val="nil"/>
              <w:left w:val="nil"/>
              <w:bottom w:val="nil"/>
              <w:right w:val="nil"/>
            </w:tcBorders>
            <w:shd w:val="clear" w:color="000000" w:fill="FFFFFF"/>
            <w:noWrap/>
            <w:vAlign w:val="center"/>
            <w:hideMark/>
          </w:tcPr>
          <w:p w14:paraId="5414C318"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Education</w:t>
            </w:r>
          </w:p>
        </w:tc>
        <w:tc>
          <w:tcPr>
            <w:tcW w:w="486" w:type="pct"/>
            <w:tcBorders>
              <w:top w:val="nil"/>
              <w:left w:val="nil"/>
              <w:bottom w:val="nil"/>
              <w:right w:val="nil"/>
            </w:tcBorders>
            <w:shd w:val="clear" w:color="000000" w:fill="FFFFFF"/>
            <w:noWrap/>
            <w:vAlign w:val="center"/>
            <w:hideMark/>
          </w:tcPr>
          <w:p w14:paraId="3B8D4F67"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16,656</w:t>
            </w:r>
          </w:p>
        </w:tc>
        <w:tc>
          <w:tcPr>
            <w:tcW w:w="486" w:type="pct"/>
            <w:tcBorders>
              <w:top w:val="nil"/>
              <w:left w:val="nil"/>
              <w:bottom w:val="nil"/>
              <w:right w:val="nil"/>
            </w:tcBorders>
            <w:shd w:val="clear" w:color="000000" w:fill="E6F2FF"/>
            <w:noWrap/>
            <w:vAlign w:val="center"/>
            <w:hideMark/>
          </w:tcPr>
          <w:p w14:paraId="372BFA8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17,451</w:t>
            </w:r>
          </w:p>
        </w:tc>
        <w:tc>
          <w:tcPr>
            <w:tcW w:w="486" w:type="pct"/>
            <w:tcBorders>
              <w:top w:val="nil"/>
              <w:left w:val="nil"/>
              <w:bottom w:val="nil"/>
              <w:right w:val="nil"/>
            </w:tcBorders>
            <w:shd w:val="clear" w:color="000000" w:fill="FFFFFF"/>
            <w:noWrap/>
            <w:vAlign w:val="center"/>
            <w:hideMark/>
          </w:tcPr>
          <w:p w14:paraId="2D3724A0"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18,141</w:t>
            </w:r>
          </w:p>
        </w:tc>
        <w:tc>
          <w:tcPr>
            <w:tcW w:w="486" w:type="pct"/>
            <w:tcBorders>
              <w:top w:val="nil"/>
              <w:left w:val="nil"/>
              <w:bottom w:val="nil"/>
              <w:right w:val="nil"/>
            </w:tcBorders>
            <w:shd w:val="clear" w:color="000000" w:fill="FFFFFF"/>
            <w:noWrap/>
            <w:vAlign w:val="center"/>
            <w:hideMark/>
          </w:tcPr>
          <w:p w14:paraId="3784D336"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18,691</w:t>
            </w:r>
          </w:p>
        </w:tc>
        <w:tc>
          <w:tcPr>
            <w:tcW w:w="486" w:type="pct"/>
            <w:tcBorders>
              <w:top w:val="nil"/>
              <w:left w:val="nil"/>
              <w:bottom w:val="nil"/>
              <w:right w:val="nil"/>
            </w:tcBorders>
            <w:shd w:val="clear" w:color="000000" w:fill="FFFFFF"/>
            <w:noWrap/>
            <w:vAlign w:val="center"/>
            <w:hideMark/>
          </w:tcPr>
          <w:p w14:paraId="7DA7843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19,264</w:t>
            </w:r>
          </w:p>
        </w:tc>
      </w:tr>
      <w:tr w:rsidR="00DC108A" w:rsidRPr="00DC108A" w14:paraId="3C3B1B42"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7400F341"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Job Seeker Income Support</w:t>
            </w:r>
          </w:p>
        </w:tc>
        <w:tc>
          <w:tcPr>
            <w:tcW w:w="959" w:type="pct"/>
            <w:tcBorders>
              <w:top w:val="nil"/>
              <w:left w:val="nil"/>
              <w:bottom w:val="nil"/>
              <w:right w:val="nil"/>
            </w:tcBorders>
            <w:shd w:val="clear" w:color="000000" w:fill="FFFFFF"/>
            <w:noWrap/>
            <w:vAlign w:val="center"/>
            <w:hideMark/>
          </w:tcPr>
          <w:p w14:paraId="63810723"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67FBB3BC"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14,125</w:t>
            </w:r>
          </w:p>
        </w:tc>
        <w:tc>
          <w:tcPr>
            <w:tcW w:w="486" w:type="pct"/>
            <w:tcBorders>
              <w:top w:val="nil"/>
              <w:left w:val="nil"/>
              <w:bottom w:val="nil"/>
              <w:right w:val="nil"/>
            </w:tcBorders>
            <w:shd w:val="clear" w:color="000000" w:fill="E6F2FF"/>
            <w:noWrap/>
            <w:vAlign w:val="center"/>
            <w:hideMark/>
          </w:tcPr>
          <w:p w14:paraId="3E2B3453"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13,939</w:t>
            </w:r>
          </w:p>
        </w:tc>
        <w:tc>
          <w:tcPr>
            <w:tcW w:w="486" w:type="pct"/>
            <w:tcBorders>
              <w:top w:val="nil"/>
              <w:left w:val="nil"/>
              <w:bottom w:val="nil"/>
              <w:right w:val="nil"/>
            </w:tcBorders>
            <w:shd w:val="clear" w:color="000000" w:fill="FFFFFF"/>
            <w:noWrap/>
            <w:vAlign w:val="center"/>
            <w:hideMark/>
          </w:tcPr>
          <w:p w14:paraId="1A8325C0"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15,661</w:t>
            </w:r>
          </w:p>
        </w:tc>
        <w:tc>
          <w:tcPr>
            <w:tcW w:w="486" w:type="pct"/>
            <w:tcBorders>
              <w:top w:val="nil"/>
              <w:left w:val="nil"/>
              <w:bottom w:val="nil"/>
              <w:right w:val="nil"/>
            </w:tcBorders>
            <w:shd w:val="clear" w:color="000000" w:fill="FFFFFF"/>
            <w:noWrap/>
            <w:vAlign w:val="center"/>
            <w:hideMark/>
          </w:tcPr>
          <w:p w14:paraId="344C092C"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16,199</w:t>
            </w:r>
          </w:p>
        </w:tc>
        <w:tc>
          <w:tcPr>
            <w:tcW w:w="486" w:type="pct"/>
            <w:tcBorders>
              <w:top w:val="nil"/>
              <w:left w:val="nil"/>
              <w:bottom w:val="nil"/>
              <w:right w:val="nil"/>
            </w:tcBorders>
            <w:shd w:val="clear" w:color="000000" w:fill="FFFFFF"/>
            <w:noWrap/>
            <w:vAlign w:val="center"/>
            <w:hideMark/>
          </w:tcPr>
          <w:p w14:paraId="6408AF54"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16,090</w:t>
            </w:r>
          </w:p>
        </w:tc>
      </w:tr>
      <w:tr w:rsidR="00DC108A" w:rsidRPr="00DC108A" w14:paraId="13A86C0E"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4291827A"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Child Care Subsidy</w:t>
            </w:r>
          </w:p>
        </w:tc>
        <w:tc>
          <w:tcPr>
            <w:tcW w:w="959" w:type="pct"/>
            <w:tcBorders>
              <w:top w:val="nil"/>
              <w:left w:val="nil"/>
              <w:bottom w:val="nil"/>
              <w:right w:val="nil"/>
            </w:tcBorders>
            <w:shd w:val="clear" w:color="000000" w:fill="FFFFFF"/>
            <w:noWrap/>
            <w:vAlign w:val="center"/>
            <w:hideMark/>
          </w:tcPr>
          <w:p w14:paraId="63475171"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420C550F"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10,543</w:t>
            </w:r>
          </w:p>
        </w:tc>
        <w:tc>
          <w:tcPr>
            <w:tcW w:w="486" w:type="pct"/>
            <w:tcBorders>
              <w:top w:val="nil"/>
              <w:left w:val="nil"/>
              <w:bottom w:val="nil"/>
              <w:right w:val="nil"/>
            </w:tcBorders>
            <w:shd w:val="clear" w:color="000000" w:fill="E6F2FF"/>
            <w:noWrap/>
            <w:vAlign w:val="center"/>
            <w:hideMark/>
          </w:tcPr>
          <w:p w14:paraId="6E2807B3"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12,467</w:t>
            </w:r>
          </w:p>
        </w:tc>
        <w:tc>
          <w:tcPr>
            <w:tcW w:w="486" w:type="pct"/>
            <w:tcBorders>
              <w:top w:val="nil"/>
              <w:left w:val="nil"/>
              <w:bottom w:val="nil"/>
              <w:right w:val="nil"/>
            </w:tcBorders>
            <w:shd w:val="clear" w:color="000000" w:fill="FFFFFF"/>
            <w:noWrap/>
            <w:vAlign w:val="center"/>
            <w:hideMark/>
          </w:tcPr>
          <w:p w14:paraId="10BC436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13,376</w:t>
            </w:r>
          </w:p>
        </w:tc>
        <w:tc>
          <w:tcPr>
            <w:tcW w:w="486" w:type="pct"/>
            <w:tcBorders>
              <w:top w:val="nil"/>
              <w:left w:val="nil"/>
              <w:bottom w:val="nil"/>
              <w:right w:val="nil"/>
            </w:tcBorders>
            <w:shd w:val="clear" w:color="000000" w:fill="FFFFFF"/>
            <w:noWrap/>
            <w:vAlign w:val="center"/>
            <w:hideMark/>
          </w:tcPr>
          <w:p w14:paraId="2172BD7B"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14,279</w:t>
            </w:r>
          </w:p>
        </w:tc>
        <w:tc>
          <w:tcPr>
            <w:tcW w:w="486" w:type="pct"/>
            <w:tcBorders>
              <w:top w:val="nil"/>
              <w:left w:val="nil"/>
              <w:bottom w:val="nil"/>
              <w:right w:val="nil"/>
            </w:tcBorders>
            <w:shd w:val="clear" w:color="000000" w:fill="FFFFFF"/>
            <w:noWrap/>
            <w:vAlign w:val="center"/>
            <w:hideMark/>
          </w:tcPr>
          <w:p w14:paraId="49DBE336"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14,946</w:t>
            </w:r>
          </w:p>
        </w:tc>
      </w:tr>
      <w:tr w:rsidR="00DC108A" w:rsidRPr="00DC108A" w14:paraId="61C1FE65"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3F461BF8"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Financial Support for Carers</w:t>
            </w:r>
          </w:p>
        </w:tc>
        <w:tc>
          <w:tcPr>
            <w:tcW w:w="959" w:type="pct"/>
            <w:tcBorders>
              <w:top w:val="nil"/>
              <w:left w:val="nil"/>
              <w:bottom w:val="nil"/>
              <w:right w:val="nil"/>
            </w:tcBorders>
            <w:shd w:val="clear" w:color="000000" w:fill="FFFFFF"/>
            <w:noWrap/>
            <w:vAlign w:val="center"/>
            <w:hideMark/>
          </w:tcPr>
          <w:p w14:paraId="7FABCC7C"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SSW</w:t>
            </w:r>
          </w:p>
        </w:tc>
        <w:tc>
          <w:tcPr>
            <w:tcW w:w="486" w:type="pct"/>
            <w:tcBorders>
              <w:top w:val="nil"/>
              <w:left w:val="nil"/>
              <w:bottom w:val="nil"/>
              <w:right w:val="nil"/>
            </w:tcBorders>
            <w:shd w:val="clear" w:color="000000" w:fill="FFFFFF"/>
            <w:noWrap/>
            <w:vAlign w:val="center"/>
            <w:hideMark/>
          </w:tcPr>
          <w:p w14:paraId="7CD0B79D"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10,590</w:t>
            </w:r>
          </w:p>
        </w:tc>
        <w:tc>
          <w:tcPr>
            <w:tcW w:w="486" w:type="pct"/>
            <w:tcBorders>
              <w:top w:val="nil"/>
              <w:left w:val="nil"/>
              <w:bottom w:val="nil"/>
              <w:right w:val="nil"/>
            </w:tcBorders>
            <w:shd w:val="clear" w:color="000000" w:fill="E6F2FF"/>
            <w:noWrap/>
            <w:vAlign w:val="center"/>
            <w:hideMark/>
          </w:tcPr>
          <w:p w14:paraId="6E210AED"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11,492</w:t>
            </w:r>
          </w:p>
        </w:tc>
        <w:tc>
          <w:tcPr>
            <w:tcW w:w="486" w:type="pct"/>
            <w:tcBorders>
              <w:top w:val="nil"/>
              <w:left w:val="nil"/>
              <w:bottom w:val="nil"/>
              <w:right w:val="nil"/>
            </w:tcBorders>
            <w:shd w:val="clear" w:color="000000" w:fill="FFFFFF"/>
            <w:noWrap/>
            <w:vAlign w:val="center"/>
            <w:hideMark/>
          </w:tcPr>
          <w:p w14:paraId="04AD20E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12,257</w:t>
            </w:r>
          </w:p>
        </w:tc>
        <w:tc>
          <w:tcPr>
            <w:tcW w:w="486" w:type="pct"/>
            <w:tcBorders>
              <w:top w:val="nil"/>
              <w:left w:val="nil"/>
              <w:bottom w:val="nil"/>
              <w:right w:val="nil"/>
            </w:tcBorders>
            <w:shd w:val="clear" w:color="000000" w:fill="FFFFFF"/>
            <w:noWrap/>
            <w:vAlign w:val="center"/>
            <w:hideMark/>
          </w:tcPr>
          <w:p w14:paraId="00D4330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12,953</w:t>
            </w:r>
          </w:p>
        </w:tc>
        <w:tc>
          <w:tcPr>
            <w:tcW w:w="486" w:type="pct"/>
            <w:tcBorders>
              <w:top w:val="nil"/>
              <w:left w:val="nil"/>
              <w:bottom w:val="nil"/>
              <w:right w:val="nil"/>
            </w:tcBorders>
            <w:shd w:val="clear" w:color="000000" w:fill="FFFFFF"/>
            <w:noWrap/>
            <w:vAlign w:val="center"/>
            <w:hideMark/>
          </w:tcPr>
          <w:p w14:paraId="67B6901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13,416</w:t>
            </w:r>
          </w:p>
        </w:tc>
      </w:tr>
      <w:tr w:rsidR="00DC108A" w:rsidRPr="00DC108A" w14:paraId="570597C5"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6A4957A8"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Army Capabilities</w:t>
            </w:r>
          </w:p>
        </w:tc>
        <w:tc>
          <w:tcPr>
            <w:tcW w:w="959" w:type="pct"/>
            <w:tcBorders>
              <w:top w:val="nil"/>
              <w:left w:val="nil"/>
              <w:bottom w:val="nil"/>
              <w:right w:val="nil"/>
            </w:tcBorders>
            <w:shd w:val="clear" w:color="000000" w:fill="FFFFFF"/>
            <w:noWrap/>
            <w:vAlign w:val="center"/>
            <w:hideMark/>
          </w:tcPr>
          <w:p w14:paraId="1AB4C89C"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Defence</w:t>
            </w:r>
          </w:p>
        </w:tc>
        <w:tc>
          <w:tcPr>
            <w:tcW w:w="486" w:type="pct"/>
            <w:tcBorders>
              <w:top w:val="nil"/>
              <w:left w:val="nil"/>
              <w:bottom w:val="nil"/>
              <w:right w:val="nil"/>
            </w:tcBorders>
            <w:shd w:val="clear" w:color="000000" w:fill="FFFFFF"/>
            <w:noWrap/>
            <w:vAlign w:val="center"/>
            <w:hideMark/>
          </w:tcPr>
          <w:p w14:paraId="2480D6D3"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9,745</w:t>
            </w:r>
          </w:p>
        </w:tc>
        <w:tc>
          <w:tcPr>
            <w:tcW w:w="486" w:type="pct"/>
            <w:tcBorders>
              <w:top w:val="nil"/>
              <w:left w:val="nil"/>
              <w:bottom w:val="nil"/>
              <w:right w:val="nil"/>
            </w:tcBorders>
            <w:shd w:val="clear" w:color="000000" w:fill="E6F2FF"/>
            <w:noWrap/>
            <w:vAlign w:val="center"/>
            <w:hideMark/>
          </w:tcPr>
          <w:p w14:paraId="7DBE216F"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11,389</w:t>
            </w:r>
          </w:p>
        </w:tc>
        <w:tc>
          <w:tcPr>
            <w:tcW w:w="486" w:type="pct"/>
            <w:tcBorders>
              <w:top w:val="nil"/>
              <w:left w:val="nil"/>
              <w:bottom w:val="nil"/>
              <w:right w:val="nil"/>
            </w:tcBorders>
            <w:shd w:val="clear" w:color="000000" w:fill="FFFFFF"/>
            <w:noWrap/>
            <w:vAlign w:val="center"/>
            <w:hideMark/>
          </w:tcPr>
          <w:p w14:paraId="021595CA"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12,285</w:t>
            </w:r>
          </w:p>
        </w:tc>
        <w:tc>
          <w:tcPr>
            <w:tcW w:w="486" w:type="pct"/>
            <w:tcBorders>
              <w:top w:val="nil"/>
              <w:left w:val="nil"/>
              <w:bottom w:val="nil"/>
              <w:right w:val="nil"/>
            </w:tcBorders>
            <w:shd w:val="clear" w:color="000000" w:fill="FFFFFF"/>
            <w:noWrap/>
            <w:vAlign w:val="center"/>
            <w:hideMark/>
          </w:tcPr>
          <w:p w14:paraId="1120209B"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11,957</w:t>
            </w:r>
          </w:p>
        </w:tc>
        <w:tc>
          <w:tcPr>
            <w:tcW w:w="486" w:type="pct"/>
            <w:tcBorders>
              <w:top w:val="nil"/>
              <w:left w:val="nil"/>
              <w:bottom w:val="nil"/>
              <w:right w:val="nil"/>
            </w:tcBorders>
            <w:shd w:val="clear" w:color="000000" w:fill="FFFFFF"/>
            <w:noWrap/>
            <w:vAlign w:val="center"/>
            <w:hideMark/>
          </w:tcPr>
          <w:p w14:paraId="188F92F6"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14,497</w:t>
            </w:r>
          </w:p>
        </w:tc>
      </w:tr>
      <w:tr w:rsidR="00DC108A" w:rsidRPr="00DC108A" w14:paraId="796E988E"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0C9C4772"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Government Schools National</w:t>
            </w:r>
          </w:p>
        </w:tc>
        <w:tc>
          <w:tcPr>
            <w:tcW w:w="959" w:type="pct"/>
            <w:tcBorders>
              <w:top w:val="nil"/>
              <w:left w:val="nil"/>
              <w:bottom w:val="nil"/>
              <w:right w:val="nil"/>
            </w:tcBorders>
            <w:shd w:val="clear" w:color="auto" w:fill="auto"/>
            <w:noWrap/>
            <w:vAlign w:val="center"/>
            <w:hideMark/>
          </w:tcPr>
          <w:p w14:paraId="626DA2F3" w14:textId="77777777" w:rsidR="00DC108A" w:rsidRPr="00852A8E" w:rsidRDefault="00DC108A" w:rsidP="00852A8E">
            <w:pPr>
              <w:spacing w:before="0" w:after="0" w:line="240" w:lineRule="auto"/>
              <w:rPr>
                <w:rFonts w:ascii="Arial" w:hAnsi="Arial" w:cs="Arial"/>
                <w:sz w:val="16"/>
                <w:szCs w:val="16"/>
              </w:rPr>
            </w:pPr>
          </w:p>
        </w:tc>
        <w:tc>
          <w:tcPr>
            <w:tcW w:w="486" w:type="pct"/>
            <w:tcBorders>
              <w:top w:val="nil"/>
              <w:left w:val="nil"/>
              <w:bottom w:val="nil"/>
              <w:right w:val="nil"/>
            </w:tcBorders>
            <w:shd w:val="clear" w:color="000000" w:fill="FFFFFF"/>
            <w:noWrap/>
            <w:vAlign w:val="center"/>
            <w:hideMark/>
          </w:tcPr>
          <w:p w14:paraId="23112982"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647222E9"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09B237D0"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513E102"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6ABD747"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r>
      <w:tr w:rsidR="00DC108A" w:rsidRPr="00DC108A" w14:paraId="31B79CDE"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22DF70A8" w14:textId="77777777" w:rsidR="00DC108A" w:rsidRPr="00852A8E" w:rsidRDefault="00DC108A" w:rsidP="00852A8E">
            <w:pPr>
              <w:spacing w:before="0" w:after="0" w:line="240" w:lineRule="auto"/>
              <w:ind w:left="170"/>
              <w:rPr>
                <w:rFonts w:ascii="Arial" w:hAnsi="Arial" w:cs="Arial"/>
                <w:sz w:val="16"/>
                <w:szCs w:val="16"/>
              </w:rPr>
            </w:pPr>
            <w:r w:rsidRPr="00852A8E">
              <w:rPr>
                <w:rFonts w:ascii="Arial" w:hAnsi="Arial" w:cs="Arial"/>
                <w:sz w:val="16"/>
                <w:szCs w:val="16"/>
              </w:rPr>
              <w:t>Support</w:t>
            </w:r>
          </w:p>
        </w:tc>
        <w:tc>
          <w:tcPr>
            <w:tcW w:w="959" w:type="pct"/>
            <w:tcBorders>
              <w:top w:val="nil"/>
              <w:left w:val="nil"/>
              <w:bottom w:val="nil"/>
              <w:right w:val="nil"/>
            </w:tcBorders>
            <w:shd w:val="clear" w:color="000000" w:fill="FFFFFF"/>
            <w:noWrap/>
            <w:vAlign w:val="center"/>
            <w:hideMark/>
          </w:tcPr>
          <w:p w14:paraId="70F19440"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Education</w:t>
            </w:r>
          </w:p>
        </w:tc>
        <w:tc>
          <w:tcPr>
            <w:tcW w:w="486" w:type="pct"/>
            <w:tcBorders>
              <w:top w:val="nil"/>
              <w:left w:val="nil"/>
              <w:bottom w:val="nil"/>
              <w:right w:val="nil"/>
            </w:tcBorders>
            <w:shd w:val="clear" w:color="000000" w:fill="FFFFFF"/>
            <w:noWrap/>
            <w:vAlign w:val="center"/>
            <w:hideMark/>
          </w:tcPr>
          <w:p w14:paraId="7ED1566E"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10,305</w:t>
            </w:r>
          </w:p>
        </w:tc>
        <w:tc>
          <w:tcPr>
            <w:tcW w:w="486" w:type="pct"/>
            <w:tcBorders>
              <w:top w:val="nil"/>
              <w:left w:val="nil"/>
              <w:bottom w:val="nil"/>
              <w:right w:val="nil"/>
            </w:tcBorders>
            <w:shd w:val="clear" w:color="000000" w:fill="E6F2FF"/>
            <w:noWrap/>
            <w:vAlign w:val="center"/>
            <w:hideMark/>
          </w:tcPr>
          <w:p w14:paraId="3FEDAB7A"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10,857</w:t>
            </w:r>
          </w:p>
        </w:tc>
        <w:tc>
          <w:tcPr>
            <w:tcW w:w="486" w:type="pct"/>
            <w:tcBorders>
              <w:top w:val="nil"/>
              <w:left w:val="nil"/>
              <w:bottom w:val="nil"/>
              <w:right w:val="nil"/>
            </w:tcBorders>
            <w:shd w:val="clear" w:color="000000" w:fill="FFFFFF"/>
            <w:noWrap/>
            <w:vAlign w:val="center"/>
            <w:hideMark/>
          </w:tcPr>
          <w:p w14:paraId="1BD8485B"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11,279</w:t>
            </w:r>
          </w:p>
        </w:tc>
        <w:tc>
          <w:tcPr>
            <w:tcW w:w="486" w:type="pct"/>
            <w:tcBorders>
              <w:top w:val="nil"/>
              <w:left w:val="nil"/>
              <w:bottom w:val="nil"/>
              <w:right w:val="nil"/>
            </w:tcBorders>
            <w:shd w:val="clear" w:color="000000" w:fill="FFFFFF"/>
            <w:noWrap/>
            <w:vAlign w:val="center"/>
            <w:hideMark/>
          </w:tcPr>
          <w:p w14:paraId="535C8726"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11,688</w:t>
            </w:r>
          </w:p>
        </w:tc>
        <w:tc>
          <w:tcPr>
            <w:tcW w:w="486" w:type="pct"/>
            <w:tcBorders>
              <w:top w:val="nil"/>
              <w:left w:val="nil"/>
              <w:bottom w:val="nil"/>
              <w:right w:val="nil"/>
            </w:tcBorders>
            <w:shd w:val="clear" w:color="000000" w:fill="FFFFFF"/>
            <w:noWrap/>
            <w:vAlign w:val="center"/>
            <w:hideMark/>
          </w:tcPr>
          <w:p w14:paraId="1FB9B09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12,114</w:t>
            </w:r>
          </w:p>
        </w:tc>
      </w:tr>
      <w:tr w:rsidR="00DC108A" w:rsidRPr="00DC108A" w14:paraId="16E4BDA0"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6C09C397"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Air Force Capabilities</w:t>
            </w:r>
          </w:p>
        </w:tc>
        <w:tc>
          <w:tcPr>
            <w:tcW w:w="959" w:type="pct"/>
            <w:tcBorders>
              <w:top w:val="nil"/>
              <w:left w:val="nil"/>
              <w:bottom w:val="nil"/>
              <w:right w:val="nil"/>
            </w:tcBorders>
            <w:shd w:val="clear" w:color="000000" w:fill="FFFFFF"/>
            <w:noWrap/>
            <w:vAlign w:val="center"/>
            <w:hideMark/>
          </w:tcPr>
          <w:p w14:paraId="4DA17AFB"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Defence</w:t>
            </w:r>
          </w:p>
        </w:tc>
        <w:tc>
          <w:tcPr>
            <w:tcW w:w="486" w:type="pct"/>
            <w:tcBorders>
              <w:top w:val="nil"/>
              <w:left w:val="nil"/>
              <w:bottom w:val="nil"/>
              <w:right w:val="nil"/>
            </w:tcBorders>
            <w:shd w:val="clear" w:color="000000" w:fill="FFFFFF"/>
            <w:noWrap/>
            <w:vAlign w:val="center"/>
            <w:hideMark/>
          </w:tcPr>
          <w:p w14:paraId="46F7C43A"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4,635</w:t>
            </w:r>
          </w:p>
        </w:tc>
        <w:tc>
          <w:tcPr>
            <w:tcW w:w="486" w:type="pct"/>
            <w:tcBorders>
              <w:top w:val="nil"/>
              <w:left w:val="nil"/>
              <w:bottom w:val="nil"/>
              <w:right w:val="nil"/>
            </w:tcBorders>
            <w:shd w:val="clear" w:color="000000" w:fill="E6F2FF"/>
            <w:noWrap/>
            <w:vAlign w:val="center"/>
            <w:hideMark/>
          </w:tcPr>
          <w:p w14:paraId="2A2FC521"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10,646</w:t>
            </w:r>
          </w:p>
        </w:tc>
        <w:tc>
          <w:tcPr>
            <w:tcW w:w="486" w:type="pct"/>
            <w:tcBorders>
              <w:top w:val="nil"/>
              <w:left w:val="nil"/>
              <w:bottom w:val="nil"/>
              <w:right w:val="nil"/>
            </w:tcBorders>
            <w:shd w:val="clear" w:color="000000" w:fill="FFFFFF"/>
            <w:noWrap/>
            <w:vAlign w:val="center"/>
            <w:hideMark/>
          </w:tcPr>
          <w:p w14:paraId="05AA5796"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11,056</w:t>
            </w:r>
          </w:p>
        </w:tc>
        <w:tc>
          <w:tcPr>
            <w:tcW w:w="486" w:type="pct"/>
            <w:tcBorders>
              <w:top w:val="nil"/>
              <w:left w:val="nil"/>
              <w:bottom w:val="nil"/>
              <w:right w:val="nil"/>
            </w:tcBorders>
            <w:shd w:val="clear" w:color="000000" w:fill="FFFFFF"/>
            <w:noWrap/>
            <w:vAlign w:val="center"/>
            <w:hideMark/>
          </w:tcPr>
          <w:p w14:paraId="72EECBBD"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10,106</w:t>
            </w:r>
          </w:p>
        </w:tc>
        <w:tc>
          <w:tcPr>
            <w:tcW w:w="486" w:type="pct"/>
            <w:tcBorders>
              <w:top w:val="nil"/>
              <w:left w:val="nil"/>
              <w:bottom w:val="nil"/>
              <w:right w:val="nil"/>
            </w:tcBorders>
            <w:shd w:val="clear" w:color="000000" w:fill="FFFFFF"/>
            <w:noWrap/>
            <w:vAlign w:val="center"/>
            <w:hideMark/>
          </w:tcPr>
          <w:p w14:paraId="4E0AFEFB"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13,869</w:t>
            </w:r>
          </w:p>
        </w:tc>
      </w:tr>
      <w:tr w:rsidR="00DC108A" w:rsidRPr="00DC108A" w14:paraId="075FE396"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604B5FD1"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Navy Capabilities</w:t>
            </w:r>
          </w:p>
        </w:tc>
        <w:tc>
          <w:tcPr>
            <w:tcW w:w="959" w:type="pct"/>
            <w:tcBorders>
              <w:top w:val="nil"/>
              <w:left w:val="nil"/>
              <w:bottom w:val="nil"/>
              <w:right w:val="nil"/>
            </w:tcBorders>
            <w:shd w:val="clear" w:color="000000" w:fill="FFFFFF"/>
            <w:noWrap/>
            <w:vAlign w:val="center"/>
            <w:hideMark/>
          </w:tcPr>
          <w:p w14:paraId="46A7B3B6"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Defence</w:t>
            </w:r>
          </w:p>
        </w:tc>
        <w:tc>
          <w:tcPr>
            <w:tcW w:w="486" w:type="pct"/>
            <w:tcBorders>
              <w:top w:val="nil"/>
              <w:left w:val="nil"/>
              <w:bottom w:val="nil"/>
              <w:right w:val="nil"/>
            </w:tcBorders>
            <w:shd w:val="clear" w:color="000000" w:fill="FFFFFF"/>
            <w:noWrap/>
            <w:vAlign w:val="center"/>
            <w:hideMark/>
          </w:tcPr>
          <w:p w14:paraId="2AA61E57"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6,282</w:t>
            </w:r>
          </w:p>
        </w:tc>
        <w:tc>
          <w:tcPr>
            <w:tcW w:w="486" w:type="pct"/>
            <w:tcBorders>
              <w:top w:val="nil"/>
              <w:left w:val="nil"/>
              <w:bottom w:val="nil"/>
              <w:right w:val="nil"/>
            </w:tcBorders>
            <w:shd w:val="clear" w:color="000000" w:fill="E6F2FF"/>
            <w:noWrap/>
            <w:vAlign w:val="center"/>
            <w:hideMark/>
          </w:tcPr>
          <w:p w14:paraId="41E6C58C"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9,810</w:t>
            </w:r>
          </w:p>
        </w:tc>
        <w:tc>
          <w:tcPr>
            <w:tcW w:w="486" w:type="pct"/>
            <w:tcBorders>
              <w:top w:val="nil"/>
              <w:left w:val="nil"/>
              <w:bottom w:val="nil"/>
              <w:right w:val="nil"/>
            </w:tcBorders>
            <w:shd w:val="clear" w:color="000000" w:fill="FFFFFF"/>
            <w:noWrap/>
            <w:vAlign w:val="center"/>
            <w:hideMark/>
          </w:tcPr>
          <w:p w14:paraId="4D3572CF"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9,560</w:t>
            </w:r>
          </w:p>
        </w:tc>
        <w:tc>
          <w:tcPr>
            <w:tcW w:w="486" w:type="pct"/>
            <w:tcBorders>
              <w:top w:val="nil"/>
              <w:left w:val="nil"/>
              <w:bottom w:val="nil"/>
              <w:right w:val="nil"/>
            </w:tcBorders>
            <w:shd w:val="clear" w:color="000000" w:fill="FFFFFF"/>
            <w:noWrap/>
            <w:vAlign w:val="center"/>
            <w:hideMark/>
          </w:tcPr>
          <w:p w14:paraId="16825F1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11,100</w:t>
            </w:r>
          </w:p>
        </w:tc>
        <w:tc>
          <w:tcPr>
            <w:tcW w:w="486" w:type="pct"/>
            <w:tcBorders>
              <w:top w:val="nil"/>
              <w:left w:val="nil"/>
              <w:bottom w:val="nil"/>
              <w:right w:val="nil"/>
            </w:tcBorders>
            <w:shd w:val="clear" w:color="000000" w:fill="FFFFFF"/>
            <w:noWrap/>
            <w:vAlign w:val="center"/>
            <w:hideMark/>
          </w:tcPr>
          <w:p w14:paraId="2285F049"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12,172</w:t>
            </w:r>
          </w:p>
        </w:tc>
      </w:tr>
      <w:tr w:rsidR="00DC108A" w:rsidRPr="00DC108A" w14:paraId="28DCC987" w14:textId="77777777" w:rsidTr="00DC108A">
        <w:trPr>
          <w:divId w:val="2066180223"/>
          <w:trHeight w:hRule="exact" w:val="225"/>
        </w:trPr>
        <w:tc>
          <w:tcPr>
            <w:tcW w:w="1610" w:type="pct"/>
            <w:tcBorders>
              <w:top w:val="nil"/>
              <w:left w:val="nil"/>
              <w:bottom w:val="nil"/>
              <w:right w:val="nil"/>
            </w:tcBorders>
            <w:shd w:val="clear" w:color="000000" w:fill="FFFFFF"/>
            <w:noWrap/>
            <w:vAlign w:val="center"/>
            <w:hideMark/>
          </w:tcPr>
          <w:p w14:paraId="04AA946A"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National Partnership Payments -</w:t>
            </w:r>
          </w:p>
        </w:tc>
        <w:tc>
          <w:tcPr>
            <w:tcW w:w="959" w:type="pct"/>
            <w:tcBorders>
              <w:top w:val="nil"/>
              <w:left w:val="nil"/>
              <w:bottom w:val="nil"/>
              <w:right w:val="nil"/>
            </w:tcBorders>
            <w:shd w:val="clear" w:color="000000" w:fill="FFFFFF"/>
            <w:noWrap/>
            <w:vAlign w:val="center"/>
            <w:hideMark/>
          </w:tcPr>
          <w:p w14:paraId="1F0C4C59"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Transport and</w:t>
            </w:r>
          </w:p>
        </w:tc>
        <w:tc>
          <w:tcPr>
            <w:tcW w:w="486" w:type="pct"/>
            <w:tcBorders>
              <w:top w:val="nil"/>
              <w:left w:val="nil"/>
              <w:bottom w:val="nil"/>
              <w:right w:val="nil"/>
            </w:tcBorders>
            <w:shd w:val="clear" w:color="000000" w:fill="FFFFFF"/>
            <w:noWrap/>
            <w:vAlign w:val="center"/>
            <w:hideMark/>
          </w:tcPr>
          <w:p w14:paraId="35D9C1C2"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E6F2FF"/>
            <w:noWrap/>
            <w:vAlign w:val="center"/>
            <w:hideMark/>
          </w:tcPr>
          <w:p w14:paraId="7DEAF7A1"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3A2AD89F"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18C50C6D"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nil"/>
              <w:left w:val="nil"/>
              <w:bottom w:val="nil"/>
              <w:right w:val="nil"/>
            </w:tcBorders>
            <w:shd w:val="clear" w:color="000000" w:fill="FFFFFF"/>
            <w:noWrap/>
            <w:vAlign w:val="center"/>
            <w:hideMark/>
          </w:tcPr>
          <w:p w14:paraId="5A7A8212"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r>
      <w:tr w:rsidR="00225A2F" w:rsidRPr="00DC108A" w14:paraId="1E3C12F0"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392C037B" w14:textId="77777777" w:rsidR="00DC108A" w:rsidRPr="00852A8E" w:rsidRDefault="00DC108A" w:rsidP="00852A8E">
            <w:pPr>
              <w:spacing w:before="0" w:after="0" w:line="240" w:lineRule="auto"/>
              <w:ind w:left="170"/>
              <w:rPr>
                <w:rFonts w:ascii="Arial" w:hAnsi="Arial" w:cs="Arial"/>
                <w:sz w:val="16"/>
                <w:szCs w:val="16"/>
              </w:rPr>
            </w:pPr>
            <w:r w:rsidRPr="00852A8E">
              <w:rPr>
                <w:rFonts w:ascii="Arial" w:hAnsi="Arial" w:cs="Arial"/>
                <w:sz w:val="16"/>
                <w:szCs w:val="16"/>
              </w:rPr>
              <w:t>Road Transport</w:t>
            </w:r>
          </w:p>
        </w:tc>
        <w:tc>
          <w:tcPr>
            <w:tcW w:w="959" w:type="pct"/>
            <w:tcBorders>
              <w:top w:val="nil"/>
              <w:left w:val="nil"/>
              <w:bottom w:val="nil"/>
              <w:right w:val="nil"/>
            </w:tcBorders>
            <w:shd w:val="clear" w:color="000000" w:fill="FFFFFF"/>
            <w:noWrap/>
            <w:vAlign w:val="center"/>
            <w:hideMark/>
          </w:tcPr>
          <w:p w14:paraId="688E4B71" w14:textId="77777777" w:rsidR="00DC108A" w:rsidRPr="00852A8E" w:rsidRDefault="00DC108A" w:rsidP="00852A8E">
            <w:pPr>
              <w:spacing w:before="0" w:after="0" w:line="240" w:lineRule="auto"/>
              <w:ind w:firstLineChars="100" w:firstLine="160"/>
              <w:rPr>
                <w:rFonts w:ascii="Arial" w:hAnsi="Arial" w:cs="Arial"/>
                <w:sz w:val="16"/>
                <w:szCs w:val="16"/>
              </w:rPr>
            </w:pPr>
            <w:r w:rsidRPr="00852A8E">
              <w:rPr>
                <w:rFonts w:ascii="Arial" w:hAnsi="Arial" w:cs="Arial"/>
                <w:sz w:val="16"/>
                <w:szCs w:val="16"/>
              </w:rPr>
              <w:t>communication</w:t>
            </w:r>
          </w:p>
        </w:tc>
        <w:tc>
          <w:tcPr>
            <w:tcW w:w="486" w:type="pct"/>
            <w:tcBorders>
              <w:top w:val="nil"/>
              <w:left w:val="nil"/>
              <w:right w:val="nil"/>
            </w:tcBorders>
            <w:shd w:val="clear" w:color="000000" w:fill="FFFFFF"/>
            <w:noWrap/>
            <w:vAlign w:val="center"/>
            <w:hideMark/>
          </w:tcPr>
          <w:p w14:paraId="35F10C03"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7,109</w:t>
            </w:r>
          </w:p>
        </w:tc>
        <w:tc>
          <w:tcPr>
            <w:tcW w:w="486" w:type="pct"/>
            <w:tcBorders>
              <w:top w:val="nil"/>
              <w:left w:val="nil"/>
              <w:right w:val="nil"/>
            </w:tcBorders>
            <w:shd w:val="clear" w:color="000000" w:fill="E6F2FF"/>
            <w:noWrap/>
            <w:vAlign w:val="center"/>
            <w:hideMark/>
          </w:tcPr>
          <w:p w14:paraId="7B66A06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9,801</w:t>
            </w:r>
          </w:p>
        </w:tc>
        <w:tc>
          <w:tcPr>
            <w:tcW w:w="486" w:type="pct"/>
            <w:tcBorders>
              <w:top w:val="nil"/>
              <w:left w:val="nil"/>
              <w:right w:val="nil"/>
            </w:tcBorders>
            <w:shd w:val="clear" w:color="000000" w:fill="FFFFFF"/>
            <w:noWrap/>
            <w:vAlign w:val="center"/>
            <w:hideMark/>
          </w:tcPr>
          <w:p w14:paraId="2B23D2E1"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10,065</w:t>
            </w:r>
          </w:p>
        </w:tc>
        <w:tc>
          <w:tcPr>
            <w:tcW w:w="486" w:type="pct"/>
            <w:tcBorders>
              <w:top w:val="nil"/>
              <w:left w:val="nil"/>
              <w:right w:val="nil"/>
            </w:tcBorders>
            <w:shd w:val="clear" w:color="000000" w:fill="FFFFFF"/>
            <w:noWrap/>
            <w:vAlign w:val="center"/>
            <w:hideMark/>
          </w:tcPr>
          <w:p w14:paraId="185DBE35"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9,542</w:t>
            </w:r>
          </w:p>
        </w:tc>
        <w:tc>
          <w:tcPr>
            <w:tcW w:w="486" w:type="pct"/>
            <w:tcBorders>
              <w:top w:val="nil"/>
              <w:left w:val="nil"/>
              <w:right w:val="nil"/>
            </w:tcBorders>
            <w:shd w:val="clear" w:color="000000" w:fill="FFFFFF"/>
            <w:noWrap/>
            <w:vAlign w:val="center"/>
            <w:hideMark/>
          </w:tcPr>
          <w:p w14:paraId="5F56C12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8,778</w:t>
            </w:r>
          </w:p>
        </w:tc>
      </w:tr>
      <w:tr w:rsidR="00225A2F" w:rsidRPr="00DC108A" w14:paraId="0AB1D26B"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01AF5603"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Fuel Tax Credits Scheme</w:t>
            </w:r>
          </w:p>
        </w:tc>
        <w:tc>
          <w:tcPr>
            <w:tcW w:w="959" w:type="pct"/>
            <w:tcBorders>
              <w:top w:val="nil"/>
              <w:left w:val="nil"/>
              <w:bottom w:val="nil"/>
              <w:right w:val="nil"/>
            </w:tcBorders>
            <w:shd w:val="clear" w:color="000000" w:fill="FFFFFF"/>
            <w:noWrap/>
            <w:vAlign w:val="center"/>
            <w:hideMark/>
          </w:tcPr>
          <w:p w14:paraId="3E8355E1"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Fuel and Energy</w:t>
            </w:r>
          </w:p>
        </w:tc>
        <w:tc>
          <w:tcPr>
            <w:tcW w:w="486" w:type="pct"/>
            <w:tcBorders>
              <w:top w:val="nil"/>
              <w:left w:val="nil"/>
              <w:bottom w:val="single" w:sz="4" w:space="0" w:color="293F5B"/>
              <w:right w:val="nil"/>
            </w:tcBorders>
            <w:shd w:val="clear" w:color="000000" w:fill="FFFFFF"/>
            <w:noWrap/>
            <w:vAlign w:val="center"/>
            <w:hideMark/>
          </w:tcPr>
          <w:p w14:paraId="4F8279B2"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6,804</w:t>
            </w:r>
          </w:p>
        </w:tc>
        <w:tc>
          <w:tcPr>
            <w:tcW w:w="486" w:type="pct"/>
            <w:tcBorders>
              <w:top w:val="nil"/>
              <w:left w:val="nil"/>
              <w:bottom w:val="single" w:sz="4" w:space="0" w:color="293F5B"/>
              <w:right w:val="nil"/>
            </w:tcBorders>
            <w:shd w:val="clear" w:color="000000" w:fill="E6F2FF"/>
            <w:noWrap/>
            <w:vAlign w:val="center"/>
            <w:hideMark/>
          </w:tcPr>
          <w:p w14:paraId="5B839427"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9,443</w:t>
            </w:r>
          </w:p>
        </w:tc>
        <w:tc>
          <w:tcPr>
            <w:tcW w:w="486" w:type="pct"/>
            <w:tcBorders>
              <w:top w:val="nil"/>
              <w:left w:val="nil"/>
              <w:bottom w:val="single" w:sz="4" w:space="0" w:color="293F5B"/>
              <w:right w:val="nil"/>
            </w:tcBorders>
            <w:shd w:val="clear" w:color="000000" w:fill="FFFFFF"/>
            <w:noWrap/>
            <w:vAlign w:val="center"/>
            <w:hideMark/>
          </w:tcPr>
          <w:p w14:paraId="61D78AFC"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9,813</w:t>
            </w:r>
          </w:p>
        </w:tc>
        <w:tc>
          <w:tcPr>
            <w:tcW w:w="486" w:type="pct"/>
            <w:tcBorders>
              <w:top w:val="nil"/>
              <w:left w:val="nil"/>
              <w:bottom w:val="single" w:sz="4" w:space="0" w:color="293F5B"/>
              <w:right w:val="nil"/>
            </w:tcBorders>
            <w:shd w:val="clear" w:color="000000" w:fill="FFFFFF"/>
            <w:noWrap/>
            <w:vAlign w:val="center"/>
            <w:hideMark/>
          </w:tcPr>
          <w:p w14:paraId="24FBD830"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10,383</w:t>
            </w:r>
          </w:p>
        </w:tc>
        <w:tc>
          <w:tcPr>
            <w:tcW w:w="486" w:type="pct"/>
            <w:tcBorders>
              <w:top w:val="nil"/>
              <w:left w:val="nil"/>
              <w:bottom w:val="single" w:sz="4" w:space="0" w:color="293F5B"/>
              <w:right w:val="nil"/>
            </w:tcBorders>
            <w:shd w:val="clear" w:color="000000" w:fill="FFFFFF"/>
            <w:noWrap/>
            <w:vAlign w:val="center"/>
            <w:hideMark/>
          </w:tcPr>
          <w:p w14:paraId="6CA17FD4"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11,106</w:t>
            </w:r>
          </w:p>
        </w:tc>
      </w:tr>
      <w:tr w:rsidR="00CD6A1C" w:rsidRPr="00DC108A" w14:paraId="15BBD87A"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62E203A6" w14:textId="77777777" w:rsidR="00DC108A" w:rsidRPr="00852A8E" w:rsidRDefault="00DC108A" w:rsidP="00852A8E">
            <w:pPr>
              <w:spacing w:before="0" w:after="0" w:line="240" w:lineRule="auto"/>
              <w:rPr>
                <w:rFonts w:ascii="Arial" w:hAnsi="Arial" w:cs="Arial"/>
                <w:b/>
                <w:sz w:val="16"/>
                <w:szCs w:val="16"/>
              </w:rPr>
            </w:pPr>
            <w:r w:rsidRPr="00852A8E">
              <w:rPr>
                <w:rFonts w:ascii="Arial" w:hAnsi="Arial" w:cs="Arial"/>
                <w:b/>
                <w:sz w:val="16"/>
                <w:szCs w:val="16"/>
              </w:rPr>
              <w:t>Sub-total</w:t>
            </w:r>
          </w:p>
        </w:tc>
        <w:tc>
          <w:tcPr>
            <w:tcW w:w="959" w:type="pct"/>
            <w:tcBorders>
              <w:top w:val="nil"/>
              <w:left w:val="nil"/>
              <w:bottom w:val="nil"/>
              <w:right w:val="nil"/>
            </w:tcBorders>
            <w:shd w:val="clear" w:color="000000" w:fill="FFFFFF"/>
            <w:noWrap/>
            <w:vAlign w:val="center"/>
            <w:hideMark/>
          </w:tcPr>
          <w:p w14:paraId="13B2DAAA" w14:textId="77777777" w:rsidR="00DC108A" w:rsidRPr="00852A8E" w:rsidRDefault="00DC108A" w:rsidP="00852A8E">
            <w:pPr>
              <w:spacing w:before="0" w:after="0" w:line="240" w:lineRule="auto"/>
              <w:rPr>
                <w:rFonts w:ascii="Arial" w:hAnsi="Arial" w:cs="Arial"/>
                <w:b/>
                <w:sz w:val="16"/>
                <w:szCs w:val="16"/>
              </w:rPr>
            </w:pPr>
            <w:r w:rsidRPr="00852A8E">
              <w:rPr>
                <w:rFonts w:ascii="Arial" w:hAnsi="Arial" w:cs="Arial"/>
                <w:b/>
                <w:sz w:val="16"/>
                <w:szCs w:val="16"/>
              </w:rPr>
              <w:t> </w:t>
            </w:r>
          </w:p>
        </w:tc>
        <w:tc>
          <w:tcPr>
            <w:tcW w:w="486" w:type="pct"/>
            <w:tcBorders>
              <w:top w:val="single" w:sz="4" w:space="0" w:color="293F5B"/>
              <w:left w:val="nil"/>
              <w:bottom w:val="single" w:sz="4" w:space="0" w:color="293F5B"/>
              <w:right w:val="nil"/>
            </w:tcBorders>
            <w:shd w:val="clear" w:color="000000" w:fill="FFFFFF"/>
            <w:noWrap/>
            <w:vAlign w:val="center"/>
            <w:hideMark/>
          </w:tcPr>
          <w:p w14:paraId="4F7B59B0"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411,107</w:t>
            </w:r>
          </w:p>
        </w:tc>
        <w:tc>
          <w:tcPr>
            <w:tcW w:w="486" w:type="pct"/>
            <w:tcBorders>
              <w:top w:val="single" w:sz="4" w:space="0" w:color="293F5B"/>
              <w:left w:val="nil"/>
              <w:bottom w:val="single" w:sz="4" w:space="0" w:color="293F5B"/>
              <w:right w:val="nil"/>
            </w:tcBorders>
            <w:shd w:val="clear" w:color="000000" w:fill="E6F2FF"/>
            <w:noWrap/>
            <w:vAlign w:val="center"/>
            <w:hideMark/>
          </w:tcPr>
          <w:p w14:paraId="4A2C9C0A"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477,617</w:t>
            </w:r>
          </w:p>
        </w:tc>
        <w:tc>
          <w:tcPr>
            <w:tcW w:w="486" w:type="pct"/>
            <w:tcBorders>
              <w:top w:val="single" w:sz="4" w:space="0" w:color="293F5B"/>
              <w:left w:val="nil"/>
              <w:bottom w:val="single" w:sz="4" w:space="0" w:color="293F5B"/>
              <w:right w:val="nil"/>
            </w:tcBorders>
            <w:shd w:val="clear" w:color="000000" w:fill="FFFFFF"/>
            <w:noWrap/>
            <w:vAlign w:val="center"/>
            <w:hideMark/>
          </w:tcPr>
          <w:p w14:paraId="2C6B0313"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506,854</w:t>
            </w:r>
          </w:p>
        </w:tc>
        <w:tc>
          <w:tcPr>
            <w:tcW w:w="486" w:type="pct"/>
            <w:tcBorders>
              <w:top w:val="single" w:sz="4" w:space="0" w:color="293F5B"/>
              <w:left w:val="nil"/>
              <w:bottom w:val="single" w:sz="4" w:space="0" w:color="293F5B"/>
              <w:right w:val="nil"/>
            </w:tcBorders>
            <w:shd w:val="clear" w:color="000000" w:fill="FFFFFF"/>
            <w:noWrap/>
            <w:vAlign w:val="center"/>
            <w:hideMark/>
          </w:tcPr>
          <w:p w14:paraId="2061C8C5"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536,852</w:t>
            </w:r>
          </w:p>
        </w:tc>
        <w:tc>
          <w:tcPr>
            <w:tcW w:w="486" w:type="pct"/>
            <w:tcBorders>
              <w:top w:val="single" w:sz="4" w:space="0" w:color="293F5B"/>
              <w:left w:val="nil"/>
              <w:bottom w:val="single" w:sz="4" w:space="0" w:color="293F5B"/>
              <w:right w:val="nil"/>
            </w:tcBorders>
            <w:shd w:val="clear" w:color="000000" w:fill="FFFFFF"/>
            <w:noWrap/>
            <w:vAlign w:val="center"/>
            <w:hideMark/>
          </w:tcPr>
          <w:p w14:paraId="625FF160"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562,159</w:t>
            </w:r>
          </w:p>
        </w:tc>
      </w:tr>
      <w:tr w:rsidR="00CD6A1C" w:rsidRPr="00DC108A" w14:paraId="1B13B60F" w14:textId="77777777" w:rsidTr="00815BAB">
        <w:trPr>
          <w:divId w:val="2066180223"/>
          <w:trHeight w:hRule="exact" w:val="225"/>
        </w:trPr>
        <w:tc>
          <w:tcPr>
            <w:tcW w:w="1610" w:type="pct"/>
            <w:tcBorders>
              <w:top w:val="nil"/>
              <w:left w:val="nil"/>
              <w:bottom w:val="nil"/>
              <w:right w:val="nil"/>
            </w:tcBorders>
            <w:shd w:val="clear" w:color="000000" w:fill="FFFFFF"/>
            <w:noWrap/>
            <w:vAlign w:val="center"/>
            <w:hideMark/>
          </w:tcPr>
          <w:p w14:paraId="626C89AC"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Other programs</w:t>
            </w:r>
          </w:p>
        </w:tc>
        <w:tc>
          <w:tcPr>
            <w:tcW w:w="959" w:type="pct"/>
            <w:tcBorders>
              <w:top w:val="nil"/>
              <w:left w:val="nil"/>
              <w:bottom w:val="nil"/>
              <w:right w:val="nil"/>
            </w:tcBorders>
            <w:shd w:val="clear" w:color="000000" w:fill="FFFFFF"/>
            <w:noWrap/>
            <w:vAlign w:val="center"/>
            <w:hideMark/>
          </w:tcPr>
          <w:p w14:paraId="78EA8504" w14:textId="77777777" w:rsidR="00DC108A" w:rsidRPr="00852A8E" w:rsidRDefault="00DC108A" w:rsidP="00852A8E">
            <w:pPr>
              <w:spacing w:before="0" w:after="0" w:line="240" w:lineRule="auto"/>
              <w:rPr>
                <w:rFonts w:ascii="Arial" w:hAnsi="Arial" w:cs="Arial"/>
                <w:sz w:val="16"/>
                <w:szCs w:val="16"/>
              </w:rPr>
            </w:pPr>
            <w:r w:rsidRPr="00852A8E">
              <w:rPr>
                <w:rFonts w:ascii="Arial" w:hAnsi="Arial" w:cs="Arial"/>
                <w:sz w:val="16"/>
                <w:szCs w:val="16"/>
              </w:rPr>
              <w:t> </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57FDDC1E"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220,284</w:t>
            </w:r>
          </w:p>
        </w:tc>
        <w:tc>
          <w:tcPr>
            <w:tcW w:w="486" w:type="pct"/>
            <w:tcBorders>
              <w:top w:val="single" w:sz="4" w:space="0" w:color="293F5B"/>
              <w:left w:val="nil"/>
              <w:bottom w:val="single" w:sz="4" w:space="0" w:color="002A54" w:themeColor="text2"/>
              <w:right w:val="nil"/>
            </w:tcBorders>
            <w:shd w:val="clear" w:color="000000" w:fill="E6F2FF"/>
            <w:noWrap/>
            <w:vAlign w:val="center"/>
            <w:hideMark/>
          </w:tcPr>
          <w:p w14:paraId="40F259DE"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204,443</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2C6E73DD"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199,441</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245FB370"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200,697</w:t>
            </w:r>
          </w:p>
        </w:tc>
        <w:tc>
          <w:tcPr>
            <w:tcW w:w="486" w:type="pct"/>
            <w:tcBorders>
              <w:top w:val="single" w:sz="4" w:space="0" w:color="293F5B"/>
              <w:left w:val="nil"/>
              <w:bottom w:val="single" w:sz="4" w:space="0" w:color="002A54" w:themeColor="text2"/>
              <w:right w:val="nil"/>
            </w:tcBorders>
            <w:shd w:val="clear" w:color="000000" w:fill="FFFFFF"/>
            <w:noWrap/>
            <w:vAlign w:val="center"/>
            <w:hideMark/>
          </w:tcPr>
          <w:p w14:paraId="0673947A" w14:textId="77777777" w:rsidR="00DC108A" w:rsidRPr="00852A8E" w:rsidRDefault="00DC108A" w:rsidP="00852A8E">
            <w:pPr>
              <w:spacing w:before="0" w:after="0" w:line="240" w:lineRule="auto"/>
              <w:jc w:val="right"/>
              <w:rPr>
                <w:rFonts w:ascii="Arial" w:hAnsi="Arial" w:cs="Arial"/>
                <w:sz w:val="16"/>
                <w:szCs w:val="16"/>
              </w:rPr>
            </w:pPr>
            <w:r w:rsidRPr="00852A8E">
              <w:rPr>
                <w:rFonts w:ascii="Arial" w:hAnsi="Arial" w:cs="Arial"/>
                <w:sz w:val="16"/>
                <w:szCs w:val="16"/>
              </w:rPr>
              <w:t>201,410</w:t>
            </w:r>
          </w:p>
        </w:tc>
      </w:tr>
      <w:tr w:rsidR="00CD6A1C" w:rsidRPr="00DC108A" w14:paraId="2209D201" w14:textId="77777777" w:rsidTr="00815BAB">
        <w:trPr>
          <w:divId w:val="2066180223"/>
          <w:trHeight w:hRule="exact" w:val="225"/>
        </w:trPr>
        <w:tc>
          <w:tcPr>
            <w:tcW w:w="1610" w:type="pct"/>
            <w:tcBorders>
              <w:top w:val="single" w:sz="4" w:space="0" w:color="293F5B"/>
              <w:left w:val="nil"/>
              <w:bottom w:val="single" w:sz="4" w:space="0" w:color="002A54" w:themeColor="text2"/>
              <w:right w:val="nil"/>
            </w:tcBorders>
            <w:shd w:val="clear" w:color="000000" w:fill="FFFFFF"/>
            <w:noWrap/>
            <w:vAlign w:val="center"/>
            <w:hideMark/>
          </w:tcPr>
          <w:p w14:paraId="5E3C1798" w14:textId="77777777" w:rsidR="00DC108A" w:rsidRPr="00852A8E" w:rsidRDefault="00DC108A" w:rsidP="00852A8E">
            <w:pPr>
              <w:spacing w:before="0" w:after="0" w:line="240" w:lineRule="auto"/>
              <w:rPr>
                <w:rFonts w:ascii="Arial" w:hAnsi="Arial" w:cs="Arial"/>
                <w:b/>
                <w:sz w:val="16"/>
                <w:szCs w:val="16"/>
              </w:rPr>
            </w:pPr>
            <w:r w:rsidRPr="00852A8E">
              <w:rPr>
                <w:rFonts w:ascii="Arial" w:hAnsi="Arial" w:cs="Arial"/>
                <w:b/>
                <w:sz w:val="16"/>
                <w:szCs w:val="16"/>
              </w:rPr>
              <w:t>Total payments</w:t>
            </w:r>
          </w:p>
        </w:tc>
        <w:tc>
          <w:tcPr>
            <w:tcW w:w="959" w:type="pct"/>
            <w:tcBorders>
              <w:top w:val="single" w:sz="4" w:space="0" w:color="293F5B"/>
              <w:left w:val="nil"/>
              <w:bottom w:val="single" w:sz="4" w:space="0" w:color="002A54" w:themeColor="text2"/>
              <w:right w:val="nil"/>
            </w:tcBorders>
            <w:shd w:val="clear" w:color="000000" w:fill="FFFFFF"/>
            <w:noWrap/>
            <w:vAlign w:val="center"/>
            <w:hideMark/>
          </w:tcPr>
          <w:p w14:paraId="4261FA42" w14:textId="77777777" w:rsidR="00DC108A" w:rsidRPr="00852A8E" w:rsidRDefault="00DC108A" w:rsidP="00852A8E">
            <w:pPr>
              <w:spacing w:before="0" w:after="0" w:line="240" w:lineRule="auto"/>
              <w:rPr>
                <w:rFonts w:ascii="Arial" w:hAnsi="Arial" w:cs="Arial"/>
                <w:b/>
                <w:sz w:val="16"/>
                <w:szCs w:val="16"/>
              </w:rPr>
            </w:pPr>
            <w:r w:rsidRPr="00852A8E">
              <w:rPr>
                <w:rFonts w:ascii="Arial" w:hAnsi="Arial" w:cs="Arial"/>
                <w:b/>
                <w:sz w:val="16"/>
                <w:szCs w:val="16"/>
              </w:rPr>
              <w:t> </w:t>
            </w:r>
          </w:p>
        </w:tc>
        <w:tc>
          <w:tcPr>
            <w:tcW w:w="486" w:type="pct"/>
            <w:tcBorders>
              <w:top w:val="single" w:sz="4" w:space="0" w:color="002A54" w:themeColor="text2"/>
              <w:left w:val="nil"/>
              <w:bottom w:val="single" w:sz="4" w:space="0" w:color="002A54" w:themeColor="text2"/>
              <w:right w:val="nil"/>
            </w:tcBorders>
            <w:shd w:val="clear" w:color="000000" w:fill="FFFFFF"/>
            <w:noWrap/>
            <w:vAlign w:val="center"/>
            <w:hideMark/>
          </w:tcPr>
          <w:p w14:paraId="43CAA03A"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631,392</w:t>
            </w:r>
          </w:p>
        </w:tc>
        <w:tc>
          <w:tcPr>
            <w:tcW w:w="486" w:type="pct"/>
            <w:tcBorders>
              <w:top w:val="single" w:sz="4" w:space="0" w:color="002A54" w:themeColor="text2"/>
              <w:left w:val="nil"/>
              <w:bottom w:val="single" w:sz="4" w:space="0" w:color="002A54" w:themeColor="text2"/>
              <w:right w:val="nil"/>
            </w:tcBorders>
            <w:shd w:val="clear" w:color="000000" w:fill="E6F2FF"/>
            <w:noWrap/>
            <w:vAlign w:val="center"/>
            <w:hideMark/>
          </w:tcPr>
          <w:p w14:paraId="4F719A46"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682,060</w:t>
            </w:r>
          </w:p>
        </w:tc>
        <w:tc>
          <w:tcPr>
            <w:tcW w:w="486" w:type="pct"/>
            <w:tcBorders>
              <w:top w:val="single" w:sz="4" w:space="0" w:color="002A54" w:themeColor="text2"/>
              <w:left w:val="nil"/>
              <w:bottom w:val="single" w:sz="4" w:space="0" w:color="002A54" w:themeColor="text2"/>
              <w:right w:val="nil"/>
            </w:tcBorders>
            <w:shd w:val="clear" w:color="000000" w:fill="FFFFFF"/>
            <w:noWrap/>
            <w:vAlign w:val="center"/>
            <w:hideMark/>
          </w:tcPr>
          <w:p w14:paraId="54385B07"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706,296</w:t>
            </w:r>
          </w:p>
        </w:tc>
        <w:tc>
          <w:tcPr>
            <w:tcW w:w="486" w:type="pct"/>
            <w:tcBorders>
              <w:top w:val="single" w:sz="4" w:space="0" w:color="002A54" w:themeColor="text2"/>
              <w:left w:val="nil"/>
              <w:bottom w:val="single" w:sz="4" w:space="0" w:color="002A54" w:themeColor="text2"/>
              <w:right w:val="nil"/>
            </w:tcBorders>
            <w:shd w:val="clear" w:color="000000" w:fill="FFFFFF"/>
            <w:noWrap/>
            <w:vAlign w:val="center"/>
            <w:hideMark/>
          </w:tcPr>
          <w:p w14:paraId="1108EF17"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737,549</w:t>
            </w:r>
          </w:p>
        </w:tc>
        <w:tc>
          <w:tcPr>
            <w:tcW w:w="486" w:type="pct"/>
            <w:tcBorders>
              <w:top w:val="single" w:sz="4" w:space="0" w:color="002A54" w:themeColor="text2"/>
              <w:left w:val="nil"/>
              <w:bottom w:val="single" w:sz="4" w:space="0" w:color="002A54" w:themeColor="text2"/>
              <w:right w:val="nil"/>
            </w:tcBorders>
            <w:shd w:val="clear" w:color="000000" w:fill="FFFFFF"/>
            <w:noWrap/>
            <w:vAlign w:val="center"/>
            <w:hideMark/>
          </w:tcPr>
          <w:p w14:paraId="1EC90D24" w14:textId="77777777" w:rsidR="00DC108A" w:rsidRPr="00852A8E" w:rsidRDefault="00DC108A" w:rsidP="00852A8E">
            <w:pPr>
              <w:spacing w:before="0" w:after="0" w:line="240" w:lineRule="auto"/>
              <w:jc w:val="right"/>
              <w:rPr>
                <w:rFonts w:ascii="Arial" w:hAnsi="Arial" w:cs="Arial"/>
                <w:b/>
                <w:sz w:val="16"/>
                <w:szCs w:val="16"/>
              </w:rPr>
            </w:pPr>
            <w:r w:rsidRPr="00852A8E">
              <w:rPr>
                <w:rFonts w:ascii="Arial" w:hAnsi="Arial" w:cs="Arial"/>
                <w:b/>
                <w:sz w:val="16"/>
                <w:szCs w:val="16"/>
              </w:rPr>
              <w:t>763,569</w:t>
            </w:r>
          </w:p>
        </w:tc>
      </w:tr>
    </w:tbl>
    <w:p w14:paraId="680D2541" w14:textId="6DA26F49" w:rsidR="0038796D" w:rsidRPr="000177D7" w:rsidRDefault="0038796D" w:rsidP="00173739">
      <w:pPr>
        <w:pStyle w:val="ChartandTableFootnoteAlpha"/>
        <w:numPr>
          <w:ilvl w:val="0"/>
          <w:numId w:val="20"/>
        </w:numPr>
        <w:ind w:left="284" w:hanging="284"/>
        <w:rPr>
          <w:color w:val="auto"/>
        </w:rPr>
      </w:pPr>
      <w:r w:rsidRPr="000177D7">
        <w:rPr>
          <w:color w:val="auto"/>
        </w:rPr>
        <w:t>The entry for each program includes eliminations for inter</w:t>
      </w:r>
      <w:r w:rsidR="00D34B95">
        <w:rPr>
          <w:color w:val="auto"/>
        </w:rPr>
        <w:noBreakHyphen/>
      </w:r>
      <w:r w:rsidRPr="000177D7">
        <w:rPr>
          <w:color w:val="auto"/>
        </w:rPr>
        <w:t>agency transactions within that program.</w:t>
      </w:r>
    </w:p>
    <w:p w14:paraId="5B5B2752" w14:textId="77777777" w:rsidR="0038796D" w:rsidRDefault="0038796D" w:rsidP="00173739">
      <w:pPr>
        <w:pStyle w:val="ChartandTableFootnoteAlpha"/>
        <w:numPr>
          <w:ilvl w:val="0"/>
          <w:numId w:val="20"/>
        </w:numPr>
        <w:ind w:left="284" w:hanging="284"/>
        <w:rPr>
          <w:color w:val="auto"/>
        </w:rPr>
      </w:pPr>
      <w:r w:rsidRPr="000177D7">
        <w:rPr>
          <w:color w:val="auto"/>
        </w:rPr>
        <w:t>This program is a combination of agency costs, support for participants and administered expenses.</w:t>
      </w:r>
    </w:p>
    <w:p w14:paraId="7054DE1B" w14:textId="71AB1309" w:rsidR="00E91AE7" w:rsidRPr="00061B74" w:rsidRDefault="0038796D" w:rsidP="00173739">
      <w:pPr>
        <w:pStyle w:val="ChartandTableFootnoteAlpha"/>
        <w:numPr>
          <w:ilvl w:val="0"/>
          <w:numId w:val="20"/>
        </w:numPr>
        <w:ind w:left="284" w:hanging="284"/>
      </w:pPr>
      <w:r>
        <w:t>This program is a new program at the 2023</w:t>
      </w:r>
      <w:r w:rsidR="00485F94">
        <w:t>–</w:t>
      </w:r>
      <w:r>
        <w:t>24 Budget and reflects the majority of the expenditure of the October Budget program Family Assistance</w:t>
      </w:r>
      <w:r w:rsidRPr="00061B74">
        <w:rPr>
          <w:color w:val="auto"/>
        </w:rPr>
        <w:t>.</w:t>
      </w:r>
    </w:p>
    <w:p w14:paraId="723D3DBE" w14:textId="77777777" w:rsidR="00D211CC" w:rsidRPr="000177D7" w:rsidRDefault="00D211CC" w:rsidP="00D211CC">
      <w:pPr>
        <w:pStyle w:val="TableLine"/>
      </w:pPr>
    </w:p>
    <w:p w14:paraId="0ECBA18A" w14:textId="58657BC3" w:rsidR="00C855DF" w:rsidRPr="000177D7" w:rsidRDefault="00C855DF" w:rsidP="00C855DF">
      <w:pPr>
        <w:pStyle w:val="Heading2"/>
      </w:pPr>
      <w:bookmarkStart w:id="33" w:name="_Toc134169612"/>
      <w:r w:rsidRPr="000177D7">
        <w:lastRenderedPageBreak/>
        <w:t>General government sector expenses</w:t>
      </w:r>
      <w:bookmarkEnd w:id="30"/>
      <w:bookmarkEnd w:id="32"/>
      <w:bookmarkEnd w:id="33"/>
    </w:p>
    <w:p w14:paraId="3500F6F6" w14:textId="77777777" w:rsidR="00C855DF" w:rsidRPr="000177D7" w:rsidRDefault="00C855DF" w:rsidP="00C855DF">
      <w:pPr>
        <w:pStyle w:val="Heading3"/>
      </w:pPr>
      <w:bookmarkStart w:id="34" w:name="_Toc99203679"/>
      <w:bookmarkStart w:id="35" w:name="_Toc117358172"/>
      <w:bookmarkStart w:id="36" w:name="_Toc134169613"/>
      <w:r w:rsidRPr="000177D7">
        <w:t>General public services</w:t>
      </w:r>
      <w:bookmarkEnd w:id="34"/>
      <w:bookmarkEnd w:id="35"/>
      <w:bookmarkEnd w:id="36"/>
    </w:p>
    <w:p w14:paraId="6AC588BB" w14:textId="4137DEE3" w:rsidR="00B561FF" w:rsidRPr="000177D7" w:rsidRDefault="0050166A" w:rsidP="00B561FF">
      <w:bookmarkStart w:id="37" w:name="_Toc4689182"/>
      <w:bookmarkEnd w:id="26"/>
      <w:bookmarkEnd w:id="27"/>
      <w:r w:rsidRPr="000177D7">
        <w:t>The general public services function includes expenses to support the organisation and operation of government such as those related to the Parliament</w:t>
      </w:r>
      <w:r>
        <w:t>,</w:t>
      </w:r>
      <w:r w:rsidRPr="000177D7">
        <w:t xml:space="preserve"> the Governor</w:t>
      </w:r>
      <w:r w:rsidR="00D34B95">
        <w:noBreakHyphen/>
      </w:r>
      <w:r w:rsidRPr="000177D7">
        <w:t>General</w:t>
      </w:r>
      <w:r>
        <w:t>,</w:t>
      </w:r>
      <w:r w:rsidRPr="000177D7">
        <w:t xml:space="preserve"> the conduct of elections</w:t>
      </w:r>
      <w:r>
        <w:t>,</w:t>
      </w:r>
      <w:r w:rsidRPr="000177D7">
        <w:t xml:space="preserve"> the collection of taxes and management of public funds and debt</w:t>
      </w:r>
      <w:r>
        <w:t>,</w:t>
      </w:r>
      <w:r w:rsidRPr="000177D7">
        <w:t xml:space="preserve"> assistance to developing countries to reduce poverty and achieve sustainable development, particularly countries in the Pacific region</w:t>
      </w:r>
      <w:r>
        <w:t>,</w:t>
      </w:r>
      <w:r w:rsidRPr="000177D7">
        <w:t xml:space="preserve"> contributions to international organisations</w:t>
      </w:r>
      <w:r>
        <w:t>,</w:t>
      </w:r>
      <w:r w:rsidRPr="000177D7">
        <w:t xml:space="preserve"> and foreign affairs. It also includes expenses related to research in areas not otherwise connected with a specific function, those associated with overall economic and statistical services, as well as government superannuation benefits (excluding nominal interest expenses on unfunded liabilities, which are included under the nominal superannuation interest sub</w:t>
      </w:r>
      <w:r w:rsidR="00D34B95">
        <w:noBreakHyphen/>
      </w:r>
      <w:r w:rsidRPr="000177D7">
        <w:t>function in the other purposes function).</w:t>
      </w:r>
    </w:p>
    <w:p w14:paraId="182D7AF8" w14:textId="0C427C2D" w:rsidR="0011561D" w:rsidRDefault="00C855DF" w:rsidP="0011561D">
      <w:pPr>
        <w:pStyle w:val="TableHeading"/>
        <w:rPr>
          <w:rFonts w:asciiTheme="minorHAnsi" w:eastAsiaTheme="minorHAnsi" w:hAnsiTheme="minorHAnsi" w:cstheme="minorBidi"/>
          <w:sz w:val="22"/>
          <w:szCs w:val="22"/>
          <w:lang w:eastAsia="en-US"/>
        </w:rPr>
      </w:pPr>
      <w:r w:rsidRPr="000177D7">
        <w:t xml:space="preserve">Table 6.4: Summary of expenses </w:t>
      </w:r>
      <w:r w:rsidR="00980702">
        <w:t>–</w:t>
      </w:r>
      <w:r w:rsidRPr="000177D7">
        <w:t xml:space="preserve"> general public services</w:t>
      </w:r>
      <w:bookmarkStart w:id="38" w:name="_1555606405"/>
      <w:bookmarkStart w:id="39" w:name="_1727774268"/>
      <w:bookmarkEnd w:id="38"/>
      <w:bookmarkEnd w:id="39"/>
    </w:p>
    <w:tbl>
      <w:tblPr>
        <w:tblW w:w="5000" w:type="pct"/>
        <w:tblCellMar>
          <w:left w:w="0" w:type="dxa"/>
          <w:right w:w="28" w:type="dxa"/>
        </w:tblCellMar>
        <w:tblLook w:val="04A0" w:firstRow="1" w:lastRow="0" w:firstColumn="1" w:lastColumn="0" w:noHBand="0" w:noVBand="1"/>
      </w:tblPr>
      <w:tblGrid>
        <w:gridCol w:w="3414"/>
        <w:gridCol w:w="860"/>
        <w:gridCol w:w="859"/>
        <w:gridCol w:w="859"/>
        <w:gridCol w:w="859"/>
        <w:gridCol w:w="859"/>
      </w:tblGrid>
      <w:tr w:rsidR="00B148DD" w:rsidRPr="00B148DD" w14:paraId="571D611A" w14:textId="77777777" w:rsidTr="00BD18C7">
        <w:trPr>
          <w:divId w:val="107285718"/>
          <w:trHeight w:hRule="exact" w:val="225"/>
        </w:trPr>
        <w:tc>
          <w:tcPr>
            <w:tcW w:w="2214" w:type="pct"/>
            <w:tcBorders>
              <w:top w:val="single" w:sz="4" w:space="0" w:color="293F5B"/>
              <w:left w:val="nil"/>
              <w:bottom w:val="nil"/>
              <w:right w:val="nil"/>
            </w:tcBorders>
            <w:shd w:val="clear" w:color="000000" w:fill="FFFFFF"/>
            <w:noWrap/>
            <w:vAlign w:val="center"/>
            <w:hideMark/>
          </w:tcPr>
          <w:p w14:paraId="6A58D9B2" w14:textId="64046898" w:rsidR="00B148DD" w:rsidRPr="00B148DD" w:rsidRDefault="00B148DD" w:rsidP="00B148DD">
            <w:pPr>
              <w:spacing w:before="0" w:after="0" w:line="240" w:lineRule="auto"/>
              <w:rPr>
                <w:rFonts w:ascii="Arial" w:hAnsi="Arial" w:cs="Arial"/>
                <w:b/>
                <w:bCs/>
                <w:color w:val="000000"/>
                <w:sz w:val="16"/>
                <w:szCs w:val="16"/>
              </w:rPr>
            </w:pPr>
            <w:r w:rsidRPr="00B148DD">
              <w:rPr>
                <w:rFonts w:ascii="Arial" w:hAnsi="Arial" w:cs="Arial"/>
                <w:b/>
                <w:bCs/>
                <w:color w:val="000000"/>
                <w:sz w:val="16"/>
                <w:szCs w:val="16"/>
              </w:rPr>
              <w:t>Sub-function</w:t>
            </w:r>
          </w:p>
        </w:tc>
        <w:tc>
          <w:tcPr>
            <w:tcW w:w="2786" w:type="pct"/>
            <w:gridSpan w:val="5"/>
            <w:tcBorders>
              <w:top w:val="single" w:sz="4" w:space="0" w:color="293F5B"/>
              <w:left w:val="nil"/>
              <w:bottom w:val="single" w:sz="4" w:space="0" w:color="293F5B"/>
              <w:right w:val="nil"/>
            </w:tcBorders>
            <w:shd w:val="clear" w:color="000000" w:fill="FFFFFF"/>
            <w:noWrap/>
            <w:vAlign w:val="center"/>
            <w:hideMark/>
          </w:tcPr>
          <w:p w14:paraId="6DA46757" w14:textId="77777777" w:rsidR="00B148DD" w:rsidRPr="00B148DD" w:rsidRDefault="00B148DD" w:rsidP="00B148DD">
            <w:pPr>
              <w:spacing w:before="0" w:after="0" w:line="240" w:lineRule="auto"/>
              <w:jc w:val="center"/>
              <w:rPr>
                <w:rFonts w:ascii="Arial" w:hAnsi="Arial" w:cs="Arial"/>
                <w:color w:val="000000"/>
                <w:sz w:val="16"/>
                <w:szCs w:val="16"/>
              </w:rPr>
            </w:pPr>
            <w:r w:rsidRPr="00B148DD">
              <w:rPr>
                <w:rFonts w:ascii="Arial" w:hAnsi="Arial" w:cs="Arial"/>
                <w:color w:val="000000"/>
                <w:sz w:val="16"/>
                <w:szCs w:val="16"/>
              </w:rPr>
              <w:t>Estimates</w:t>
            </w:r>
          </w:p>
        </w:tc>
      </w:tr>
      <w:tr w:rsidR="00B148DD" w:rsidRPr="00B148DD" w14:paraId="07CBFC9D" w14:textId="77777777" w:rsidTr="00B148DD">
        <w:trPr>
          <w:divId w:val="107285718"/>
          <w:trHeight w:hRule="exact" w:val="225"/>
        </w:trPr>
        <w:tc>
          <w:tcPr>
            <w:tcW w:w="2214" w:type="pct"/>
            <w:tcBorders>
              <w:top w:val="nil"/>
              <w:left w:val="nil"/>
              <w:bottom w:val="nil"/>
              <w:right w:val="nil"/>
            </w:tcBorders>
            <w:shd w:val="clear" w:color="000000" w:fill="FFFFFF"/>
            <w:noWrap/>
            <w:vAlign w:val="bottom"/>
            <w:hideMark/>
          </w:tcPr>
          <w:p w14:paraId="1D22FCE3"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 </w:t>
            </w:r>
          </w:p>
        </w:tc>
        <w:tc>
          <w:tcPr>
            <w:tcW w:w="558" w:type="pct"/>
            <w:tcBorders>
              <w:top w:val="single" w:sz="4" w:space="0" w:color="293F5B"/>
              <w:left w:val="nil"/>
              <w:bottom w:val="nil"/>
              <w:right w:val="nil"/>
            </w:tcBorders>
            <w:shd w:val="clear" w:color="000000" w:fill="FFFFFF"/>
            <w:noWrap/>
            <w:vAlign w:val="center"/>
            <w:hideMark/>
          </w:tcPr>
          <w:p w14:paraId="624C4D28" w14:textId="77777777" w:rsidR="00B148DD" w:rsidRPr="00B148DD" w:rsidRDefault="00B148DD" w:rsidP="00B148DD">
            <w:pPr>
              <w:spacing w:before="0" w:after="0" w:line="240" w:lineRule="auto"/>
              <w:jc w:val="right"/>
              <w:rPr>
                <w:rFonts w:ascii="Arial" w:hAnsi="Arial" w:cs="Arial"/>
                <w:sz w:val="16"/>
                <w:szCs w:val="16"/>
              </w:rPr>
            </w:pPr>
            <w:r w:rsidRPr="00B148DD">
              <w:rPr>
                <w:rFonts w:ascii="Arial" w:hAnsi="Arial" w:cs="Arial"/>
                <w:sz w:val="16"/>
                <w:szCs w:val="16"/>
              </w:rPr>
              <w:t>2022–23</w:t>
            </w:r>
          </w:p>
        </w:tc>
        <w:tc>
          <w:tcPr>
            <w:tcW w:w="557" w:type="pct"/>
            <w:tcBorders>
              <w:top w:val="single" w:sz="4" w:space="0" w:color="293F5B"/>
              <w:left w:val="nil"/>
              <w:bottom w:val="nil"/>
              <w:right w:val="nil"/>
            </w:tcBorders>
            <w:shd w:val="clear" w:color="000000" w:fill="E6F2FF"/>
            <w:noWrap/>
            <w:vAlign w:val="center"/>
            <w:hideMark/>
          </w:tcPr>
          <w:p w14:paraId="2438D651" w14:textId="77777777" w:rsidR="00B148DD" w:rsidRPr="00B148DD" w:rsidRDefault="00B148DD" w:rsidP="00B148DD">
            <w:pPr>
              <w:spacing w:before="0" w:after="0" w:line="240" w:lineRule="auto"/>
              <w:jc w:val="right"/>
              <w:rPr>
                <w:rFonts w:ascii="Arial" w:hAnsi="Arial" w:cs="Arial"/>
                <w:sz w:val="16"/>
                <w:szCs w:val="16"/>
              </w:rPr>
            </w:pPr>
            <w:r w:rsidRPr="00B148DD">
              <w:rPr>
                <w:rFonts w:ascii="Arial" w:hAnsi="Arial" w:cs="Arial"/>
                <w:sz w:val="16"/>
                <w:szCs w:val="16"/>
              </w:rPr>
              <w:t>2023–24</w:t>
            </w:r>
          </w:p>
        </w:tc>
        <w:tc>
          <w:tcPr>
            <w:tcW w:w="557" w:type="pct"/>
            <w:tcBorders>
              <w:top w:val="single" w:sz="4" w:space="0" w:color="293F5B"/>
              <w:left w:val="nil"/>
              <w:bottom w:val="nil"/>
              <w:right w:val="nil"/>
            </w:tcBorders>
            <w:shd w:val="clear" w:color="000000" w:fill="FFFFFF"/>
            <w:noWrap/>
            <w:vAlign w:val="center"/>
            <w:hideMark/>
          </w:tcPr>
          <w:p w14:paraId="3382B2A6" w14:textId="77777777" w:rsidR="00B148DD" w:rsidRPr="00B148DD" w:rsidRDefault="00B148DD" w:rsidP="00B148DD">
            <w:pPr>
              <w:spacing w:before="0" w:after="0" w:line="240" w:lineRule="auto"/>
              <w:jc w:val="right"/>
              <w:rPr>
                <w:rFonts w:ascii="Arial" w:hAnsi="Arial" w:cs="Arial"/>
                <w:sz w:val="16"/>
                <w:szCs w:val="16"/>
              </w:rPr>
            </w:pPr>
            <w:r w:rsidRPr="00B148DD">
              <w:rPr>
                <w:rFonts w:ascii="Arial" w:hAnsi="Arial" w:cs="Arial"/>
                <w:sz w:val="16"/>
                <w:szCs w:val="16"/>
              </w:rPr>
              <w:t>2024–25</w:t>
            </w:r>
          </w:p>
        </w:tc>
        <w:tc>
          <w:tcPr>
            <w:tcW w:w="557" w:type="pct"/>
            <w:tcBorders>
              <w:top w:val="single" w:sz="4" w:space="0" w:color="293F5B"/>
              <w:left w:val="nil"/>
              <w:bottom w:val="nil"/>
              <w:right w:val="nil"/>
            </w:tcBorders>
            <w:shd w:val="clear" w:color="000000" w:fill="FFFFFF"/>
            <w:noWrap/>
            <w:vAlign w:val="center"/>
            <w:hideMark/>
          </w:tcPr>
          <w:p w14:paraId="380C6040" w14:textId="77777777" w:rsidR="00B148DD" w:rsidRPr="00B148DD" w:rsidRDefault="00B148DD" w:rsidP="00B148DD">
            <w:pPr>
              <w:spacing w:before="0" w:after="0" w:line="240" w:lineRule="auto"/>
              <w:jc w:val="right"/>
              <w:rPr>
                <w:rFonts w:ascii="Arial" w:hAnsi="Arial" w:cs="Arial"/>
                <w:sz w:val="16"/>
                <w:szCs w:val="16"/>
              </w:rPr>
            </w:pPr>
            <w:r w:rsidRPr="00B148DD">
              <w:rPr>
                <w:rFonts w:ascii="Arial" w:hAnsi="Arial" w:cs="Arial"/>
                <w:sz w:val="16"/>
                <w:szCs w:val="16"/>
              </w:rPr>
              <w:t>2025–26</w:t>
            </w:r>
          </w:p>
        </w:tc>
        <w:tc>
          <w:tcPr>
            <w:tcW w:w="557" w:type="pct"/>
            <w:tcBorders>
              <w:top w:val="single" w:sz="4" w:space="0" w:color="293F5B"/>
              <w:left w:val="nil"/>
              <w:bottom w:val="nil"/>
              <w:right w:val="nil"/>
            </w:tcBorders>
            <w:shd w:val="clear" w:color="000000" w:fill="FFFFFF"/>
            <w:noWrap/>
            <w:vAlign w:val="center"/>
            <w:hideMark/>
          </w:tcPr>
          <w:p w14:paraId="4DD537D6"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2026–27</w:t>
            </w:r>
          </w:p>
        </w:tc>
      </w:tr>
      <w:tr w:rsidR="00B148DD" w:rsidRPr="00B148DD" w14:paraId="4552AA05"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37A6CDC8"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 </w:t>
            </w:r>
          </w:p>
        </w:tc>
        <w:tc>
          <w:tcPr>
            <w:tcW w:w="558" w:type="pct"/>
            <w:tcBorders>
              <w:top w:val="single" w:sz="4" w:space="0" w:color="293F5B"/>
              <w:left w:val="nil"/>
              <w:bottom w:val="single" w:sz="4" w:space="0" w:color="293F5B"/>
              <w:right w:val="nil"/>
            </w:tcBorders>
            <w:shd w:val="clear" w:color="000000" w:fill="FFFFFF"/>
            <w:noWrap/>
            <w:vAlign w:val="center"/>
            <w:hideMark/>
          </w:tcPr>
          <w:p w14:paraId="153134B8"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$m</w:t>
            </w:r>
          </w:p>
        </w:tc>
        <w:tc>
          <w:tcPr>
            <w:tcW w:w="557" w:type="pct"/>
            <w:tcBorders>
              <w:top w:val="single" w:sz="4" w:space="0" w:color="293F5B"/>
              <w:left w:val="nil"/>
              <w:bottom w:val="single" w:sz="4" w:space="0" w:color="293F5B"/>
              <w:right w:val="nil"/>
            </w:tcBorders>
            <w:shd w:val="clear" w:color="000000" w:fill="E6F2FF"/>
            <w:noWrap/>
            <w:vAlign w:val="center"/>
            <w:hideMark/>
          </w:tcPr>
          <w:p w14:paraId="1BC04020"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$m</w:t>
            </w:r>
          </w:p>
        </w:tc>
        <w:tc>
          <w:tcPr>
            <w:tcW w:w="557" w:type="pct"/>
            <w:tcBorders>
              <w:top w:val="single" w:sz="4" w:space="0" w:color="293F5B"/>
              <w:left w:val="nil"/>
              <w:bottom w:val="single" w:sz="4" w:space="0" w:color="293F5B"/>
              <w:right w:val="nil"/>
            </w:tcBorders>
            <w:shd w:val="clear" w:color="000000" w:fill="FFFFFF"/>
            <w:noWrap/>
            <w:vAlign w:val="center"/>
            <w:hideMark/>
          </w:tcPr>
          <w:p w14:paraId="3968D7D4"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$m</w:t>
            </w:r>
          </w:p>
        </w:tc>
        <w:tc>
          <w:tcPr>
            <w:tcW w:w="557" w:type="pct"/>
            <w:tcBorders>
              <w:top w:val="single" w:sz="4" w:space="0" w:color="293F5B"/>
              <w:left w:val="nil"/>
              <w:bottom w:val="single" w:sz="4" w:space="0" w:color="293F5B"/>
              <w:right w:val="nil"/>
            </w:tcBorders>
            <w:shd w:val="clear" w:color="000000" w:fill="FFFFFF"/>
            <w:noWrap/>
            <w:vAlign w:val="center"/>
            <w:hideMark/>
          </w:tcPr>
          <w:p w14:paraId="062CAF72"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$m</w:t>
            </w:r>
          </w:p>
        </w:tc>
        <w:tc>
          <w:tcPr>
            <w:tcW w:w="557" w:type="pct"/>
            <w:tcBorders>
              <w:top w:val="single" w:sz="4" w:space="0" w:color="293F5B"/>
              <w:left w:val="nil"/>
              <w:bottom w:val="single" w:sz="4" w:space="0" w:color="293F5B"/>
              <w:right w:val="nil"/>
            </w:tcBorders>
            <w:shd w:val="clear" w:color="000000" w:fill="FFFFFF"/>
            <w:noWrap/>
            <w:vAlign w:val="center"/>
            <w:hideMark/>
          </w:tcPr>
          <w:p w14:paraId="7B534A34"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$m</w:t>
            </w:r>
          </w:p>
        </w:tc>
      </w:tr>
      <w:tr w:rsidR="00B148DD" w:rsidRPr="00B148DD" w14:paraId="61C996FC"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0F5168D9"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Legislative and executive affairs</w:t>
            </w:r>
          </w:p>
        </w:tc>
        <w:tc>
          <w:tcPr>
            <w:tcW w:w="558" w:type="pct"/>
            <w:tcBorders>
              <w:top w:val="nil"/>
              <w:left w:val="nil"/>
              <w:bottom w:val="nil"/>
              <w:right w:val="nil"/>
            </w:tcBorders>
            <w:shd w:val="clear" w:color="000000" w:fill="FFFFFF"/>
            <w:noWrap/>
            <w:vAlign w:val="center"/>
            <w:hideMark/>
          </w:tcPr>
          <w:p w14:paraId="412FF6F1"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1,574</w:t>
            </w:r>
          </w:p>
        </w:tc>
        <w:tc>
          <w:tcPr>
            <w:tcW w:w="557" w:type="pct"/>
            <w:tcBorders>
              <w:top w:val="nil"/>
              <w:left w:val="nil"/>
              <w:bottom w:val="nil"/>
              <w:right w:val="nil"/>
            </w:tcBorders>
            <w:shd w:val="clear" w:color="000000" w:fill="E6F2FF"/>
            <w:noWrap/>
            <w:vAlign w:val="center"/>
            <w:hideMark/>
          </w:tcPr>
          <w:p w14:paraId="68215889"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2,003</w:t>
            </w:r>
          </w:p>
        </w:tc>
        <w:tc>
          <w:tcPr>
            <w:tcW w:w="557" w:type="pct"/>
            <w:tcBorders>
              <w:top w:val="nil"/>
              <w:left w:val="nil"/>
              <w:bottom w:val="nil"/>
              <w:right w:val="nil"/>
            </w:tcBorders>
            <w:shd w:val="clear" w:color="000000" w:fill="FFFFFF"/>
            <w:noWrap/>
            <w:vAlign w:val="center"/>
            <w:hideMark/>
          </w:tcPr>
          <w:p w14:paraId="624E6991"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1,901</w:t>
            </w:r>
          </w:p>
        </w:tc>
        <w:tc>
          <w:tcPr>
            <w:tcW w:w="557" w:type="pct"/>
            <w:tcBorders>
              <w:top w:val="nil"/>
              <w:left w:val="nil"/>
              <w:bottom w:val="nil"/>
              <w:right w:val="nil"/>
            </w:tcBorders>
            <w:shd w:val="clear" w:color="000000" w:fill="FFFFFF"/>
            <w:noWrap/>
            <w:vAlign w:val="center"/>
            <w:hideMark/>
          </w:tcPr>
          <w:p w14:paraId="7534CBCB"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1,538</w:t>
            </w:r>
          </w:p>
        </w:tc>
        <w:tc>
          <w:tcPr>
            <w:tcW w:w="557" w:type="pct"/>
            <w:tcBorders>
              <w:top w:val="nil"/>
              <w:left w:val="nil"/>
              <w:bottom w:val="nil"/>
              <w:right w:val="nil"/>
            </w:tcBorders>
            <w:shd w:val="clear" w:color="000000" w:fill="FFFFFF"/>
            <w:noWrap/>
            <w:vAlign w:val="center"/>
            <w:hideMark/>
          </w:tcPr>
          <w:p w14:paraId="057B2F13"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1,560</w:t>
            </w:r>
          </w:p>
        </w:tc>
      </w:tr>
      <w:tr w:rsidR="00B148DD" w:rsidRPr="00B148DD" w14:paraId="7A4D87F9"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0DB22C66"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Financial and fiscal affairs</w:t>
            </w:r>
          </w:p>
        </w:tc>
        <w:tc>
          <w:tcPr>
            <w:tcW w:w="558" w:type="pct"/>
            <w:tcBorders>
              <w:top w:val="nil"/>
              <w:left w:val="nil"/>
              <w:bottom w:val="nil"/>
              <w:right w:val="nil"/>
            </w:tcBorders>
            <w:shd w:val="clear" w:color="000000" w:fill="FFFFFF"/>
            <w:noWrap/>
            <w:vAlign w:val="center"/>
            <w:hideMark/>
          </w:tcPr>
          <w:p w14:paraId="075DF949"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9,309</w:t>
            </w:r>
          </w:p>
        </w:tc>
        <w:tc>
          <w:tcPr>
            <w:tcW w:w="557" w:type="pct"/>
            <w:tcBorders>
              <w:top w:val="nil"/>
              <w:left w:val="nil"/>
              <w:bottom w:val="nil"/>
              <w:right w:val="nil"/>
            </w:tcBorders>
            <w:shd w:val="clear" w:color="000000" w:fill="E6F2FF"/>
            <w:noWrap/>
            <w:vAlign w:val="center"/>
            <w:hideMark/>
          </w:tcPr>
          <w:p w14:paraId="3B3109C9"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9,137</w:t>
            </w:r>
          </w:p>
        </w:tc>
        <w:tc>
          <w:tcPr>
            <w:tcW w:w="557" w:type="pct"/>
            <w:tcBorders>
              <w:top w:val="nil"/>
              <w:left w:val="nil"/>
              <w:bottom w:val="nil"/>
              <w:right w:val="nil"/>
            </w:tcBorders>
            <w:shd w:val="clear" w:color="000000" w:fill="FFFFFF"/>
            <w:noWrap/>
            <w:vAlign w:val="center"/>
            <w:hideMark/>
          </w:tcPr>
          <w:p w14:paraId="63513A8F"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9,038</w:t>
            </w:r>
          </w:p>
        </w:tc>
        <w:tc>
          <w:tcPr>
            <w:tcW w:w="557" w:type="pct"/>
            <w:tcBorders>
              <w:top w:val="nil"/>
              <w:left w:val="nil"/>
              <w:bottom w:val="nil"/>
              <w:right w:val="nil"/>
            </w:tcBorders>
            <w:shd w:val="clear" w:color="000000" w:fill="FFFFFF"/>
            <w:noWrap/>
            <w:vAlign w:val="center"/>
            <w:hideMark/>
          </w:tcPr>
          <w:p w14:paraId="3E407849"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9,257</w:t>
            </w:r>
          </w:p>
        </w:tc>
        <w:tc>
          <w:tcPr>
            <w:tcW w:w="557" w:type="pct"/>
            <w:tcBorders>
              <w:top w:val="nil"/>
              <w:left w:val="nil"/>
              <w:bottom w:val="nil"/>
              <w:right w:val="nil"/>
            </w:tcBorders>
            <w:shd w:val="clear" w:color="000000" w:fill="FFFFFF"/>
            <w:noWrap/>
            <w:vAlign w:val="center"/>
            <w:hideMark/>
          </w:tcPr>
          <w:p w14:paraId="4A53576B"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8,687</w:t>
            </w:r>
          </w:p>
        </w:tc>
      </w:tr>
      <w:tr w:rsidR="00B148DD" w:rsidRPr="00B148DD" w14:paraId="4779151D"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0B664F13"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Foreign affairs and economic aid</w:t>
            </w:r>
          </w:p>
        </w:tc>
        <w:tc>
          <w:tcPr>
            <w:tcW w:w="558" w:type="pct"/>
            <w:tcBorders>
              <w:top w:val="nil"/>
              <w:left w:val="nil"/>
              <w:bottom w:val="nil"/>
              <w:right w:val="nil"/>
            </w:tcBorders>
            <w:shd w:val="clear" w:color="000000" w:fill="FFFFFF"/>
            <w:noWrap/>
            <w:vAlign w:val="center"/>
            <w:hideMark/>
          </w:tcPr>
          <w:p w14:paraId="6EF449DE"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7,622</w:t>
            </w:r>
          </w:p>
        </w:tc>
        <w:tc>
          <w:tcPr>
            <w:tcW w:w="557" w:type="pct"/>
            <w:tcBorders>
              <w:top w:val="nil"/>
              <w:left w:val="nil"/>
              <w:bottom w:val="nil"/>
              <w:right w:val="nil"/>
            </w:tcBorders>
            <w:shd w:val="clear" w:color="000000" w:fill="E6F2FF"/>
            <w:noWrap/>
            <w:vAlign w:val="center"/>
            <w:hideMark/>
          </w:tcPr>
          <w:p w14:paraId="2CC2ABCE"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7,166</w:t>
            </w:r>
          </w:p>
        </w:tc>
        <w:tc>
          <w:tcPr>
            <w:tcW w:w="557" w:type="pct"/>
            <w:tcBorders>
              <w:top w:val="nil"/>
              <w:left w:val="nil"/>
              <w:bottom w:val="nil"/>
              <w:right w:val="nil"/>
            </w:tcBorders>
            <w:shd w:val="clear" w:color="000000" w:fill="FFFFFF"/>
            <w:noWrap/>
            <w:vAlign w:val="center"/>
            <w:hideMark/>
          </w:tcPr>
          <w:p w14:paraId="4345D5E0"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8,179</w:t>
            </w:r>
          </w:p>
        </w:tc>
        <w:tc>
          <w:tcPr>
            <w:tcW w:w="557" w:type="pct"/>
            <w:tcBorders>
              <w:top w:val="nil"/>
              <w:left w:val="nil"/>
              <w:bottom w:val="nil"/>
              <w:right w:val="nil"/>
            </w:tcBorders>
            <w:shd w:val="clear" w:color="000000" w:fill="FFFFFF"/>
            <w:noWrap/>
            <w:vAlign w:val="center"/>
            <w:hideMark/>
          </w:tcPr>
          <w:p w14:paraId="692ADC9F"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7,294</w:t>
            </w:r>
          </w:p>
        </w:tc>
        <w:tc>
          <w:tcPr>
            <w:tcW w:w="557" w:type="pct"/>
            <w:tcBorders>
              <w:top w:val="nil"/>
              <w:left w:val="nil"/>
              <w:bottom w:val="nil"/>
              <w:right w:val="nil"/>
            </w:tcBorders>
            <w:shd w:val="clear" w:color="000000" w:fill="FFFFFF"/>
            <w:noWrap/>
            <w:vAlign w:val="center"/>
            <w:hideMark/>
          </w:tcPr>
          <w:p w14:paraId="2C5EAF55"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7,725</w:t>
            </w:r>
          </w:p>
        </w:tc>
      </w:tr>
      <w:tr w:rsidR="00B148DD" w:rsidRPr="00B148DD" w14:paraId="4CEC7F84"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0B2BCD15"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General research</w:t>
            </w:r>
          </w:p>
        </w:tc>
        <w:tc>
          <w:tcPr>
            <w:tcW w:w="558" w:type="pct"/>
            <w:tcBorders>
              <w:top w:val="nil"/>
              <w:left w:val="nil"/>
              <w:bottom w:val="nil"/>
              <w:right w:val="nil"/>
            </w:tcBorders>
            <w:shd w:val="clear" w:color="000000" w:fill="FFFFFF"/>
            <w:noWrap/>
            <w:vAlign w:val="center"/>
            <w:hideMark/>
          </w:tcPr>
          <w:p w14:paraId="2A676669"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3,735</w:t>
            </w:r>
          </w:p>
        </w:tc>
        <w:tc>
          <w:tcPr>
            <w:tcW w:w="557" w:type="pct"/>
            <w:tcBorders>
              <w:top w:val="nil"/>
              <w:left w:val="nil"/>
              <w:bottom w:val="nil"/>
              <w:right w:val="nil"/>
            </w:tcBorders>
            <w:shd w:val="clear" w:color="000000" w:fill="E6F2FF"/>
            <w:noWrap/>
            <w:vAlign w:val="center"/>
            <w:hideMark/>
          </w:tcPr>
          <w:p w14:paraId="5BD0A46F"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4,140</w:t>
            </w:r>
          </w:p>
        </w:tc>
        <w:tc>
          <w:tcPr>
            <w:tcW w:w="557" w:type="pct"/>
            <w:tcBorders>
              <w:top w:val="nil"/>
              <w:left w:val="nil"/>
              <w:bottom w:val="nil"/>
              <w:right w:val="nil"/>
            </w:tcBorders>
            <w:shd w:val="clear" w:color="000000" w:fill="FFFFFF"/>
            <w:noWrap/>
            <w:vAlign w:val="center"/>
            <w:hideMark/>
          </w:tcPr>
          <w:p w14:paraId="6E410B71"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4,255</w:t>
            </w:r>
          </w:p>
        </w:tc>
        <w:tc>
          <w:tcPr>
            <w:tcW w:w="557" w:type="pct"/>
            <w:tcBorders>
              <w:top w:val="nil"/>
              <w:left w:val="nil"/>
              <w:bottom w:val="nil"/>
              <w:right w:val="nil"/>
            </w:tcBorders>
            <w:shd w:val="clear" w:color="000000" w:fill="FFFFFF"/>
            <w:noWrap/>
            <w:vAlign w:val="center"/>
            <w:hideMark/>
          </w:tcPr>
          <w:p w14:paraId="5060D514"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4,361</w:t>
            </w:r>
          </w:p>
        </w:tc>
        <w:tc>
          <w:tcPr>
            <w:tcW w:w="557" w:type="pct"/>
            <w:tcBorders>
              <w:top w:val="nil"/>
              <w:left w:val="nil"/>
              <w:bottom w:val="nil"/>
              <w:right w:val="nil"/>
            </w:tcBorders>
            <w:shd w:val="clear" w:color="000000" w:fill="FFFFFF"/>
            <w:noWrap/>
            <w:vAlign w:val="center"/>
            <w:hideMark/>
          </w:tcPr>
          <w:p w14:paraId="2DDB30D1"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4,280</w:t>
            </w:r>
          </w:p>
        </w:tc>
      </w:tr>
      <w:tr w:rsidR="00B148DD" w:rsidRPr="00B148DD" w14:paraId="6954C879"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27E4D0A2"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General services</w:t>
            </w:r>
          </w:p>
        </w:tc>
        <w:tc>
          <w:tcPr>
            <w:tcW w:w="558" w:type="pct"/>
            <w:tcBorders>
              <w:top w:val="nil"/>
              <w:left w:val="nil"/>
              <w:bottom w:val="nil"/>
              <w:right w:val="nil"/>
            </w:tcBorders>
            <w:shd w:val="clear" w:color="000000" w:fill="FFFFFF"/>
            <w:noWrap/>
            <w:vAlign w:val="center"/>
            <w:hideMark/>
          </w:tcPr>
          <w:p w14:paraId="10249CFD"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918</w:t>
            </w:r>
          </w:p>
        </w:tc>
        <w:tc>
          <w:tcPr>
            <w:tcW w:w="557" w:type="pct"/>
            <w:tcBorders>
              <w:top w:val="nil"/>
              <w:left w:val="nil"/>
              <w:bottom w:val="nil"/>
              <w:right w:val="nil"/>
            </w:tcBorders>
            <w:shd w:val="clear" w:color="000000" w:fill="E6F2FF"/>
            <w:noWrap/>
            <w:vAlign w:val="center"/>
            <w:hideMark/>
          </w:tcPr>
          <w:p w14:paraId="67A749FC"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992</w:t>
            </w:r>
          </w:p>
        </w:tc>
        <w:tc>
          <w:tcPr>
            <w:tcW w:w="557" w:type="pct"/>
            <w:tcBorders>
              <w:top w:val="nil"/>
              <w:left w:val="nil"/>
              <w:bottom w:val="nil"/>
              <w:right w:val="nil"/>
            </w:tcBorders>
            <w:shd w:val="clear" w:color="000000" w:fill="FFFFFF"/>
            <w:noWrap/>
            <w:vAlign w:val="center"/>
            <w:hideMark/>
          </w:tcPr>
          <w:p w14:paraId="17CE2B9B"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946</w:t>
            </w:r>
          </w:p>
        </w:tc>
        <w:tc>
          <w:tcPr>
            <w:tcW w:w="557" w:type="pct"/>
            <w:tcBorders>
              <w:top w:val="nil"/>
              <w:left w:val="nil"/>
              <w:bottom w:val="nil"/>
              <w:right w:val="nil"/>
            </w:tcBorders>
            <w:shd w:val="clear" w:color="000000" w:fill="FFFFFF"/>
            <w:noWrap/>
            <w:vAlign w:val="center"/>
            <w:hideMark/>
          </w:tcPr>
          <w:p w14:paraId="5B6B91BA"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963</w:t>
            </w:r>
          </w:p>
        </w:tc>
        <w:tc>
          <w:tcPr>
            <w:tcW w:w="557" w:type="pct"/>
            <w:tcBorders>
              <w:top w:val="nil"/>
              <w:left w:val="nil"/>
              <w:bottom w:val="nil"/>
              <w:right w:val="nil"/>
            </w:tcBorders>
            <w:shd w:val="clear" w:color="000000" w:fill="FFFFFF"/>
            <w:noWrap/>
            <w:vAlign w:val="center"/>
            <w:hideMark/>
          </w:tcPr>
          <w:p w14:paraId="48C28428"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986</w:t>
            </w:r>
          </w:p>
        </w:tc>
      </w:tr>
      <w:tr w:rsidR="00B148DD" w:rsidRPr="00B148DD" w14:paraId="56E7F991" w14:textId="77777777" w:rsidTr="00B148DD">
        <w:trPr>
          <w:divId w:val="107285718"/>
          <w:trHeight w:hRule="exact" w:val="225"/>
        </w:trPr>
        <w:tc>
          <w:tcPr>
            <w:tcW w:w="2214" w:type="pct"/>
            <w:tcBorders>
              <w:top w:val="nil"/>
              <w:left w:val="nil"/>
              <w:bottom w:val="nil"/>
              <w:right w:val="nil"/>
            </w:tcBorders>
            <w:shd w:val="clear" w:color="000000" w:fill="FFFFFF"/>
            <w:noWrap/>
            <w:vAlign w:val="center"/>
            <w:hideMark/>
          </w:tcPr>
          <w:p w14:paraId="749BB0E8" w14:textId="77777777" w:rsidR="00B148DD" w:rsidRPr="00B148DD" w:rsidRDefault="00B148DD" w:rsidP="00B148DD">
            <w:pPr>
              <w:spacing w:before="0" w:after="0" w:line="240" w:lineRule="auto"/>
              <w:rPr>
                <w:rFonts w:ascii="Arial" w:hAnsi="Arial" w:cs="Arial"/>
                <w:color w:val="000000"/>
                <w:sz w:val="16"/>
                <w:szCs w:val="16"/>
              </w:rPr>
            </w:pPr>
            <w:r w:rsidRPr="00B148DD">
              <w:rPr>
                <w:rFonts w:ascii="Arial" w:hAnsi="Arial" w:cs="Arial"/>
                <w:color w:val="000000"/>
                <w:sz w:val="16"/>
                <w:szCs w:val="16"/>
              </w:rPr>
              <w:t>Government superannuation benefits</w:t>
            </w:r>
          </w:p>
        </w:tc>
        <w:tc>
          <w:tcPr>
            <w:tcW w:w="558" w:type="pct"/>
            <w:tcBorders>
              <w:top w:val="single" w:sz="4" w:space="0" w:color="293F5B"/>
              <w:left w:val="nil"/>
              <w:bottom w:val="nil"/>
              <w:right w:val="nil"/>
            </w:tcBorders>
            <w:shd w:val="clear" w:color="000000" w:fill="FFFFFF"/>
            <w:noWrap/>
            <w:vAlign w:val="center"/>
            <w:hideMark/>
          </w:tcPr>
          <w:p w14:paraId="13DEA427"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6,947</w:t>
            </w:r>
          </w:p>
        </w:tc>
        <w:tc>
          <w:tcPr>
            <w:tcW w:w="557" w:type="pct"/>
            <w:tcBorders>
              <w:top w:val="single" w:sz="4" w:space="0" w:color="293F5B"/>
              <w:left w:val="nil"/>
              <w:bottom w:val="nil"/>
              <w:right w:val="nil"/>
            </w:tcBorders>
            <w:shd w:val="clear" w:color="000000" w:fill="E6F2FF"/>
            <w:noWrap/>
            <w:vAlign w:val="center"/>
            <w:hideMark/>
          </w:tcPr>
          <w:p w14:paraId="5F4C26FC"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5,687</w:t>
            </w:r>
          </w:p>
        </w:tc>
        <w:tc>
          <w:tcPr>
            <w:tcW w:w="557" w:type="pct"/>
            <w:tcBorders>
              <w:top w:val="single" w:sz="4" w:space="0" w:color="293F5B"/>
              <w:left w:val="nil"/>
              <w:bottom w:val="nil"/>
              <w:right w:val="nil"/>
            </w:tcBorders>
            <w:shd w:val="clear" w:color="000000" w:fill="FFFFFF"/>
            <w:noWrap/>
            <w:vAlign w:val="center"/>
            <w:hideMark/>
          </w:tcPr>
          <w:p w14:paraId="078081F1"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5,835</w:t>
            </w:r>
          </w:p>
        </w:tc>
        <w:tc>
          <w:tcPr>
            <w:tcW w:w="557" w:type="pct"/>
            <w:tcBorders>
              <w:top w:val="single" w:sz="4" w:space="0" w:color="293F5B"/>
              <w:left w:val="nil"/>
              <w:bottom w:val="nil"/>
              <w:right w:val="nil"/>
            </w:tcBorders>
            <w:shd w:val="clear" w:color="000000" w:fill="FFFFFF"/>
            <w:noWrap/>
            <w:vAlign w:val="center"/>
            <w:hideMark/>
          </w:tcPr>
          <w:p w14:paraId="6805BFB5"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6,001</w:t>
            </w:r>
          </w:p>
        </w:tc>
        <w:tc>
          <w:tcPr>
            <w:tcW w:w="557" w:type="pct"/>
            <w:tcBorders>
              <w:top w:val="single" w:sz="4" w:space="0" w:color="293F5B"/>
              <w:left w:val="nil"/>
              <w:bottom w:val="nil"/>
              <w:right w:val="nil"/>
            </w:tcBorders>
            <w:shd w:val="clear" w:color="000000" w:fill="FFFFFF"/>
            <w:noWrap/>
            <w:vAlign w:val="center"/>
            <w:hideMark/>
          </w:tcPr>
          <w:p w14:paraId="3F9875B2" w14:textId="77777777" w:rsidR="00B148DD" w:rsidRPr="00B148DD" w:rsidRDefault="00B148DD" w:rsidP="00B148DD">
            <w:pPr>
              <w:spacing w:before="0" w:after="0" w:line="240" w:lineRule="auto"/>
              <w:jc w:val="right"/>
              <w:rPr>
                <w:rFonts w:ascii="Arial" w:hAnsi="Arial" w:cs="Arial"/>
                <w:color w:val="000000"/>
                <w:sz w:val="16"/>
                <w:szCs w:val="16"/>
              </w:rPr>
            </w:pPr>
            <w:r w:rsidRPr="00B148DD">
              <w:rPr>
                <w:rFonts w:ascii="Arial" w:hAnsi="Arial" w:cs="Arial"/>
                <w:color w:val="000000"/>
                <w:sz w:val="16"/>
                <w:szCs w:val="16"/>
              </w:rPr>
              <w:t>6,260</w:t>
            </w:r>
          </w:p>
        </w:tc>
      </w:tr>
      <w:tr w:rsidR="00B148DD" w:rsidRPr="00B148DD" w14:paraId="7565F65D" w14:textId="77777777" w:rsidTr="00B148DD">
        <w:trPr>
          <w:divId w:val="107285718"/>
          <w:trHeight w:hRule="exact" w:val="225"/>
        </w:trPr>
        <w:tc>
          <w:tcPr>
            <w:tcW w:w="2214" w:type="pct"/>
            <w:tcBorders>
              <w:top w:val="single" w:sz="4" w:space="0" w:color="293F5B"/>
              <w:left w:val="nil"/>
              <w:bottom w:val="single" w:sz="4" w:space="0" w:color="293F5B"/>
              <w:right w:val="nil"/>
            </w:tcBorders>
            <w:shd w:val="clear" w:color="000000" w:fill="FFFFFF"/>
            <w:noWrap/>
            <w:vAlign w:val="center"/>
            <w:hideMark/>
          </w:tcPr>
          <w:p w14:paraId="1C5E0998" w14:textId="77777777" w:rsidR="00B148DD" w:rsidRPr="00B148DD" w:rsidRDefault="00B148DD" w:rsidP="00B148DD">
            <w:pPr>
              <w:spacing w:before="0" w:after="0" w:line="240" w:lineRule="auto"/>
              <w:rPr>
                <w:rFonts w:ascii="Arial" w:hAnsi="Arial" w:cs="Arial"/>
                <w:b/>
                <w:bCs/>
                <w:color w:val="000000"/>
                <w:sz w:val="16"/>
                <w:szCs w:val="16"/>
              </w:rPr>
            </w:pPr>
            <w:r w:rsidRPr="00B148DD">
              <w:rPr>
                <w:rFonts w:ascii="Arial" w:hAnsi="Arial" w:cs="Arial"/>
                <w:b/>
                <w:bCs/>
                <w:color w:val="000000"/>
                <w:sz w:val="16"/>
                <w:szCs w:val="16"/>
              </w:rPr>
              <w:t>Total general public services</w:t>
            </w:r>
          </w:p>
        </w:tc>
        <w:tc>
          <w:tcPr>
            <w:tcW w:w="558" w:type="pct"/>
            <w:tcBorders>
              <w:top w:val="single" w:sz="4" w:space="0" w:color="293F5B"/>
              <w:left w:val="nil"/>
              <w:bottom w:val="single" w:sz="4" w:space="0" w:color="293F5B"/>
              <w:right w:val="nil"/>
            </w:tcBorders>
            <w:shd w:val="clear" w:color="000000" w:fill="FFFFFF"/>
            <w:noWrap/>
            <w:vAlign w:val="center"/>
            <w:hideMark/>
          </w:tcPr>
          <w:p w14:paraId="5EA2BE7E" w14:textId="77777777" w:rsidR="00B148DD" w:rsidRPr="00B148DD" w:rsidRDefault="00B148DD" w:rsidP="00B148DD">
            <w:pPr>
              <w:spacing w:before="0" w:after="0" w:line="240" w:lineRule="auto"/>
              <w:jc w:val="right"/>
              <w:rPr>
                <w:rFonts w:ascii="Arial" w:hAnsi="Arial" w:cs="Arial"/>
                <w:b/>
                <w:bCs/>
                <w:color w:val="000000"/>
                <w:sz w:val="16"/>
                <w:szCs w:val="16"/>
              </w:rPr>
            </w:pPr>
            <w:r w:rsidRPr="00B148DD">
              <w:rPr>
                <w:rFonts w:ascii="Arial" w:hAnsi="Arial" w:cs="Arial"/>
                <w:b/>
                <w:bCs/>
                <w:color w:val="000000"/>
                <w:sz w:val="16"/>
                <w:szCs w:val="16"/>
              </w:rPr>
              <w:t>30,106</w:t>
            </w:r>
          </w:p>
        </w:tc>
        <w:tc>
          <w:tcPr>
            <w:tcW w:w="557" w:type="pct"/>
            <w:tcBorders>
              <w:top w:val="single" w:sz="4" w:space="0" w:color="293F5B"/>
              <w:left w:val="nil"/>
              <w:bottom w:val="single" w:sz="4" w:space="0" w:color="293F5B"/>
              <w:right w:val="nil"/>
            </w:tcBorders>
            <w:shd w:val="clear" w:color="000000" w:fill="E6F2FF"/>
            <w:noWrap/>
            <w:vAlign w:val="center"/>
            <w:hideMark/>
          </w:tcPr>
          <w:p w14:paraId="2472E368" w14:textId="77777777" w:rsidR="00B148DD" w:rsidRPr="00B148DD" w:rsidRDefault="00B148DD" w:rsidP="00B148DD">
            <w:pPr>
              <w:spacing w:before="0" w:after="0" w:line="240" w:lineRule="auto"/>
              <w:jc w:val="right"/>
              <w:rPr>
                <w:rFonts w:ascii="Arial" w:hAnsi="Arial" w:cs="Arial"/>
                <w:b/>
                <w:bCs/>
                <w:color w:val="000000"/>
                <w:sz w:val="16"/>
                <w:szCs w:val="16"/>
              </w:rPr>
            </w:pPr>
            <w:r w:rsidRPr="00B148DD">
              <w:rPr>
                <w:rFonts w:ascii="Arial" w:hAnsi="Arial" w:cs="Arial"/>
                <w:b/>
                <w:bCs/>
                <w:color w:val="000000"/>
                <w:sz w:val="16"/>
                <w:szCs w:val="16"/>
              </w:rPr>
              <w:t>29,126</w:t>
            </w:r>
          </w:p>
        </w:tc>
        <w:tc>
          <w:tcPr>
            <w:tcW w:w="557" w:type="pct"/>
            <w:tcBorders>
              <w:top w:val="single" w:sz="4" w:space="0" w:color="293F5B"/>
              <w:left w:val="nil"/>
              <w:bottom w:val="single" w:sz="4" w:space="0" w:color="293F5B"/>
              <w:right w:val="nil"/>
            </w:tcBorders>
            <w:shd w:val="clear" w:color="000000" w:fill="FFFFFF"/>
            <w:noWrap/>
            <w:vAlign w:val="center"/>
            <w:hideMark/>
          </w:tcPr>
          <w:p w14:paraId="668ADB61" w14:textId="77777777" w:rsidR="00B148DD" w:rsidRPr="00B148DD" w:rsidRDefault="00B148DD" w:rsidP="00B148DD">
            <w:pPr>
              <w:spacing w:before="0" w:after="0" w:line="240" w:lineRule="auto"/>
              <w:jc w:val="right"/>
              <w:rPr>
                <w:rFonts w:ascii="Arial" w:hAnsi="Arial" w:cs="Arial"/>
                <w:b/>
                <w:bCs/>
                <w:color w:val="000000"/>
                <w:sz w:val="16"/>
                <w:szCs w:val="16"/>
              </w:rPr>
            </w:pPr>
            <w:r w:rsidRPr="00B148DD">
              <w:rPr>
                <w:rFonts w:ascii="Arial" w:hAnsi="Arial" w:cs="Arial"/>
                <w:b/>
                <w:bCs/>
                <w:color w:val="000000"/>
                <w:sz w:val="16"/>
                <w:szCs w:val="16"/>
              </w:rPr>
              <w:t>30,155</w:t>
            </w:r>
          </w:p>
        </w:tc>
        <w:tc>
          <w:tcPr>
            <w:tcW w:w="557" w:type="pct"/>
            <w:tcBorders>
              <w:top w:val="single" w:sz="4" w:space="0" w:color="293F5B"/>
              <w:left w:val="nil"/>
              <w:bottom w:val="single" w:sz="4" w:space="0" w:color="293F5B"/>
              <w:right w:val="nil"/>
            </w:tcBorders>
            <w:shd w:val="clear" w:color="000000" w:fill="FFFFFF"/>
            <w:noWrap/>
            <w:vAlign w:val="center"/>
            <w:hideMark/>
          </w:tcPr>
          <w:p w14:paraId="780F06D4" w14:textId="77777777" w:rsidR="00B148DD" w:rsidRPr="00B148DD" w:rsidRDefault="00B148DD" w:rsidP="00B148DD">
            <w:pPr>
              <w:spacing w:before="0" w:after="0" w:line="240" w:lineRule="auto"/>
              <w:jc w:val="right"/>
              <w:rPr>
                <w:rFonts w:ascii="Arial" w:hAnsi="Arial" w:cs="Arial"/>
                <w:b/>
                <w:bCs/>
                <w:color w:val="000000"/>
                <w:sz w:val="16"/>
                <w:szCs w:val="16"/>
              </w:rPr>
            </w:pPr>
            <w:r w:rsidRPr="00B148DD">
              <w:rPr>
                <w:rFonts w:ascii="Arial" w:hAnsi="Arial" w:cs="Arial"/>
                <w:b/>
                <w:bCs/>
                <w:color w:val="000000"/>
                <w:sz w:val="16"/>
                <w:szCs w:val="16"/>
              </w:rPr>
              <w:t>29,413</w:t>
            </w:r>
          </w:p>
        </w:tc>
        <w:tc>
          <w:tcPr>
            <w:tcW w:w="557" w:type="pct"/>
            <w:tcBorders>
              <w:top w:val="single" w:sz="4" w:space="0" w:color="293F5B"/>
              <w:left w:val="nil"/>
              <w:bottom w:val="single" w:sz="4" w:space="0" w:color="293F5B"/>
              <w:right w:val="nil"/>
            </w:tcBorders>
            <w:shd w:val="clear" w:color="000000" w:fill="FFFFFF"/>
            <w:noWrap/>
            <w:vAlign w:val="center"/>
            <w:hideMark/>
          </w:tcPr>
          <w:p w14:paraId="7385F71D" w14:textId="77777777" w:rsidR="00B148DD" w:rsidRPr="00B148DD" w:rsidRDefault="00B148DD" w:rsidP="00B148DD">
            <w:pPr>
              <w:spacing w:before="0" w:after="0" w:line="240" w:lineRule="auto"/>
              <w:jc w:val="right"/>
              <w:rPr>
                <w:rFonts w:ascii="Arial" w:hAnsi="Arial" w:cs="Arial"/>
                <w:b/>
                <w:bCs/>
                <w:color w:val="000000"/>
                <w:sz w:val="16"/>
                <w:szCs w:val="16"/>
              </w:rPr>
            </w:pPr>
            <w:r w:rsidRPr="00B148DD">
              <w:rPr>
                <w:rFonts w:ascii="Arial" w:hAnsi="Arial" w:cs="Arial"/>
                <w:b/>
                <w:bCs/>
                <w:color w:val="000000"/>
                <w:sz w:val="16"/>
                <w:szCs w:val="16"/>
              </w:rPr>
              <w:t>29,498</w:t>
            </w:r>
          </w:p>
        </w:tc>
      </w:tr>
    </w:tbl>
    <w:p w14:paraId="3A1F848A" w14:textId="343FBD00" w:rsidR="0050166A" w:rsidRPr="000177D7" w:rsidRDefault="0050166A" w:rsidP="0050166A">
      <w:r w:rsidRPr="000177D7">
        <w:t xml:space="preserve">Total general public </w:t>
      </w:r>
      <w:r w:rsidRPr="0021687D">
        <w:t>services expenses are estimated to increase by 1.3</w:t>
      </w:r>
      <w:r w:rsidR="00893776">
        <w:t> per </w:t>
      </w:r>
      <w:r w:rsidRPr="0021687D">
        <w:t>cent in nominal terms but decrease by 6.</w:t>
      </w:r>
      <w:r w:rsidR="00655AA9" w:rsidRPr="0021687D">
        <w:t>4</w:t>
      </w:r>
      <w:r w:rsidR="00893776">
        <w:t> per </w:t>
      </w:r>
      <w:r w:rsidRPr="0021687D">
        <w:t>cent in real terms over the period</w:t>
      </w:r>
      <w:r>
        <w:t xml:space="preserve"> 2023</w:t>
      </w:r>
      <w:r w:rsidR="00485F94">
        <w:t>–</w:t>
      </w:r>
      <w:r>
        <w:t>24 to 2026</w:t>
      </w:r>
      <w:r w:rsidR="00485F94">
        <w:t>–</w:t>
      </w:r>
      <w:r>
        <w:t>27.</w:t>
      </w:r>
    </w:p>
    <w:p w14:paraId="662C86C2" w14:textId="27FBD8FA" w:rsidR="0050166A" w:rsidRPr="00F24BE0" w:rsidRDefault="0050166A" w:rsidP="0050166A">
      <w:r w:rsidRPr="00F24BE0">
        <w:t xml:space="preserve">Expenses under the </w:t>
      </w:r>
      <w:r w:rsidRPr="00F24BE0">
        <w:rPr>
          <w:b/>
          <w:bCs/>
        </w:rPr>
        <w:t xml:space="preserve">legislative and executive affairs </w:t>
      </w:r>
      <w:r w:rsidRPr="00F24BE0">
        <w:t>sub</w:t>
      </w:r>
      <w:r w:rsidR="00D34B95">
        <w:noBreakHyphen/>
      </w:r>
      <w:r w:rsidRPr="00F24BE0">
        <w:t>function largely reflect the expenditure profile of the Australian Electoral Commission which includes costs expected to be incurred to support a referendum in 2023</w:t>
      </w:r>
      <w:r w:rsidR="00485F94">
        <w:t>–</w:t>
      </w:r>
      <w:r w:rsidRPr="00F24BE0">
        <w:t>24 and a federal election in 2024</w:t>
      </w:r>
      <w:r>
        <w:t>–</w:t>
      </w:r>
      <w:r w:rsidRPr="00F24BE0">
        <w:t>25.</w:t>
      </w:r>
    </w:p>
    <w:p w14:paraId="553ABE81" w14:textId="6696323C" w:rsidR="0050166A" w:rsidRPr="0021687D" w:rsidRDefault="0050166A" w:rsidP="0050166A">
      <w:r w:rsidRPr="00F24BE0">
        <w:t xml:space="preserve">Expenses in the </w:t>
      </w:r>
      <w:r w:rsidRPr="00F24BE0">
        <w:rPr>
          <w:b/>
          <w:bCs/>
        </w:rPr>
        <w:t xml:space="preserve">financial and </w:t>
      </w:r>
      <w:r w:rsidRPr="0021687D">
        <w:rPr>
          <w:b/>
          <w:bCs/>
        </w:rPr>
        <w:t>fiscal affairs</w:t>
      </w:r>
      <w:r w:rsidRPr="0021687D">
        <w:t xml:space="preserve"> sub</w:t>
      </w:r>
      <w:r w:rsidR="00D34B95">
        <w:noBreakHyphen/>
      </w:r>
      <w:r w:rsidRPr="0021687D">
        <w:t>function are expected to decrease in real terms reflecting the termination of a number of tax compliance measures. This is partially offset by the 2023</w:t>
      </w:r>
      <w:r w:rsidR="00485F94">
        <w:t>–</w:t>
      </w:r>
      <w:r w:rsidRPr="0021687D">
        <w:t xml:space="preserve">24 Budget measure </w:t>
      </w:r>
      <w:r w:rsidR="0021687D" w:rsidRPr="0021687D">
        <w:rPr>
          <w:i/>
          <w:iCs/>
        </w:rPr>
        <w:t xml:space="preserve">GST compliance program </w:t>
      </w:r>
      <w:r w:rsidR="00485F94">
        <w:rPr>
          <w:i/>
          <w:iCs/>
        </w:rPr>
        <w:t>–</w:t>
      </w:r>
      <w:r w:rsidR="0021687D" w:rsidRPr="0021687D">
        <w:rPr>
          <w:i/>
          <w:iCs/>
        </w:rPr>
        <w:t xml:space="preserve"> </w:t>
      </w:r>
      <w:r w:rsidR="00390FA3">
        <w:rPr>
          <w:i/>
          <w:iCs/>
        </w:rPr>
        <w:t>4</w:t>
      </w:r>
      <w:r w:rsidR="0021687D" w:rsidRPr="0021687D">
        <w:rPr>
          <w:i/>
          <w:iCs/>
        </w:rPr>
        <w:t>year extension</w:t>
      </w:r>
      <w:r w:rsidR="00D34B95">
        <w:t xml:space="preserve">. </w:t>
      </w:r>
    </w:p>
    <w:p w14:paraId="49AB48A2" w14:textId="54F5047B" w:rsidR="0050166A" w:rsidRPr="0021687D" w:rsidRDefault="0050166A" w:rsidP="0050166A">
      <w:bookmarkStart w:id="40" w:name="_Hlk133854846"/>
      <w:r w:rsidRPr="0021687D">
        <w:t xml:space="preserve">Total expenses under the </w:t>
      </w:r>
      <w:r w:rsidRPr="0021687D">
        <w:rPr>
          <w:b/>
        </w:rPr>
        <w:t xml:space="preserve">foreign affairs and economic aid </w:t>
      </w:r>
      <w:r w:rsidRPr="0021687D">
        <w:t>sub</w:t>
      </w:r>
      <w:r w:rsidR="00D34B95">
        <w:noBreakHyphen/>
      </w:r>
      <w:r w:rsidRPr="0021687D">
        <w:t>function reflect</w:t>
      </w:r>
      <w:r w:rsidRPr="00B75378">
        <w:t xml:space="preserve"> the impact of financing provided through Export Finance Australia and the payment cycles of Australia</w:t>
      </w:r>
      <w:r w:rsidR="00D34B95">
        <w:t>’</w:t>
      </w:r>
      <w:r w:rsidRPr="00B75378">
        <w:t xml:space="preserve">s contributions under funding arrangements for multilateral </w:t>
      </w:r>
      <w:r w:rsidRPr="0021687D">
        <w:t>funds. Contributing to the nominal growth in this subfunction is the 2023</w:t>
      </w:r>
      <w:r w:rsidR="00485F94">
        <w:t>–</w:t>
      </w:r>
      <w:r w:rsidRPr="0021687D">
        <w:t xml:space="preserve">24 Budget measure </w:t>
      </w:r>
      <w:r w:rsidR="0021687D" w:rsidRPr="0021687D">
        <w:rPr>
          <w:i/>
          <w:iCs/>
        </w:rPr>
        <w:t>Maintaining Support for an Effective Foreign Service</w:t>
      </w:r>
      <w:r w:rsidRPr="0021687D">
        <w:rPr>
          <w:i/>
          <w:iCs/>
        </w:rPr>
        <w:t>.</w:t>
      </w:r>
    </w:p>
    <w:bookmarkEnd w:id="40"/>
    <w:p w14:paraId="152C192D" w14:textId="2A7EECB7" w:rsidR="00B561FF" w:rsidRDefault="0050166A" w:rsidP="0050166A">
      <w:pPr>
        <w:rPr>
          <w:rFonts w:ascii="Arial" w:hAnsi="Arial"/>
          <w:b/>
          <w:sz w:val="20"/>
        </w:rPr>
      </w:pPr>
      <w:r w:rsidRPr="0021687D">
        <w:t xml:space="preserve">Table 6.4.1 sets out the major components of the </w:t>
      </w:r>
      <w:r w:rsidRPr="0021687D">
        <w:rPr>
          <w:b/>
        </w:rPr>
        <w:t>foreign affairs and economic</w:t>
      </w:r>
      <w:r w:rsidRPr="00F24BE0">
        <w:rPr>
          <w:b/>
        </w:rPr>
        <w:t xml:space="preserve"> aid</w:t>
      </w:r>
      <w:r w:rsidRPr="00F24BE0">
        <w:t xml:space="preserve"> sub</w:t>
      </w:r>
      <w:r w:rsidR="00D34B95">
        <w:noBreakHyphen/>
      </w:r>
      <w:r w:rsidRPr="00F24BE0">
        <w:t>function.</w:t>
      </w:r>
    </w:p>
    <w:p w14:paraId="70FE9EDD" w14:textId="3D1D9DE9" w:rsidR="006E5176" w:rsidRPr="006E5176" w:rsidRDefault="00C855DF" w:rsidP="006E5176">
      <w:pPr>
        <w:pStyle w:val="TableHeading"/>
        <w:rPr>
          <w:rFonts w:asciiTheme="minorHAnsi" w:eastAsiaTheme="minorHAnsi" w:hAnsiTheme="minorHAnsi" w:cstheme="minorBidi"/>
          <w:b w:val="0"/>
          <w:sz w:val="22"/>
          <w:szCs w:val="22"/>
          <w:lang w:eastAsia="en-US"/>
        </w:rPr>
      </w:pPr>
      <w:r w:rsidRPr="000177D7">
        <w:lastRenderedPageBreak/>
        <w:t>Table 6.4.1: Trends in the major components of foreign affairs and economic aid sub</w:t>
      </w:r>
      <w:r w:rsidR="00D34B95">
        <w:noBreakHyphen/>
      </w:r>
      <w:r w:rsidRPr="000177D7">
        <w:t>function expense</w:t>
      </w:r>
      <w:bookmarkStart w:id="41" w:name="_1727953878"/>
      <w:bookmarkStart w:id="42" w:name="_1727955055"/>
      <w:bookmarkEnd w:id="41"/>
      <w:bookmarkEnd w:id="42"/>
    </w:p>
    <w:tbl>
      <w:tblPr>
        <w:tblW w:w="5000" w:type="pct"/>
        <w:tblCellMar>
          <w:left w:w="0" w:type="dxa"/>
          <w:right w:w="28" w:type="dxa"/>
        </w:tblCellMar>
        <w:tblLook w:val="04A0" w:firstRow="1" w:lastRow="0" w:firstColumn="1" w:lastColumn="0" w:noHBand="0" w:noVBand="1"/>
      </w:tblPr>
      <w:tblGrid>
        <w:gridCol w:w="3134"/>
        <w:gridCol w:w="913"/>
        <w:gridCol w:w="913"/>
        <w:gridCol w:w="913"/>
        <w:gridCol w:w="913"/>
        <w:gridCol w:w="916"/>
        <w:gridCol w:w="8"/>
      </w:tblGrid>
      <w:tr w:rsidR="006E5176" w:rsidRPr="006E5176" w14:paraId="5D3FFE73" w14:textId="77777777" w:rsidTr="00815BAB">
        <w:trPr>
          <w:gridAfter w:val="1"/>
          <w:divId w:val="819618426"/>
          <w:wAfter w:w="5" w:type="pct"/>
          <w:trHeight w:hRule="exact" w:val="225"/>
        </w:trPr>
        <w:tc>
          <w:tcPr>
            <w:tcW w:w="2032" w:type="pct"/>
            <w:tcBorders>
              <w:top w:val="single" w:sz="4" w:space="0" w:color="002A54" w:themeColor="text2"/>
              <w:left w:val="nil"/>
              <w:bottom w:val="nil"/>
              <w:right w:val="nil"/>
            </w:tcBorders>
            <w:shd w:val="clear" w:color="000000" w:fill="FFFFFF"/>
            <w:noWrap/>
            <w:vAlign w:val="center"/>
            <w:hideMark/>
          </w:tcPr>
          <w:p w14:paraId="14945FB1" w14:textId="5AC920DD" w:rsidR="006E5176" w:rsidRPr="006E5176" w:rsidRDefault="006E5176" w:rsidP="006E5176">
            <w:pPr>
              <w:spacing w:before="0" w:after="0" w:line="240" w:lineRule="auto"/>
              <w:rPr>
                <w:rFonts w:ascii="Arial" w:hAnsi="Arial" w:cs="Arial"/>
                <w:b/>
                <w:bCs/>
                <w:color w:val="000000"/>
                <w:sz w:val="16"/>
                <w:szCs w:val="16"/>
              </w:rPr>
            </w:pPr>
            <w:r w:rsidRPr="006E5176">
              <w:rPr>
                <w:rFonts w:ascii="Arial" w:hAnsi="Arial" w:cs="Arial"/>
                <w:b/>
                <w:bCs/>
                <w:color w:val="000000"/>
                <w:sz w:val="16"/>
                <w:szCs w:val="16"/>
              </w:rPr>
              <w:t>Component(a)</w:t>
            </w:r>
          </w:p>
        </w:tc>
        <w:tc>
          <w:tcPr>
            <w:tcW w:w="2962" w:type="pct"/>
            <w:gridSpan w:val="5"/>
            <w:tcBorders>
              <w:top w:val="single" w:sz="4" w:space="0" w:color="002A54" w:themeColor="text2"/>
              <w:left w:val="nil"/>
              <w:bottom w:val="single" w:sz="4" w:space="0" w:color="293F5B"/>
              <w:right w:val="nil"/>
            </w:tcBorders>
            <w:shd w:val="clear" w:color="000000" w:fill="FFFFFF"/>
            <w:noWrap/>
            <w:vAlign w:val="center"/>
            <w:hideMark/>
          </w:tcPr>
          <w:p w14:paraId="1B27B463" w14:textId="77777777" w:rsidR="006E5176" w:rsidRPr="006E5176" w:rsidRDefault="006E5176" w:rsidP="006E5176">
            <w:pPr>
              <w:spacing w:before="0" w:after="0" w:line="240" w:lineRule="auto"/>
              <w:jc w:val="center"/>
              <w:rPr>
                <w:rFonts w:ascii="Arial" w:hAnsi="Arial" w:cs="Arial"/>
                <w:color w:val="000000"/>
                <w:sz w:val="16"/>
                <w:szCs w:val="16"/>
              </w:rPr>
            </w:pPr>
            <w:r w:rsidRPr="006E5176">
              <w:rPr>
                <w:rFonts w:ascii="Arial" w:hAnsi="Arial" w:cs="Arial"/>
                <w:color w:val="000000"/>
                <w:sz w:val="16"/>
                <w:szCs w:val="16"/>
              </w:rPr>
              <w:t>Estimates</w:t>
            </w:r>
          </w:p>
        </w:tc>
      </w:tr>
      <w:tr w:rsidR="006E5176" w:rsidRPr="006E5176" w14:paraId="1ADADC39" w14:textId="77777777" w:rsidTr="00815BAB">
        <w:trPr>
          <w:divId w:val="819618426"/>
          <w:trHeight w:hRule="exact" w:val="225"/>
        </w:trPr>
        <w:tc>
          <w:tcPr>
            <w:tcW w:w="2032" w:type="pct"/>
            <w:tcBorders>
              <w:top w:val="nil"/>
              <w:left w:val="nil"/>
              <w:bottom w:val="nil"/>
              <w:right w:val="nil"/>
            </w:tcBorders>
            <w:shd w:val="clear" w:color="000000" w:fill="FFFFFF"/>
            <w:noWrap/>
            <w:vAlign w:val="bottom"/>
            <w:hideMark/>
          </w:tcPr>
          <w:p w14:paraId="7B115C5D"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single" w:sz="4" w:space="0" w:color="002A54" w:themeColor="text2"/>
              <w:left w:val="nil"/>
              <w:right w:val="nil"/>
            </w:tcBorders>
            <w:shd w:val="clear" w:color="000000" w:fill="FFFFFF"/>
            <w:noWrap/>
            <w:vAlign w:val="center"/>
            <w:hideMark/>
          </w:tcPr>
          <w:p w14:paraId="64114CC6" w14:textId="6F4AB922" w:rsidR="006E5176" w:rsidRPr="006E5176" w:rsidRDefault="006E5176" w:rsidP="006E5176">
            <w:pPr>
              <w:spacing w:before="0" w:after="0" w:line="240" w:lineRule="auto"/>
              <w:jc w:val="right"/>
              <w:rPr>
                <w:rFonts w:ascii="Arial" w:hAnsi="Arial" w:cs="Arial"/>
                <w:sz w:val="16"/>
                <w:szCs w:val="16"/>
              </w:rPr>
            </w:pPr>
            <w:r w:rsidRPr="006E5176">
              <w:rPr>
                <w:rFonts w:ascii="Arial" w:hAnsi="Arial" w:cs="Arial"/>
                <w:sz w:val="16"/>
                <w:szCs w:val="16"/>
              </w:rPr>
              <w:t>2022</w:t>
            </w:r>
            <w:r w:rsidR="00D34B95">
              <w:rPr>
                <w:rFonts w:ascii="Arial" w:hAnsi="Arial" w:cs="Arial"/>
                <w:sz w:val="16"/>
                <w:szCs w:val="16"/>
              </w:rPr>
              <w:noBreakHyphen/>
            </w:r>
            <w:r w:rsidRPr="006E5176">
              <w:rPr>
                <w:rFonts w:ascii="Arial" w:hAnsi="Arial" w:cs="Arial"/>
                <w:sz w:val="16"/>
                <w:szCs w:val="16"/>
              </w:rPr>
              <w:t>23</w:t>
            </w:r>
          </w:p>
        </w:tc>
        <w:tc>
          <w:tcPr>
            <w:tcW w:w="592" w:type="pct"/>
            <w:tcBorders>
              <w:top w:val="single" w:sz="4" w:space="0" w:color="002A54" w:themeColor="text2"/>
              <w:left w:val="nil"/>
              <w:right w:val="nil"/>
            </w:tcBorders>
            <w:shd w:val="clear" w:color="000000" w:fill="E6F2FF"/>
            <w:noWrap/>
            <w:vAlign w:val="center"/>
            <w:hideMark/>
          </w:tcPr>
          <w:p w14:paraId="06BB44D7" w14:textId="335FB417" w:rsidR="006E5176" w:rsidRPr="006E5176" w:rsidRDefault="006E5176" w:rsidP="006E5176">
            <w:pPr>
              <w:spacing w:before="0" w:after="0" w:line="240" w:lineRule="auto"/>
              <w:jc w:val="right"/>
              <w:rPr>
                <w:rFonts w:ascii="Arial" w:hAnsi="Arial" w:cs="Arial"/>
                <w:sz w:val="16"/>
                <w:szCs w:val="16"/>
              </w:rPr>
            </w:pPr>
            <w:r w:rsidRPr="006E5176">
              <w:rPr>
                <w:rFonts w:ascii="Arial" w:hAnsi="Arial" w:cs="Arial"/>
                <w:sz w:val="16"/>
                <w:szCs w:val="16"/>
              </w:rPr>
              <w:t>2023</w:t>
            </w:r>
            <w:r w:rsidR="00D34B95">
              <w:rPr>
                <w:rFonts w:ascii="Arial" w:hAnsi="Arial" w:cs="Arial"/>
                <w:sz w:val="16"/>
                <w:szCs w:val="16"/>
              </w:rPr>
              <w:noBreakHyphen/>
            </w:r>
            <w:r w:rsidRPr="006E5176">
              <w:rPr>
                <w:rFonts w:ascii="Arial" w:hAnsi="Arial" w:cs="Arial"/>
                <w:sz w:val="16"/>
                <w:szCs w:val="16"/>
              </w:rPr>
              <w:t>24</w:t>
            </w:r>
          </w:p>
        </w:tc>
        <w:tc>
          <w:tcPr>
            <w:tcW w:w="592" w:type="pct"/>
            <w:tcBorders>
              <w:top w:val="single" w:sz="4" w:space="0" w:color="002A54" w:themeColor="text2"/>
              <w:left w:val="nil"/>
              <w:right w:val="nil"/>
            </w:tcBorders>
            <w:shd w:val="clear" w:color="000000" w:fill="FFFFFF"/>
            <w:noWrap/>
            <w:vAlign w:val="center"/>
            <w:hideMark/>
          </w:tcPr>
          <w:p w14:paraId="594C97B6" w14:textId="23DD7085" w:rsidR="006E5176" w:rsidRPr="006E5176" w:rsidRDefault="006E5176" w:rsidP="006E5176">
            <w:pPr>
              <w:spacing w:before="0" w:after="0" w:line="240" w:lineRule="auto"/>
              <w:jc w:val="right"/>
              <w:rPr>
                <w:rFonts w:ascii="Arial" w:hAnsi="Arial" w:cs="Arial"/>
                <w:sz w:val="16"/>
                <w:szCs w:val="16"/>
              </w:rPr>
            </w:pPr>
            <w:r w:rsidRPr="006E5176">
              <w:rPr>
                <w:rFonts w:ascii="Arial" w:hAnsi="Arial" w:cs="Arial"/>
                <w:sz w:val="16"/>
                <w:szCs w:val="16"/>
              </w:rPr>
              <w:t>2024</w:t>
            </w:r>
            <w:r w:rsidR="00D34B95">
              <w:rPr>
                <w:rFonts w:ascii="Arial" w:hAnsi="Arial" w:cs="Arial"/>
                <w:sz w:val="16"/>
                <w:szCs w:val="16"/>
              </w:rPr>
              <w:noBreakHyphen/>
            </w:r>
            <w:r w:rsidRPr="006E5176">
              <w:rPr>
                <w:rFonts w:ascii="Arial" w:hAnsi="Arial" w:cs="Arial"/>
                <w:sz w:val="16"/>
                <w:szCs w:val="16"/>
              </w:rPr>
              <w:t>25</w:t>
            </w:r>
          </w:p>
        </w:tc>
        <w:tc>
          <w:tcPr>
            <w:tcW w:w="592" w:type="pct"/>
            <w:tcBorders>
              <w:top w:val="single" w:sz="4" w:space="0" w:color="002A54" w:themeColor="text2"/>
              <w:left w:val="nil"/>
              <w:right w:val="nil"/>
            </w:tcBorders>
            <w:shd w:val="clear" w:color="000000" w:fill="FFFFFF"/>
            <w:noWrap/>
            <w:vAlign w:val="center"/>
            <w:hideMark/>
          </w:tcPr>
          <w:p w14:paraId="6A651661" w14:textId="0758324B" w:rsidR="006E5176" w:rsidRPr="006E5176" w:rsidRDefault="006E5176" w:rsidP="006E5176">
            <w:pPr>
              <w:spacing w:before="0" w:after="0" w:line="240" w:lineRule="auto"/>
              <w:jc w:val="right"/>
              <w:rPr>
                <w:rFonts w:ascii="Arial" w:hAnsi="Arial" w:cs="Arial"/>
                <w:sz w:val="16"/>
                <w:szCs w:val="16"/>
              </w:rPr>
            </w:pPr>
            <w:r w:rsidRPr="006E5176">
              <w:rPr>
                <w:rFonts w:ascii="Arial" w:hAnsi="Arial" w:cs="Arial"/>
                <w:sz w:val="16"/>
                <w:szCs w:val="16"/>
              </w:rPr>
              <w:t>2025</w:t>
            </w:r>
            <w:r w:rsidR="00D34B95">
              <w:rPr>
                <w:rFonts w:ascii="Arial" w:hAnsi="Arial" w:cs="Arial"/>
                <w:sz w:val="16"/>
                <w:szCs w:val="16"/>
              </w:rPr>
              <w:noBreakHyphen/>
            </w:r>
            <w:r w:rsidRPr="006E5176">
              <w:rPr>
                <w:rFonts w:ascii="Arial" w:hAnsi="Arial" w:cs="Arial"/>
                <w:sz w:val="16"/>
                <w:szCs w:val="16"/>
              </w:rPr>
              <w:t>26</w:t>
            </w:r>
          </w:p>
        </w:tc>
        <w:tc>
          <w:tcPr>
            <w:tcW w:w="599" w:type="pct"/>
            <w:gridSpan w:val="2"/>
            <w:tcBorders>
              <w:top w:val="single" w:sz="4" w:space="0" w:color="002A54" w:themeColor="text2"/>
              <w:left w:val="nil"/>
              <w:right w:val="nil"/>
            </w:tcBorders>
            <w:shd w:val="clear" w:color="000000" w:fill="FFFFFF"/>
            <w:noWrap/>
            <w:vAlign w:val="center"/>
            <w:hideMark/>
          </w:tcPr>
          <w:p w14:paraId="43186B58" w14:textId="31C07011"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2026</w:t>
            </w:r>
            <w:r w:rsidR="00D34B95">
              <w:rPr>
                <w:rFonts w:ascii="Arial" w:hAnsi="Arial" w:cs="Arial"/>
                <w:color w:val="000000"/>
                <w:sz w:val="16"/>
                <w:szCs w:val="16"/>
              </w:rPr>
              <w:noBreakHyphen/>
            </w:r>
            <w:r w:rsidRPr="006E5176">
              <w:rPr>
                <w:rFonts w:ascii="Arial" w:hAnsi="Arial" w:cs="Arial"/>
                <w:color w:val="000000"/>
                <w:sz w:val="16"/>
                <w:szCs w:val="16"/>
              </w:rPr>
              <w:t>27</w:t>
            </w:r>
          </w:p>
        </w:tc>
      </w:tr>
      <w:tr w:rsidR="006E5176" w:rsidRPr="006E5176" w14:paraId="67F3AC4E" w14:textId="77777777" w:rsidTr="00815BAB">
        <w:trPr>
          <w:divId w:val="819618426"/>
          <w:trHeight w:hRule="exact" w:val="225"/>
        </w:trPr>
        <w:tc>
          <w:tcPr>
            <w:tcW w:w="2032" w:type="pct"/>
            <w:tcBorders>
              <w:top w:val="nil"/>
              <w:left w:val="nil"/>
              <w:bottom w:val="nil"/>
              <w:right w:val="nil"/>
            </w:tcBorders>
            <w:shd w:val="clear" w:color="000000" w:fill="FFFFFF"/>
            <w:noWrap/>
            <w:vAlign w:val="center"/>
            <w:hideMark/>
          </w:tcPr>
          <w:p w14:paraId="593F3499"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single" w:sz="4" w:space="0" w:color="002A54" w:themeColor="text2"/>
              <w:right w:val="nil"/>
            </w:tcBorders>
            <w:shd w:val="clear" w:color="000000" w:fill="FFFFFF"/>
            <w:noWrap/>
            <w:vAlign w:val="center"/>
            <w:hideMark/>
          </w:tcPr>
          <w:p w14:paraId="68D1ACC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E6F2FF"/>
            <w:noWrap/>
            <w:vAlign w:val="center"/>
            <w:hideMark/>
          </w:tcPr>
          <w:p w14:paraId="4EDDDD94"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FFFFFF"/>
            <w:noWrap/>
            <w:vAlign w:val="center"/>
            <w:hideMark/>
          </w:tcPr>
          <w:p w14:paraId="308A52B4"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FFFFFF"/>
            <w:noWrap/>
            <w:vAlign w:val="center"/>
            <w:hideMark/>
          </w:tcPr>
          <w:p w14:paraId="4593985C"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$m</w:t>
            </w:r>
          </w:p>
        </w:tc>
        <w:tc>
          <w:tcPr>
            <w:tcW w:w="599" w:type="pct"/>
            <w:gridSpan w:val="2"/>
            <w:tcBorders>
              <w:top w:val="nil"/>
              <w:left w:val="nil"/>
              <w:bottom w:val="single" w:sz="4" w:space="0" w:color="002A54" w:themeColor="text2"/>
              <w:right w:val="nil"/>
            </w:tcBorders>
            <w:shd w:val="clear" w:color="000000" w:fill="FFFFFF"/>
            <w:noWrap/>
            <w:vAlign w:val="center"/>
            <w:hideMark/>
          </w:tcPr>
          <w:p w14:paraId="4A48DA83"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$m</w:t>
            </w:r>
          </w:p>
        </w:tc>
      </w:tr>
      <w:tr w:rsidR="006E5176" w:rsidRPr="006E5176" w14:paraId="05D387CA" w14:textId="77777777" w:rsidTr="00815BAB">
        <w:trPr>
          <w:divId w:val="819618426"/>
          <w:trHeight w:hRule="exact" w:val="225"/>
        </w:trPr>
        <w:tc>
          <w:tcPr>
            <w:tcW w:w="2032" w:type="pct"/>
            <w:tcBorders>
              <w:top w:val="nil"/>
              <w:left w:val="nil"/>
              <w:bottom w:val="nil"/>
              <w:right w:val="nil"/>
            </w:tcBorders>
            <w:shd w:val="clear" w:color="000000" w:fill="FFFFFF"/>
            <w:noWrap/>
            <w:vAlign w:val="center"/>
            <w:hideMark/>
          </w:tcPr>
          <w:p w14:paraId="0A260894"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Foreign aid(b)</w:t>
            </w:r>
          </w:p>
        </w:tc>
        <w:tc>
          <w:tcPr>
            <w:tcW w:w="592" w:type="pct"/>
            <w:tcBorders>
              <w:top w:val="single" w:sz="4" w:space="0" w:color="002A54" w:themeColor="text2"/>
              <w:left w:val="nil"/>
              <w:bottom w:val="nil"/>
              <w:right w:val="nil"/>
            </w:tcBorders>
            <w:shd w:val="clear" w:color="000000" w:fill="FFFFFF"/>
            <w:noWrap/>
            <w:vAlign w:val="center"/>
            <w:hideMark/>
          </w:tcPr>
          <w:p w14:paraId="7023B9E1"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4,536</w:t>
            </w:r>
          </w:p>
        </w:tc>
        <w:tc>
          <w:tcPr>
            <w:tcW w:w="592" w:type="pct"/>
            <w:tcBorders>
              <w:top w:val="single" w:sz="4" w:space="0" w:color="002A54" w:themeColor="text2"/>
              <w:left w:val="nil"/>
              <w:bottom w:val="nil"/>
              <w:right w:val="nil"/>
            </w:tcBorders>
            <w:shd w:val="clear" w:color="000000" w:fill="E6F2FF"/>
            <w:noWrap/>
            <w:vAlign w:val="center"/>
            <w:hideMark/>
          </w:tcPr>
          <w:p w14:paraId="259EDBB6"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4,087</w:t>
            </w:r>
          </w:p>
        </w:tc>
        <w:tc>
          <w:tcPr>
            <w:tcW w:w="592" w:type="pct"/>
            <w:tcBorders>
              <w:top w:val="single" w:sz="4" w:space="0" w:color="002A54" w:themeColor="text2"/>
              <w:left w:val="nil"/>
              <w:bottom w:val="nil"/>
              <w:right w:val="nil"/>
            </w:tcBorders>
            <w:shd w:val="clear" w:color="000000" w:fill="FFFFFF"/>
            <w:noWrap/>
            <w:vAlign w:val="center"/>
            <w:hideMark/>
          </w:tcPr>
          <w:p w14:paraId="5A5F890B"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5,136</w:t>
            </w:r>
          </w:p>
        </w:tc>
        <w:tc>
          <w:tcPr>
            <w:tcW w:w="592" w:type="pct"/>
            <w:tcBorders>
              <w:top w:val="single" w:sz="4" w:space="0" w:color="002A54" w:themeColor="text2"/>
              <w:left w:val="nil"/>
              <w:bottom w:val="nil"/>
              <w:right w:val="nil"/>
            </w:tcBorders>
            <w:shd w:val="clear" w:color="000000" w:fill="FFFFFF"/>
            <w:noWrap/>
            <w:vAlign w:val="center"/>
            <w:hideMark/>
          </w:tcPr>
          <w:p w14:paraId="1E19401E"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4,209</w:t>
            </w:r>
          </w:p>
        </w:tc>
        <w:tc>
          <w:tcPr>
            <w:tcW w:w="599" w:type="pct"/>
            <w:gridSpan w:val="2"/>
            <w:tcBorders>
              <w:top w:val="single" w:sz="4" w:space="0" w:color="002A54" w:themeColor="text2"/>
              <w:left w:val="nil"/>
              <w:bottom w:val="nil"/>
              <w:right w:val="nil"/>
            </w:tcBorders>
            <w:shd w:val="clear" w:color="000000" w:fill="FFFFFF"/>
            <w:noWrap/>
            <w:vAlign w:val="center"/>
            <w:hideMark/>
          </w:tcPr>
          <w:p w14:paraId="49BD7F9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4,477</w:t>
            </w:r>
          </w:p>
        </w:tc>
      </w:tr>
      <w:tr w:rsidR="006E5176" w:rsidRPr="006E5176" w14:paraId="49EEAF38"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1F0D0702"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Diplomacy(c)</w:t>
            </w:r>
          </w:p>
        </w:tc>
        <w:tc>
          <w:tcPr>
            <w:tcW w:w="592" w:type="pct"/>
            <w:tcBorders>
              <w:top w:val="nil"/>
              <w:left w:val="nil"/>
              <w:bottom w:val="nil"/>
              <w:right w:val="nil"/>
            </w:tcBorders>
            <w:shd w:val="clear" w:color="000000" w:fill="FFFFFF"/>
            <w:noWrap/>
            <w:vAlign w:val="center"/>
            <w:hideMark/>
          </w:tcPr>
          <w:p w14:paraId="51D29B29"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1,378</w:t>
            </w:r>
          </w:p>
        </w:tc>
        <w:tc>
          <w:tcPr>
            <w:tcW w:w="592" w:type="pct"/>
            <w:tcBorders>
              <w:top w:val="nil"/>
              <w:left w:val="nil"/>
              <w:bottom w:val="nil"/>
              <w:right w:val="nil"/>
            </w:tcBorders>
            <w:shd w:val="clear" w:color="000000" w:fill="E6F2FF"/>
            <w:noWrap/>
            <w:vAlign w:val="center"/>
            <w:hideMark/>
          </w:tcPr>
          <w:p w14:paraId="1797600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1,439</w:t>
            </w:r>
          </w:p>
        </w:tc>
        <w:tc>
          <w:tcPr>
            <w:tcW w:w="592" w:type="pct"/>
            <w:tcBorders>
              <w:top w:val="nil"/>
              <w:left w:val="nil"/>
              <w:bottom w:val="nil"/>
              <w:right w:val="nil"/>
            </w:tcBorders>
            <w:shd w:val="clear" w:color="000000" w:fill="FFFFFF"/>
            <w:noWrap/>
            <w:vAlign w:val="center"/>
            <w:hideMark/>
          </w:tcPr>
          <w:p w14:paraId="254B576A"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1,409</w:t>
            </w:r>
          </w:p>
        </w:tc>
        <w:tc>
          <w:tcPr>
            <w:tcW w:w="592" w:type="pct"/>
            <w:tcBorders>
              <w:top w:val="nil"/>
              <w:left w:val="nil"/>
              <w:bottom w:val="nil"/>
              <w:right w:val="nil"/>
            </w:tcBorders>
            <w:shd w:val="clear" w:color="000000" w:fill="FFFFFF"/>
            <w:noWrap/>
            <w:vAlign w:val="center"/>
            <w:hideMark/>
          </w:tcPr>
          <w:p w14:paraId="56654ECE"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1,452</w:t>
            </w:r>
          </w:p>
        </w:tc>
        <w:tc>
          <w:tcPr>
            <w:tcW w:w="599" w:type="pct"/>
            <w:gridSpan w:val="2"/>
            <w:tcBorders>
              <w:top w:val="nil"/>
              <w:left w:val="nil"/>
              <w:bottom w:val="nil"/>
              <w:right w:val="nil"/>
            </w:tcBorders>
            <w:shd w:val="clear" w:color="000000" w:fill="FFFFFF"/>
            <w:noWrap/>
            <w:vAlign w:val="center"/>
            <w:hideMark/>
          </w:tcPr>
          <w:p w14:paraId="078D11C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1,520</w:t>
            </w:r>
          </w:p>
        </w:tc>
      </w:tr>
      <w:tr w:rsidR="006E5176" w:rsidRPr="006E5176" w14:paraId="14720EB3"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64C4C139"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Payments to international organisations</w:t>
            </w:r>
          </w:p>
        </w:tc>
        <w:tc>
          <w:tcPr>
            <w:tcW w:w="592" w:type="pct"/>
            <w:tcBorders>
              <w:top w:val="nil"/>
              <w:left w:val="nil"/>
              <w:bottom w:val="nil"/>
              <w:right w:val="nil"/>
            </w:tcBorders>
            <w:shd w:val="clear" w:color="000000" w:fill="FFFFFF"/>
            <w:noWrap/>
            <w:vAlign w:val="center"/>
            <w:hideMark/>
          </w:tcPr>
          <w:p w14:paraId="6B35854A"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426</w:t>
            </w:r>
          </w:p>
        </w:tc>
        <w:tc>
          <w:tcPr>
            <w:tcW w:w="592" w:type="pct"/>
            <w:tcBorders>
              <w:top w:val="nil"/>
              <w:left w:val="nil"/>
              <w:bottom w:val="nil"/>
              <w:right w:val="nil"/>
            </w:tcBorders>
            <w:shd w:val="clear" w:color="000000" w:fill="E6F2FF"/>
            <w:noWrap/>
            <w:vAlign w:val="center"/>
            <w:hideMark/>
          </w:tcPr>
          <w:p w14:paraId="7F47631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459</w:t>
            </w:r>
          </w:p>
        </w:tc>
        <w:tc>
          <w:tcPr>
            <w:tcW w:w="592" w:type="pct"/>
            <w:tcBorders>
              <w:top w:val="nil"/>
              <w:left w:val="nil"/>
              <w:bottom w:val="nil"/>
              <w:right w:val="nil"/>
            </w:tcBorders>
            <w:shd w:val="clear" w:color="000000" w:fill="FFFFFF"/>
            <w:noWrap/>
            <w:vAlign w:val="center"/>
            <w:hideMark/>
          </w:tcPr>
          <w:p w14:paraId="70B04E54"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459</w:t>
            </w:r>
          </w:p>
        </w:tc>
        <w:tc>
          <w:tcPr>
            <w:tcW w:w="592" w:type="pct"/>
            <w:tcBorders>
              <w:top w:val="nil"/>
              <w:left w:val="nil"/>
              <w:bottom w:val="nil"/>
              <w:right w:val="nil"/>
            </w:tcBorders>
            <w:shd w:val="clear" w:color="000000" w:fill="FFFFFF"/>
            <w:noWrap/>
            <w:vAlign w:val="center"/>
            <w:hideMark/>
          </w:tcPr>
          <w:p w14:paraId="36B9CD8C"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459</w:t>
            </w:r>
          </w:p>
        </w:tc>
        <w:tc>
          <w:tcPr>
            <w:tcW w:w="599" w:type="pct"/>
            <w:gridSpan w:val="2"/>
            <w:tcBorders>
              <w:top w:val="nil"/>
              <w:left w:val="nil"/>
              <w:bottom w:val="nil"/>
              <w:right w:val="nil"/>
            </w:tcBorders>
            <w:shd w:val="clear" w:color="000000" w:fill="FFFFFF"/>
            <w:noWrap/>
            <w:vAlign w:val="center"/>
            <w:hideMark/>
          </w:tcPr>
          <w:p w14:paraId="110F566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459</w:t>
            </w:r>
          </w:p>
        </w:tc>
      </w:tr>
      <w:tr w:rsidR="006E5176" w:rsidRPr="006E5176" w14:paraId="4C8FAA6B"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76AAB0BB"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Passport services</w:t>
            </w:r>
          </w:p>
        </w:tc>
        <w:tc>
          <w:tcPr>
            <w:tcW w:w="592" w:type="pct"/>
            <w:tcBorders>
              <w:top w:val="nil"/>
              <w:left w:val="nil"/>
              <w:bottom w:val="nil"/>
              <w:right w:val="nil"/>
            </w:tcBorders>
            <w:shd w:val="clear" w:color="000000" w:fill="FFFFFF"/>
            <w:noWrap/>
            <w:vAlign w:val="center"/>
            <w:hideMark/>
          </w:tcPr>
          <w:p w14:paraId="0D4AEF9F"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423</w:t>
            </w:r>
          </w:p>
        </w:tc>
        <w:tc>
          <w:tcPr>
            <w:tcW w:w="592" w:type="pct"/>
            <w:tcBorders>
              <w:top w:val="nil"/>
              <w:left w:val="nil"/>
              <w:bottom w:val="nil"/>
              <w:right w:val="nil"/>
            </w:tcBorders>
            <w:shd w:val="clear" w:color="000000" w:fill="E6F2FF"/>
            <w:noWrap/>
            <w:vAlign w:val="center"/>
            <w:hideMark/>
          </w:tcPr>
          <w:p w14:paraId="0ED759A4"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363</w:t>
            </w:r>
          </w:p>
        </w:tc>
        <w:tc>
          <w:tcPr>
            <w:tcW w:w="592" w:type="pct"/>
            <w:tcBorders>
              <w:top w:val="nil"/>
              <w:left w:val="nil"/>
              <w:bottom w:val="nil"/>
              <w:right w:val="nil"/>
            </w:tcBorders>
            <w:shd w:val="clear" w:color="000000" w:fill="FFFFFF"/>
            <w:noWrap/>
            <w:vAlign w:val="center"/>
            <w:hideMark/>
          </w:tcPr>
          <w:p w14:paraId="7696A8DD"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354</w:t>
            </w:r>
          </w:p>
        </w:tc>
        <w:tc>
          <w:tcPr>
            <w:tcW w:w="592" w:type="pct"/>
            <w:tcBorders>
              <w:top w:val="nil"/>
              <w:left w:val="nil"/>
              <w:bottom w:val="nil"/>
              <w:right w:val="nil"/>
            </w:tcBorders>
            <w:shd w:val="clear" w:color="000000" w:fill="FFFFFF"/>
            <w:noWrap/>
            <w:vAlign w:val="center"/>
            <w:hideMark/>
          </w:tcPr>
          <w:p w14:paraId="0CD920A6"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330</w:t>
            </w:r>
          </w:p>
        </w:tc>
        <w:tc>
          <w:tcPr>
            <w:tcW w:w="599" w:type="pct"/>
            <w:gridSpan w:val="2"/>
            <w:tcBorders>
              <w:top w:val="nil"/>
              <w:left w:val="nil"/>
              <w:bottom w:val="nil"/>
              <w:right w:val="nil"/>
            </w:tcBorders>
            <w:shd w:val="clear" w:color="000000" w:fill="FFFFFF"/>
            <w:noWrap/>
            <w:vAlign w:val="center"/>
            <w:hideMark/>
          </w:tcPr>
          <w:p w14:paraId="00C6254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365</w:t>
            </w:r>
          </w:p>
        </w:tc>
      </w:tr>
      <w:tr w:rsidR="006E5176" w:rsidRPr="006E5176" w14:paraId="2DA1ED1D"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3E899E1E"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International police assistance</w:t>
            </w:r>
          </w:p>
        </w:tc>
        <w:tc>
          <w:tcPr>
            <w:tcW w:w="592" w:type="pct"/>
            <w:tcBorders>
              <w:top w:val="nil"/>
              <w:left w:val="nil"/>
              <w:bottom w:val="nil"/>
              <w:right w:val="nil"/>
            </w:tcBorders>
            <w:shd w:val="clear" w:color="000000" w:fill="FFFFFF"/>
            <w:noWrap/>
            <w:vAlign w:val="center"/>
            <w:hideMark/>
          </w:tcPr>
          <w:p w14:paraId="4083C2A2"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190</w:t>
            </w:r>
          </w:p>
        </w:tc>
        <w:tc>
          <w:tcPr>
            <w:tcW w:w="592" w:type="pct"/>
            <w:tcBorders>
              <w:top w:val="nil"/>
              <w:left w:val="nil"/>
              <w:bottom w:val="nil"/>
              <w:right w:val="nil"/>
            </w:tcBorders>
            <w:shd w:val="clear" w:color="000000" w:fill="E6F2FF"/>
            <w:noWrap/>
            <w:vAlign w:val="center"/>
            <w:hideMark/>
          </w:tcPr>
          <w:p w14:paraId="19CEA39C"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240</w:t>
            </w:r>
          </w:p>
        </w:tc>
        <w:tc>
          <w:tcPr>
            <w:tcW w:w="592" w:type="pct"/>
            <w:tcBorders>
              <w:top w:val="nil"/>
              <w:left w:val="nil"/>
              <w:bottom w:val="nil"/>
              <w:right w:val="nil"/>
            </w:tcBorders>
            <w:shd w:val="clear" w:color="000000" w:fill="FFFFFF"/>
            <w:noWrap/>
            <w:vAlign w:val="center"/>
            <w:hideMark/>
          </w:tcPr>
          <w:p w14:paraId="27675A96"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227</w:t>
            </w:r>
          </w:p>
        </w:tc>
        <w:tc>
          <w:tcPr>
            <w:tcW w:w="592" w:type="pct"/>
            <w:tcBorders>
              <w:top w:val="nil"/>
              <w:left w:val="nil"/>
              <w:bottom w:val="nil"/>
              <w:right w:val="nil"/>
            </w:tcBorders>
            <w:shd w:val="clear" w:color="000000" w:fill="FFFFFF"/>
            <w:noWrap/>
            <w:vAlign w:val="center"/>
            <w:hideMark/>
          </w:tcPr>
          <w:p w14:paraId="430AE7D6"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242</w:t>
            </w:r>
          </w:p>
        </w:tc>
        <w:tc>
          <w:tcPr>
            <w:tcW w:w="599" w:type="pct"/>
            <w:gridSpan w:val="2"/>
            <w:tcBorders>
              <w:top w:val="nil"/>
              <w:left w:val="nil"/>
              <w:bottom w:val="nil"/>
              <w:right w:val="nil"/>
            </w:tcBorders>
            <w:shd w:val="clear" w:color="000000" w:fill="FFFFFF"/>
            <w:noWrap/>
            <w:vAlign w:val="center"/>
            <w:hideMark/>
          </w:tcPr>
          <w:p w14:paraId="146CD13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271</w:t>
            </w:r>
          </w:p>
        </w:tc>
      </w:tr>
      <w:tr w:rsidR="006E5176" w:rsidRPr="006E5176" w14:paraId="282D202B" w14:textId="77777777" w:rsidTr="006E5176">
        <w:trPr>
          <w:gridAfter w:val="2"/>
          <w:divId w:val="819618426"/>
          <w:wAfter w:w="599" w:type="pct"/>
          <w:trHeight w:hRule="exact" w:val="225"/>
        </w:trPr>
        <w:tc>
          <w:tcPr>
            <w:tcW w:w="2032" w:type="pct"/>
            <w:tcBorders>
              <w:top w:val="nil"/>
              <w:left w:val="nil"/>
              <w:bottom w:val="nil"/>
              <w:right w:val="nil"/>
            </w:tcBorders>
            <w:shd w:val="clear" w:color="000000" w:fill="FFFFFF"/>
            <w:noWrap/>
            <w:vAlign w:val="center"/>
            <w:hideMark/>
          </w:tcPr>
          <w:p w14:paraId="381240BC"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International agriculture research and</w:t>
            </w:r>
          </w:p>
        </w:tc>
        <w:tc>
          <w:tcPr>
            <w:tcW w:w="592" w:type="pct"/>
            <w:tcBorders>
              <w:top w:val="nil"/>
              <w:left w:val="nil"/>
              <w:bottom w:val="nil"/>
              <w:right w:val="nil"/>
            </w:tcBorders>
            <w:shd w:val="clear" w:color="000000" w:fill="FFFFFF"/>
            <w:noWrap/>
            <w:vAlign w:val="center"/>
            <w:hideMark/>
          </w:tcPr>
          <w:p w14:paraId="2F4A45EA"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E6F2FF"/>
            <w:noWrap/>
            <w:vAlign w:val="center"/>
            <w:hideMark/>
          </w:tcPr>
          <w:p w14:paraId="4F68DEC6"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FFFFFF"/>
            <w:noWrap/>
            <w:vAlign w:val="center"/>
            <w:hideMark/>
          </w:tcPr>
          <w:p w14:paraId="053737B0"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FFFFFF"/>
            <w:noWrap/>
            <w:vAlign w:val="center"/>
            <w:hideMark/>
          </w:tcPr>
          <w:p w14:paraId="326001AD"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r>
      <w:tr w:rsidR="006E5176" w:rsidRPr="006E5176" w14:paraId="53C6AB75"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6637CEB0" w14:textId="77777777" w:rsidR="006E5176" w:rsidRPr="006E5176" w:rsidRDefault="006E5176" w:rsidP="006E5176">
            <w:pPr>
              <w:spacing w:before="0" w:after="0" w:line="240" w:lineRule="auto"/>
              <w:ind w:left="170"/>
              <w:rPr>
                <w:rFonts w:ascii="Arial" w:hAnsi="Arial" w:cs="Arial"/>
                <w:color w:val="000000"/>
                <w:sz w:val="16"/>
                <w:szCs w:val="16"/>
              </w:rPr>
            </w:pPr>
            <w:r w:rsidRPr="006E5176">
              <w:rPr>
                <w:rFonts w:ascii="Arial" w:hAnsi="Arial" w:cs="Arial"/>
                <w:color w:val="000000"/>
                <w:sz w:val="16"/>
                <w:szCs w:val="16"/>
              </w:rPr>
              <w:t>development</w:t>
            </w:r>
          </w:p>
        </w:tc>
        <w:tc>
          <w:tcPr>
            <w:tcW w:w="592" w:type="pct"/>
            <w:tcBorders>
              <w:top w:val="nil"/>
              <w:left w:val="nil"/>
              <w:bottom w:val="nil"/>
              <w:right w:val="nil"/>
            </w:tcBorders>
            <w:shd w:val="clear" w:color="000000" w:fill="FFFFFF"/>
            <w:noWrap/>
            <w:vAlign w:val="center"/>
            <w:hideMark/>
          </w:tcPr>
          <w:p w14:paraId="06011134"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119</w:t>
            </w:r>
          </w:p>
        </w:tc>
        <w:tc>
          <w:tcPr>
            <w:tcW w:w="592" w:type="pct"/>
            <w:tcBorders>
              <w:top w:val="nil"/>
              <w:left w:val="nil"/>
              <w:bottom w:val="nil"/>
              <w:right w:val="nil"/>
            </w:tcBorders>
            <w:shd w:val="clear" w:color="000000" w:fill="E6F2FF"/>
            <w:noWrap/>
            <w:vAlign w:val="center"/>
            <w:hideMark/>
          </w:tcPr>
          <w:p w14:paraId="71FDB481"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124</w:t>
            </w:r>
          </w:p>
        </w:tc>
        <w:tc>
          <w:tcPr>
            <w:tcW w:w="592" w:type="pct"/>
            <w:tcBorders>
              <w:top w:val="nil"/>
              <w:left w:val="nil"/>
              <w:bottom w:val="nil"/>
              <w:right w:val="nil"/>
            </w:tcBorders>
            <w:shd w:val="clear" w:color="000000" w:fill="FFFFFF"/>
            <w:noWrap/>
            <w:vAlign w:val="center"/>
            <w:hideMark/>
          </w:tcPr>
          <w:p w14:paraId="2D02B70B"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120</w:t>
            </w:r>
          </w:p>
        </w:tc>
        <w:tc>
          <w:tcPr>
            <w:tcW w:w="592" w:type="pct"/>
            <w:tcBorders>
              <w:top w:val="nil"/>
              <w:left w:val="nil"/>
              <w:bottom w:val="nil"/>
              <w:right w:val="nil"/>
            </w:tcBorders>
            <w:shd w:val="clear" w:color="000000" w:fill="FFFFFF"/>
            <w:noWrap/>
            <w:vAlign w:val="center"/>
            <w:hideMark/>
          </w:tcPr>
          <w:p w14:paraId="5C34F657"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122</w:t>
            </w:r>
          </w:p>
        </w:tc>
        <w:tc>
          <w:tcPr>
            <w:tcW w:w="599" w:type="pct"/>
            <w:gridSpan w:val="2"/>
            <w:tcBorders>
              <w:top w:val="nil"/>
              <w:left w:val="nil"/>
              <w:bottom w:val="nil"/>
              <w:right w:val="nil"/>
            </w:tcBorders>
            <w:shd w:val="clear" w:color="000000" w:fill="FFFFFF"/>
            <w:noWrap/>
            <w:vAlign w:val="center"/>
            <w:hideMark/>
          </w:tcPr>
          <w:p w14:paraId="76DB3D2C"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125</w:t>
            </w:r>
          </w:p>
        </w:tc>
      </w:tr>
      <w:tr w:rsidR="006E5176" w:rsidRPr="006E5176" w14:paraId="208A65F6" w14:textId="77777777" w:rsidTr="006E5176">
        <w:trPr>
          <w:divId w:val="819618426"/>
          <w:trHeight w:hRule="exact" w:val="225"/>
        </w:trPr>
        <w:tc>
          <w:tcPr>
            <w:tcW w:w="2032" w:type="pct"/>
            <w:tcBorders>
              <w:top w:val="nil"/>
              <w:left w:val="nil"/>
              <w:bottom w:val="nil"/>
              <w:right w:val="nil"/>
            </w:tcBorders>
            <w:shd w:val="clear" w:color="000000" w:fill="FFFFFF"/>
            <w:noWrap/>
            <w:vAlign w:val="center"/>
            <w:hideMark/>
          </w:tcPr>
          <w:p w14:paraId="07AC85B1" w14:textId="77777777" w:rsidR="006E5176" w:rsidRPr="006E5176" w:rsidRDefault="006E5176" w:rsidP="006E5176">
            <w:pPr>
              <w:spacing w:before="0" w:after="0" w:line="240" w:lineRule="auto"/>
              <w:rPr>
                <w:rFonts w:ascii="Arial" w:hAnsi="Arial" w:cs="Arial"/>
                <w:sz w:val="16"/>
                <w:szCs w:val="16"/>
              </w:rPr>
            </w:pPr>
            <w:r w:rsidRPr="006E5176">
              <w:rPr>
                <w:rFonts w:ascii="Arial" w:hAnsi="Arial" w:cs="Arial"/>
                <w:sz w:val="16"/>
                <w:szCs w:val="16"/>
              </w:rPr>
              <w:t>Consular services</w:t>
            </w:r>
          </w:p>
        </w:tc>
        <w:tc>
          <w:tcPr>
            <w:tcW w:w="592" w:type="pct"/>
            <w:tcBorders>
              <w:top w:val="nil"/>
              <w:left w:val="nil"/>
              <w:bottom w:val="nil"/>
              <w:right w:val="nil"/>
            </w:tcBorders>
            <w:shd w:val="clear" w:color="000000" w:fill="FFFFFF"/>
            <w:noWrap/>
            <w:vAlign w:val="center"/>
            <w:hideMark/>
          </w:tcPr>
          <w:p w14:paraId="0091972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141</w:t>
            </w:r>
          </w:p>
        </w:tc>
        <w:tc>
          <w:tcPr>
            <w:tcW w:w="592" w:type="pct"/>
            <w:tcBorders>
              <w:top w:val="nil"/>
              <w:left w:val="nil"/>
              <w:bottom w:val="nil"/>
              <w:right w:val="nil"/>
            </w:tcBorders>
            <w:shd w:val="clear" w:color="000000" w:fill="E6F2FF"/>
            <w:noWrap/>
            <w:vAlign w:val="center"/>
            <w:hideMark/>
          </w:tcPr>
          <w:p w14:paraId="6C6010A0"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145</w:t>
            </w:r>
          </w:p>
        </w:tc>
        <w:tc>
          <w:tcPr>
            <w:tcW w:w="592" w:type="pct"/>
            <w:tcBorders>
              <w:top w:val="nil"/>
              <w:left w:val="nil"/>
              <w:bottom w:val="nil"/>
              <w:right w:val="nil"/>
            </w:tcBorders>
            <w:shd w:val="clear" w:color="000000" w:fill="FFFFFF"/>
            <w:noWrap/>
            <w:vAlign w:val="center"/>
            <w:hideMark/>
          </w:tcPr>
          <w:p w14:paraId="3C6AAE1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150</w:t>
            </w:r>
          </w:p>
        </w:tc>
        <w:tc>
          <w:tcPr>
            <w:tcW w:w="592" w:type="pct"/>
            <w:tcBorders>
              <w:top w:val="nil"/>
              <w:left w:val="nil"/>
              <w:bottom w:val="nil"/>
              <w:right w:val="nil"/>
            </w:tcBorders>
            <w:shd w:val="clear" w:color="000000" w:fill="FFFFFF"/>
            <w:noWrap/>
            <w:vAlign w:val="center"/>
            <w:hideMark/>
          </w:tcPr>
          <w:p w14:paraId="63A5267B"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136</w:t>
            </w:r>
          </w:p>
        </w:tc>
        <w:tc>
          <w:tcPr>
            <w:tcW w:w="599" w:type="pct"/>
            <w:gridSpan w:val="2"/>
            <w:tcBorders>
              <w:top w:val="nil"/>
              <w:left w:val="nil"/>
              <w:bottom w:val="nil"/>
              <w:right w:val="nil"/>
            </w:tcBorders>
            <w:shd w:val="clear" w:color="000000" w:fill="FFFFFF"/>
            <w:noWrap/>
            <w:vAlign w:val="center"/>
            <w:hideMark/>
          </w:tcPr>
          <w:p w14:paraId="51C22821"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142</w:t>
            </w:r>
          </w:p>
        </w:tc>
      </w:tr>
      <w:tr w:rsidR="006E5176" w:rsidRPr="006E5176" w14:paraId="11E618C3" w14:textId="77777777" w:rsidTr="006E5176">
        <w:trPr>
          <w:divId w:val="819618426"/>
          <w:trHeight w:hRule="exact" w:val="270"/>
        </w:trPr>
        <w:tc>
          <w:tcPr>
            <w:tcW w:w="2032" w:type="pct"/>
            <w:tcBorders>
              <w:top w:val="nil"/>
              <w:left w:val="nil"/>
              <w:bottom w:val="nil"/>
              <w:right w:val="nil"/>
            </w:tcBorders>
            <w:shd w:val="clear" w:color="000000" w:fill="FFFFFF"/>
            <w:noWrap/>
            <w:vAlign w:val="center"/>
            <w:hideMark/>
          </w:tcPr>
          <w:p w14:paraId="78765E63"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Finance and insurance services for</w:t>
            </w:r>
          </w:p>
        </w:tc>
        <w:tc>
          <w:tcPr>
            <w:tcW w:w="592" w:type="pct"/>
            <w:tcBorders>
              <w:top w:val="nil"/>
              <w:left w:val="nil"/>
              <w:bottom w:val="nil"/>
              <w:right w:val="nil"/>
            </w:tcBorders>
            <w:shd w:val="clear" w:color="000000" w:fill="FFFFFF"/>
            <w:noWrap/>
            <w:vAlign w:val="center"/>
            <w:hideMark/>
          </w:tcPr>
          <w:p w14:paraId="700FFBDD"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E6F2FF"/>
            <w:noWrap/>
            <w:vAlign w:val="center"/>
            <w:hideMark/>
          </w:tcPr>
          <w:p w14:paraId="303E4FE3"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FFFFFF"/>
            <w:noWrap/>
            <w:vAlign w:val="center"/>
            <w:hideMark/>
          </w:tcPr>
          <w:p w14:paraId="618B8204"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2" w:type="pct"/>
            <w:tcBorders>
              <w:top w:val="nil"/>
              <w:left w:val="nil"/>
              <w:bottom w:val="nil"/>
              <w:right w:val="nil"/>
            </w:tcBorders>
            <w:shd w:val="clear" w:color="000000" w:fill="FFFFFF"/>
            <w:noWrap/>
            <w:vAlign w:val="center"/>
            <w:hideMark/>
          </w:tcPr>
          <w:p w14:paraId="4007C964"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c>
          <w:tcPr>
            <w:tcW w:w="599" w:type="pct"/>
            <w:gridSpan w:val="2"/>
            <w:tcBorders>
              <w:top w:val="nil"/>
              <w:left w:val="nil"/>
              <w:bottom w:val="nil"/>
              <w:right w:val="nil"/>
            </w:tcBorders>
            <w:shd w:val="clear" w:color="000000" w:fill="FFFFFF"/>
            <w:noWrap/>
            <w:vAlign w:val="center"/>
            <w:hideMark/>
          </w:tcPr>
          <w:p w14:paraId="05C5D76D"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 </w:t>
            </w:r>
          </w:p>
        </w:tc>
      </w:tr>
      <w:tr w:rsidR="006E5176" w:rsidRPr="006E5176" w14:paraId="25340094" w14:textId="77777777" w:rsidTr="00815BAB">
        <w:trPr>
          <w:divId w:val="819618426"/>
          <w:trHeight w:hRule="exact" w:val="270"/>
        </w:trPr>
        <w:tc>
          <w:tcPr>
            <w:tcW w:w="2032" w:type="pct"/>
            <w:tcBorders>
              <w:top w:val="nil"/>
              <w:left w:val="nil"/>
              <w:bottom w:val="nil"/>
              <w:right w:val="nil"/>
            </w:tcBorders>
            <w:shd w:val="clear" w:color="000000" w:fill="FFFFFF"/>
            <w:noWrap/>
            <w:vAlign w:val="center"/>
            <w:hideMark/>
          </w:tcPr>
          <w:p w14:paraId="4350B21A" w14:textId="77777777" w:rsidR="006E5176" w:rsidRPr="006E5176" w:rsidRDefault="006E5176" w:rsidP="006E5176">
            <w:pPr>
              <w:spacing w:before="0" w:after="0" w:line="240" w:lineRule="auto"/>
              <w:ind w:left="170"/>
              <w:rPr>
                <w:rFonts w:ascii="Arial" w:hAnsi="Arial" w:cs="Arial"/>
                <w:color w:val="000000"/>
                <w:sz w:val="16"/>
                <w:szCs w:val="16"/>
              </w:rPr>
            </w:pPr>
            <w:r w:rsidRPr="006E5176">
              <w:rPr>
                <w:rFonts w:ascii="Arial" w:hAnsi="Arial" w:cs="Arial"/>
                <w:color w:val="000000"/>
                <w:sz w:val="16"/>
                <w:szCs w:val="16"/>
              </w:rPr>
              <w:t>Australian exporters and investors</w:t>
            </w:r>
          </w:p>
        </w:tc>
        <w:tc>
          <w:tcPr>
            <w:tcW w:w="592" w:type="pct"/>
            <w:tcBorders>
              <w:top w:val="nil"/>
              <w:left w:val="nil"/>
              <w:right w:val="nil"/>
            </w:tcBorders>
            <w:shd w:val="clear" w:color="000000" w:fill="FFFFFF"/>
            <w:noWrap/>
            <w:vAlign w:val="center"/>
            <w:hideMark/>
          </w:tcPr>
          <w:p w14:paraId="09CD714E"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283</w:t>
            </w:r>
          </w:p>
        </w:tc>
        <w:tc>
          <w:tcPr>
            <w:tcW w:w="592" w:type="pct"/>
            <w:tcBorders>
              <w:top w:val="nil"/>
              <w:left w:val="nil"/>
              <w:right w:val="nil"/>
            </w:tcBorders>
            <w:shd w:val="clear" w:color="000000" w:fill="E6F2FF"/>
            <w:noWrap/>
            <w:vAlign w:val="center"/>
            <w:hideMark/>
          </w:tcPr>
          <w:p w14:paraId="2980795B"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152</w:t>
            </w:r>
          </w:p>
        </w:tc>
        <w:tc>
          <w:tcPr>
            <w:tcW w:w="592" w:type="pct"/>
            <w:tcBorders>
              <w:top w:val="nil"/>
              <w:left w:val="nil"/>
              <w:right w:val="nil"/>
            </w:tcBorders>
            <w:shd w:val="clear" w:color="000000" w:fill="FFFFFF"/>
            <w:noWrap/>
            <w:vAlign w:val="center"/>
            <w:hideMark/>
          </w:tcPr>
          <w:p w14:paraId="40BC5E7E"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169</w:t>
            </w:r>
          </w:p>
        </w:tc>
        <w:tc>
          <w:tcPr>
            <w:tcW w:w="592" w:type="pct"/>
            <w:tcBorders>
              <w:top w:val="nil"/>
              <w:left w:val="nil"/>
              <w:right w:val="nil"/>
            </w:tcBorders>
            <w:shd w:val="clear" w:color="000000" w:fill="FFFFFF"/>
            <w:noWrap/>
            <w:vAlign w:val="center"/>
            <w:hideMark/>
          </w:tcPr>
          <w:p w14:paraId="1581D7BA"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188</w:t>
            </w:r>
          </w:p>
        </w:tc>
        <w:tc>
          <w:tcPr>
            <w:tcW w:w="599" w:type="pct"/>
            <w:gridSpan w:val="2"/>
            <w:tcBorders>
              <w:top w:val="nil"/>
              <w:left w:val="nil"/>
              <w:right w:val="nil"/>
            </w:tcBorders>
            <w:shd w:val="clear" w:color="000000" w:fill="FFFFFF"/>
            <w:noWrap/>
            <w:vAlign w:val="center"/>
            <w:hideMark/>
          </w:tcPr>
          <w:p w14:paraId="313DA6C7"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233</w:t>
            </w:r>
          </w:p>
        </w:tc>
      </w:tr>
      <w:tr w:rsidR="006E5176" w:rsidRPr="006E5176" w14:paraId="2BA847A9" w14:textId="77777777" w:rsidTr="00815BAB">
        <w:trPr>
          <w:divId w:val="819618426"/>
          <w:trHeight w:hRule="exact" w:val="225"/>
        </w:trPr>
        <w:tc>
          <w:tcPr>
            <w:tcW w:w="2032" w:type="pct"/>
            <w:tcBorders>
              <w:top w:val="nil"/>
              <w:left w:val="nil"/>
              <w:bottom w:val="nil"/>
              <w:right w:val="nil"/>
            </w:tcBorders>
            <w:shd w:val="clear" w:color="000000" w:fill="FFFFFF"/>
            <w:noWrap/>
            <w:vAlign w:val="center"/>
            <w:hideMark/>
          </w:tcPr>
          <w:p w14:paraId="5706F0E6" w14:textId="77777777" w:rsidR="006E5176" w:rsidRPr="006E5176" w:rsidRDefault="006E5176" w:rsidP="006E5176">
            <w:pPr>
              <w:spacing w:before="0" w:after="0" w:line="240" w:lineRule="auto"/>
              <w:rPr>
                <w:rFonts w:ascii="Arial" w:hAnsi="Arial" w:cs="Arial"/>
                <w:color w:val="000000"/>
                <w:sz w:val="16"/>
                <w:szCs w:val="16"/>
              </w:rPr>
            </w:pPr>
            <w:r w:rsidRPr="006E5176">
              <w:rPr>
                <w:rFonts w:ascii="Arial" w:hAnsi="Arial" w:cs="Arial"/>
                <w:color w:val="000000"/>
                <w:sz w:val="16"/>
                <w:szCs w:val="16"/>
              </w:rPr>
              <w:t>Other</w:t>
            </w:r>
          </w:p>
        </w:tc>
        <w:tc>
          <w:tcPr>
            <w:tcW w:w="592" w:type="pct"/>
            <w:tcBorders>
              <w:top w:val="nil"/>
              <w:left w:val="nil"/>
              <w:bottom w:val="single" w:sz="4" w:space="0" w:color="002A54" w:themeColor="text2"/>
              <w:right w:val="nil"/>
            </w:tcBorders>
            <w:shd w:val="clear" w:color="000000" w:fill="FFFFFF"/>
            <w:noWrap/>
            <w:vAlign w:val="center"/>
            <w:hideMark/>
          </w:tcPr>
          <w:p w14:paraId="40549E2B"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125</w:t>
            </w:r>
          </w:p>
        </w:tc>
        <w:tc>
          <w:tcPr>
            <w:tcW w:w="592" w:type="pct"/>
            <w:tcBorders>
              <w:top w:val="nil"/>
              <w:left w:val="nil"/>
              <w:bottom w:val="single" w:sz="4" w:space="0" w:color="002A54" w:themeColor="text2"/>
              <w:right w:val="nil"/>
            </w:tcBorders>
            <w:shd w:val="clear" w:color="000000" w:fill="E6F2FF"/>
            <w:noWrap/>
            <w:vAlign w:val="center"/>
            <w:hideMark/>
          </w:tcPr>
          <w:p w14:paraId="09449FB5"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157</w:t>
            </w:r>
          </w:p>
        </w:tc>
        <w:tc>
          <w:tcPr>
            <w:tcW w:w="592" w:type="pct"/>
            <w:tcBorders>
              <w:top w:val="nil"/>
              <w:left w:val="nil"/>
              <w:bottom w:val="single" w:sz="4" w:space="0" w:color="002A54" w:themeColor="text2"/>
              <w:right w:val="nil"/>
            </w:tcBorders>
            <w:shd w:val="clear" w:color="000000" w:fill="FFFFFF"/>
            <w:noWrap/>
            <w:vAlign w:val="center"/>
            <w:hideMark/>
          </w:tcPr>
          <w:p w14:paraId="28AF8C31"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155</w:t>
            </w:r>
          </w:p>
        </w:tc>
        <w:tc>
          <w:tcPr>
            <w:tcW w:w="592" w:type="pct"/>
            <w:tcBorders>
              <w:top w:val="nil"/>
              <w:left w:val="nil"/>
              <w:bottom w:val="single" w:sz="4" w:space="0" w:color="002A54" w:themeColor="text2"/>
              <w:right w:val="nil"/>
            </w:tcBorders>
            <w:shd w:val="clear" w:color="000000" w:fill="FFFFFF"/>
            <w:noWrap/>
            <w:vAlign w:val="center"/>
            <w:hideMark/>
          </w:tcPr>
          <w:p w14:paraId="71A1F86F"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155</w:t>
            </w:r>
          </w:p>
        </w:tc>
        <w:tc>
          <w:tcPr>
            <w:tcW w:w="599" w:type="pct"/>
            <w:gridSpan w:val="2"/>
            <w:tcBorders>
              <w:top w:val="nil"/>
              <w:left w:val="nil"/>
              <w:bottom w:val="single" w:sz="4" w:space="0" w:color="002A54" w:themeColor="text2"/>
              <w:right w:val="nil"/>
            </w:tcBorders>
            <w:shd w:val="clear" w:color="000000" w:fill="FFFFFF"/>
            <w:noWrap/>
            <w:vAlign w:val="center"/>
            <w:hideMark/>
          </w:tcPr>
          <w:p w14:paraId="6DC4A2D9" w14:textId="77777777" w:rsidR="006E5176" w:rsidRPr="006E5176" w:rsidRDefault="006E5176" w:rsidP="006E5176">
            <w:pPr>
              <w:spacing w:before="0" w:after="0" w:line="240" w:lineRule="auto"/>
              <w:jc w:val="right"/>
              <w:rPr>
                <w:rFonts w:ascii="Arial" w:hAnsi="Arial" w:cs="Arial"/>
                <w:color w:val="000000"/>
                <w:sz w:val="16"/>
                <w:szCs w:val="16"/>
              </w:rPr>
            </w:pPr>
            <w:r w:rsidRPr="006E5176">
              <w:rPr>
                <w:rFonts w:ascii="Arial" w:hAnsi="Arial" w:cs="Arial"/>
                <w:color w:val="000000"/>
                <w:sz w:val="16"/>
                <w:szCs w:val="16"/>
              </w:rPr>
              <w:t>133</w:t>
            </w:r>
          </w:p>
        </w:tc>
      </w:tr>
      <w:tr w:rsidR="006E5176" w:rsidRPr="006E5176" w14:paraId="66CF6F07" w14:textId="77777777" w:rsidTr="00815BAB">
        <w:trPr>
          <w:divId w:val="819618426"/>
          <w:trHeight w:hRule="exact" w:val="225"/>
        </w:trPr>
        <w:tc>
          <w:tcPr>
            <w:tcW w:w="2032" w:type="pct"/>
            <w:tcBorders>
              <w:top w:val="nil"/>
              <w:left w:val="nil"/>
              <w:bottom w:val="single" w:sz="4" w:space="0" w:color="002A54" w:themeColor="text2"/>
              <w:right w:val="nil"/>
            </w:tcBorders>
            <w:shd w:val="clear" w:color="000000" w:fill="FFFFFF"/>
            <w:noWrap/>
            <w:vAlign w:val="center"/>
            <w:hideMark/>
          </w:tcPr>
          <w:p w14:paraId="71D1D65D" w14:textId="77777777" w:rsidR="006E5176" w:rsidRPr="006E5176" w:rsidRDefault="006E5176" w:rsidP="006E5176">
            <w:pPr>
              <w:spacing w:before="0" w:after="0" w:line="240" w:lineRule="auto"/>
              <w:rPr>
                <w:rFonts w:ascii="Arial" w:hAnsi="Arial" w:cs="Arial"/>
                <w:b/>
                <w:bCs/>
                <w:color w:val="000000"/>
                <w:sz w:val="16"/>
                <w:szCs w:val="16"/>
              </w:rPr>
            </w:pPr>
            <w:r w:rsidRPr="006E5176">
              <w:rPr>
                <w:rFonts w:ascii="Arial" w:hAnsi="Arial" w:cs="Arial"/>
                <w:b/>
                <w:bCs/>
                <w:color w:val="000000"/>
                <w:sz w:val="16"/>
                <w:szCs w:val="16"/>
              </w:rPr>
              <w:t>Total</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1A19A1ED" w14:textId="77777777" w:rsidR="006E5176" w:rsidRPr="006E5176" w:rsidRDefault="006E5176" w:rsidP="006E5176">
            <w:pPr>
              <w:spacing w:before="0" w:after="0" w:line="240" w:lineRule="auto"/>
              <w:jc w:val="right"/>
              <w:rPr>
                <w:rFonts w:ascii="Arial" w:hAnsi="Arial" w:cs="Arial"/>
                <w:b/>
                <w:bCs/>
                <w:color w:val="000000"/>
                <w:sz w:val="16"/>
                <w:szCs w:val="16"/>
              </w:rPr>
            </w:pPr>
            <w:r w:rsidRPr="006E5176">
              <w:rPr>
                <w:rFonts w:ascii="Arial" w:hAnsi="Arial" w:cs="Arial"/>
                <w:b/>
                <w:bCs/>
                <w:color w:val="000000"/>
                <w:sz w:val="16"/>
                <w:szCs w:val="16"/>
              </w:rPr>
              <w:t>7,622</w:t>
            </w:r>
          </w:p>
        </w:tc>
        <w:tc>
          <w:tcPr>
            <w:tcW w:w="592" w:type="pct"/>
            <w:tcBorders>
              <w:top w:val="single" w:sz="4" w:space="0" w:color="002A54" w:themeColor="text2"/>
              <w:left w:val="nil"/>
              <w:bottom w:val="single" w:sz="4" w:space="0" w:color="002A54" w:themeColor="text2"/>
              <w:right w:val="nil"/>
            </w:tcBorders>
            <w:shd w:val="clear" w:color="000000" w:fill="E6F2FF"/>
            <w:noWrap/>
            <w:vAlign w:val="center"/>
            <w:hideMark/>
          </w:tcPr>
          <w:p w14:paraId="6465C98D" w14:textId="77777777" w:rsidR="006E5176" w:rsidRPr="006E5176" w:rsidRDefault="006E5176" w:rsidP="006E5176">
            <w:pPr>
              <w:spacing w:before="0" w:after="0" w:line="240" w:lineRule="auto"/>
              <w:jc w:val="right"/>
              <w:rPr>
                <w:rFonts w:ascii="Arial" w:hAnsi="Arial" w:cs="Arial"/>
                <w:b/>
                <w:bCs/>
                <w:color w:val="000000"/>
                <w:sz w:val="16"/>
                <w:szCs w:val="16"/>
              </w:rPr>
            </w:pPr>
            <w:r w:rsidRPr="006E5176">
              <w:rPr>
                <w:rFonts w:ascii="Arial" w:hAnsi="Arial" w:cs="Arial"/>
                <w:b/>
                <w:bCs/>
                <w:color w:val="000000"/>
                <w:sz w:val="16"/>
                <w:szCs w:val="16"/>
              </w:rPr>
              <w:t>7,166</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2FF218DD" w14:textId="77777777" w:rsidR="006E5176" w:rsidRPr="006E5176" w:rsidRDefault="006E5176" w:rsidP="006E5176">
            <w:pPr>
              <w:spacing w:before="0" w:after="0" w:line="240" w:lineRule="auto"/>
              <w:jc w:val="right"/>
              <w:rPr>
                <w:rFonts w:ascii="Arial" w:hAnsi="Arial" w:cs="Arial"/>
                <w:b/>
                <w:bCs/>
                <w:color w:val="000000"/>
                <w:sz w:val="16"/>
                <w:szCs w:val="16"/>
              </w:rPr>
            </w:pPr>
            <w:r w:rsidRPr="006E5176">
              <w:rPr>
                <w:rFonts w:ascii="Arial" w:hAnsi="Arial" w:cs="Arial"/>
                <w:b/>
                <w:bCs/>
                <w:color w:val="000000"/>
                <w:sz w:val="16"/>
                <w:szCs w:val="16"/>
              </w:rPr>
              <w:t>8,179</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75B0ACAD" w14:textId="77777777" w:rsidR="006E5176" w:rsidRPr="006E5176" w:rsidRDefault="006E5176" w:rsidP="006E5176">
            <w:pPr>
              <w:spacing w:before="0" w:after="0" w:line="240" w:lineRule="auto"/>
              <w:jc w:val="right"/>
              <w:rPr>
                <w:rFonts w:ascii="Arial" w:hAnsi="Arial" w:cs="Arial"/>
                <w:b/>
                <w:bCs/>
                <w:color w:val="000000"/>
                <w:sz w:val="16"/>
                <w:szCs w:val="16"/>
              </w:rPr>
            </w:pPr>
            <w:r w:rsidRPr="006E5176">
              <w:rPr>
                <w:rFonts w:ascii="Arial" w:hAnsi="Arial" w:cs="Arial"/>
                <w:b/>
                <w:bCs/>
                <w:color w:val="000000"/>
                <w:sz w:val="16"/>
                <w:szCs w:val="16"/>
              </w:rPr>
              <w:t>7,294</w:t>
            </w:r>
          </w:p>
        </w:tc>
        <w:tc>
          <w:tcPr>
            <w:tcW w:w="599" w:type="pct"/>
            <w:gridSpan w:val="2"/>
            <w:tcBorders>
              <w:top w:val="single" w:sz="4" w:space="0" w:color="002A54" w:themeColor="text2"/>
              <w:left w:val="nil"/>
              <w:bottom w:val="single" w:sz="4" w:space="0" w:color="002A54" w:themeColor="text2"/>
              <w:right w:val="nil"/>
            </w:tcBorders>
            <w:shd w:val="clear" w:color="000000" w:fill="FFFFFF"/>
            <w:noWrap/>
            <w:vAlign w:val="center"/>
            <w:hideMark/>
          </w:tcPr>
          <w:p w14:paraId="15DD5340" w14:textId="77777777" w:rsidR="006E5176" w:rsidRPr="006E5176" w:rsidRDefault="006E5176" w:rsidP="006E5176">
            <w:pPr>
              <w:spacing w:before="0" w:after="0" w:line="240" w:lineRule="auto"/>
              <w:jc w:val="right"/>
              <w:rPr>
                <w:rFonts w:ascii="Arial" w:hAnsi="Arial" w:cs="Arial"/>
                <w:b/>
                <w:bCs/>
                <w:color w:val="000000"/>
                <w:sz w:val="16"/>
                <w:szCs w:val="16"/>
              </w:rPr>
            </w:pPr>
            <w:r w:rsidRPr="006E5176">
              <w:rPr>
                <w:rFonts w:ascii="Arial" w:hAnsi="Arial" w:cs="Arial"/>
                <w:b/>
                <w:bCs/>
                <w:color w:val="000000"/>
                <w:sz w:val="16"/>
                <w:szCs w:val="16"/>
              </w:rPr>
              <w:t>7,725</w:t>
            </w:r>
          </w:p>
        </w:tc>
      </w:tr>
    </w:tbl>
    <w:p w14:paraId="1393341B" w14:textId="7DF1B79B" w:rsidR="00C855DF" w:rsidRPr="000177D7" w:rsidRDefault="00C855DF" w:rsidP="00173739">
      <w:pPr>
        <w:pStyle w:val="ChartandTableFootnoteAlpha"/>
        <w:numPr>
          <w:ilvl w:val="0"/>
          <w:numId w:val="9"/>
        </w:numPr>
        <w:ind w:left="284" w:hanging="284"/>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1142B053" w14:textId="5B2CABDF" w:rsidR="00C855DF" w:rsidRPr="000177D7" w:rsidRDefault="00C855DF" w:rsidP="00173739">
      <w:pPr>
        <w:pStyle w:val="ChartandTableFootnoteAlpha"/>
        <w:numPr>
          <w:ilvl w:val="0"/>
          <w:numId w:val="9"/>
        </w:numPr>
        <w:ind w:left="284" w:hanging="284"/>
        <w:rPr>
          <w:color w:val="auto"/>
        </w:rPr>
      </w:pPr>
      <w:r w:rsidRPr="000177D7">
        <w:rPr>
          <w:color w:val="auto"/>
        </w:rPr>
        <w:t>The foreign aid figures reflect aid spending by the Department of Foreign Affairs and Trade in accrual terms. This differs from the international measure of aid reporting, Official Development Assistance (ODA), which is in cash terms. Aid spending by other entities is usually reflected in other sub</w:t>
      </w:r>
      <w:r w:rsidR="00D34B95">
        <w:rPr>
          <w:color w:val="auto"/>
        </w:rPr>
        <w:noBreakHyphen/>
      </w:r>
      <w:r w:rsidRPr="000177D7">
        <w:rPr>
          <w:color w:val="auto"/>
        </w:rPr>
        <w:t>functions.</w:t>
      </w:r>
    </w:p>
    <w:p w14:paraId="467322B0" w14:textId="30371EB2" w:rsidR="00C855DF" w:rsidRPr="000177D7" w:rsidRDefault="00C855DF" w:rsidP="00173739">
      <w:pPr>
        <w:pStyle w:val="ChartandTableFootnoteAlpha"/>
        <w:numPr>
          <w:ilvl w:val="0"/>
          <w:numId w:val="9"/>
        </w:numPr>
        <w:ind w:left="284" w:hanging="284"/>
        <w:rPr>
          <w:color w:val="auto"/>
        </w:rPr>
      </w:pPr>
      <w:r w:rsidRPr="000177D7">
        <w:rPr>
          <w:color w:val="auto"/>
        </w:rPr>
        <w:t>Diplomacy includes departmental expenditure for the Department of Foreign Affairs and Trade</w:t>
      </w:r>
      <w:r w:rsidR="00D34B95">
        <w:rPr>
          <w:color w:val="auto"/>
        </w:rPr>
        <w:t>’</w:t>
      </w:r>
      <w:r w:rsidRPr="000177D7">
        <w:rPr>
          <w:color w:val="auto"/>
        </w:rPr>
        <w:t>s operations, security and IT, overseas property and international climate change engagement.</w:t>
      </w:r>
    </w:p>
    <w:p w14:paraId="4A069F2A" w14:textId="77777777" w:rsidR="00C855DF" w:rsidRPr="000177D7" w:rsidRDefault="00C855DF" w:rsidP="00C855DF">
      <w:pPr>
        <w:pStyle w:val="TableLine"/>
      </w:pPr>
    </w:p>
    <w:p w14:paraId="72F35FE6" w14:textId="03255D2B" w:rsidR="0050166A" w:rsidRDefault="0050166A" w:rsidP="009B5A18">
      <w:r w:rsidRPr="000177D7">
        <w:t xml:space="preserve">The </w:t>
      </w:r>
      <w:r w:rsidRPr="000177D7">
        <w:rPr>
          <w:b/>
        </w:rPr>
        <w:t xml:space="preserve">general research </w:t>
      </w:r>
      <w:r w:rsidRPr="000177D7">
        <w:t>sub</w:t>
      </w:r>
      <w:r w:rsidR="00D34B95">
        <w:noBreakHyphen/>
      </w:r>
      <w:r w:rsidRPr="000177D7">
        <w:t xml:space="preserve">function incorporates expenses incurred by the Department of Industry, Science and Resources, the Commonwealth Scientific and Industrial Research Organisation, the Australian Nuclear Science and Technology Organisation, the Australian Institute of Marine Science, the </w:t>
      </w:r>
      <w:r w:rsidRPr="000177D7">
        <w:rPr>
          <w:rFonts w:cs="Calibri"/>
        </w:rPr>
        <w:t>Department of Education</w:t>
      </w:r>
      <w:r w:rsidRPr="000177D7">
        <w:t>, and the Australian Research Council.</w:t>
      </w:r>
      <w:r>
        <w:t xml:space="preserve"> </w:t>
      </w:r>
    </w:p>
    <w:p w14:paraId="709711F6" w14:textId="41E9B006" w:rsidR="00B561FF" w:rsidRPr="000177D7" w:rsidRDefault="0050166A" w:rsidP="009B5A18">
      <w:r>
        <w:t xml:space="preserve">While total expenses </w:t>
      </w:r>
      <w:r w:rsidRPr="000177D7">
        <w:t>under this sub</w:t>
      </w:r>
      <w:r w:rsidR="00D34B95">
        <w:noBreakHyphen/>
      </w:r>
      <w:r w:rsidRPr="000177D7">
        <w:t xml:space="preserve">function are expected to </w:t>
      </w:r>
      <w:r w:rsidRPr="0021687D">
        <w:t>increase by 3.4</w:t>
      </w:r>
      <w:r w:rsidR="00893776">
        <w:t> per </w:t>
      </w:r>
      <w:r w:rsidRPr="0021687D">
        <w:t>cent in nominal terms, there are decreases in a number of components resulting in a real decline in expenses. This partially reflects the terminating funding provided to the Comm</w:t>
      </w:r>
      <w:r w:rsidRPr="000177D7">
        <w:t>onwealth Scientific and Industrial Research Organisation</w:t>
      </w:r>
      <w:r>
        <w:t xml:space="preserve"> to address the impacts of COVID</w:t>
      </w:r>
      <w:r w:rsidR="00D34B95">
        <w:noBreakHyphen/>
      </w:r>
      <w:r>
        <w:t>19 on its commercial research activities</w:t>
      </w:r>
      <w:r w:rsidRPr="000177D7">
        <w:t>.</w:t>
      </w:r>
    </w:p>
    <w:p w14:paraId="290AC533" w14:textId="77777777" w:rsidR="00C855DF" w:rsidRPr="000177D7" w:rsidRDefault="00C855DF" w:rsidP="00C855DF">
      <w:pPr>
        <w:spacing w:before="0" w:after="160" w:line="259" w:lineRule="auto"/>
      </w:pPr>
      <w:r w:rsidRPr="000177D7">
        <w:br w:type="page"/>
      </w:r>
    </w:p>
    <w:p w14:paraId="14B6E4B0" w14:textId="35E06E3C" w:rsidR="001C4076" w:rsidRDefault="00C855DF" w:rsidP="001C4076">
      <w:pPr>
        <w:pStyle w:val="TableHeading"/>
        <w:rPr>
          <w:rFonts w:asciiTheme="minorHAnsi" w:eastAsiaTheme="minorHAnsi" w:hAnsiTheme="minorHAnsi" w:cstheme="minorBidi"/>
          <w:sz w:val="22"/>
          <w:szCs w:val="22"/>
          <w:lang w:eastAsia="en-US"/>
        </w:rPr>
      </w:pPr>
      <w:r w:rsidRPr="000177D7">
        <w:lastRenderedPageBreak/>
        <w:t>Table 6.4.2: Trends in the major components of general research sub</w:t>
      </w:r>
      <w:r w:rsidR="00D34B95">
        <w:noBreakHyphen/>
      </w:r>
      <w:r w:rsidRPr="000177D7">
        <w:t>function expense</w:t>
      </w:r>
      <w:bookmarkStart w:id="43" w:name="_1727953880"/>
      <w:bookmarkStart w:id="44" w:name="_1727955057"/>
      <w:bookmarkEnd w:id="43"/>
      <w:bookmarkEnd w:id="44"/>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1C4076" w:rsidRPr="001C4076" w14:paraId="058325E4" w14:textId="77777777" w:rsidTr="00815BAB">
        <w:trPr>
          <w:divId w:val="1135290252"/>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2D1BFB7F" w14:textId="2780D6A3" w:rsidR="001C4076" w:rsidRPr="001C4076" w:rsidRDefault="001C4076" w:rsidP="001C4076">
            <w:pPr>
              <w:spacing w:before="0" w:after="0" w:line="240" w:lineRule="auto"/>
              <w:rPr>
                <w:rFonts w:ascii="Arial" w:hAnsi="Arial" w:cs="Arial"/>
                <w:b/>
                <w:bCs/>
                <w:color w:val="000000"/>
                <w:sz w:val="16"/>
                <w:szCs w:val="16"/>
              </w:rPr>
            </w:pPr>
            <w:r w:rsidRPr="001C4076">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258BF6AE" w14:textId="77777777" w:rsidR="001C4076" w:rsidRPr="001C4076" w:rsidRDefault="001C4076" w:rsidP="001C4076">
            <w:pPr>
              <w:spacing w:before="0" w:after="0" w:line="240" w:lineRule="auto"/>
              <w:jc w:val="center"/>
              <w:rPr>
                <w:rFonts w:ascii="Arial" w:hAnsi="Arial" w:cs="Arial"/>
                <w:color w:val="000000"/>
                <w:sz w:val="16"/>
                <w:szCs w:val="16"/>
              </w:rPr>
            </w:pPr>
            <w:r w:rsidRPr="001C4076">
              <w:rPr>
                <w:rFonts w:ascii="Arial" w:hAnsi="Arial" w:cs="Arial"/>
                <w:color w:val="000000"/>
                <w:sz w:val="16"/>
                <w:szCs w:val="16"/>
              </w:rPr>
              <w:t>Estimates</w:t>
            </w:r>
          </w:p>
        </w:tc>
      </w:tr>
      <w:tr w:rsidR="001C4076" w:rsidRPr="001C4076" w14:paraId="7EFF4EAF" w14:textId="77777777" w:rsidTr="00815BAB">
        <w:trPr>
          <w:divId w:val="1135290252"/>
          <w:trHeight w:hRule="exact" w:val="225"/>
        </w:trPr>
        <w:tc>
          <w:tcPr>
            <w:tcW w:w="2021" w:type="pct"/>
            <w:tcBorders>
              <w:top w:val="nil"/>
              <w:left w:val="nil"/>
              <w:bottom w:val="nil"/>
              <w:right w:val="nil"/>
            </w:tcBorders>
            <w:shd w:val="clear" w:color="000000" w:fill="FFFFFF"/>
            <w:noWrap/>
            <w:vAlign w:val="bottom"/>
            <w:hideMark/>
          </w:tcPr>
          <w:p w14:paraId="1351438B"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2F98E950" w14:textId="75E99F7E" w:rsidR="001C4076" w:rsidRPr="001C4076" w:rsidRDefault="001C4076" w:rsidP="001C4076">
            <w:pPr>
              <w:spacing w:before="0" w:after="0" w:line="240" w:lineRule="auto"/>
              <w:jc w:val="right"/>
              <w:rPr>
                <w:rFonts w:ascii="Arial" w:hAnsi="Arial" w:cs="Arial"/>
                <w:sz w:val="16"/>
                <w:szCs w:val="16"/>
              </w:rPr>
            </w:pPr>
            <w:r w:rsidRPr="001C4076">
              <w:rPr>
                <w:rFonts w:ascii="Arial" w:hAnsi="Arial" w:cs="Arial"/>
                <w:sz w:val="16"/>
                <w:szCs w:val="16"/>
              </w:rPr>
              <w:t>2022</w:t>
            </w:r>
            <w:r w:rsidR="00D34B95">
              <w:rPr>
                <w:rFonts w:ascii="Arial" w:hAnsi="Arial" w:cs="Arial"/>
                <w:sz w:val="16"/>
                <w:szCs w:val="16"/>
              </w:rPr>
              <w:noBreakHyphen/>
            </w:r>
            <w:r w:rsidRPr="001C4076">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183B7649" w14:textId="62624C87" w:rsidR="001C4076" w:rsidRPr="001C4076" w:rsidRDefault="001C4076" w:rsidP="001C4076">
            <w:pPr>
              <w:spacing w:before="0" w:after="0" w:line="240" w:lineRule="auto"/>
              <w:jc w:val="right"/>
              <w:rPr>
                <w:rFonts w:ascii="Arial" w:hAnsi="Arial" w:cs="Arial"/>
                <w:sz w:val="16"/>
                <w:szCs w:val="16"/>
              </w:rPr>
            </w:pPr>
            <w:r w:rsidRPr="001C4076">
              <w:rPr>
                <w:rFonts w:ascii="Arial" w:hAnsi="Arial" w:cs="Arial"/>
                <w:sz w:val="16"/>
                <w:szCs w:val="16"/>
              </w:rPr>
              <w:t>2023</w:t>
            </w:r>
            <w:r w:rsidR="00D34B95">
              <w:rPr>
                <w:rFonts w:ascii="Arial" w:hAnsi="Arial" w:cs="Arial"/>
                <w:sz w:val="16"/>
                <w:szCs w:val="16"/>
              </w:rPr>
              <w:noBreakHyphen/>
            </w:r>
            <w:r w:rsidRPr="001C4076">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3C35884A" w14:textId="69570784" w:rsidR="001C4076" w:rsidRPr="001C4076" w:rsidRDefault="001C4076" w:rsidP="001C4076">
            <w:pPr>
              <w:spacing w:before="0" w:after="0" w:line="240" w:lineRule="auto"/>
              <w:jc w:val="right"/>
              <w:rPr>
                <w:rFonts w:ascii="Arial" w:hAnsi="Arial" w:cs="Arial"/>
                <w:sz w:val="16"/>
                <w:szCs w:val="16"/>
              </w:rPr>
            </w:pPr>
            <w:r w:rsidRPr="001C4076">
              <w:rPr>
                <w:rFonts w:ascii="Arial" w:hAnsi="Arial" w:cs="Arial"/>
                <w:sz w:val="16"/>
                <w:szCs w:val="16"/>
              </w:rPr>
              <w:t>2024</w:t>
            </w:r>
            <w:r w:rsidR="00D34B95">
              <w:rPr>
                <w:rFonts w:ascii="Arial" w:hAnsi="Arial" w:cs="Arial"/>
                <w:sz w:val="16"/>
                <w:szCs w:val="16"/>
              </w:rPr>
              <w:noBreakHyphen/>
            </w:r>
            <w:r w:rsidRPr="001C4076">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6CBA5A71" w14:textId="7DEC6816" w:rsidR="001C4076" w:rsidRPr="001C4076" w:rsidRDefault="001C4076" w:rsidP="001C4076">
            <w:pPr>
              <w:spacing w:before="0" w:after="0" w:line="240" w:lineRule="auto"/>
              <w:jc w:val="right"/>
              <w:rPr>
                <w:rFonts w:ascii="Arial" w:hAnsi="Arial" w:cs="Arial"/>
                <w:sz w:val="16"/>
                <w:szCs w:val="16"/>
              </w:rPr>
            </w:pPr>
            <w:r w:rsidRPr="001C4076">
              <w:rPr>
                <w:rFonts w:ascii="Arial" w:hAnsi="Arial" w:cs="Arial"/>
                <w:sz w:val="16"/>
                <w:szCs w:val="16"/>
              </w:rPr>
              <w:t>2025</w:t>
            </w:r>
            <w:r w:rsidR="00D34B95">
              <w:rPr>
                <w:rFonts w:ascii="Arial" w:hAnsi="Arial" w:cs="Arial"/>
                <w:sz w:val="16"/>
                <w:szCs w:val="16"/>
              </w:rPr>
              <w:noBreakHyphen/>
            </w:r>
            <w:r w:rsidRPr="001C4076">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442C9FE8" w14:textId="5857AECF"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2026</w:t>
            </w:r>
            <w:r w:rsidR="00D34B95">
              <w:rPr>
                <w:rFonts w:ascii="Arial" w:hAnsi="Arial" w:cs="Arial"/>
                <w:color w:val="000000"/>
                <w:sz w:val="16"/>
                <w:szCs w:val="16"/>
              </w:rPr>
              <w:noBreakHyphen/>
            </w:r>
            <w:r w:rsidRPr="001C4076">
              <w:rPr>
                <w:rFonts w:ascii="Arial" w:hAnsi="Arial" w:cs="Arial"/>
                <w:color w:val="000000"/>
                <w:sz w:val="16"/>
                <w:szCs w:val="16"/>
              </w:rPr>
              <w:t>27</w:t>
            </w:r>
          </w:p>
        </w:tc>
      </w:tr>
      <w:tr w:rsidR="001C4076" w:rsidRPr="001C4076" w14:paraId="794B8ADD" w14:textId="77777777" w:rsidTr="00815BAB">
        <w:trPr>
          <w:divId w:val="1135290252"/>
          <w:trHeight w:hRule="exact" w:val="225"/>
        </w:trPr>
        <w:tc>
          <w:tcPr>
            <w:tcW w:w="2021" w:type="pct"/>
            <w:tcBorders>
              <w:top w:val="nil"/>
              <w:left w:val="nil"/>
              <w:bottom w:val="nil"/>
              <w:right w:val="nil"/>
            </w:tcBorders>
            <w:shd w:val="clear" w:color="000000" w:fill="FFFFFF"/>
            <w:noWrap/>
            <w:vAlign w:val="center"/>
            <w:hideMark/>
          </w:tcPr>
          <w:p w14:paraId="237A93C0"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3082F01D"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2A424754"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BB71D3C"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AE957B8"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74D70E4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$m</w:t>
            </w:r>
          </w:p>
        </w:tc>
      </w:tr>
      <w:tr w:rsidR="001C4076" w:rsidRPr="001C4076" w14:paraId="531802E8" w14:textId="77777777" w:rsidTr="00815BAB">
        <w:trPr>
          <w:divId w:val="1135290252"/>
          <w:trHeight w:hRule="exact" w:val="225"/>
        </w:trPr>
        <w:tc>
          <w:tcPr>
            <w:tcW w:w="2021" w:type="pct"/>
            <w:tcBorders>
              <w:top w:val="nil"/>
              <w:left w:val="nil"/>
              <w:bottom w:val="nil"/>
              <w:right w:val="nil"/>
            </w:tcBorders>
            <w:shd w:val="clear" w:color="000000" w:fill="FFFFFF"/>
            <w:noWrap/>
            <w:vAlign w:val="center"/>
            <w:hideMark/>
          </w:tcPr>
          <w:p w14:paraId="621B2ECD" w14:textId="3453AA62"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Research</w:t>
            </w:r>
            <w:r w:rsidR="00D34B95">
              <w:rPr>
                <w:rFonts w:ascii="Arial" w:hAnsi="Arial" w:cs="Arial"/>
                <w:sz w:val="16"/>
                <w:szCs w:val="16"/>
              </w:rPr>
              <w:t xml:space="preserve"> – </w:t>
            </w:r>
            <w:r w:rsidRPr="001C4076">
              <w:rPr>
                <w:rFonts w:ascii="Arial" w:hAnsi="Arial" w:cs="Arial"/>
                <w:sz w:val="16"/>
                <w:szCs w:val="16"/>
              </w:rPr>
              <w:t>science services and</w:t>
            </w:r>
          </w:p>
        </w:tc>
        <w:tc>
          <w:tcPr>
            <w:tcW w:w="596" w:type="pct"/>
            <w:tcBorders>
              <w:top w:val="single" w:sz="4" w:space="0" w:color="002A54" w:themeColor="text2"/>
              <w:left w:val="nil"/>
              <w:bottom w:val="nil"/>
              <w:right w:val="nil"/>
            </w:tcBorders>
            <w:shd w:val="clear" w:color="000000" w:fill="FFFFFF"/>
            <w:noWrap/>
            <w:vAlign w:val="center"/>
            <w:hideMark/>
          </w:tcPr>
          <w:p w14:paraId="47DF6BAD"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single" w:sz="4" w:space="0" w:color="002A54" w:themeColor="text2"/>
              <w:left w:val="nil"/>
              <w:bottom w:val="nil"/>
              <w:right w:val="nil"/>
            </w:tcBorders>
            <w:shd w:val="clear" w:color="000000" w:fill="E6F2FF"/>
            <w:noWrap/>
            <w:vAlign w:val="center"/>
            <w:hideMark/>
          </w:tcPr>
          <w:p w14:paraId="6132B9B1"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single" w:sz="4" w:space="0" w:color="002A54" w:themeColor="text2"/>
              <w:left w:val="nil"/>
              <w:bottom w:val="nil"/>
              <w:right w:val="nil"/>
            </w:tcBorders>
            <w:shd w:val="clear" w:color="000000" w:fill="FFFFFF"/>
            <w:noWrap/>
            <w:vAlign w:val="center"/>
            <w:hideMark/>
          </w:tcPr>
          <w:p w14:paraId="720AA014"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single" w:sz="4" w:space="0" w:color="002A54" w:themeColor="text2"/>
              <w:left w:val="nil"/>
              <w:bottom w:val="nil"/>
              <w:right w:val="nil"/>
            </w:tcBorders>
            <w:shd w:val="clear" w:color="000000" w:fill="FFFFFF"/>
            <w:noWrap/>
            <w:vAlign w:val="center"/>
            <w:hideMark/>
          </w:tcPr>
          <w:p w14:paraId="1CAC04DF"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5" w:type="pct"/>
            <w:tcBorders>
              <w:top w:val="single" w:sz="4" w:space="0" w:color="002A54" w:themeColor="text2"/>
              <w:left w:val="nil"/>
              <w:bottom w:val="nil"/>
              <w:right w:val="nil"/>
            </w:tcBorders>
            <w:shd w:val="clear" w:color="000000" w:fill="FFFFFF"/>
            <w:noWrap/>
            <w:vAlign w:val="center"/>
            <w:hideMark/>
          </w:tcPr>
          <w:p w14:paraId="0E439E2E"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r>
      <w:tr w:rsidR="001C4076" w:rsidRPr="001C4076" w14:paraId="5334657F"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5B3460F6" w14:textId="77777777" w:rsidR="001C4076" w:rsidRPr="001C4076" w:rsidRDefault="001C4076" w:rsidP="001C4076">
            <w:pPr>
              <w:spacing w:before="0" w:after="0" w:line="240" w:lineRule="auto"/>
              <w:ind w:left="170"/>
              <w:rPr>
                <w:rFonts w:ascii="Arial" w:hAnsi="Arial" w:cs="Arial"/>
                <w:color w:val="000000"/>
                <w:sz w:val="16"/>
                <w:szCs w:val="16"/>
              </w:rPr>
            </w:pPr>
            <w:r w:rsidRPr="001C4076">
              <w:rPr>
                <w:rFonts w:ascii="Arial" w:hAnsi="Arial" w:cs="Arial"/>
                <w:color w:val="000000"/>
                <w:sz w:val="16"/>
                <w:szCs w:val="16"/>
              </w:rPr>
              <w:t>innovation fund</w:t>
            </w:r>
          </w:p>
        </w:tc>
        <w:tc>
          <w:tcPr>
            <w:tcW w:w="596" w:type="pct"/>
            <w:tcBorders>
              <w:top w:val="nil"/>
              <w:left w:val="nil"/>
              <w:bottom w:val="nil"/>
              <w:right w:val="nil"/>
            </w:tcBorders>
            <w:shd w:val="clear" w:color="000000" w:fill="FFFFFF"/>
            <w:noWrap/>
            <w:vAlign w:val="center"/>
            <w:hideMark/>
          </w:tcPr>
          <w:p w14:paraId="03789FAD"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1,501</w:t>
            </w:r>
          </w:p>
        </w:tc>
        <w:tc>
          <w:tcPr>
            <w:tcW w:w="596" w:type="pct"/>
            <w:tcBorders>
              <w:top w:val="nil"/>
              <w:left w:val="nil"/>
              <w:bottom w:val="nil"/>
              <w:right w:val="nil"/>
            </w:tcBorders>
            <w:shd w:val="clear" w:color="000000" w:fill="E6F2FF"/>
            <w:noWrap/>
            <w:vAlign w:val="center"/>
            <w:hideMark/>
          </w:tcPr>
          <w:p w14:paraId="45926F50"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1,625</w:t>
            </w:r>
          </w:p>
        </w:tc>
        <w:tc>
          <w:tcPr>
            <w:tcW w:w="596" w:type="pct"/>
            <w:tcBorders>
              <w:top w:val="nil"/>
              <w:left w:val="nil"/>
              <w:bottom w:val="nil"/>
              <w:right w:val="nil"/>
            </w:tcBorders>
            <w:shd w:val="clear" w:color="000000" w:fill="FFFFFF"/>
            <w:noWrap/>
            <w:vAlign w:val="center"/>
            <w:hideMark/>
          </w:tcPr>
          <w:p w14:paraId="1DC5242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1,551</w:t>
            </w:r>
          </w:p>
        </w:tc>
        <w:tc>
          <w:tcPr>
            <w:tcW w:w="596" w:type="pct"/>
            <w:tcBorders>
              <w:top w:val="nil"/>
              <w:left w:val="nil"/>
              <w:bottom w:val="nil"/>
              <w:right w:val="nil"/>
            </w:tcBorders>
            <w:shd w:val="clear" w:color="000000" w:fill="FFFFFF"/>
            <w:noWrap/>
            <w:vAlign w:val="center"/>
            <w:hideMark/>
          </w:tcPr>
          <w:p w14:paraId="2F07FE8D"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1,580</w:t>
            </w:r>
          </w:p>
        </w:tc>
        <w:tc>
          <w:tcPr>
            <w:tcW w:w="595" w:type="pct"/>
            <w:tcBorders>
              <w:top w:val="nil"/>
              <w:left w:val="nil"/>
              <w:bottom w:val="nil"/>
              <w:right w:val="nil"/>
            </w:tcBorders>
            <w:shd w:val="clear" w:color="000000" w:fill="FFFFFF"/>
            <w:noWrap/>
            <w:vAlign w:val="center"/>
            <w:hideMark/>
          </w:tcPr>
          <w:p w14:paraId="60BD24AA"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1,590</w:t>
            </w:r>
          </w:p>
        </w:tc>
      </w:tr>
      <w:tr w:rsidR="001C4076" w:rsidRPr="001C4076" w14:paraId="70FE111C"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1C26ADE1" w14:textId="397EF88C"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Discovery</w:t>
            </w:r>
            <w:r w:rsidR="00D34B95">
              <w:rPr>
                <w:rFonts w:ascii="Arial" w:hAnsi="Arial" w:cs="Arial"/>
                <w:sz w:val="16"/>
                <w:szCs w:val="16"/>
              </w:rPr>
              <w:t xml:space="preserve"> – </w:t>
            </w:r>
            <w:r w:rsidRPr="001C4076">
              <w:rPr>
                <w:rFonts w:ascii="Arial" w:hAnsi="Arial" w:cs="Arial"/>
                <w:sz w:val="16"/>
                <w:szCs w:val="16"/>
              </w:rPr>
              <w:t>research and research</w:t>
            </w:r>
          </w:p>
        </w:tc>
        <w:tc>
          <w:tcPr>
            <w:tcW w:w="596" w:type="pct"/>
            <w:tcBorders>
              <w:top w:val="nil"/>
              <w:left w:val="nil"/>
              <w:bottom w:val="nil"/>
              <w:right w:val="nil"/>
            </w:tcBorders>
            <w:shd w:val="clear" w:color="000000" w:fill="FFFFFF"/>
            <w:noWrap/>
            <w:vAlign w:val="center"/>
            <w:hideMark/>
          </w:tcPr>
          <w:p w14:paraId="12E94411"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19E503EA"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01D3E348"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38C2E845"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5" w:type="pct"/>
            <w:tcBorders>
              <w:top w:val="nil"/>
              <w:left w:val="nil"/>
              <w:bottom w:val="nil"/>
              <w:right w:val="nil"/>
            </w:tcBorders>
            <w:shd w:val="clear" w:color="000000" w:fill="FFFFFF"/>
            <w:noWrap/>
            <w:vAlign w:val="center"/>
            <w:hideMark/>
          </w:tcPr>
          <w:p w14:paraId="285571DE"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r>
      <w:tr w:rsidR="001C4076" w:rsidRPr="001C4076" w14:paraId="338CB2F2"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5DE3599A" w14:textId="77777777" w:rsidR="001C4076" w:rsidRPr="001C4076" w:rsidRDefault="001C4076" w:rsidP="001C4076">
            <w:pPr>
              <w:spacing w:before="0" w:after="0" w:line="240" w:lineRule="auto"/>
              <w:ind w:left="170"/>
              <w:rPr>
                <w:rFonts w:ascii="Arial" w:hAnsi="Arial" w:cs="Arial"/>
                <w:color w:val="000000"/>
                <w:sz w:val="16"/>
                <w:szCs w:val="16"/>
              </w:rPr>
            </w:pPr>
            <w:r w:rsidRPr="001C4076">
              <w:rPr>
                <w:rFonts w:ascii="Arial" w:hAnsi="Arial" w:cs="Arial"/>
                <w:color w:val="000000"/>
                <w:sz w:val="16"/>
                <w:szCs w:val="16"/>
              </w:rPr>
              <w:t>training</w:t>
            </w:r>
          </w:p>
        </w:tc>
        <w:tc>
          <w:tcPr>
            <w:tcW w:w="596" w:type="pct"/>
            <w:tcBorders>
              <w:top w:val="nil"/>
              <w:left w:val="nil"/>
              <w:bottom w:val="nil"/>
              <w:right w:val="nil"/>
            </w:tcBorders>
            <w:shd w:val="clear" w:color="000000" w:fill="FFFFFF"/>
            <w:noWrap/>
            <w:vAlign w:val="center"/>
            <w:hideMark/>
          </w:tcPr>
          <w:p w14:paraId="75F161A7"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512</w:t>
            </w:r>
          </w:p>
        </w:tc>
        <w:tc>
          <w:tcPr>
            <w:tcW w:w="596" w:type="pct"/>
            <w:tcBorders>
              <w:top w:val="nil"/>
              <w:left w:val="nil"/>
              <w:bottom w:val="nil"/>
              <w:right w:val="nil"/>
            </w:tcBorders>
            <w:shd w:val="clear" w:color="000000" w:fill="E6F2FF"/>
            <w:noWrap/>
            <w:vAlign w:val="center"/>
            <w:hideMark/>
          </w:tcPr>
          <w:p w14:paraId="483C3569"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554</w:t>
            </w:r>
          </w:p>
        </w:tc>
        <w:tc>
          <w:tcPr>
            <w:tcW w:w="596" w:type="pct"/>
            <w:tcBorders>
              <w:top w:val="nil"/>
              <w:left w:val="nil"/>
              <w:bottom w:val="nil"/>
              <w:right w:val="nil"/>
            </w:tcBorders>
            <w:shd w:val="clear" w:color="000000" w:fill="FFFFFF"/>
            <w:noWrap/>
            <w:vAlign w:val="center"/>
            <w:hideMark/>
          </w:tcPr>
          <w:p w14:paraId="48D9CCCB"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601</w:t>
            </w:r>
          </w:p>
        </w:tc>
        <w:tc>
          <w:tcPr>
            <w:tcW w:w="596" w:type="pct"/>
            <w:tcBorders>
              <w:top w:val="nil"/>
              <w:left w:val="nil"/>
              <w:bottom w:val="nil"/>
              <w:right w:val="nil"/>
            </w:tcBorders>
            <w:shd w:val="clear" w:color="000000" w:fill="FFFFFF"/>
            <w:noWrap/>
            <w:vAlign w:val="center"/>
            <w:hideMark/>
          </w:tcPr>
          <w:p w14:paraId="669264CE"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631</w:t>
            </w:r>
          </w:p>
        </w:tc>
        <w:tc>
          <w:tcPr>
            <w:tcW w:w="595" w:type="pct"/>
            <w:tcBorders>
              <w:top w:val="nil"/>
              <w:left w:val="nil"/>
              <w:bottom w:val="nil"/>
              <w:right w:val="nil"/>
            </w:tcBorders>
            <w:shd w:val="clear" w:color="000000" w:fill="FFFFFF"/>
            <w:noWrap/>
            <w:vAlign w:val="center"/>
            <w:hideMark/>
          </w:tcPr>
          <w:p w14:paraId="1932239B"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648</w:t>
            </w:r>
          </w:p>
        </w:tc>
      </w:tr>
      <w:tr w:rsidR="001C4076" w:rsidRPr="001C4076" w14:paraId="7EB2B38F"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37B9CC40" w14:textId="77777777"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Science and technology solutions</w:t>
            </w:r>
          </w:p>
        </w:tc>
        <w:tc>
          <w:tcPr>
            <w:tcW w:w="596" w:type="pct"/>
            <w:tcBorders>
              <w:top w:val="nil"/>
              <w:left w:val="nil"/>
              <w:bottom w:val="nil"/>
              <w:right w:val="nil"/>
            </w:tcBorders>
            <w:shd w:val="clear" w:color="000000" w:fill="FFFFFF"/>
            <w:noWrap/>
            <w:vAlign w:val="center"/>
            <w:hideMark/>
          </w:tcPr>
          <w:p w14:paraId="6DDD810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415</w:t>
            </w:r>
          </w:p>
        </w:tc>
        <w:tc>
          <w:tcPr>
            <w:tcW w:w="596" w:type="pct"/>
            <w:tcBorders>
              <w:top w:val="nil"/>
              <w:left w:val="nil"/>
              <w:bottom w:val="nil"/>
              <w:right w:val="nil"/>
            </w:tcBorders>
            <w:shd w:val="clear" w:color="000000" w:fill="E6F2FF"/>
            <w:noWrap/>
            <w:vAlign w:val="center"/>
            <w:hideMark/>
          </w:tcPr>
          <w:p w14:paraId="65ABB1D9"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455</w:t>
            </w:r>
          </w:p>
        </w:tc>
        <w:tc>
          <w:tcPr>
            <w:tcW w:w="596" w:type="pct"/>
            <w:tcBorders>
              <w:top w:val="nil"/>
              <w:left w:val="nil"/>
              <w:bottom w:val="nil"/>
              <w:right w:val="nil"/>
            </w:tcBorders>
            <w:shd w:val="clear" w:color="000000" w:fill="FFFFFF"/>
            <w:noWrap/>
            <w:vAlign w:val="center"/>
            <w:hideMark/>
          </w:tcPr>
          <w:p w14:paraId="06D2B69D"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446</w:t>
            </w:r>
          </w:p>
        </w:tc>
        <w:tc>
          <w:tcPr>
            <w:tcW w:w="596" w:type="pct"/>
            <w:tcBorders>
              <w:top w:val="nil"/>
              <w:left w:val="nil"/>
              <w:bottom w:val="nil"/>
              <w:right w:val="nil"/>
            </w:tcBorders>
            <w:shd w:val="clear" w:color="000000" w:fill="FFFFFF"/>
            <w:noWrap/>
            <w:vAlign w:val="center"/>
            <w:hideMark/>
          </w:tcPr>
          <w:p w14:paraId="5CB4644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474</w:t>
            </w:r>
          </w:p>
        </w:tc>
        <w:tc>
          <w:tcPr>
            <w:tcW w:w="595" w:type="pct"/>
            <w:tcBorders>
              <w:top w:val="nil"/>
              <w:left w:val="nil"/>
              <w:bottom w:val="nil"/>
              <w:right w:val="nil"/>
            </w:tcBorders>
            <w:shd w:val="clear" w:color="000000" w:fill="FFFFFF"/>
            <w:noWrap/>
            <w:vAlign w:val="center"/>
            <w:hideMark/>
          </w:tcPr>
          <w:p w14:paraId="0F77B6F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475</w:t>
            </w:r>
          </w:p>
        </w:tc>
      </w:tr>
      <w:tr w:rsidR="001C4076" w:rsidRPr="001C4076" w14:paraId="16156815"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289F7DFF" w14:textId="6272361A"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Linkage</w:t>
            </w:r>
            <w:r w:rsidR="00D34B95">
              <w:rPr>
                <w:rFonts w:ascii="Arial" w:hAnsi="Arial" w:cs="Arial"/>
                <w:sz w:val="16"/>
                <w:szCs w:val="16"/>
              </w:rPr>
              <w:t xml:space="preserve"> – </w:t>
            </w:r>
            <w:r w:rsidRPr="001C4076">
              <w:rPr>
                <w:rFonts w:ascii="Arial" w:hAnsi="Arial" w:cs="Arial"/>
                <w:sz w:val="16"/>
                <w:szCs w:val="16"/>
              </w:rPr>
              <w:t>cross sector research</w:t>
            </w:r>
          </w:p>
        </w:tc>
        <w:tc>
          <w:tcPr>
            <w:tcW w:w="596" w:type="pct"/>
            <w:tcBorders>
              <w:top w:val="nil"/>
              <w:left w:val="nil"/>
              <w:bottom w:val="nil"/>
              <w:right w:val="nil"/>
            </w:tcBorders>
            <w:shd w:val="clear" w:color="000000" w:fill="FFFFFF"/>
            <w:noWrap/>
            <w:vAlign w:val="center"/>
            <w:hideMark/>
          </w:tcPr>
          <w:p w14:paraId="09B15BA8"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74160276"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0B695F2F"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64753A5B"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5" w:type="pct"/>
            <w:tcBorders>
              <w:top w:val="nil"/>
              <w:left w:val="nil"/>
              <w:bottom w:val="nil"/>
              <w:right w:val="nil"/>
            </w:tcBorders>
            <w:shd w:val="clear" w:color="000000" w:fill="FFFFFF"/>
            <w:noWrap/>
            <w:vAlign w:val="center"/>
            <w:hideMark/>
          </w:tcPr>
          <w:p w14:paraId="004C9C50"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r>
      <w:tr w:rsidR="001C4076" w:rsidRPr="001C4076" w14:paraId="03EE340A"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4E4697E4" w14:textId="77777777" w:rsidR="001C4076" w:rsidRPr="001C4076" w:rsidRDefault="001C4076" w:rsidP="001C4076">
            <w:pPr>
              <w:spacing w:before="0" w:after="0" w:line="240" w:lineRule="auto"/>
              <w:ind w:left="170"/>
              <w:rPr>
                <w:rFonts w:ascii="Arial" w:hAnsi="Arial" w:cs="Arial"/>
                <w:color w:val="000000"/>
                <w:sz w:val="16"/>
                <w:szCs w:val="16"/>
              </w:rPr>
            </w:pPr>
            <w:r w:rsidRPr="001C4076">
              <w:rPr>
                <w:rFonts w:ascii="Arial" w:hAnsi="Arial" w:cs="Arial"/>
                <w:color w:val="000000"/>
                <w:sz w:val="16"/>
                <w:szCs w:val="16"/>
              </w:rPr>
              <w:t>partnerships</w:t>
            </w:r>
          </w:p>
        </w:tc>
        <w:tc>
          <w:tcPr>
            <w:tcW w:w="596" w:type="pct"/>
            <w:tcBorders>
              <w:top w:val="nil"/>
              <w:left w:val="nil"/>
              <w:bottom w:val="nil"/>
              <w:right w:val="nil"/>
            </w:tcBorders>
            <w:shd w:val="clear" w:color="000000" w:fill="FFFFFF"/>
            <w:noWrap/>
            <w:vAlign w:val="center"/>
            <w:hideMark/>
          </w:tcPr>
          <w:p w14:paraId="053DD8C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321</w:t>
            </w:r>
          </w:p>
        </w:tc>
        <w:tc>
          <w:tcPr>
            <w:tcW w:w="596" w:type="pct"/>
            <w:tcBorders>
              <w:top w:val="nil"/>
              <w:left w:val="nil"/>
              <w:bottom w:val="nil"/>
              <w:right w:val="nil"/>
            </w:tcBorders>
            <w:shd w:val="clear" w:color="000000" w:fill="E6F2FF"/>
            <w:noWrap/>
            <w:vAlign w:val="center"/>
            <w:hideMark/>
          </w:tcPr>
          <w:p w14:paraId="30B148BE"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348</w:t>
            </w:r>
          </w:p>
        </w:tc>
        <w:tc>
          <w:tcPr>
            <w:tcW w:w="596" w:type="pct"/>
            <w:tcBorders>
              <w:top w:val="nil"/>
              <w:left w:val="nil"/>
              <w:bottom w:val="nil"/>
              <w:right w:val="nil"/>
            </w:tcBorders>
            <w:shd w:val="clear" w:color="000000" w:fill="FFFFFF"/>
            <w:noWrap/>
            <w:vAlign w:val="center"/>
            <w:hideMark/>
          </w:tcPr>
          <w:p w14:paraId="1C4078B1"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378</w:t>
            </w:r>
          </w:p>
        </w:tc>
        <w:tc>
          <w:tcPr>
            <w:tcW w:w="596" w:type="pct"/>
            <w:tcBorders>
              <w:top w:val="nil"/>
              <w:left w:val="nil"/>
              <w:bottom w:val="nil"/>
              <w:right w:val="nil"/>
            </w:tcBorders>
            <w:shd w:val="clear" w:color="000000" w:fill="FFFFFF"/>
            <w:noWrap/>
            <w:vAlign w:val="center"/>
            <w:hideMark/>
          </w:tcPr>
          <w:p w14:paraId="7062E5B4"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407</w:t>
            </w:r>
          </w:p>
        </w:tc>
        <w:tc>
          <w:tcPr>
            <w:tcW w:w="595" w:type="pct"/>
            <w:tcBorders>
              <w:top w:val="nil"/>
              <w:left w:val="nil"/>
              <w:bottom w:val="nil"/>
              <w:right w:val="nil"/>
            </w:tcBorders>
            <w:shd w:val="clear" w:color="000000" w:fill="FFFFFF"/>
            <w:noWrap/>
            <w:vAlign w:val="center"/>
            <w:hideMark/>
          </w:tcPr>
          <w:p w14:paraId="1D132E91"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435</w:t>
            </w:r>
          </w:p>
        </w:tc>
      </w:tr>
      <w:tr w:rsidR="001C4076" w:rsidRPr="001C4076" w14:paraId="251C614E"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644F226C" w14:textId="77777777"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Supporting science and</w:t>
            </w:r>
          </w:p>
        </w:tc>
        <w:tc>
          <w:tcPr>
            <w:tcW w:w="596" w:type="pct"/>
            <w:tcBorders>
              <w:top w:val="nil"/>
              <w:left w:val="nil"/>
              <w:bottom w:val="nil"/>
              <w:right w:val="nil"/>
            </w:tcBorders>
            <w:shd w:val="clear" w:color="000000" w:fill="FFFFFF"/>
            <w:noWrap/>
            <w:vAlign w:val="center"/>
            <w:hideMark/>
          </w:tcPr>
          <w:p w14:paraId="4AE86B51"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5169D359"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63DDDDC3"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51917946"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c>
          <w:tcPr>
            <w:tcW w:w="595" w:type="pct"/>
            <w:tcBorders>
              <w:top w:val="nil"/>
              <w:left w:val="nil"/>
              <w:bottom w:val="nil"/>
              <w:right w:val="nil"/>
            </w:tcBorders>
            <w:shd w:val="clear" w:color="000000" w:fill="FFFFFF"/>
            <w:noWrap/>
            <w:vAlign w:val="center"/>
            <w:hideMark/>
          </w:tcPr>
          <w:p w14:paraId="54E660CC" w14:textId="77777777" w:rsidR="001C4076" w:rsidRPr="001C4076" w:rsidRDefault="001C4076" w:rsidP="001C4076">
            <w:pPr>
              <w:spacing w:before="0" w:after="0" w:line="240" w:lineRule="auto"/>
              <w:rPr>
                <w:rFonts w:ascii="Arial" w:hAnsi="Arial" w:cs="Arial"/>
                <w:color w:val="000000"/>
                <w:sz w:val="16"/>
                <w:szCs w:val="16"/>
              </w:rPr>
            </w:pPr>
            <w:r w:rsidRPr="001C4076">
              <w:rPr>
                <w:rFonts w:ascii="Arial" w:hAnsi="Arial" w:cs="Arial"/>
                <w:color w:val="000000"/>
                <w:sz w:val="16"/>
                <w:szCs w:val="16"/>
              </w:rPr>
              <w:t> </w:t>
            </w:r>
          </w:p>
        </w:tc>
      </w:tr>
      <w:tr w:rsidR="001C4076" w:rsidRPr="001C4076" w14:paraId="15A8C85F" w14:textId="77777777" w:rsidTr="001C4076">
        <w:trPr>
          <w:divId w:val="1135290252"/>
          <w:trHeight w:hRule="exact" w:val="225"/>
        </w:trPr>
        <w:tc>
          <w:tcPr>
            <w:tcW w:w="2021" w:type="pct"/>
            <w:tcBorders>
              <w:top w:val="nil"/>
              <w:left w:val="nil"/>
              <w:bottom w:val="nil"/>
              <w:right w:val="nil"/>
            </w:tcBorders>
            <w:shd w:val="clear" w:color="000000" w:fill="FFFFFF"/>
            <w:noWrap/>
            <w:vAlign w:val="center"/>
            <w:hideMark/>
          </w:tcPr>
          <w:p w14:paraId="4CCDB617" w14:textId="77777777" w:rsidR="001C4076" w:rsidRPr="001C4076" w:rsidRDefault="001C4076" w:rsidP="001C4076">
            <w:pPr>
              <w:spacing w:before="0" w:after="0" w:line="240" w:lineRule="auto"/>
              <w:ind w:left="170"/>
              <w:rPr>
                <w:rFonts w:ascii="Arial" w:hAnsi="Arial" w:cs="Arial"/>
                <w:color w:val="000000"/>
                <w:sz w:val="16"/>
                <w:szCs w:val="16"/>
              </w:rPr>
            </w:pPr>
            <w:r w:rsidRPr="001C4076">
              <w:rPr>
                <w:rFonts w:ascii="Arial" w:hAnsi="Arial" w:cs="Arial"/>
                <w:color w:val="000000"/>
                <w:sz w:val="16"/>
                <w:szCs w:val="16"/>
              </w:rPr>
              <w:t>commercialisation</w:t>
            </w:r>
          </w:p>
        </w:tc>
        <w:tc>
          <w:tcPr>
            <w:tcW w:w="596" w:type="pct"/>
            <w:tcBorders>
              <w:top w:val="nil"/>
              <w:left w:val="nil"/>
              <w:bottom w:val="nil"/>
              <w:right w:val="nil"/>
            </w:tcBorders>
            <w:shd w:val="clear" w:color="000000" w:fill="FFFFFF"/>
            <w:noWrap/>
            <w:vAlign w:val="center"/>
            <w:hideMark/>
          </w:tcPr>
          <w:p w14:paraId="0ACF788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429</w:t>
            </w:r>
          </w:p>
        </w:tc>
        <w:tc>
          <w:tcPr>
            <w:tcW w:w="596" w:type="pct"/>
            <w:tcBorders>
              <w:top w:val="nil"/>
              <w:left w:val="nil"/>
              <w:bottom w:val="nil"/>
              <w:right w:val="nil"/>
            </w:tcBorders>
            <w:shd w:val="clear" w:color="000000" w:fill="E6F2FF"/>
            <w:noWrap/>
            <w:vAlign w:val="center"/>
            <w:hideMark/>
          </w:tcPr>
          <w:p w14:paraId="544ED92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364</w:t>
            </w:r>
          </w:p>
        </w:tc>
        <w:tc>
          <w:tcPr>
            <w:tcW w:w="596" w:type="pct"/>
            <w:tcBorders>
              <w:top w:val="nil"/>
              <w:left w:val="nil"/>
              <w:bottom w:val="nil"/>
              <w:right w:val="nil"/>
            </w:tcBorders>
            <w:shd w:val="clear" w:color="000000" w:fill="FFFFFF"/>
            <w:noWrap/>
            <w:vAlign w:val="center"/>
            <w:hideMark/>
          </w:tcPr>
          <w:p w14:paraId="6FECD93F"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331</w:t>
            </w:r>
          </w:p>
        </w:tc>
        <w:tc>
          <w:tcPr>
            <w:tcW w:w="596" w:type="pct"/>
            <w:tcBorders>
              <w:top w:val="nil"/>
              <w:left w:val="nil"/>
              <w:bottom w:val="nil"/>
              <w:right w:val="nil"/>
            </w:tcBorders>
            <w:shd w:val="clear" w:color="000000" w:fill="FFFFFF"/>
            <w:noWrap/>
            <w:vAlign w:val="center"/>
            <w:hideMark/>
          </w:tcPr>
          <w:p w14:paraId="6C57354D"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343</w:t>
            </w:r>
          </w:p>
        </w:tc>
        <w:tc>
          <w:tcPr>
            <w:tcW w:w="595" w:type="pct"/>
            <w:tcBorders>
              <w:top w:val="nil"/>
              <w:left w:val="nil"/>
              <w:bottom w:val="nil"/>
              <w:right w:val="nil"/>
            </w:tcBorders>
            <w:shd w:val="clear" w:color="000000" w:fill="FFFFFF"/>
            <w:noWrap/>
            <w:vAlign w:val="center"/>
            <w:hideMark/>
          </w:tcPr>
          <w:p w14:paraId="68A4CF1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318</w:t>
            </w:r>
          </w:p>
        </w:tc>
      </w:tr>
      <w:tr w:rsidR="001C4076" w:rsidRPr="001C4076" w14:paraId="0AF6482E" w14:textId="77777777" w:rsidTr="00815BAB">
        <w:trPr>
          <w:divId w:val="1135290252"/>
          <w:trHeight w:hRule="exact" w:val="225"/>
        </w:trPr>
        <w:tc>
          <w:tcPr>
            <w:tcW w:w="2021" w:type="pct"/>
            <w:tcBorders>
              <w:top w:val="nil"/>
              <w:left w:val="nil"/>
              <w:bottom w:val="nil"/>
              <w:right w:val="nil"/>
            </w:tcBorders>
            <w:shd w:val="clear" w:color="000000" w:fill="FFFFFF"/>
            <w:noWrap/>
            <w:vAlign w:val="center"/>
            <w:hideMark/>
          </w:tcPr>
          <w:p w14:paraId="071BAE65" w14:textId="77777777"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Research capacity</w:t>
            </w:r>
          </w:p>
        </w:tc>
        <w:tc>
          <w:tcPr>
            <w:tcW w:w="596" w:type="pct"/>
            <w:tcBorders>
              <w:top w:val="nil"/>
              <w:left w:val="nil"/>
              <w:right w:val="nil"/>
            </w:tcBorders>
            <w:shd w:val="clear" w:color="000000" w:fill="FFFFFF"/>
            <w:noWrap/>
            <w:vAlign w:val="center"/>
            <w:hideMark/>
          </w:tcPr>
          <w:p w14:paraId="4BFE0FEA"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415</w:t>
            </w:r>
          </w:p>
        </w:tc>
        <w:tc>
          <w:tcPr>
            <w:tcW w:w="596" w:type="pct"/>
            <w:tcBorders>
              <w:top w:val="nil"/>
              <w:left w:val="nil"/>
              <w:right w:val="nil"/>
            </w:tcBorders>
            <w:shd w:val="clear" w:color="000000" w:fill="E6F2FF"/>
            <w:noWrap/>
            <w:vAlign w:val="center"/>
            <w:hideMark/>
          </w:tcPr>
          <w:p w14:paraId="6CB558D3"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617</w:t>
            </w:r>
          </w:p>
        </w:tc>
        <w:tc>
          <w:tcPr>
            <w:tcW w:w="596" w:type="pct"/>
            <w:tcBorders>
              <w:top w:val="nil"/>
              <w:left w:val="nil"/>
              <w:right w:val="nil"/>
            </w:tcBorders>
            <w:shd w:val="clear" w:color="000000" w:fill="FFFFFF"/>
            <w:noWrap/>
            <w:vAlign w:val="center"/>
            <w:hideMark/>
          </w:tcPr>
          <w:p w14:paraId="041D882C"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781</w:t>
            </w:r>
          </w:p>
        </w:tc>
        <w:tc>
          <w:tcPr>
            <w:tcW w:w="596" w:type="pct"/>
            <w:tcBorders>
              <w:top w:val="nil"/>
              <w:left w:val="nil"/>
              <w:right w:val="nil"/>
            </w:tcBorders>
            <w:shd w:val="clear" w:color="000000" w:fill="FFFFFF"/>
            <w:noWrap/>
            <w:vAlign w:val="center"/>
            <w:hideMark/>
          </w:tcPr>
          <w:p w14:paraId="7BFDBAA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749</w:t>
            </w:r>
          </w:p>
        </w:tc>
        <w:tc>
          <w:tcPr>
            <w:tcW w:w="595" w:type="pct"/>
            <w:tcBorders>
              <w:top w:val="nil"/>
              <w:left w:val="nil"/>
              <w:right w:val="nil"/>
            </w:tcBorders>
            <w:shd w:val="clear" w:color="000000" w:fill="FFFFFF"/>
            <w:noWrap/>
            <w:vAlign w:val="center"/>
            <w:hideMark/>
          </w:tcPr>
          <w:p w14:paraId="4FEE7B20"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636</w:t>
            </w:r>
          </w:p>
        </w:tc>
      </w:tr>
      <w:tr w:rsidR="001C4076" w:rsidRPr="001C4076" w14:paraId="11E99549" w14:textId="77777777" w:rsidTr="00815BAB">
        <w:trPr>
          <w:divId w:val="1135290252"/>
          <w:trHeight w:hRule="exact" w:val="225"/>
        </w:trPr>
        <w:tc>
          <w:tcPr>
            <w:tcW w:w="2021" w:type="pct"/>
            <w:tcBorders>
              <w:top w:val="nil"/>
              <w:left w:val="nil"/>
              <w:bottom w:val="nil"/>
              <w:right w:val="nil"/>
            </w:tcBorders>
            <w:shd w:val="clear" w:color="000000" w:fill="FFFFFF"/>
            <w:noWrap/>
            <w:vAlign w:val="center"/>
            <w:hideMark/>
          </w:tcPr>
          <w:p w14:paraId="253BC01D" w14:textId="77777777" w:rsidR="001C4076" w:rsidRPr="001C4076" w:rsidRDefault="001C4076" w:rsidP="001C4076">
            <w:pPr>
              <w:spacing w:before="0" w:after="0" w:line="240" w:lineRule="auto"/>
              <w:rPr>
                <w:rFonts w:ascii="Arial" w:hAnsi="Arial" w:cs="Arial"/>
                <w:sz w:val="16"/>
                <w:szCs w:val="16"/>
              </w:rPr>
            </w:pPr>
            <w:r w:rsidRPr="001C4076">
              <w:rPr>
                <w:rFonts w:ascii="Arial" w:hAnsi="Arial" w:cs="Arial"/>
                <w:sz w:val="16"/>
                <w:szCs w:val="16"/>
              </w:rPr>
              <w:t>Other</w:t>
            </w:r>
          </w:p>
        </w:tc>
        <w:tc>
          <w:tcPr>
            <w:tcW w:w="596" w:type="pct"/>
            <w:tcBorders>
              <w:top w:val="nil"/>
              <w:left w:val="nil"/>
              <w:bottom w:val="single" w:sz="4" w:space="0" w:color="002A54" w:themeColor="text2"/>
              <w:right w:val="nil"/>
            </w:tcBorders>
            <w:shd w:val="clear" w:color="000000" w:fill="FFFFFF"/>
            <w:noWrap/>
            <w:vAlign w:val="center"/>
            <w:hideMark/>
          </w:tcPr>
          <w:p w14:paraId="0045E33E"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143</w:t>
            </w:r>
          </w:p>
        </w:tc>
        <w:tc>
          <w:tcPr>
            <w:tcW w:w="596" w:type="pct"/>
            <w:tcBorders>
              <w:top w:val="nil"/>
              <w:left w:val="nil"/>
              <w:bottom w:val="single" w:sz="4" w:space="0" w:color="002A54" w:themeColor="text2"/>
              <w:right w:val="nil"/>
            </w:tcBorders>
            <w:shd w:val="clear" w:color="000000" w:fill="E6F2FF"/>
            <w:noWrap/>
            <w:vAlign w:val="center"/>
            <w:hideMark/>
          </w:tcPr>
          <w:p w14:paraId="142B78AC"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177</w:t>
            </w:r>
          </w:p>
        </w:tc>
        <w:tc>
          <w:tcPr>
            <w:tcW w:w="596" w:type="pct"/>
            <w:tcBorders>
              <w:top w:val="nil"/>
              <w:left w:val="nil"/>
              <w:bottom w:val="single" w:sz="4" w:space="0" w:color="002A54" w:themeColor="text2"/>
              <w:right w:val="nil"/>
            </w:tcBorders>
            <w:shd w:val="clear" w:color="000000" w:fill="FFFFFF"/>
            <w:noWrap/>
            <w:vAlign w:val="center"/>
            <w:hideMark/>
          </w:tcPr>
          <w:p w14:paraId="62C12C56"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167</w:t>
            </w:r>
          </w:p>
        </w:tc>
        <w:tc>
          <w:tcPr>
            <w:tcW w:w="596" w:type="pct"/>
            <w:tcBorders>
              <w:top w:val="nil"/>
              <w:left w:val="nil"/>
              <w:bottom w:val="single" w:sz="4" w:space="0" w:color="002A54" w:themeColor="text2"/>
              <w:right w:val="nil"/>
            </w:tcBorders>
            <w:shd w:val="clear" w:color="000000" w:fill="FFFFFF"/>
            <w:noWrap/>
            <w:vAlign w:val="center"/>
            <w:hideMark/>
          </w:tcPr>
          <w:p w14:paraId="27CEBCE3"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176</w:t>
            </w:r>
          </w:p>
        </w:tc>
        <w:tc>
          <w:tcPr>
            <w:tcW w:w="595" w:type="pct"/>
            <w:tcBorders>
              <w:top w:val="nil"/>
              <w:left w:val="nil"/>
              <w:bottom w:val="single" w:sz="4" w:space="0" w:color="002A54" w:themeColor="text2"/>
              <w:right w:val="nil"/>
            </w:tcBorders>
            <w:shd w:val="clear" w:color="000000" w:fill="FFFFFF"/>
            <w:noWrap/>
            <w:vAlign w:val="center"/>
            <w:hideMark/>
          </w:tcPr>
          <w:p w14:paraId="41310DC2" w14:textId="77777777" w:rsidR="001C4076" w:rsidRPr="001C4076" w:rsidRDefault="001C4076" w:rsidP="001C4076">
            <w:pPr>
              <w:spacing w:before="0" w:after="0" w:line="240" w:lineRule="auto"/>
              <w:jc w:val="right"/>
              <w:rPr>
                <w:rFonts w:ascii="Arial" w:hAnsi="Arial" w:cs="Arial"/>
                <w:color w:val="000000"/>
                <w:sz w:val="16"/>
                <w:szCs w:val="16"/>
              </w:rPr>
            </w:pPr>
            <w:r w:rsidRPr="001C4076">
              <w:rPr>
                <w:rFonts w:ascii="Arial" w:hAnsi="Arial" w:cs="Arial"/>
                <w:color w:val="000000"/>
                <w:sz w:val="16"/>
                <w:szCs w:val="16"/>
              </w:rPr>
              <w:t>177</w:t>
            </w:r>
          </w:p>
        </w:tc>
      </w:tr>
      <w:tr w:rsidR="001C4076" w:rsidRPr="001C4076" w14:paraId="4E842E95" w14:textId="77777777" w:rsidTr="00815BAB">
        <w:trPr>
          <w:divId w:val="1135290252"/>
          <w:trHeight w:hRule="exact" w:val="225"/>
        </w:trPr>
        <w:tc>
          <w:tcPr>
            <w:tcW w:w="2021" w:type="pct"/>
            <w:tcBorders>
              <w:top w:val="nil"/>
              <w:left w:val="nil"/>
              <w:bottom w:val="single" w:sz="4" w:space="0" w:color="002A54" w:themeColor="text2"/>
              <w:right w:val="nil"/>
            </w:tcBorders>
            <w:shd w:val="clear" w:color="000000" w:fill="FFFFFF"/>
            <w:noWrap/>
            <w:vAlign w:val="center"/>
            <w:hideMark/>
          </w:tcPr>
          <w:p w14:paraId="4910C1C6" w14:textId="77777777" w:rsidR="001C4076" w:rsidRPr="001C4076" w:rsidRDefault="001C4076" w:rsidP="001C4076">
            <w:pPr>
              <w:spacing w:before="0" w:after="0" w:line="240" w:lineRule="auto"/>
              <w:rPr>
                <w:rFonts w:ascii="Arial" w:hAnsi="Arial" w:cs="Arial"/>
                <w:b/>
                <w:bCs/>
                <w:color w:val="000000"/>
                <w:sz w:val="16"/>
                <w:szCs w:val="16"/>
              </w:rPr>
            </w:pPr>
            <w:r w:rsidRPr="001C4076">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22E6A1DF" w14:textId="77777777" w:rsidR="001C4076" w:rsidRPr="001C4076" w:rsidRDefault="001C4076" w:rsidP="001C4076">
            <w:pPr>
              <w:spacing w:before="0" w:after="0" w:line="240" w:lineRule="auto"/>
              <w:jc w:val="right"/>
              <w:rPr>
                <w:rFonts w:ascii="Arial" w:hAnsi="Arial" w:cs="Arial"/>
                <w:b/>
                <w:bCs/>
                <w:color w:val="000000"/>
                <w:sz w:val="16"/>
                <w:szCs w:val="16"/>
              </w:rPr>
            </w:pPr>
            <w:r w:rsidRPr="001C4076">
              <w:rPr>
                <w:rFonts w:ascii="Arial" w:hAnsi="Arial" w:cs="Arial"/>
                <w:b/>
                <w:bCs/>
                <w:color w:val="000000"/>
                <w:sz w:val="16"/>
                <w:szCs w:val="16"/>
              </w:rPr>
              <w:t>3,735</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04DCB2CB" w14:textId="77777777" w:rsidR="001C4076" w:rsidRPr="001C4076" w:rsidRDefault="001C4076" w:rsidP="001C4076">
            <w:pPr>
              <w:spacing w:before="0" w:after="0" w:line="240" w:lineRule="auto"/>
              <w:jc w:val="right"/>
              <w:rPr>
                <w:rFonts w:ascii="Arial" w:hAnsi="Arial" w:cs="Arial"/>
                <w:b/>
                <w:bCs/>
                <w:color w:val="000000"/>
                <w:sz w:val="16"/>
                <w:szCs w:val="16"/>
              </w:rPr>
            </w:pPr>
            <w:r w:rsidRPr="001C4076">
              <w:rPr>
                <w:rFonts w:ascii="Arial" w:hAnsi="Arial" w:cs="Arial"/>
                <w:b/>
                <w:bCs/>
                <w:color w:val="000000"/>
                <w:sz w:val="16"/>
                <w:szCs w:val="16"/>
              </w:rPr>
              <w:t>4,140</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21C3D3DD" w14:textId="77777777" w:rsidR="001C4076" w:rsidRPr="001C4076" w:rsidRDefault="001C4076" w:rsidP="001C4076">
            <w:pPr>
              <w:spacing w:before="0" w:after="0" w:line="240" w:lineRule="auto"/>
              <w:jc w:val="right"/>
              <w:rPr>
                <w:rFonts w:ascii="Arial" w:hAnsi="Arial" w:cs="Arial"/>
                <w:b/>
                <w:bCs/>
                <w:color w:val="000000"/>
                <w:sz w:val="16"/>
                <w:szCs w:val="16"/>
              </w:rPr>
            </w:pPr>
            <w:r w:rsidRPr="001C4076">
              <w:rPr>
                <w:rFonts w:ascii="Arial" w:hAnsi="Arial" w:cs="Arial"/>
                <w:b/>
                <w:bCs/>
                <w:color w:val="000000"/>
                <w:sz w:val="16"/>
                <w:szCs w:val="16"/>
              </w:rPr>
              <w:t>4,255</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70A38F03" w14:textId="77777777" w:rsidR="001C4076" w:rsidRPr="001C4076" w:rsidRDefault="001C4076" w:rsidP="001C4076">
            <w:pPr>
              <w:spacing w:before="0" w:after="0" w:line="240" w:lineRule="auto"/>
              <w:jc w:val="right"/>
              <w:rPr>
                <w:rFonts w:ascii="Arial" w:hAnsi="Arial" w:cs="Arial"/>
                <w:b/>
                <w:bCs/>
                <w:color w:val="000000"/>
                <w:sz w:val="16"/>
                <w:szCs w:val="16"/>
              </w:rPr>
            </w:pPr>
            <w:r w:rsidRPr="001C4076">
              <w:rPr>
                <w:rFonts w:ascii="Arial" w:hAnsi="Arial" w:cs="Arial"/>
                <w:b/>
                <w:bCs/>
                <w:color w:val="000000"/>
                <w:sz w:val="16"/>
                <w:szCs w:val="16"/>
              </w:rPr>
              <w:t>4,361</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4DB25C1A" w14:textId="77777777" w:rsidR="001C4076" w:rsidRPr="001C4076" w:rsidRDefault="001C4076" w:rsidP="001C4076">
            <w:pPr>
              <w:spacing w:before="0" w:after="0" w:line="240" w:lineRule="auto"/>
              <w:jc w:val="right"/>
              <w:rPr>
                <w:rFonts w:ascii="Arial" w:hAnsi="Arial" w:cs="Arial"/>
                <w:b/>
                <w:bCs/>
                <w:color w:val="000000"/>
                <w:sz w:val="16"/>
                <w:szCs w:val="16"/>
              </w:rPr>
            </w:pPr>
            <w:r w:rsidRPr="001C4076">
              <w:rPr>
                <w:rFonts w:ascii="Arial" w:hAnsi="Arial" w:cs="Arial"/>
                <w:b/>
                <w:bCs/>
                <w:color w:val="000000"/>
                <w:sz w:val="16"/>
                <w:szCs w:val="16"/>
              </w:rPr>
              <w:t>4,280</w:t>
            </w:r>
          </w:p>
        </w:tc>
      </w:tr>
    </w:tbl>
    <w:p w14:paraId="6790462F" w14:textId="72E42806" w:rsidR="00C855DF" w:rsidRPr="000177D7" w:rsidRDefault="00C855DF" w:rsidP="00173739">
      <w:pPr>
        <w:pStyle w:val="ChartandTableFootnoteAlpha"/>
        <w:numPr>
          <w:ilvl w:val="0"/>
          <w:numId w:val="10"/>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24E17276" w14:textId="77777777" w:rsidR="00C855DF" w:rsidRPr="000177D7" w:rsidRDefault="00C855DF" w:rsidP="00C855DF">
      <w:pPr>
        <w:pStyle w:val="TableLine"/>
      </w:pPr>
    </w:p>
    <w:p w14:paraId="589A69C7" w14:textId="7ED02A53" w:rsidR="0050166A" w:rsidRPr="000177D7" w:rsidRDefault="0050166A" w:rsidP="009B5A18">
      <w:bookmarkStart w:id="45" w:name="_Toc99203680"/>
      <w:bookmarkStart w:id="46" w:name="_Toc117358173"/>
      <w:r w:rsidRPr="000177D7">
        <w:t xml:space="preserve">The </w:t>
      </w:r>
      <w:r w:rsidRPr="000177D7">
        <w:rPr>
          <w:b/>
          <w:bCs/>
        </w:rPr>
        <w:t>general services</w:t>
      </w:r>
      <w:r w:rsidRPr="000177D7">
        <w:t xml:space="preserve"> sub</w:t>
      </w:r>
      <w:r w:rsidR="00D34B95">
        <w:noBreakHyphen/>
      </w:r>
      <w:r w:rsidRPr="000177D7">
        <w:t>function incorporates expenses largely incurred by the Department of Finance, Australian Public Service Commission, and Comcare</w:t>
      </w:r>
      <w:r>
        <w:t xml:space="preserve">. </w:t>
      </w:r>
      <w:r w:rsidRPr="000177D7">
        <w:t>Th</w:t>
      </w:r>
      <w:r>
        <w:t>e</w:t>
      </w:r>
      <w:r w:rsidRPr="000177D7">
        <w:t xml:space="preserve"> variation</w:t>
      </w:r>
      <w:r>
        <w:t xml:space="preserve"> in the profile of expenses across the forward estimates largely reflects the impact </w:t>
      </w:r>
      <w:r w:rsidRPr="000177D7">
        <w:t xml:space="preserve">of insurance claims expenditure </w:t>
      </w:r>
      <w:r>
        <w:t>and terminating departmental funding measures</w:t>
      </w:r>
      <w:r w:rsidRPr="000177D7">
        <w:t>.</w:t>
      </w:r>
    </w:p>
    <w:p w14:paraId="04D178B0" w14:textId="7CC8DCE2" w:rsidR="00B561FF" w:rsidRPr="000177D7" w:rsidRDefault="0050166A" w:rsidP="009B5A18">
      <w:r w:rsidRPr="000177D7">
        <w:t>The decrease in expenses from</w:t>
      </w:r>
      <w:r>
        <w:t xml:space="preserve"> 2022</w:t>
      </w:r>
      <w:r w:rsidR="00485F94">
        <w:t>–</w:t>
      </w:r>
      <w:r>
        <w:t>23</w:t>
      </w:r>
      <w:r w:rsidRPr="000177D7">
        <w:t xml:space="preserve"> to 202</w:t>
      </w:r>
      <w:r>
        <w:t>3</w:t>
      </w:r>
      <w:r w:rsidR="00485F94">
        <w:t>–</w:t>
      </w:r>
      <w:r w:rsidRPr="000177D7">
        <w:t>2</w:t>
      </w:r>
      <w:r>
        <w:t>4</w:t>
      </w:r>
      <w:r w:rsidRPr="000177D7">
        <w:t xml:space="preserve"> in the </w:t>
      </w:r>
      <w:r w:rsidRPr="368B28B9">
        <w:rPr>
          <w:b/>
          <w:bCs/>
        </w:rPr>
        <w:t>government superannuation benefits</w:t>
      </w:r>
      <w:r w:rsidRPr="000177D7">
        <w:t xml:space="preserve"> sub</w:t>
      </w:r>
      <w:r w:rsidR="00D34B95">
        <w:noBreakHyphen/>
      </w:r>
      <w:r w:rsidRPr="000177D7">
        <w:t>function primarily reflects the use of different discount rates. In accordance with accounting standards, superannuation expenses for 2022</w:t>
      </w:r>
      <w:r w:rsidR="00485F94">
        <w:t>–</w:t>
      </w:r>
      <w:r w:rsidRPr="000177D7">
        <w:t xml:space="preserve">23 </w:t>
      </w:r>
      <w:r>
        <w:t>are</w:t>
      </w:r>
      <w:r w:rsidRPr="000177D7">
        <w:t xml:space="preserve"> calculated using the long</w:t>
      </w:r>
      <w:r w:rsidR="00D34B95">
        <w:noBreakHyphen/>
      </w:r>
      <w:r w:rsidRPr="000177D7">
        <w:t>term government bond rate which best matched each individual scheme</w:t>
      </w:r>
      <w:r w:rsidR="00D34B95">
        <w:t>’</w:t>
      </w:r>
      <w:r w:rsidRPr="000177D7">
        <w:t xml:space="preserve">s duration of liabilities at the start of the financial year. These rates </w:t>
      </w:r>
      <w:r w:rsidR="006A0F49">
        <w:t>a</w:t>
      </w:r>
      <w:r w:rsidRPr="000177D7">
        <w:t>re between 3.7 and 3.9</w:t>
      </w:r>
      <w:r w:rsidR="00893776">
        <w:t> per </w:t>
      </w:r>
      <w:r w:rsidRPr="000177D7">
        <w:t>cent</w:t>
      </w:r>
      <w:r w:rsidR="00845CD0">
        <w:t xml:space="preserve"> </w:t>
      </w:r>
      <w:r w:rsidR="00893776">
        <w:t>per </w:t>
      </w:r>
      <w:r w:rsidRPr="000177D7">
        <w:t>annum. In preparing the latest Long Term Cost Reports, the scheme actuaries have determined that a discount rate of 5.0</w:t>
      </w:r>
      <w:r w:rsidR="00893776">
        <w:t> per </w:t>
      </w:r>
      <w:r w:rsidRPr="000177D7">
        <w:t xml:space="preserve">cent should be applied to the </w:t>
      </w:r>
      <w:r>
        <w:t>2023</w:t>
      </w:r>
      <w:r w:rsidR="00485F94">
        <w:t>–</w:t>
      </w:r>
      <w:r>
        <w:t xml:space="preserve">24 </w:t>
      </w:r>
      <w:r w:rsidR="00284CE2">
        <w:t>B</w:t>
      </w:r>
      <w:r>
        <w:t xml:space="preserve">udget year and </w:t>
      </w:r>
      <w:r w:rsidRPr="000177D7">
        <w:t>forward estimates</w:t>
      </w:r>
      <w:r>
        <w:t xml:space="preserve"> as</w:t>
      </w:r>
      <w:r w:rsidR="00893776">
        <w:t> per </w:t>
      </w:r>
      <w:r>
        <w:t>usual practice</w:t>
      </w:r>
      <w:r w:rsidRPr="000177D7">
        <w:t>.</w:t>
      </w:r>
    </w:p>
    <w:p w14:paraId="52B88FAF" w14:textId="7868FEFA" w:rsidR="00C855DF" w:rsidRPr="000177D7" w:rsidRDefault="00C855DF" w:rsidP="00C855DF">
      <w:pPr>
        <w:pStyle w:val="Heading3"/>
      </w:pPr>
      <w:bookmarkStart w:id="47" w:name="_Toc134169614"/>
      <w:r w:rsidRPr="000177D7">
        <w:t>Defence</w:t>
      </w:r>
      <w:bookmarkEnd w:id="37"/>
      <w:bookmarkEnd w:id="45"/>
      <w:bookmarkEnd w:id="46"/>
      <w:bookmarkEnd w:id="47"/>
    </w:p>
    <w:p w14:paraId="08D25C2D" w14:textId="77777777" w:rsidR="0050166A" w:rsidRDefault="0050166A" w:rsidP="0050166A">
      <w:bookmarkStart w:id="48" w:name="_Toc4577272"/>
      <w:bookmarkStart w:id="49" w:name="_Toc4689183"/>
      <w:r w:rsidRPr="000177D7">
        <w:t xml:space="preserve">The defence function includes expenses incurred by the Department of Defence (Defence) and </w:t>
      </w:r>
      <w:r>
        <w:t xml:space="preserve">other agencies which support </w:t>
      </w:r>
      <w:r w:rsidRPr="00996312">
        <w:rPr>
          <w:i/>
          <w:iCs/>
        </w:rPr>
        <w:t>National Defence</w:t>
      </w:r>
      <w:r w:rsidRPr="000177D7">
        <w:t>. Defence expenses support</w:t>
      </w:r>
      <w:r>
        <w:t>:</w:t>
      </w:r>
      <w:r w:rsidRPr="000177D7">
        <w:t xml:space="preserve"> </w:t>
      </w:r>
    </w:p>
    <w:p w14:paraId="0926E7B8" w14:textId="77777777" w:rsidR="0050166A" w:rsidRDefault="0050166A" w:rsidP="0050166A">
      <w:pPr>
        <w:pStyle w:val="Bullet"/>
      </w:pPr>
      <w:r w:rsidRPr="00342657">
        <w:rPr>
          <w:bCs/>
        </w:rPr>
        <w:t>Australian</w:t>
      </w:r>
      <w:r w:rsidRPr="000177D7">
        <w:t xml:space="preserve"> military operations</w:t>
      </w:r>
      <w:r>
        <w:t>; and</w:t>
      </w:r>
    </w:p>
    <w:p w14:paraId="34942841" w14:textId="25F94D78" w:rsidR="0050166A" w:rsidRDefault="0050166A" w:rsidP="0050166A">
      <w:pPr>
        <w:pStyle w:val="Bullet"/>
      </w:pPr>
      <w:r w:rsidRPr="00996312">
        <w:rPr>
          <w:i/>
          <w:iCs/>
        </w:rPr>
        <w:t>National Defence</w:t>
      </w:r>
      <w:r w:rsidRPr="000177D7">
        <w:t xml:space="preserve"> </w:t>
      </w:r>
      <w:r>
        <w:t xml:space="preserve">through </w:t>
      </w:r>
      <w:r w:rsidRPr="000177D7">
        <w:t>strategic policy advice</w:t>
      </w:r>
      <w:r>
        <w:t xml:space="preserve"> and </w:t>
      </w:r>
      <w:r w:rsidRPr="000177D7">
        <w:t xml:space="preserve">the delivery of capabilities </w:t>
      </w:r>
      <w:r>
        <w:t>to achieve an Integrated Force, harnessing effects across the</w:t>
      </w:r>
      <w:r w:rsidRPr="000177D7">
        <w:t xml:space="preserve"> </w:t>
      </w:r>
      <w:r>
        <w:t>m</w:t>
      </w:r>
      <w:r w:rsidRPr="000177D7">
        <w:t xml:space="preserve">aritime, </w:t>
      </w:r>
      <w:r>
        <w:t>l</w:t>
      </w:r>
      <w:r w:rsidRPr="000177D7">
        <w:t>and</w:t>
      </w:r>
      <w:r>
        <w:t>,</w:t>
      </w:r>
      <w:r w:rsidRPr="000177D7">
        <w:t xml:space="preserve"> </w:t>
      </w:r>
      <w:r>
        <w:t>a</w:t>
      </w:r>
      <w:r w:rsidRPr="000177D7">
        <w:t xml:space="preserve">ir, </w:t>
      </w:r>
      <w:r>
        <w:t>s</w:t>
      </w:r>
      <w:r w:rsidRPr="000177D7">
        <w:t xml:space="preserve">pace, and </w:t>
      </w:r>
      <w:r>
        <w:t>c</w:t>
      </w:r>
      <w:r w:rsidRPr="000177D7">
        <w:t>yber domains</w:t>
      </w:r>
      <w:r w:rsidR="00D34B95">
        <w:t xml:space="preserve">. </w:t>
      </w:r>
    </w:p>
    <w:p w14:paraId="07D1EB66" w14:textId="77777777" w:rsidR="00A32E2C" w:rsidRDefault="00A32E2C" w:rsidP="0050166A">
      <w:pPr>
        <w:pStyle w:val="Bullet"/>
        <w:numPr>
          <w:ilvl w:val="0"/>
          <w:numId w:val="0"/>
        </w:numPr>
      </w:pPr>
      <w:r>
        <w:br w:type="page"/>
      </w:r>
    </w:p>
    <w:p w14:paraId="05A350DF" w14:textId="630F72D4" w:rsidR="00B561FF" w:rsidRPr="000177D7" w:rsidRDefault="0050166A" w:rsidP="0050166A">
      <w:pPr>
        <w:pStyle w:val="Bullet"/>
        <w:numPr>
          <w:ilvl w:val="0"/>
          <w:numId w:val="0"/>
        </w:numPr>
      </w:pPr>
      <w:r w:rsidRPr="000177D7">
        <w:lastRenderedPageBreak/>
        <w:t>This function records the majority of expenses incurred by the Defence portfolio but does not include expenses incurred by the Department of Veterans</w:t>
      </w:r>
      <w:r w:rsidR="00D34B95">
        <w:t>’</w:t>
      </w:r>
      <w:r w:rsidRPr="000177D7">
        <w:t xml:space="preserve"> Affairs, superannuation payments to retired military personnel, related nominal superannuation interest, and housing assistance provided through Defence Housing Australia. These expenses are reported in the social security and welfare, general public services, other purposes, and housing and community amenities functions respectively.</w:t>
      </w:r>
    </w:p>
    <w:p w14:paraId="0AA7DD5C" w14:textId="6A44F7D2" w:rsidR="0011561D" w:rsidRPr="0011561D" w:rsidRDefault="00C855DF" w:rsidP="0011561D">
      <w:pPr>
        <w:pStyle w:val="TableHeading"/>
      </w:pPr>
      <w:r w:rsidRPr="000177D7">
        <w:t xml:space="preserve">Table 6.5: Summary of expenses </w:t>
      </w:r>
      <w:r w:rsidR="001B5D0E">
        <w:t>–</w:t>
      </w:r>
      <w:r w:rsidRPr="000177D7">
        <w:t xml:space="preserve"> defence</w:t>
      </w:r>
    </w:p>
    <w:tbl>
      <w:tblPr>
        <w:tblW w:w="5000" w:type="pct"/>
        <w:tblCellMar>
          <w:left w:w="0" w:type="dxa"/>
          <w:right w:w="28" w:type="dxa"/>
        </w:tblCellMar>
        <w:tblLook w:val="04A0" w:firstRow="1" w:lastRow="0" w:firstColumn="1" w:lastColumn="0" w:noHBand="0" w:noVBand="1"/>
      </w:tblPr>
      <w:tblGrid>
        <w:gridCol w:w="3471"/>
        <w:gridCol w:w="848"/>
        <w:gridCol w:w="848"/>
        <w:gridCol w:w="848"/>
        <w:gridCol w:w="848"/>
        <w:gridCol w:w="847"/>
      </w:tblGrid>
      <w:tr w:rsidR="0011561D" w:rsidRPr="0011561D" w14:paraId="14CC82FA" w14:textId="77777777" w:rsidTr="00815BAB">
        <w:trPr>
          <w:divId w:val="723986683"/>
          <w:trHeight w:hRule="exact" w:val="225"/>
        </w:trPr>
        <w:tc>
          <w:tcPr>
            <w:tcW w:w="2251" w:type="pct"/>
            <w:tcBorders>
              <w:top w:val="single" w:sz="4" w:space="0" w:color="002A54" w:themeColor="text2"/>
              <w:left w:val="nil"/>
              <w:bottom w:val="nil"/>
              <w:right w:val="nil"/>
            </w:tcBorders>
            <w:shd w:val="clear" w:color="000000" w:fill="FFFFFF"/>
            <w:noWrap/>
            <w:vAlign w:val="center"/>
            <w:hideMark/>
          </w:tcPr>
          <w:p w14:paraId="3C54E9EE" w14:textId="4CD62ECA" w:rsidR="0011561D" w:rsidRPr="0011561D" w:rsidRDefault="0011561D" w:rsidP="0011561D">
            <w:pPr>
              <w:spacing w:before="0" w:after="0" w:line="240" w:lineRule="auto"/>
              <w:rPr>
                <w:rFonts w:ascii="Arial" w:hAnsi="Arial" w:cs="Arial"/>
                <w:b/>
                <w:bCs/>
                <w:color w:val="000000"/>
                <w:sz w:val="16"/>
                <w:szCs w:val="16"/>
              </w:rPr>
            </w:pPr>
            <w:r w:rsidRPr="0011561D">
              <w:rPr>
                <w:rFonts w:ascii="Arial" w:hAnsi="Arial" w:cs="Arial"/>
                <w:b/>
                <w:bCs/>
                <w:color w:val="000000"/>
                <w:sz w:val="16"/>
                <w:szCs w:val="16"/>
              </w:rPr>
              <w:t>Sub</w:t>
            </w:r>
            <w:r w:rsidR="00D34B95">
              <w:rPr>
                <w:rFonts w:ascii="Arial" w:hAnsi="Arial" w:cs="Arial"/>
                <w:b/>
                <w:bCs/>
                <w:color w:val="000000"/>
                <w:sz w:val="16"/>
                <w:szCs w:val="16"/>
              </w:rPr>
              <w:noBreakHyphen/>
            </w:r>
            <w:r w:rsidRPr="0011561D">
              <w:rPr>
                <w:rFonts w:ascii="Arial" w:hAnsi="Arial" w:cs="Arial"/>
                <w:b/>
                <w:bCs/>
                <w:color w:val="000000"/>
                <w:sz w:val="16"/>
                <w:szCs w:val="16"/>
              </w:rPr>
              <w:t>function</w:t>
            </w:r>
          </w:p>
        </w:tc>
        <w:tc>
          <w:tcPr>
            <w:tcW w:w="274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209F27F4" w14:textId="77777777" w:rsidR="0011561D" w:rsidRPr="0011561D" w:rsidRDefault="0011561D" w:rsidP="0011561D">
            <w:pPr>
              <w:spacing w:before="0" w:after="0" w:line="240" w:lineRule="auto"/>
              <w:jc w:val="center"/>
              <w:rPr>
                <w:rFonts w:ascii="Arial" w:hAnsi="Arial" w:cs="Arial"/>
                <w:color w:val="000000"/>
                <w:sz w:val="16"/>
                <w:szCs w:val="16"/>
              </w:rPr>
            </w:pPr>
            <w:r w:rsidRPr="0011561D">
              <w:rPr>
                <w:rFonts w:ascii="Arial" w:hAnsi="Arial" w:cs="Arial"/>
                <w:color w:val="000000"/>
                <w:sz w:val="16"/>
                <w:szCs w:val="16"/>
              </w:rPr>
              <w:t>Estimates</w:t>
            </w:r>
          </w:p>
        </w:tc>
      </w:tr>
      <w:tr w:rsidR="0011561D" w:rsidRPr="0011561D" w14:paraId="353C6D5C" w14:textId="77777777" w:rsidTr="00815BAB">
        <w:trPr>
          <w:divId w:val="723986683"/>
          <w:trHeight w:hRule="exact" w:val="225"/>
        </w:trPr>
        <w:tc>
          <w:tcPr>
            <w:tcW w:w="2251" w:type="pct"/>
            <w:tcBorders>
              <w:top w:val="nil"/>
              <w:left w:val="nil"/>
              <w:bottom w:val="nil"/>
              <w:right w:val="nil"/>
            </w:tcBorders>
            <w:shd w:val="clear" w:color="000000" w:fill="FFFFFF"/>
            <w:noWrap/>
            <w:vAlign w:val="bottom"/>
            <w:hideMark/>
          </w:tcPr>
          <w:p w14:paraId="04C9614E"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 </w:t>
            </w:r>
          </w:p>
        </w:tc>
        <w:tc>
          <w:tcPr>
            <w:tcW w:w="550" w:type="pct"/>
            <w:tcBorders>
              <w:top w:val="single" w:sz="4" w:space="0" w:color="002A54" w:themeColor="text2"/>
              <w:left w:val="nil"/>
              <w:right w:val="nil"/>
            </w:tcBorders>
            <w:shd w:val="clear" w:color="000000" w:fill="FFFFFF"/>
            <w:noWrap/>
            <w:vAlign w:val="center"/>
            <w:hideMark/>
          </w:tcPr>
          <w:p w14:paraId="3CA68E74"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2022–23</w:t>
            </w:r>
          </w:p>
        </w:tc>
        <w:tc>
          <w:tcPr>
            <w:tcW w:w="550" w:type="pct"/>
            <w:tcBorders>
              <w:top w:val="single" w:sz="4" w:space="0" w:color="002A54" w:themeColor="text2"/>
              <w:left w:val="nil"/>
              <w:right w:val="nil"/>
            </w:tcBorders>
            <w:shd w:val="clear" w:color="000000" w:fill="E6F2FF"/>
            <w:noWrap/>
            <w:vAlign w:val="center"/>
            <w:hideMark/>
          </w:tcPr>
          <w:p w14:paraId="5CB3DCEB"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2023–24</w:t>
            </w:r>
          </w:p>
        </w:tc>
        <w:tc>
          <w:tcPr>
            <w:tcW w:w="550" w:type="pct"/>
            <w:tcBorders>
              <w:top w:val="single" w:sz="4" w:space="0" w:color="002A54" w:themeColor="text2"/>
              <w:left w:val="nil"/>
              <w:right w:val="nil"/>
            </w:tcBorders>
            <w:shd w:val="clear" w:color="000000" w:fill="FFFFFF"/>
            <w:noWrap/>
            <w:vAlign w:val="center"/>
            <w:hideMark/>
          </w:tcPr>
          <w:p w14:paraId="7B2F08F8"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2024–25</w:t>
            </w:r>
          </w:p>
        </w:tc>
        <w:tc>
          <w:tcPr>
            <w:tcW w:w="550" w:type="pct"/>
            <w:tcBorders>
              <w:top w:val="single" w:sz="4" w:space="0" w:color="002A54" w:themeColor="text2"/>
              <w:left w:val="nil"/>
              <w:right w:val="nil"/>
            </w:tcBorders>
            <w:shd w:val="clear" w:color="000000" w:fill="FFFFFF"/>
            <w:noWrap/>
            <w:vAlign w:val="center"/>
            <w:hideMark/>
          </w:tcPr>
          <w:p w14:paraId="56781DFC"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2025–26</w:t>
            </w:r>
          </w:p>
        </w:tc>
        <w:tc>
          <w:tcPr>
            <w:tcW w:w="549" w:type="pct"/>
            <w:tcBorders>
              <w:top w:val="single" w:sz="4" w:space="0" w:color="002A54" w:themeColor="text2"/>
              <w:left w:val="nil"/>
              <w:right w:val="nil"/>
            </w:tcBorders>
            <w:shd w:val="clear" w:color="000000" w:fill="FFFFFF"/>
            <w:noWrap/>
            <w:vAlign w:val="center"/>
            <w:hideMark/>
          </w:tcPr>
          <w:p w14:paraId="59232B2E"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2026–27</w:t>
            </w:r>
          </w:p>
        </w:tc>
      </w:tr>
      <w:tr w:rsidR="0011561D" w:rsidRPr="0011561D" w14:paraId="6EBAB787" w14:textId="77777777" w:rsidTr="0011561D">
        <w:trPr>
          <w:divId w:val="723986683"/>
          <w:trHeight w:hRule="exact" w:val="225"/>
        </w:trPr>
        <w:tc>
          <w:tcPr>
            <w:tcW w:w="2251" w:type="pct"/>
            <w:tcBorders>
              <w:top w:val="nil"/>
              <w:left w:val="nil"/>
              <w:bottom w:val="nil"/>
              <w:right w:val="nil"/>
            </w:tcBorders>
            <w:shd w:val="clear" w:color="000000" w:fill="FFFFFF"/>
            <w:noWrap/>
            <w:vAlign w:val="center"/>
            <w:hideMark/>
          </w:tcPr>
          <w:p w14:paraId="6A3C409B"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 </w:t>
            </w:r>
          </w:p>
        </w:tc>
        <w:tc>
          <w:tcPr>
            <w:tcW w:w="550" w:type="pct"/>
            <w:tcBorders>
              <w:top w:val="nil"/>
              <w:left w:val="nil"/>
              <w:bottom w:val="single" w:sz="4" w:space="0" w:color="293F5B"/>
              <w:right w:val="nil"/>
            </w:tcBorders>
            <w:shd w:val="clear" w:color="000000" w:fill="FFFFFF"/>
            <w:noWrap/>
            <w:vAlign w:val="center"/>
            <w:hideMark/>
          </w:tcPr>
          <w:p w14:paraId="24876083"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E6F2FF"/>
            <w:noWrap/>
            <w:vAlign w:val="center"/>
            <w:hideMark/>
          </w:tcPr>
          <w:p w14:paraId="788E5222"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6F1ECAC"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293F5B"/>
              <w:right w:val="nil"/>
            </w:tcBorders>
            <w:shd w:val="clear" w:color="000000" w:fill="FFFFFF"/>
            <w:noWrap/>
            <w:vAlign w:val="center"/>
            <w:hideMark/>
          </w:tcPr>
          <w:p w14:paraId="0A1141F4"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49" w:type="pct"/>
            <w:tcBorders>
              <w:top w:val="nil"/>
              <w:left w:val="nil"/>
              <w:bottom w:val="single" w:sz="4" w:space="0" w:color="293F5B"/>
              <w:right w:val="nil"/>
            </w:tcBorders>
            <w:shd w:val="clear" w:color="000000" w:fill="FFFFFF"/>
            <w:noWrap/>
            <w:vAlign w:val="center"/>
            <w:hideMark/>
          </w:tcPr>
          <w:p w14:paraId="531BDB59"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r>
      <w:tr w:rsidR="0011561D" w:rsidRPr="0011561D" w14:paraId="4A0189DC" w14:textId="77777777" w:rsidTr="00815BAB">
        <w:trPr>
          <w:divId w:val="723986683"/>
          <w:trHeight w:hRule="exact" w:val="225"/>
        </w:trPr>
        <w:tc>
          <w:tcPr>
            <w:tcW w:w="2251" w:type="pct"/>
            <w:tcBorders>
              <w:top w:val="nil"/>
              <w:left w:val="nil"/>
              <w:bottom w:val="nil"/>
              <w:right w:val="nil"/>
            </w:tcBorders>
            <w:shd w:val="clear" w:color="000000" w:fill="FFFFFF"/>
            <w:noWrap/>
            <w:vAlign w:val="center"/>
            <w:hideMark/>
          </w:tcPr>
          <w:p w14:paraId="0C1F99DA"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Defence</w:t>
            </w:r>
          </w:p>
        </w:tc>
        <w:tc>
          <w:tcPr>
            <w:tcW w:w="550" w:type="pct"/>
            <w:tcBorders>
              <w:top w:val="single" w:sz="4" w:space="0" w:color="293F5B"/>
              <w:left w:val="nil"/>
              <w:bottom w:val="single" w:sz="4" w:space="0" w:color="002A54" w:themeColor="text2"/>
              <w:right w:val="nil"/>
            </w:tcBorders>
            <w:shd w:val="clear" w:color="000000" w:fill="FFFFFF"/>
            <w:noWrap/>
            <w:vAlign w:val="center"/>
            <w:hideMark/>
          </w:tcPr>
          <w:p w14:paraId="335DF193"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40,059</w:t>
            </w:r>
          </w:p>
        </w:tc>
        <w:tc>
          <w:tcPr>
            <w:tcW w:w="550" w:type="pct"/>
            <w:tcBorders>
              <w:top w:val="single" w:sz="4" w:space="0" w:color="293F5B"/>
              <w:left w:val="nil"/>
              <w:bottom w:val="single" w:sz="4" w:space="0" w:color="002A54" w:themeColor="text2"/>
              <w:right w:val="nil"/>
            </w:tcBorders>
            <w:shd w:val="clear" w:color="000000" w:fill="E6F2FF"/>
            <w:noWrap/>
            <w:vAlign w:val="center"/>
            <w:hideMark/>
          </w:tcPr>
          <w:p w14:paraId="360962C7"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42,850</w:t>
            </w:r>
          </w:p>
        </w:tc>
        <w:tc>
          <w:tcPr>
            <w:tcW w:w="550" w:type="pct"/>
            <w:tcBorders>
              <w:top w:val="single" w:sz="4" w:space="0" w:color="293F5B"/>
              <w:left w:val="nil"/>
              <w:bottom w:val="single" w:sz="4" w:space="0" w:color="002A54" w:themeColor="text2"/>
              <w:right w:val="nil"/>
            </w:tcBorders>
            <w:shd w:val="clear" w:color="000000" w:fill="FFFFFF"/>
            <w:noWrap/>
            <w:vAlign w:val="center"/>
            <w:hideMark/>
          </w:tcPr>
          <w:p w14:paraId="211F45FC"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44,568</w:t>
            </w:r>
          </w:p>
        </w:tc>
        <w:tc>
          <w:tcPr>
            <w:tcW w:w="550" w:type="pct"/>
            <w:tcBorders>
              <w:top w:val="single" w:sz="4" w:space="0" w:color="293F5B"/>
              <w:left w:val="nil"/>
              <w:bottom w:val="single" w:sz="4" w:space="0" w:color="002A54" w:themeColor="text2"/>
              <w:right w:val="nil"/>
            </w:tcBorders>
            <w:shd w:val="clear" w:color="000000" w:fill="FFFFFF"/>
            <w:noWrap/>
            <w:vAlign w:val="center"/>
            <w:hideMark/>
          </w:tcPr>
          <w:p w14:paraId="47CC9848"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49,465</w:t>
            </w:r>
          </w:p>
        </w:tc>
        <w:tc>
          <w:tcPr>
            <w:tcW w:w="549" w:type="pct"/>
            <w:tcBorders>
              <w:top w:val="single" w:sz="4" w:space="0" w:color="293F5B"/>
              <w:left w:val="nil"/>
              <w:bottom w:val="single" w:sz="4" w:space="0" w:color="002A54" w:themeColor="text2"/>
              <w:right w:val="nil"/>
            </w:tcBorders>
            <w:shd w:val="clear" w:color="000000" w:fill="FFFFFF"/>
            <w:noWrap/>
            <w:vAlign w:val="center"/>
            <w:hideMark/>
          </w:tcPr>
          <w:p w14:paraId="0EFAE3CB"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48,840</w:t>
            </w:r>
          </w:p>
        </w:tc>
      </w:tr>
      <w:tr w:rsidR="0011561D" w:rsidRPr="0011561D" w14:paraId="45D2A2C5" w14:textId="77777777" w:rsidTr="00815BAB">
        <w:trPr>
          <w:divId w:val="723986683"/>
          <w:trHeight w:hRule="exact" w:val="225"/>
        </w:trPr>
        <w:tc>
          <w:tcPr>
            <w:tcW w:w="2251" w:type="pct"/>
            <w:tcBorders>
              <w:top w:val="nil"/>
              <w:left w:val="nil"/>
              <w:bottom w:val="single" w:sz="4" w:space="0" w:color="002A54" w:themeColor="text2"/>
              <w:right w:val="nil"/>
            </w:tcBorders>
            <w:shd w:val="clear" w:color="000000" w:fill="FFFFFF"/>
            <w:noWrap/>
            <w:vAlign w:val="center"/>
            <w:hideMark/>
          </w:tcPr>
          <w:p w14:paraId="38128FB8" w14:textId="77777777" w:rsidR="0011561D" w:rsidRPr="0011561D" w:rsidRDefault="0011561D" w:rsidP="0011561D">
            <w:pPr>
              <w:spacing w:before="0" w:after="0" w:line="240" w:lineRule="auto"/>
              <w:rPr>
                <w:rFonts w:ascii="Arial" w:hAnsi="Arial" w:cs="Arial"/>
                <w:b/>
                <w:bCs/>
                <w:color w:val="000000"/>
                <w:sz w:val="16"/>
                <w:szCs w:val="16"/>
              </w:rPr>
            </w:pPr>
            <w:r w:rsidRPr="0011561D">
              <w:rPr>
                <w:rFonts w:ascii="Arial" w:hAnsi="Arial" w:cs="Arial"/>
                <w:b/>
                <w:bCs/>
                <w:color w:val="000000"/>
                <w:sz w:val="16"/>
                <w:szCs w:val="16"/>
              </w:rPr>
              <w:t>Total defence</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3B2054AB"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40,059</w:t>
            </w:r>
          </w:p>
        </w:tc>
        <w:tc>
          <w:tcPr>
            <w:tcW w:w="550" w:type="pct"/>
            <w:tcBorders>
              <w:top w:val="single" w:sz="4" w:space="0" w:color="002A54" w:themeColor="text2"/>
              <w:left w:val="nil"/>
              <w:bottom w:val="single" w:sz="4" w:space="0" w:color="002A54" w:themeColor="text2"/>
              <w:right w:val="nil"/>
            </w:tcBorders>
            <w:shd w:val="clear" w:color="000000" w:fill="E6F2FF"/>
            <w:noWrap/>
            <w:vAlign w:val="center"/>
            <w:hideMark/>
          </w:tcPr>
          <w:p w14:paraId="625D0141"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42,850</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2506125A"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44,568</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74FAC435"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49,465</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53462A53"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48,840</w:t>
            </w:r>
          </w:p>
        </w:tc>
      </w:tr>
    </w:tbl>
    <w:p w14:paraId="204E8CA6" w14:textId="45DDD519" w:rsidR="0050166A" w:rsidRDefault="0050166A" w:rsidP="0050166A">
      <w:bookmarkStart w:id="50" w:name="_Toc99203681"/>
      <w:r w:rsidRPr="000177D7">
        <w:t xml:space="preserve">Total </w:t>
      </w:r>
      <w:r w:rsidRPr="0021687D">
        <w:t xml:space="preserve">expenses for the </w:t>
      </w:r>
      <w:r w:rsidRPr="0021687D">
        <w:rPr>
          <w:b/>
        </w:rPr>
        <w:t>defence</w:t>
      </w:r>
      <w:r w:rsidRPr="0021687D">
        <w:t xml:space="preserve"> sub</w:t>
      </w:r>
      <w:r w:rsidR="00D34B95">
        <w:noBreakHyphen/>
      </w:r>
      <w:r w:rsidRPr="0021687D">
        <w:t>function are estimated to increase by 14.</w:t>
      </w:r>
      <w:r w:rsidR="00E04E49" w:rsidRPr="0021687D">
        <w:t>0</w:t>
      </w:r>
      <w:r w:rsidR="00893776">
        <w:t> per </w:t>
      </w:r>
      <w:r w:rsidRPr="0021687D">
        <w:t>cent in nominal terms and by 5.</w:t>
      </w:r>
      <w:r w:rsidR="00E04E49" w:rsidRPr="0021687D">
        <w:t>3</w:t>
      </w:r>
      <w:r w:rsidR="00893776">
        <w:t> per </w:t>
      </w:r>
      <w:r w:rsidRPr="0021687D">
        <w:t>cent in real terms over the period 2023</w:t>
      </w:r>
      <w:r w:rsidR="00485F94">
        <w:t>–</w:t>
      </w:r>
      <w:r w:rsidRPr="0021687D">
        <w:t>24 to 2026</w:t>
      </w:r>
      <w:r w:rsidR="00485F94">
        <w:t>–</w:t>
      </w:r>
      <w:r w:rsidRPr="0021687D">
        <w:t>27. This reflects the funding required by Defence for capability investments which will be reprioritised to support the Government</w:t>
      </w:r>
      <w:r w:rsidR="00D34B95">
        <w:t>’</w:t>
      </w:r>
      <w:r w:rsidRPr="0021687D">
        <w:t xml:space="preserve">s response to the </w:t>
      </w:r>
      <w:r w:rsidRPr="0021687D">
        <w:rPr>
          <w:i/>
          <w:iCs/>
        </w:rPr>
        <w:t>Defence Strategic Review</w:t>
      </w:r>
      <w:r w:rsidRPr="0021687D">
        <w:t>. The Government</w:t>
      </w:r>
      <w:r w:rsidR="00D34B95">
        <w:t>’</w:t>
      </w:r>
      <w:r w:rsidRPr="0021687D">
        <w:t>s response represents a fundamental shift in Defence</w:t>
      </w:r>
      <w:r w:rsidR="00D34B95">
        <w:t>’</w:t>
      </w:r>
      <w:r w:rsidRPr="0021687D">
        <w:t>s force structure and posture, and sets out a blueprint for an Integrated Force and the reprioritisation of Defence capability investments. The Government</w:t>
      </w:r>
      <w:r w:rsidR="00D34B95">
        <w:t>’</w:t>
      </w:r>
      <w:r w:rsidRPr="0021687D">
        <w:t>s response</w:t>
      </w:r>
      <w:r>
        <w:t xml:space="preserve"> includes commitments </w:t>
      </w:r>
      <w:r w:rsidRPr="00010060">
        <w:t>totalling</w:t>
      </w:r>
      <w:r>
        <w:t xml:space="preserve"> $19 billion over the forward estimates for nuclear</w:t>
      </w:r>
      <w:r w:rsidR="00D34B95">
        <w:noBreakHyphen/>
      </w:r>
      <w:r>
        <w:t>powered submarines, long</w:t>
      </w:r>
      <w:r w:rsidR="00D34B95">
        <w:noBreakHyphen/>
      </w:r>
      <w:r>
        <w:t xml:space="preserve">range strike capabilities, strengthened northern bases, workforce growth and retention, innovation, and regional partnerships. </w:t>
      </w:r>
    </w:p>
    <w:p w14:paraId="6CF4B590" w14:textId="735F1EFA" w:rsidR="00B561FF" w:rsidRPr="000177D7" w:rsidRDefault="0050166A" w:rsidP="0050166A">
      <w:r>
        <w:t xml:space="preserve">The Government has made a provision in the Contingency Reserve for </w:t>
      </w:r>
      <w:r w:rsidRPr="00D33B87">
        <w:t xml:space="preserve">increased </w:t>
      </w:r>
      <w:r>
        <w:t xml:space="preserve">Defence </w:t>
      </w:r>
      <w:r w:rsidRPr="00D33B87">
        <w:t>funding over the medium</w:t>
      </w:r>
      <w:r>
        <w:t> </w:t>
      </w:r>
      <w:r w:rsidRPr="00D33B87">
        <w:t>term</w:t>
      </w:r>
      <w:r>
        <w:t xml:space="preserve"> to implement the </w:t>
      </w:r>
      <w:r>
        <w:rPr>
          <w:i/>
          <w:iCs/>
        </w:rPr>
        <w:t>Defence Strategic Review</w:t>
      </w:r>
      <w:r>
        <w:t xml:space="preserve">. Defence funding will increase </w:t>
      </w:r>
      <w:r w:rsidR="00D54951">
        <w:t>and rise above</w:t>
      </w:r>
      <w:r>
        <w:t xml:space="preserve"> </w:t>
      </w:r>
      <w:r w:rsidRPr="00D33B87">
        <w:t>2.3</w:t>
      </w:r>
      <w:r w:rsidR="00893776">
        <w:t> per </w:t>
      </w:r>
      <w:r w:rsidRPr="00D33B87">
        <w:t xml:space="preserve">cent of GDP </w:t>
      </w:r>
      <w:r>
        <w:t>in 2032</w:t>
      </w:r>
      <w:r w:rsidR="00D855F0">
        <w:t>–</w:t>
      </w:r>
      <w:r>
        <w:t xml:space="preserve">33, based on current GDP projections. Over the next 12 months, Defence will reshape the Defence Integrated Investment Program to give effect to the findings and recommendations of the </w:t>
      </w:r>
      <w:r>
        <w:rPr>
          <w:i/>
          <w:iCs/>
        </w:rPr>
        <w:t>Defence Strategic Review</w:t>
      </w:r>
      <w:r>
        <w:t>.</w:t>
      </w:r>
    </w:p>
    <w:p w14:paraId="228670A5" w14:textId="77777777" w:rsidR="00C855DF" w:rsidRPr="000177D7" w:rsidRDefault="00C855DF" w:rsidP="00C855DF">
      <w:pPr>
        <w:pStyle w:val="Heading3"/>
      </w:pPr>
      <w:bookmarkStart w:id="51" w:name="_Toc117358174"/>
      <w:bookmarkStart w:id="52" w:name="_Toc134169615"/>
      <w:bookmarkStart w:id="53" w:name="_Toc4689184"/>
      <w:bookmarkEnd w:id="48"/>
      <w:bookmarkEnd w:id="49"/>
      <w:bookmarkEnd w:id="50"/>
      <w:r w:rsidRPr="000177D7">
        <w:t>Public order and safety</w:t>
      </w:r>
      <w:bookmarkEnd w:id="51"/>
      <w:bookmarkEnd w:id="52"/>
    </w:p>
    <w:p w14:paraId="051BEAA5" w14:textId="1C8007D7" w:rsidR="00B561FF" w:rsidRPr="000177D7" w:rsidRDefault="0050166A" w:rsidP="00B561FF">
      <w:pPr>
        <w:rPr>
          <w:lang w:val="en-US"/>
        </w:rPr>
      </w:pPr>
      <w:r w:rsidRPr="000177D7">
        <w:rPr>
          <w:lang w:val="en-US"/>
        </w:rPr>
        <w:t>The public order and safety function includes expenses to support the administration of the federal legal system and the provision of legal services, including legal aid, to the community. Public order and safety expenses also include law enforcement, border protection and intelligence activities, and the protection of Australian Government property.</w:t>
      </w:r>
    </w:p>
    <w:p w14:paraId="18F8E780" w14:textId="77DBC9E9" w:rsidR="0011561D" w:rsidRPr="0011561D" w:rsidRDefault="00C855DF" w:rsidP="0011561D">
      <w:pPr>
        <w:pStyle w:val="TableHeading"/>
      </w:pPr>
      <w:r w:rsidRPr="000177D7">
        <w:t xml:space="preserve">Table 6.6: Summary of expenses </w:t>
      </w:r>
      <w:r w:rsidR="001B5D0E">
        <w:t>–</w:t>
      </w:r>
      <w:r w:rsidRPr="000177D7">
        <w:t xml:space="preserve"> public order and safety</w:t>
      </w:r>
      <w:bookmarkStart w:id="54" w:name="_1586322870"/>
      <w:bookmarkStart w:id="55" w:name="_1727774286"/>
      <w:bookmarkEnd w:id="54"/>
      <w:bookmarkEnd w:id="55"/>
    </w:p>
    <w:tbl>
      <w:tblPr>
        <w:tblW w:w="5000" w:type="pct"/>
        <w:tblCellMar>
          <w:left w:w="0" w:type="dxa"/>
          <w:right w:w="28" w:type="dxa"/>
        </w:tblCellMar>
        <w:tblLook w:val="04A0" w:firstRow="1" w:lastRow="0" w:firstColumn="1" w:lastColumn="0" w:noHBand="0" w:noVBand="1"/>
      </w:tblPr>
      <w:tblGrid>
        <w:gridCol w:w="3471"/>
        <w:gridCol w:w="848"/>
        <w:gridCol w:w="848"/>
        <w:gridCol w:w="848"/>
        <w:gridCol w:w="848"/>
        <w:gridCol w:w="847"/>
      </w:tblGrid>
      <w:tr w:rsidR="0011561D" w:rsidRPr="0011561D" w14:paraId="694E879D" w14:textId="77777777" w:rsidTr="00815BAB">
        <w:trPr>
          <w:divId w:val="1733384928"/>
          <w:trHeight w:hRule="exact" w:val="225"/>
        </w:trPr>
        <w:tc>
          <w:tcPr>
            <w:tcW w:w="2251" w:type="pct"/>
            <w:tcBorders>
              <w:top w:val="single" w:sz="4" w:space="0" w:color="002A54" w:themeColor="text2"/>
              <w:left w:val="nil"/>
              <w:bottom w:val="nil"/>
              <w:right w:val="nil"/>
            </w:tcBorders>
            <w:shd w:val="clear" w:color="000000" w:fill="FFFFFF"/>
            <w:noWrap/>
            <w:vAlign w:val="center"/>
            <w:hideMark/>
          </w:tcPr>
          <w:p w14:paraId="5DB6F548" w14:textId="12B1EC8D" w:rsidR="0011561D" w:rsidRPr="0011561D" w:rsidRDefault="0011561D" w:rsidP="0011561D">
            <w:pPr>
              <w:spacing w:before="0" w:after="0" w:line="240" w:lineRule="auto"/>
              <w:rPr>
                <w:rFonts w:ascii="Arial" w:hAnsi="Arial" w:cs="Arial"/>
                <w:b/>
                <w:bCs/>
                <w:color w:val="000000"/>
                <w:sz w:val="16"/>
                <w:szCs w:val="16"/>
              </w:rPr>
            </w:pPr>
            <w:r w:rsidRPr="0011561D">
              <w:rPr>
                <w:rFonts w:ascii="Arial" w:hAnsi="Arial" w:cs="Arial"/>
                <w:b/>
                <w:bCs/>
                <w:color w:val="000000"/>
                <w:sz w:val="16"/>
                <w:szCs w:val="16"/>
              </w:rPr>
              <w:t>Sub</w:t>
            </w:r>
            <w:r w:rsidR="00D34B95">
              <w:rPr>
                <w:rFonts w:ascii="Arial" w:hAnsi="Arial" w:cs="Arial"/>
                <w:b/>
                <w:bCs/>
                <w:color w:val="000000"/>
                <w:sz w:val="16"/>
                <w:szCs w:val="16"/>
              </w:rPr>
              <w:noBreakHyphen/>
            </w:r>
            <w:r w:rsidRPr="0011561D">
              <w:rPr>
                <w:rFonts w:ascii="Arial" w:hAnsi="Arial" w:cs="Arial"/>
                <w:b/>
                <w:bCs/>
                <w:color w:val="000000"/>
                <w:sz w:val="16"/>
                <w:szCs w:val="16"/>
              </w:rPr>
              <w:t>function</w:t>
            </w:r>
          </w:p>
        </w:tc>
        <w:tc>
          <w:tcPr>
            <w:tcW w:w="274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EECB0FC" w14:textId="77777777" w:rsidR="0011561D" w:rsidRPr="0011561D" w:rsidRDefault="0011561D" w:rsidP="0011561D">
            <w:pPr>
              <w:spacing w:before="0" w:after="0" w:line="240" w:lineRule="auto"/>
              <w:jc w:val="center"/>
              <w:rPr>
                <w:rFonts w:ascii="Arial" w:hAnsi="Arial" w:cs="Arial"/>
                <w:color w:val="000000"/>
                <w:sz w:val="16"/>
                <w:szCs w:val="16"/>
              </w:rPr>
            </w:pPr>
            <w:r w:rsidRPr="0011561D">
              <w:rPr>
                <w:rFonts w:ascii="Arial" w:hAnsi="Arial" w:cs="Arial"/>
                <w:color w:val="000000"/>
                <w:sz w:val="16"/>
                <w:szCs w:val="16"/>
              </w:rPr>
              <w:t>Estimates</w:t>
            </w:r>
          </w:p>
        </w:tc>
      </w:tr>
      <w:tr w:rsidR="0011561D" w:rsidRPr="0011561D" w14:paraId="1059243C" w14:textId="77777777" w:rsidTr="00815BAB">
        <w:trPr>
          <w:divId w:val="1733384928"/>
          <w:trHeight w:hRule="exact" w:val="225"/>
        </w:trPr>
        <w:tc>
          <w:tcPr>
            <w:tcW w:w="2251" w:type="pct"/>
            <w:tcBorders>
              <w:top w:val="nil"/>
              <w:left w:val="nil"/>
              <w:bottom w:val="nil"/>
              <w:right w:val="nil"/>
            </w:tcBorders>
            <w:shd w:val="clear" w:color="000000" w:fill="FFFFFF"/>
            <w:noWrap/>
            <w:vAlign w:val="bottom"/>
            <w:hideMark/>
          </w:tcPr>
          <w:p w14:paraId="04B58A99"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 </w:t>
            </w:r>
          </w:p>
        </w:tc>
        <w:tc>
          <w:tcPr>
            <w:tcW w:w="550" w:type="pct"/>
            <w:tcBorders>
              <w:top w:val="single" w:sz="4" w:space="0" w:color="002A54" w:themeColor="text2"/>
              <w:left w:val="nil"/>
              <w:right w:val="nil"/>
            </w:tcBorders>
            <w:shd w:val="clear" w:color="000000" w:fill="FFFFFF"/>
            <w:noWrap/>
            <w:vAlign w:val="center"/>
            <w:hideMark/>
          </w:tcPr>
          <w:p w14:paraId="4392CD06"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2022–23</w:t>
            </w:r>
          </w:p>
        </w:tc>
        <w:tc>
          <w:tcPr>
            <w:tcW w:w="550" w:type="pct"/>
            <w:tcBorders>
              <w:top w:val="single" w:sz="4" w:space="0" w:color="002A54" w:themeColor="text2"/>
              <w:left w:val="nil"/>
              <w:right w:val="nil"/>
            </w:tcBorders>
            <w:shd w:val="clear" w:color="000000" w:fill="E6F2FF"/>
            <w:noWrap/>
            <w:vAlign w:val="center"/>
            <w:hideMark/>
          </w:tcPr>
          <w:p w14:paraId="71D036EB"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2023–24</w:t>
            </w:r>
          </w:p>
        </w:tc>
        <w:tc>
          <w:tcPr>
            <w:tcW w:w="550" w:type="pct"/>
            <w:tcBorders>
              <w:top w:val="single" w:sz="4" w:space="0" w:color="002A54" w:themeColor="text2"/>
              <w:left w:val="nil"/>
              <w:right w:val="nil"/>
            </w:tcBorders>
            <w:shd w:val="clear" w:color="000000" w:fill="FFFFFF"/>
            <w:noWrap/>
            <w:vAlign w:val="center"/>
            <w:hideMark/>
          </w:tcPr>
          <w:p w14:paraId="5BD7CA1C"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2024–25</w:t>
            </w:r>
          </w:p>
        </w:tc>
        <w:tc>
          <w:tcPr>
            <w:tcW w:w="550" w:type="pct"/>
            <w:tcBorders>
              <w:top w:val="single" w:sz="4" w:space="0" w:color="002A54" w:themeColor="text2"/>
              <w:left w:val="nil"/>
              <w:right w:val="nil"/>
            </w:tcBorders>
            <w:shd w:val="clear" w:color="000000" w:fill="FFFFFF"/>
            <w:noWrap/>
            <w:vAlign w:val="center"/>
            <w:hideMark/>
          </w:tcPr>
          <w:p w14:paraId="00716E04" w14:textId="77777777" w:rsidR="0011561D" w:rsidRPr="0011561D" w:rsidRDefault="0011561D" w:rsidP="0011561D">
            <w:pPr>
              <w:spacing w:before="0" w:after="0" w:line="240" w:lineRule="auto"/>
              <w:jc w:val="right"/>
              <w:rPr>
                <w:rFonts w:ascii="Arial" w:hAnsi="Arial" w:cs="Arial"/>
                <w:sz w:val="16"/>
                <w:szCs w:val="16"/>
              </w:rPr>
            </w:pPr>
            <w:r w:rsidRPr="0011561D">
              <w:rPr>
                <w:rFonts w:ascii="Arial" w:hAnsi="Arial" w:cs="Arial"/>
                <w:sz w:val="16"/>
                <w:szCs w:val="16"/>
              </w:rPr>
              <w:t>2025–26</w:t>
            </w:r>
          </w:p>
        </w:tc>
        <w:tc>
          <w:tcPr>
            <w:tcW w:w="549" w:type="pct"/>
            <w:tcBorders>
              <w:top w:val="single" w:sz="4" w:space="0" w:color="002A54" w:themeColor="text2"/>
              <w:left w:val="nil"/>
              <w:right w:val="nil"/>
            </w:tcBorders>
            <w:shd w:val="clear" w:color="000000" w:fill="FFFFFF"/>
            <w:noWrap/>
            <w:vAlign w:val="center"/>
            <w:hideMark/>
          </w:tcPr>
          <w:p w14:paraId="1A963AC4"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2026–27</w:t>
            </w:r>
          </w:p>
        </w:tc>
      </w:tr>
      <w:tr w:rsidR="0011561D" w:rsidRPr="0011561D" w14:paraId="76757788" w14:textId="77777777" w:rsidTr="00815BAB">
        <w:trPr>
          <w:divId w:val="1733384928"/>
          <w:trHeight w:hRule="exact" w:val="225"/>
        </w:trPr>
        <w:tc>
          <w:tcPr>
            <w:tcW w:w="2251" w:type="pct"/>
            <w:tcBorders>
              <w:top w:val="nil"/>
              <w:left w:val="nil"/>
              <w:bottom w:val="nil"/>
              <w:right w:val="nil"/>
            </w:tcBorders>
            <w:shd w:val="clear" w:color="000000" w:fill="FFFFFF"/>
            <w:noWrap/>
            <w:vAlign w:val="bottom"/>
            <w:hideMark/>
          </w:tcPr>
          <w:p w14:paraId="46CFC529"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 </w:t>
            </w:r>
          </w:p>
        </w:tc>
        <w:tc>
          <w:tcPr>
            <w:tcW w:w="550" w:type="pct"/>
            <w:tcBorders>
              <w:top w:val="nil"/>
              <w:left w:val="nil"/>
              <w:bottom w:val="single" w:sz="4" w:space="0" w:color="002A54" w:themeColor="text2"/>
              <w:right w:val="nil"/>
            </w:tcBorders>
            <w:shd w:val="clear" w:color="000000" w:fill="FFFFFF"/>
            <w:noWrap/>
            <w:vAlign w:val="bottom"/>
            <w:hideMark/>
          </w:tcPr>
          <w:p w14:paraId="2BCB904C"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E6F2FF"/>
            <w:noWrap/>
            <w:vAlign w:val="bottom"/>
            <w:hideMark/>
          </w:tcPr>
          <w:p w14:paraId="3B6B8009"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FFFFFF"/>
            <w:noWrap/>
            <w:vAlign w:val="bottom"/>
            <w:hideMark/>
          </w:tcPr>
          <w:p w14:paraId="261BBD9A"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FFFFFF"/>
            <w:noWrap/>
            <w:vAlign w:val="bottom"/>
            <w:hideMark/>
          </w:tcPr>
          <w:p w14:paraId="114578BE"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c>
          <w:tcPr>
            <w:tcW w:w="549" w:type="pct"/>
            <w:tcBorders>
              <w:top w:val="nil"/>
              <w:left w:val="nil"/>
              <w:bottom w:val="single" w:sz="4" w:space="0" w:color="002A54" w:themeColor="text2"/>
              <w:right w:val="nil"/>
            </w:tcBorders>
            <w:shd w:val="clear" w:color="000000" w:fill="FFFFFF"/>
            <w:noWrap/>
            <w:vAlign w:val="bottom"/>
            <w:hideMark/>
          </w:tcPr>
          <w:p w14:paraId="3135C28D"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$m</w:t>
            </w:r>
          </w:p>
        </w:tc>
      </w:tr>
      <w:tr w:rsidR="0011561D" w:rsidRPr="0011561D" w14:paraId="64B6E57E" w14:textId="77777777" w:rsidTr="00815BAB">
        <w:trPr>
          <w:divId w:val="1733384928"/>
          <w:trHeight w:hRule="exact" w:val="225"/>
        </w:trPr>
        <w:tc>
          <w:tcPr>
            <w:tcW w:w="2251" w:type="pct"/>
            <w:tcBorders>
              <w:top w:val="nil"/>
              <w:left w:val="nil"/>
              <w:bottom w:val="nil"/>
              <w:right w:val="nil"/>
            </w:tcBorders>
            <w:shd w:val="clear" w:color="000000" w:fill="FFFFFF"/>
            <w:noWrap/>
            <w:vAlign w:val="bottom"/>
            <w:hideMark/>
          </w:tcPr>
          <w:p w14:paraId="13779438"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Courts and legal services</w:t>
            </w:r>
          </w:p>
        </w:tc>
        <w:tc>
          <w:tcPr>
            <w:tcW w:w="550" w:type="pct"/>
            <w:tcBorders>
              <w:top w:val="single" w:sz="4" w:space="0" w:color="002A54" w:themeColor="text2"/>
              <w:left w:val="nil"/>
              <w:right w:val="nil"/>
            </w:tcBorders>
            <w:shd w:val="clear" w:color="000000" w:fill="FFFFFF"/>
            <w:noWrap/>
            <w:vAlign w:val="center"/>
            <w:hideMark/>
          </w:tcPr>
          <w:p w14:paraId="6D7DECE7"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1,747</w:t>
            </w:r>
          </w:p>
        </w:tc>
        <w:tc>
          <w:tcPr>
            <w:tcW w:w="550" w:type="pct"/>
            <w:tcBorders>
              <w:top w:val="single" w:sz="4" w:space="0" w:color="002A54" w:themeColor="text2"/>
              <w:left w:val="nil"/>
              <w:right w:val="nil"/>
            </w:tcBorders>
            <w:shd w:val="clear" w:color="000000" w:fill="E6F2FF"/>
            <w:noWrap/>
            <w:vAlign w:val="center"/>
            <w:hideMark/>
          </w:tcPr>
          <w:p w14:paraId="12F63B7A"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1,754</w:t>
            </w:r>
          </w:p>
        </w:tc>
        <w:tc>
          <w:tcPr>
            <w:tcW w:w="550" w:type="pct"/>
            <w:tcBorders>
              <w:top w:val="single" w:sz="4" w:space="0" w:color="002A54" w:themeColor="text2"/>
              <w:left w:val="nil"/>
              <w:right w:val="nil"/>
            </w:tcBorders>
            <w:shd w:val="clear" w:color="000000" w:fill="FFFFFF"/>
            <w:noWrap/>
            <w:vAlign w:val="center"/>
            <w:hideMark/>
          </w:tcPr>
          <w:p w14:paraId="0B547DFB"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1,687</w:t>
            </w:r>
          </w:p>
        </w:tc>
        <w:tc>
          <w:tcPr>
            <w:tcW w:w="550" w:type="pct"/>
            <w:tcBorders>
              <w:top w:val="single" w:sz="4" w:space="0" w:color="002A54" w:themeColor="text2"/>
              <w:left w:val="nil"/>
              <w:right w:val="nil"/>
            </w:tcBorders>
            <w:shd w:val="clear" w:color="000000" w:fill="FFFFFF"/>
            <w:noWrap/>
            <w:vAlign w:val="center"/>
            <w:hideMark/>
          </w:tcPr>
          <w:p w14:paraId="4371C4AD"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1,152</w:t>
            </w:r>
          </w:p>
        </w:tc>
        <w:tc>
          <w:tcPr>
            <w:tcW w:w="549" w:type="pct"/>
            <w:tcBorders>
              <w:top w:val="single" w:sz="4" w:space="0" w:color="002A54" w:themeColor="text2"/>
              <w:left w:val="nil"/>
              <w:right w:val="nil"/>
            </w:tcBorders>
            <w:shd w:val="clear" w:color="000000" w:fill="FFFFFF"/>
            <w:noWrap/>
            <w:vAlign w:val="center"/>
            <w:hideMark/>
          </w:tcPr>
          <w:p w14:paraId="7E92E70D"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1,131</w:t>
            </w:r>
          </w:p>
        </w:tc>
      </w:tr>
      <w:tr w:rsidR="0011561D" w:rsidRPr="0011561D" w14:paraId="141E9E07" w14:textId="77777777" w:rsidTr="00815BAB">
        <w:trPr>
          <w:divId w:val="1733384928"/>
          <w:trHeight w:hRule="exact" w:val="225"/>
        </w:trPr>
        <w:tc>
          <w:tcPr>
            <w:tcW w:w="2251" w:type="pct"/>
            <w:tcBorders>
              <w:top w:val="nil"/>
              <w:left w:val="nil"/>
              <w:bottom w:val="nil"/>
              <w:right w:val="nil"/>
            </w:tcBorders>
            <w:shd w:val="clear" w:color="000000" w:fill="FFFFFF"/>
            <w:noWrap/>
            <w:vAlign w:val="bottom"/>
            <w:hideMark/>
          </w:tcPr>
          <w:p w14:paraId="578EF1B5" w14:textId="77777777" w:rsidR="0011561D" w:rsidRPr="0011561D" w:rsidRDefault="0011561D" w:rsidP="0011561D">
            <w:pPr>
              <w:spacing w:before="0" w:after="0" w:line="240" w:lineRule="auto"/>
              <w:rPr>
                <w:rFonts w:ascii="Arial" w:hAnsi="Arial" w:cs="Arial"/>
                <w:color w:val="000000"/>
                <w:sz w:val="16"/>
                <w:szCs w:val="16"/>
              </w:rPr>
            </w:pPr>
            <w:r w:rsidRPr="0011561D">
              <w:rPr>
                <w:rFonts w:ascii="Arial" w:hAnsi="Arial" w:cs="Arial"/>
                <w:color w:val="000000"/>
                <w:sz w:val="16"/>
                <w:szCs w:val="16"/>
              </w:rPr>
              <w:t>Other public order and safety</w:t>
            </w:r>
          </w:p>
        </w:tc>
        <w:tc>
          <w:tcPr>
            <w:tcW w:w="550" w:type="pct"/>
            <w:tcBorders>
              <w:top w:val="nil"/>
              <w:left w:val="nil"/>
              <w:bottom w:val="single" w:sz="4" w:space="0" w:color="002A54" w:themeColor="text2"/>
              <w:right w:val="nil"/>
            </w:tcBorders>
            <w:shd w:val="clear" w:color="000000" w:fill="FFFFFF"/>
            <w:noWrap/>
            <w:vAlign w:val="center"/>
            <w:hideMark/>
          </w:tcPr>
          <w:p w14:paraId="21DB8BEA"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5,637</w:t>
            </w:r>
          </w:p>
        </w:tc>
        <w:tc>
          <w:tcPr>
            <w:tcW w:w="550" w:type="pct"/>
            <w:tcBorders>
              <w:top w:val="nil"/>
              <w:left w:val="nil"/>
              <w:bottom w:val="single" w:sz="4" w:space="0" w:color="002A54" w:themeColor="text2"/>
              <w:right w:val="nil"/>
            </w:tcBorders>
            <w:shd w:val="clear" w:color="000000" w:fill="E6F2FF"/>
            <w:noWrap/>
            <w:vAlign w:val="center"/>
            <w:hideMark/>
          </w:tcPr>
          <w:p w14:paraId="7E935DB4"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5,680</w:t>
            </w:r>
          </w:p>
        </w:tc>
        <w:tc>
          <w:tcPr>
            <w:tcW w:w="550" w:type="pct"/>
            <w:tcBorders>
              <w:top w:val="nil"/>
              <w:left w:val="nil"/>
              <w:bottom w:val="single" w:sz="4" w:space="0" w:color="002A54" w:themeColor="text2"/>
              <w:right w:val="nil"/>
            </w:tcBorders>
            <w:shd w:val="clear" w:color="000000" w:fill="FFFFFF"/>
            <w:noWrap/>
            <w:vAlign w:val="center"/>
            <w:hideMark/>
          </w:tcPr>
          <w:p w14:paraId="767ED074"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5,376</w:t>
            </w:r>
          </w:p>
        </w:tc>
        <w:tc>
          <w:tcPr>
            <w:tcW w:w="550" w:type="pct"/>
            <w:tcBorders>
              <w:top w:val="nil"/>
              <w:left w:val="nil"/>
              <w:bottom w:val="single" w:sz="4" w:space="0" w:color="002A54" w:themeColor="text2"/>
              <w:right w:val="nil"/>
            </w:tcBorders>
            <w:shd w:val="clear" w:color="000000" w:fill="FFFFFF"/>
            <w:noWrap/>
            <w:vAlign w:val="center"/>
            <w:hideMark/>
          </w:tcPr>
          <w:p w14:paraId="7A0FDAF6"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5,246</w:t>
            </w:r>
          </w:p>
        </w:tc>
        <w:tc>
          <w:tcPr>
            <w:tcW w:w="549" w:type="pct"/>
            <w:tcBorders>
              <w:top w:val="nil"/>
              <w:left w:val="nil"/>
              <w:bottom w:val="single" w:sz="4" w:space="0" w:color="002A54" w:themeColor="text2"/>
              <w:right w:val="nil"/>
            </w:tcBorders>
            <w:shd w:val="clear" w:color="000000" w:fill="FFFFFF"/>
            <w:noWrap/>
            <w:vAlign w:val="center"/>
            <w:hideMark/>
          </w:tcPr>
          <w:p w14:paraId="4D501411" w14:textId="77777777" w:rsidR="0011561D" w:rsidRPr="0011561D" w:rsidRDefault="0011561D" w:rsidP="0011561D">
            <w:pPr>
              <w:spacing w:before="0" w:after="0" w:line="240" w:lineRule="auto"/>
              <w:jc w:val="right"/>
              <w:rPr>
                <w:rFonts w:ascii="Arial" w:hAnsi="Arial" w:cs="Arial"/>
                <w:color w:val="000000"/>
                <w:sz w:val="16"/>
                <w:szCs w:val="16"/>
              </w:rPr>
            </w:pPr>
            <w:r w:rsidRPr="0011561D">
              <w:rPr>
                <w:rFonts w:ascii="Arial" w:hAnsi="Arial" w:cs="Arial"/>
                <w:color w:val="000000"/>
                <w:sz w:val="16"/>
                <w:szCs w:val="16"/>
              </w:rPr>
              <w:t>5,293</w:t>
            </w:r>
          </w:p>
        </w:tc>
      </w:tr>
      <w:tr w:rsidR="0011561D" w:rsidRPr="0011561D" w14:paraId="39C01F68" w14:textId="77777777" w:rsidTr="00815BAB">
        <w:trPr>
          <w:divId w:val="1733384928"/>
          <w:trHeight w:hRule="exact" w:val="225"/>
        </w:trPr>
        <w:tc>
          <w:tcPr>
            <w:tcW w:w="2251" w:type="pct"/>
            <w:tcBorders>
              <w:top w:val="nil"/>
              <w:left w:val="nil"/>
              <w:bottom w:val="single" w:sz="4" w:space="0" w:color="002A54" w:themeColor="text2"/>
              <w:right w:val="nil"/>
            </w:tcBorders>
            <w:shd w:val="clear" w:color="000000" w:fill="FFFFFF"/>
            <w:noWrap/>
            <w:vAlign w:val="center"/>
            <w:hideMark/>
          </w:tcPr>
          <w:p w14:paraId="75A141D0" w14:textId="77777777" w:rsidR="0011561D" w:rsidRPr="0011561D" w:rsidRDefault="0011561D" w:rsidP="0011561D">
            <w:pPr>
              <w:spacing w:before="0" w:after="0" w:line="240" w:lineRule="auto"/>
              <w:rPr>
                <w:rFonts w:ascii="Arial" w:hAnsi="Arial" w:cs="Arial"/>
                <w:b/>
                <w:bCs/>
                <w:color w:val="000000"/>
                <w:sz w:val="16"/>
                <w:szCs w:val="16"/>
              </w:rPr>
            </w:pPr>
            <w:r w:rsidRPr="0011561D">
              <w:rPr>
                <w:rFonts w:ascii="Arial" w:hAnsi="Arial" w:cs="Arial"/>
                <w:b/>
                <w:bCs/>
                <w:color w:val="000000"/>
                <w:sz w:val="16"/>
                <w:szCs w:val="16"/>
              </w:rPr>
              <w:t>Total public order and safety</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4666CF82"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7,384</w:t>
            </w:r>
          </w:p>
        </w:tc>
        <w:tc>
          <w:tcPr>
            <w:tcW w:w="550" w:type="pct"/>
            <w:tcBorders>
              <w:top w:val="single" w:sz="4" w:space="0" w:color="002A54" w:themeColor="text2"/>
              <w:left w:val="nil"/>
              <w:bottom w:val="single" w:sz="4" w:space="0" w:color="002A54" w:themeColor="text2"/>
              <w:right w:val="nil"/>
            </w:tcBorders>
            <w:shd w:val="clear" w:color="000000" w:fill="E6F2FF"/>
            <w:noWrap/>
            <w:vAlign w:val="center"/>
            <w:hideMark/>
          </w:tcPr>
          <w:p w14:paraId="71338D4F"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7,434</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61C0FCCB"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7,063</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43AEE391"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6,398</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275D1A21" w14:textId="77777777" w:rsidR="0011561D" w:rsidRPr="0011561D" w:rsidRDefault="0011561D" w:rsidP="0011561D">
            <w:pPr>
              <w:spacing w:before="0" w:after="0" w:line="240" w:lineRule="auto"/>
              <w:jc w:val="right"/>
              <w:rPr>
                <w:rFonts w:ascii="Arial" w:hAnsi="Arial" w:cs="Arial"/>
                <w:b/>
                <w:bCs/>
                <w:color w:val="000000"/>
                <w:sz w:val="16"/>
                <w:szCs w:val="16"/>
              </w:rPr>
            </w:pPr>
            <w:r w:rsidRPr="0011561D">
              <w:rPr>
                <w:rFonts w:ascii="Arial" w:hAnsi="Arial" w:cs="Arial"/>
                <w:b/>
                <w:bCs/>
                <w:color w:val="000000"/>
                <w:sz w:val="16"/>
                <w:szCs w:val="16"/>
              </w:rPr>
              <w:t>6,425</w:t>
            </w:r>
          </w:p>
        </w:tc>
      </w:tr>
    </w:tbl>
    <w:p w14:paraId="3DD4E1B0" w14:textId="105DC1AD" w:rsidR="0050166A" w:rsidRDefault="0050166A" w:rsidP="0050166A">
      <w:bookmarkStart w:id="56" w:name="_Hlk133697547"/>
      <w:r w:rsidRPr="0021687D">
        <w:rPr>
          <w:lang w:val="en-US"/>
        </w:rPr>
        <w:lastRenderedPageBreak/>
        <w:t xml:space="preserve">Total expenses for the public order and safety function are estimated to </w:t>
      </w:r>
      <w:r w:rsidRPr="0021687D">
        <w:t>decrease by 13.</w:t>
      </w:r>
      <w:r w:rsidR="00E04E49" w:rsidRPr="0021687D">
        <w:t>6</w:t>
      </w:r>
      <w:r w:rsidR="00893776">
        <w:t> per </w:t>
      </w:r>
      <w:r>
        <w:t xml:space="preserve">cent in nominal terms and by </w:t>
      </w:r>
      <w:r w:rsidR="00E04E49">
        <w:t>20.2</w:t>
      </w:r>
      <w:r w:rsidR="00893776">
        <w:t> per </w:t>
      </w:r>
      <w:r>
        <w:t>cent in real terms over the period 2023</w:t>
      </w:r>
      <w:r w:rsidR="00485F94">
        <w:t>–</w:t>
      </w:r>
      <w:r>
        <w:t>24 to 2026</w:t>
      </w:r>
      <w:r w:rsidR="00485F94">
        <w:t>–</w:t>
      </w:r>
      <w:r>
        <w:t xml:space="preserve">27. </w:t>
      </w:r>
    </w:p>
    <w:p w14:paraId="2AE30431" w14:textId="1AB23F5D" w:rsidR="0050166A" w:rsidRPr="000177D7" w:rsidRDefault="0050166A" w:rsidP="0050166A">
      <w:pPr>
        <w:rPr>
          <w:lang w:val="en-US"/>
        </w:rPr>
      </w:pPr>
      <w:r w:rsidRPr="000177D7">
        <w:rPr>
          <w:lang w:val="en-US"/>
        </w:rPr>
        <w:t xml:space="preserve">Expenses within the </w:t>
      </w:r>
      <w:r w:rsidRPr="000177D7">
        <w:rPr>
          <w:b/>
          <w:lang w:val="en-US"/>
        </w:rPr>
        <w:t>courts and legal services</w:t>
      </w:r>
      <w:r w:rsidRPr="000177D7">
        <w:rPr>
          <w:lang w:val="en-US"/>
        </w:rPr>
        <w:t xml:space="preserve"> sub</w:t>
      </w:r>
      <w:r w:rsidR="00D34B95">
        <w:rPr>
          <w:lang w:val="en-US"/>
        </w:rPr>
        <w:noBreakHyphen/>
      </w:r>
      <w:r w:rsidRPr="000177D7">
        <w:rPr>
          <w:lang w:val="en-US"/>
        </w:rPr>
        <w:t xml:space="preserve">function are estimated </w:t>
      </w:r>
      <w:r>
        <w:rPr>
          <w:lang w:val="en-US"/>
        </w:rPr>
        <w:t xml:space="preserve">to </w:t>
      </w:r>
      <w:r>
        <w:t xml:space="preserve">decrease </w:t>
      </w:r>
      <w:r w:rsidRPr="000177D7">
        <w:rPr>
          <w:lang w:val="en-US"/>
        </w:rPr>
        <w:t>reflecting the expiration of the National Legal Assistance Partnership on 30</w:t>
      </w:r>
      <w:r>
        <w:rPr>
          <w:lang w:val="en-US"/>
        </w:rPr>
        <w:t> </w:t>
      </w:r>
      <w:r w:rsidRPr="000177D7">
        <w:rPr>
          <w:lang w:val="en-US"/>
        </w:rPr>
        <w:t>June</w:t>
      </w:r>
      <w:r>
        <w:rPr>
          <w:lang w:val="en-US"/>
        </w:rPr>
        <w:t> </w:t>
      </w:r>
      <w:r w:rsidRPr="000177D7">
        <w:rPr>
          <w:lang w:val="en-US"/>
        </w:rPr>
        <w:t xml:space="preserve">2025, as well as the planned reporting and conclusion dates of the Royal Commission into the Robodebt Scheme, the Royal Commission into Violence, Abuse, Neglect and Exploitation of People with Disability and the Royal Commission into </w:t>
      </w:r>
      <w:r w:rsidRPr="000177D7">
        <w:t>Defence</w:t>
      </w:r>
      <w:r w:rsidRPr="000177D7">
        <w:rPr>
          <w:lang w:val="en-US"/>
        </w:rPr>
        <w:t xml:space="preserve"> and Veteran Suicide.</w:t>
      </w:r>
    </w:p>
    <w:p w14:paraId="62248AD0" w14:textId="2704E590" w:rsidR="0050166A" w:rsidRPr="0021687D" w:rsidRDefault="0050166A" w:rsidP="0050166A">
      <w:r w:rsidRPr="0021687D">
        <w:t xml:space="preserve">Total expenses within the </w:t>
      </w:r>
      <w:r w:rsidRPr="0021687D">
        <w:rPr>
          <w:b/>
        </w:rPr>
        <w:t>other public order and safety</w:t>
      </w:r>
      <w:r w:rsidRPr="0021687D">
        <w:t xml:space="preserve"> sub</w:t>
      </w:r>
      <w:r w:rsidR="00D34B95">
        <w:noBreakHyphen/>
      </w:r>
      <w:r w:rsidRPr="0021687D">
        <w:t>function are expected to decrease reflecting the termination of the Safer Communities grant program and the provision of supplementary funding on an annual basis to the Australian Border Force</w:t>
      </w:r>
      <w:r w:rsidR="00903818">
        <w:t xml:space="preserve"> on the Budget year</w:t>
      </w:r>
      <w:r w:rsidRPr="0021687D">
        <w:t>. The decrease is partially offset by the Government</w:t>
      </w:r>
      <w:r w:rsidR="00D34B95">
        <w:t>’</w:t>
      </w:r>
      <w:r w:rsidRPr="0021687D">
        <w:t>s investment through the 2023</w:t>
      </w:r>
      <w:r w:rsidR="00485F94">
        <w:t>–</w:t>
      </w:r>
      <w:r w:rsidRPr="0021687D">
        <w:t xml:space="preserve">24 Budget measure </w:t>
      </w:r>
      <w:r w:rsidRPr="0021687D">
        <w:rPr>
          <w:i/>
          <w:iCs/>
        </w:rPr>
        <w:t>Enduring Funding Mechanisms for Aus</w:t>
      </w:r>
      <w:r w:rsidR="0021687D" w:rsidRPr="0021687D">
        <w:rPr>
          <w:i/>
          <w:iCs/>
        </w:rPr>
        <w:t>C</w:t>
      </w:r>
      <w:r w:rsidRPr="0021687D">
        <w:rPr>
          <w:i/>
          <w:iCs/>
        </w:rPr>
        <w:t>heck</w:t>
      </w:r>
      <w:r w:rsidRPr="0021687D">
        <w:t>.</w:t>
      </w:r>
    </w:p>
    <w:bookmarkEnd w:id="56"/>
    <w:p w14:paraId="3379C411" w14:textId="01947E49" w:rsidR="00B561FF" w:rsidRPr="0021687D" w:rsidRDefault="0050166A" w:rsidP="0050166A">
      <w:pPr>
        <w:rPr>
          <w:lang w:val="en-US"/>
        </w:rPr>
      </w:pPr>
      <w:r w:rsidRPr="0021687D">
        <w:rPr>
          <w:lang w:val="en-US"/>
        </w:rPr>
        <w:t xml:space="preserve">Table 6.6.1 </w:t>
      </w:r>
      <w:r w:rsidRPr="0021687D">
        <w:t xml:space="preserve">sets out the major components of the </w:t>
      </w:r>
      <w:r w:rsidRPr="0021687D">
        <w:rPr>
          <w:b/>
        </w:rPr>
        <w:t>other public order and safety</w:t>
      </w:r>
      <w:r w:rsidRPr="0021687D">
        <w:t xml:space="preserve"> sub</w:t>
      </w:r>
      <w:r w:rsidR="00D34B95">
        <w:noBreakHyphen/>
      </w:r>
      <w:r w:rsidRPr="0021687D">
        <w:t>function</w:t>
      </w:r>
      <w:r w:rsidRPr="0021687D">
        <w:rPr>
          <w:lang w:val="en-US"/>
        </w:rPr>
        <w:t>.</w:t>
      </w:r>
    </w:p>
    <w:p w14:paraId="77105AA8" w14:textId="7C27726D" w:rsidR="00EB0C01" w:rsidRPr="00EB0C01" w:rsidRDefault="00C855DF" w:rsidP="00EB0C01">
      <w:pPr>
        <w:pStyle w:val="TableHeading"/>
        <w:rPr>
          <w:rFonts w:asciiTheme="minorHAnsi" w:eastAsiaTheme="minorHAnsi" w:hAnsiTheme="minorHAnsi" w:cstheme="minorBidi"/>
          <w:b w:val="0"/>
          <w:sz w:val="22"/>
          <w:szCs w:val="22"/>
          <w:lang w:eastAsia="en-US"/>
        </w:rPr>
      </w:pPr>
      <w:r w:rsidRPr="0021687D">
        <w:t>Table 6.6.1: Trends in the major components of</w:t>
      </w:r>
      <w:r w:rsidRPr="000177D7">
        <w:t xml:space="preserve"> other public order and safety sub</w:t>
      </w:r>
      <w:r w:rsidR="00D34B95">
        <w:noBreakHyphen/>
      </w:r>
      <w:r w:rsidRPr="000177D7">
        <w:t>function expense</w:t>
      </w:r>
      <w:bookmarkStart w:id="57" w:name="_1727953884"/>
      <w:bookmarkStart w:id="58" w:name="_1727955061"/>
      <w:bookmarkEnd w:id="57"/>
      <w:bookmarkEnd w:id="58"/>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EB0C01" w:rsidRPr="00EB0C01" w14:paraId="6F77653D" w14:textId="77777777" w:rsidTr="00F66B62">
        <w:trPr>
          <w:divId w:val="166602917"/>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56C170CD" w14:textId="76355525"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56114455" w14:textId="77777777" w:rsidR="00EB0C01" w:rsidRPr="00EB0C01" w:rsidRDefault="00EB0C01" w:rsidP="00EB0C01">
            <w:pPr>
              <w:spacing w:before="0" w:after="0" w:line="240" w:lineRule="auto"/>
              <w:jc w:val="center"/>
              <w:rPr>
                <w:rFonts w:ascii="Arial" w:hAnsi="Arial" w:cs="Arial"/>
                <w:color w:val="000000"/>
                <w:sz w:val="16"/>
                <w:szCs w:val="16"/>
              </w:rPr>
            </w:pPr>
            <w:r w:rsidRPr="00EB0C01">
              <w:rPr>
                <w:rFonts w:ascii="Arial" w:hAnsi="Arial" w:cs="Arial"/>
                <w:color w:val="000000"/>
                <w:sz w:val="16"/>
                <w:szCs w:val="16"/>
              </w:rPr>
              <w:t>Estimates</w:t>
            </w:r>
          </w:p>
        </w:tc>
      </w:tr>
      <w:tr w:rsidR="00EB0C01" w:rsidRPr="00EB0C01" w14:paraId="5CBB9F2B" w14:textId="77777777" w:rsidTr="00F66B62">
        <w:trPr>
          <w:divId w:val="166602917"/>
          <w:trHeight w:hRule="exact" w:val="225"/>
        </w:trPr>
        <w:tc>
          <w:tcPr>
            <w:tcW w:w="2021" w:type="pct"/>
            <w:tcBorders>
              <w:top w:val="nil"/>
              <w:left w:val="nil"/>
              <w:bottom w:val="nil"/>
              <w:right w:val="nil"/>
            </w:tcBorders>
            <w:shd w:val="clear" w:color="000000" w:fill="FFFFFF"/>
            <w:noWrap/>
            <w:vAlign w:val="bottom"/>
            <w:hideMark/>
          </w:tcPr>
          <w:p w14:paraId="5273D8BC"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414E7CA3" w14:textId="74A56179"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2022</w:t>
            </w:r>
            <w:r w:rsidR="00485F94">
              <w:rPr>
                <w:rFonts w:ascii="Arial" w:hAnsi="Arial" w:cs="Arial"/>
                <w:sz w:val="16"/>
                <w:szCs w:val="16"/>
              </w:rPr>
              <w:t>–</w:t>
            </w:r>
            <w:r w:rsidRPr="00EB0C01">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7B1058F8" w14:textId="1E1EA519"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2023</w:t>
            </w:r>
            <w:r w:rsidR="00485F94">
              <w:rPr>
                <w:rFonts w:ascii="Arial" w:hAnsi="Arial" w:cs="Arial"/>
                <w:sz w:val="16"/>
                <w:szCs w:val="16"/>
              </w:rPr>
              <w:t>–</w:t>
            </w:r>
            <w:r w:rsidRPr="00EB0C01">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3D32278B" w14:textId="436C452A"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2024</w:t>
            </w:r>
            <w:r w:rsidR="00485F94">
              <w:rPr>
                <w:rFonts w:ascii="Arial" w:hAnsi="Arial" w:cs="Arial"/>
                <w:sz w:val="16"/>
                <w:szCs w:val="16"/>
              </w:rPr>
              <w:t>–</w:t>
            </w:r>
            <w:r w:rsidRPr="00EB0C01">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4823C64E" w14:textId="1F8230C5"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2025</w:t>
            </w:r>
            <w:r w:rsidR="00485F94">
              <w:rPr>
                <w:rFonts w:ascii="Arial" w:hAnsi="Arial" w:cs="Arial"/>
                <w:sz w:val="16"/>
                <w:szCs w:val="16"/>
              </w:rPr>
              <w:t>–</w:t>
            </w:r>
            <w:r w:rsidRPr="00EB0C01">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1F7B6AC4" w14:textId="69E46CC2"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2026</w:t>
            </w:r>
            <w:r w:rsidR="00485F94">
              <w:rPr>
                <w:rFonts w:ascii="Arial" w:hAnsi="Arial" w:cs="Arial"/>
                <w:color w:val="000000"/>
                <w:sz w:val="16"/>
                <w:szCs w:val="16"/>
              </w:rPr>
              <w:t>–</w:t>
            </w:r>
            <w:r w:rsidRPr="00EB0C01">
              <w:rPr>
                <w:rFonts w:ascii="Arial" w:hAnsi="Arial" w:cs="Arial"/>
                <w:color w:val="000000"/>
                <w:sz w:val="16"/>
                <w:szCs w:val="16"/>
              </w:rPr>
              <w:t>27</w:t>
            </w:r>
          </w:p>
        </w:tc>
      </w:tr>
      <w:tr w:rsidR="00EB0C01" w:rsidRPr="00EB0C01" w14:paraId="19C7A2EB" w14:textId="77777777" w:rsidTr="00F66B62">
        <w:trPr>
          <w:divId w:val="166602917"/>
          <w:trHeight w:hRule="exact" w:val="225"/>
        </w:trPr>
        <w:tc>
          <w:tcPr>
            <w:tcW w:w="2021" w:type="pct"/>
            <w:tcBorders>
              <w:top w:val="nil"/>
              <w:left w:val="nil"/>
              <w:bottom w:val="nil"/>
              <w:right w:val="nil"/>
            </w:tcBorders>
            <w:shd w:val="clear" w:color="000000" w:fill="FFFFFF"/>
            <w:noWrap/>
            <w:vAlign w:val="center"/>
            <w:hideMark/>
          </w:tcPr>
          <w:p w14:paraId="24D616C7"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4434A82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3324EF6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2B007A6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C64F8F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58B102D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r>
      <w:tr w:rsidR="00EB0C01" w:rsidRPr="00EB0C01" w14:paraId="41DB8AA4" w14:textId="77777777" w:rsidTr="00F66B62">
        <w:trPr>
          <w:divId w:val="166602917"/>
          <w:trHeight w:hRule="exact" w:val="225"/>
        </w:trPr>
        <w:tc>
          <w:tcPr>
            <w:tcW w:w="2021" w:type="pct"/>
            <w:tcBorders>
              <w:top w:val="nil"/>
              <w:left w:val="nil"/>
              <w:bottom w:val="nil"/>
              <w:right w:val="nil"/>
            </w:tcBorders>
            <w:shd w:val="clear" w:color="000000" w:fill="FFFFFF"/>
            <w:noWrap/>
            <w:vAlign w:val="center"/>
            <w:hideMark/>
          </w:tcPr>
          <w:p w14:paraId="1AC1C18D"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Policing and law enforcement</w:t>
            </w:r>
          </w:p>
        </w:tc>
        <w:tc>
          <w:tcPr>
            <w:tcW w:w="596" w:type="pct"/>
            <w:tcBorders>
              <w:top w:val="single" w:sz="4" w:space="0" w:color="002A54" w:themeColor="text2"/>
              <w:left w:val="nil"/>
              <w:right w:val="nil"/>
            </w:tcBorders>
            <w:shd w:val="clear" w:color="000000" w:fill="FFFFFF"/>
            <w:noWrap/>
            <w:vAlign w:val="center"/>
            <w:hideMark/>
          </w:tcPr>
          <w:p w14:paraId="162B1032"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4,027</w:t>
            </w:r>
          </w:p>
        </w:tc>
        <w:tc>
          <w:tcPr>
            <w:tcW w:w="596" w:type="pct"/>
            <w:tcBorders>
              <w:top w:val="single" w:sz="4" w:space="0" w:color="002A54" w:themeColor="text2"/>
              <w:left w:val="nil"/>
              <w:right w:val="nil"/>
            </w:tcBorders>
            <w:shd w:val="clear" w:color="000000" w:fill="E6F2FF"/>
            <w:noWrap/>
            <w:vAlign w:val="center"/>
            <w:hideMark/>
          </w:tcPr>
          <w:p w14:paraId="0D191D1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4,090</w:t>
            </w:r>
          </w:p>
        </w:tc>
        <w:tc>
          <w:tcPr>
            <w:tcW w:w="596" w:type="pct"/>
            <w:tcBorders>
              <w:top w:val="single" w:sz="4" w:space="0" w:color="002A54" w:themeColor="text2"/>
              <w:left w:val="nil"/>
              <w:right w:val="nil"/>
            </w:tcBorders>
            <w:shd w:val="clear" w:color="000000" w:fill="FFFFFF"/>
            <w:noWrap/>
            <w:vAlign w:val="center"/>
            <w:hideMark/>
          </w:tcPr>
          <w:p w14:paraId="177CD2EB"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3,976</w:t>
            </w:r>
          </w:p>
        </w:tc>
        <w:tc>
          <w:tcPr>
            <w:tcW w:w="596" w:type="pct"/>
            <w:tcBorders>
              <w:top w:val="single" w:sz="4" w:space="0" w:color="002A54" w:themeColor="text2"/>
              <w:left w:val="nil"/>
              <w:right w:val="nil"/>
            </w:tcBorders>
            <w:shd w:val="clear" w:color="000000" w:fill="FFFFFF"/>
            <w:noWrap/>
            <w:vAlign w:val="center"/>
            <w:hideMark/>
          </w:tcPr>
          <w:p w14:paraId="2AB44EA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3,841</w:t>
            </w:r>
          </w:p>
        </w:tc>
        <w:tc>
          <w:tcPr>
            <w:tcW w:w="595" w:type="pct"/>
            <w:tcBorders>
              <w:top w:val="single" w:sz="4" w:space="0" w:color="002A54" w:themeColor="text2"/>
              <w:left w:val="nil"/>
              <w:right w:val="nil"/>
            </w:tcBorders>
            <w:shd w:val="clear" w:color="000000" w:fill="FFFFFF"/>
            <w:noWrap/>
            <w:vAlign w:val="center"/>
            <w:hideMark/>
          </w:tcPr>
          <w:p w14:paraId="62390E04"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3,865</w:t>
            </w:r>
          </w:p>
        </w:tc>
      </w:tr>
      <w:tr w:rsidR="00EB0C01" w:rsidRPr="00EB0C01" w14:paraId="6FEABE2C" w14:textId="77777777" w:rsidTr="00F66B62">
        <w:trPr>
          <w:divId w:val="166602917"/>
          <w:trHeight w:hRule="exact" w:val="225"/>
        </w:trPr>
        <w:tc>
          <w:tcPr>
            <w:tcW w:w="2021" w:type="pct"/>
            <w:tcBorders>
              <w:top w:val="nil"/>
              <w:left w:val="nil"/>
              <w:bottom w:val="nil"/>
              <w:right w:val="nil"/>
            </w:tcBorders>
            <w:shd w:val="clear" w:color="000000" w:fill="FFFFFF"/>
            <w:noWrap/>
            <w:vAlign w:val="center"/>
            <w:hideMark/>
          </w:tcPr>
          <w:p w14:paraId="1E629198"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Border protection</w:t>
            </w:r>
          </w:p>
        </w:tc>
        <w:tc>
          <w:tcPr>
            <w:tcW w:w="596" w:type="pct"/>
            <w:tcBorders>
              <w:top w:val="nil"/>
              <w:left w:val="nil"/>
              <w:bottom w:val="single" w:sz="4" w:space="0" w:color="002A54" w:themeColor="text2"/>
              <w:right w:val="nil"/>
            </w:tcBorders>
            <w:shd w:val="clear" w:color="000000" w:fill="FFFFFF"/>
            <w:noWrap/>
            <w:vAlign w:val="center"/>
            <w:hideMark/>
          </w:tcPr>
          <w:p w14:paraId="467829CB"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1,610</w:t>
            </w:r>
          </w:p>
        </w:tc>
        <w:tc>
          <w:tcPr>
            <w:tcW w:w="596" w:type="pct"/>
            <w:tcBorders>
              <w:top w:val="nil"/>
              <w:left w:val="nil"/>
              <w:bottom w:val="single" w:sz="4" w:space="0" w:color="002A54" w:themeColor="text2"/>
              <w:right w:val="nil"/>
            </w:tcBorders>
            <w:shd w:val="clear" w:color="000000" w:fill="E6F2FF"/>
            <w:noWrap/>
            <w:vAlign w:val="center"/>
            <w:hideMark/>
          </w:tcPr>
          <w:p w14:paraId="0AE825B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1,590</w:t>
            </w:r>
          </w:p>
        </w:tc>
        <w:tc>
          <w:tcPr>
            <w:tcW w:w="596" w:type="pct"/>
            <w:tcBorders>
              <w:top w:val="nil"/>
              <w:left w:val="nil"/>
              <w:bottom w:val="single" w:sz="4" w:space="0" w:color="002A54" w:themeColor="text2"/>
              <w:right w:val="nil"/>
            </w:tcBorders>
            <w:shd w:val="clear" w:color="000000" w:fill="FFFFFF"/>
            <w:noWrap/>
            <w:vAlign w:val="center"/>
            <w:hideMark/>
          </w:tcPr>
          <w:p w14:paraId="06FBB69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1,399</w:t>
            </w:r>
          </w:p>
        </w:tc>
        <w:tc>
          <w:tcPr>
            <w:tcW w:w="596" w:type="pct"/>
            <w:tcBorders>
              <w:top w:val="nil"/>
              <w:left w:val="nil"/>
              <w:bottom w:val="single" w:sz="4" w:space="0" w:color="002A54" w:themeColor="text2"/>
              <w:right w:val="nil"/>
            </w:tcBorders>
            <w:shd w:val="clear" w:color="000000" w:fill="FFFFFF"/>
            <w:noWrap/>
            <w:vAlign w:val="center"/>
            <w:hideMark/>
          </w:tcPr>
          <w:p w14:paraId="0197D7C2"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1,405</w:t>
            </w:r>
          </w:p>
        </w:tc>
        <w:tc>
          <w:tcPr>
            <w:tcW w:w="595" w:type="pct"/>
            <w:tcBorders>
              <w:top w:val="nil"/>
              <w:left w:val="nil"/>
              <w:bottom w:val="single" w:sz="4" w:space="0" w:color="002A54" w:themeColor="text2"/>
              <w:right w:val="nil"/>
            </w:tcBorders>
            <w:shd w:val="clear" w:color="000000" w:fill="FFFFFF"/>
            <w:noWrap/>
            <w:vAlign w:val="center"/>
            <w:hideMark/>
          </w:tcPr>
          <w:p w14:paraId="393CE35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1,428</w:t>
            </w:r>
          </w:p>
        </w:tc>
      </w:tr>
      <w:tr w:rsidR="00EB0C01" w:rsidRPr="00EB0C01" w14:paraId="37C634DB" w14:textId="77777777" w:rsidTr="00F66B62">
        <w:trPr>
          <w:divId w:val="166602917"/>
          <w:trHeight w:hRule="exact" w:val="225"/>
        </w:trPr>
        <w:tc>
          <w:tcPr>
            <w:tcW w:w="2021" w:type="pct"/>
            <w:tcBorders>
              <w:top w:val="nil"/>
              <w:left w:val="nil"/>
              <w:bottom w:val="single" w:sz="4" w:space="0" w:color="002A54" w:themeColor="text2"/>
              <w:right w:val="nil"/>
            </w:tcBorders>
            <w:shd w:val="clear" w:color="000000" w:fill="FFFFFF"/>
            <w:noWrap/>
            <w:vAlign w:val="center"/>
            <w:hideMark/>
          </w:tcPr>
          <w:p w14:paraId="1B8E986B" w14:textId="77777777"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87A1338"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5,637</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0E4016BA"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5,680</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BB486B5"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5,376</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67A09CE0"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5,246</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17AF3663"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5,293</w:t>
            </w:r>
          </w:p>
        </w:tc>
      </w:tr>
    </w:tbl>
    <w:p w14:paraId="3403E510" w14:textId="5DD9809A" w:rsidR="00C855DF" w:rsidRPr="000177D7" w:rsidRDefault="00C855DF" w:rsidP="00173739">
      <w:pPr>
        <w:pStyle w:val="ChartandTableFootnoteAlpha"/>
        <w:numPr>
          <w:ilvl w:val="0"/>
          <w:numId w:val="11"/>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14775C80" w14:textId="77777777" w:rsidR="00C855DF" w:rsidRPr="000177D7" w:rsidRDefault="00C855DF" w:rsidP="00C855DF">
      <w:pPr>
        <w:pStyle w:val="TableLine"/>
      </w:pPr>
    </w:p>
    <w:p w14:paraId="42244B21" w14:textId="547817F4" w:rsidR="00C855DF" w:rsidRPr="000177D7" w:rsidRDefault="00C855DF" w:rsidP="00C855DF">
      <w:pPr>
        <w:pStyle w:val="Heading3"/>
      </w:pPr>
      <w:bookmarkStart w:id="59" w:name="_Toc99203682"/>
      <w:bookmarkStart w:id="60" w:name="_Toc117358175"/>
      <w:bookmarkStart w:id="61" w:name="_Toc134169616"/>
      <w:r w:rsidRPr="000177D7">
        <w:t>Education</w:t>
      </w:r>
      <w:bookmarkEnd w:id="53"/>
      <w:bookmarkEnd w:id="59"/>
      <w:bookmarkEnd w:id="60"/>
      <w:bookmarkEnd w:id="61"/>
    </w:p>
    <w:p w14:paraId="0C335D63" w14:textId="77777777" w:rsidR="009A28F3" w:rsidRDefault="00B561FF" w:rsidP="00B561FF">
      <w:bookmarkStart w:id="62" w:name="_Toc4577273"/>
      <w:bookmarkStart w:id="63" w:name="_Toc4689185"/>
      <w:r w:rsidRPr="000177D7">
        <w:t>The education function includes expenses to support the delivery of education services through higher education institutions</w:t>
      </w:r>
      <w:r>
        <w:t>,</w:t>
      </w:r>
      <w:r w:rsidRPr="000177D7">
        <w:t xml:space="preserve"> vocational education and training providers (including technical and further education institutions)</w:t>
      </w:r>
      <w:r>
        <w:t>,</w:t>
      </w:r>
      <w:r w:rsidRPr="000177D7">
        <w:t xml:space="preserve"> and government (state and territory) and non</w:t>
      </w:r>
      <w:r w:rsidR="00D34B95">
        <w:noBreakHyphen/>
      </w:r>
      <w:r w:rsidRPr="000177D7">
        <w:t>government primary and secondary schools.</w:t>
      </w:r>
    </w:p>
    <w:p w14:paraId="4AF13AD6" w14:textId="32F8C1E6" w:rsidR="00A32E2C" w:rsidRDefault="00A32E2C" w:rsidP="00B561FF">
      <w:r>
        <w:br w:type="page"/>
      </w:r>
    </w:p>
    <w:p w14:paraId="41E60E44" w14:textId="6138DF40" w:rsidR="00EB0C01" w:rsidRDefault="00C855DF" w:rsidP="00EB0C01">
      <w:pPr>
        <w:pStyle w:val="TableHeading"/>
        <w:rPr>
          <w:rFonts w:asciiTheme="minorHAnsi" w:eastAsiaTheme="minorHAnsi" w:hAnsiTheme="minorHAnsi" w:cstheme="minorBidi"/>
          <w:sz w:val="22"/>
          <w:szCs w:val="22"/>
          <w:lang w:eastAsia="en-US"/>
        </w:rPr>
      </w:pPr>
      <w:r w:rsidRPr="000177D7">
        <w:lastRenderedPageBreak/>
        <w:t>Table 6.7: Summary of expenses – education</w:t>
      </w:r>
      <w:bookmarkStart w:id="64" w:name="_1586074259"/>
      <w:bookmarkStart w:id="65" w:name="_1727774294"/>
      <w:bookmarkEnd w:id="64"/>
      <w:bookmarkEnd w:id="65"/>
    </w:p>
    <w:tbl>
      <w:tblPr>
        <w:tblW w:w="5000" w:type="pct"/>
        <w:tblCellMar>
          <w:left w:w="0" w:type="dxa"/>
          <w:right w:w="28" w:type="dxa"/>
        </w:tblCellMar>
        <w:tblLook w:val="04A0" w:firstRow="1" w:lastRow="0" w:firstColumn="1" w:lastColumn="0" w:noHBand="0" w:noVBand="1"/>
      </w:tblPr>
      <w:tblGrid>
        <w:gridCol w:w="3471"/>
        <w:gridCol w:w="848"/>
        <w:gridCol w:w="848"/>
        <w:gridCol w:w="848"/>
        <w:gridCol w:w="848"/>
        <w:gridCol w:w="847"/>
      </w:tblGrid>
      <w:tr w:rsidR="00EB0C01" w:rsidRPr="00EB0C01" w14:paraId="1EC56413" w14:textId="77777777" w:rsidTr="00F66B62">
        <w:trPr>
          <w:divId w:val="668606777"/>
          <w:trHeight w:hRule="exact" w:val="225"/>
        </w:trPr>
        <w:tc>
          <w:tcPr>
            <w:tcW w:w="2251" w:type="pct"/>
            <w:tcBorders>
              <w:top w:val="single" w:sz="4" w:space="0" w:color="002A54" w:themeColor="text2"/>
              <w:left w:val="nil"/>
              <w:bottom w:val="nil"/>
              <w:right w:val="nil"/>
            </w:tcBorders>
            <w:shd w:val="clear" w:color="000000" w:fill="FFFFFF"/>
            <w:noWrap/>
            <w:vAlign w:val="center"/>
            <w:hideMark/>
          </w:tcPr>
          <w:p w14:paraId="0FBD2B4C" w14:textId="52A3CF5A"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Sub</w:t>
            </w:r>
            <w:r w:rsidR="00D34B95">
              <w:rPr>
                <w:rFonts w:ascii="Arial" w:hAnsi="Arial" w:cs="Arial"/>
                <w:b/>
                <w:bCs/>
                <w:color w:val="000000"/>
                <w:sz w:val="16"/>
                <w:szCs w:val="16"/>
              </w:rPr>
              <w:noBreakHyphen/>
            </w:r>
            <w:r w:rsidRPr="00EB0C01">
              <w:rPr>
                <w:rFonts w:ascii="Arial" w:hAnsi="Arial" w:cs="Arial"/>
                <w:b/>
                <w:bCs/>
                <w:color w:val="000000"/>
                <w:sz w:val="16"/>
                <w:szCs w:val="16"/>
              </w:rPr>
              <w:t>function</w:t>
            </w:r>
          </w:p>
        </w:tc>
        <w:tc>
          <w:tcPr>
            <w:tcW w:w="274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6732B136" w14:textId="77777777" w:rsidR="00EB0C01" w:rsidRPr="00EB0C01" w:rsidRDefault="00EB0C01" w:rsidP="00EB0C01">
            <w:pPr>
              <w:spacing w:before="0" w:after="0" w:line="240" w:lineRule="auto"/>
              <w:jc w:val="center"/>
              <w:rPr>
                <w:rFonts w:ascii="Arial" w:hAnsi="Arial" w:cs="Arial"/>
                <w:color w:val="000000"/>
                <w:sz w:val="16"/>
                <w:szCs w:val="16"/>
              </w:rPr>
            </w:pPr>
            <w:r w:rsidRPr="00EB0C01">
              <w:rPr>
                <w:rFonts w:ascii="Arial" w:hAnsi="Arial" w:cs="Arial"/>
                <w:color w:val="000000"/>
                <w:sz w:val="16"/>
                <w:szCs w:val="16"/>
              </w:rPr>
              <w:t>Estimates</w:t>
            </w:r>
          </w:p>
        </w:tc>
      </w:tr>
      <w:tr w:rsidR="00EB0C01" w:rsidRPr="00EB0C01" w14:paraId="54E7E94B" w14:textId="77777777" w:rsidTr="00E832BC">
        <w:trPr>
          <w:divId w:val="668606777"/>
          <w:trHeight w:hRule="exact" w:val="225"/>
        </w:trPr>
        <w:tc>
          <w:tcPr>
            <w:tcW w:w="2251" w:type="pct"/>
            <w:tcBorders>
              <w:top w:val="nil"/>
              <w:left w:val="nil"/>
              <w:bottom w:val="nil"/>
              <w:right w:val="nil"/>
            </w:tcBorders>
            <w:shd w:val="clear" w:color="000000" w:fill="FFFFFF"/>
            <w:noWrap/>
            <w:vAlign w:val="bottom"/>
            <w:hideMark/>
          </w:tcPr>
          <w:p w14:paraId="159CDF42"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50" w:type="pct"/>
            <w:tcBorders>
              <w:top w:val="single" w:sz="4" w:space="0" w:color="002A54" w:themeColor="text2"/>
              <w:left w:val="nil"/>
              <w:right w:val="nil"/>
            </w:tcBorders>
            <w:shd w:val="clear" w:color="000000" w:fill="FFFFFF"/>
            <w:noWrap/>
            <w:vAlign w:val="center"/>
            <w:hideMark/>
          </w:tcPr>
          <w:p w14:paraId="3E2D9CDA"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2022–23</w:t>
            </w:r>
          </w:p>
        </w:tc>
        <w:tc>
          <w:tcPr>
            <w:tcW w:w="550" w:type="pct"/>
            <w:tcBorders>
              <w:top w:val="single" w:sz="4" w:space="0" w:color="002A54" w:themeColor="text2"/>
              <w:left w:val="nil"/>
              <w:right w:val="nil"/>
            </w:tcBorders>
            <w:shd w:val="clear" w:color="000000" w:fill="E6F2FF"/>
            <w:noWrap/>
            <w:vAlign w:val="center"/>
            <w:hideMark/>
          </w:tcPr>
          <w:p w14:paraId="76E721AC"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2023–24</w:t>
            </w:r>
          </w:p>
        </w:tc>
        <w:tc>
          <w:tcPr>
            <w:tcW w:w="550" w:type="pct"/>
            <w:tcBorders>
              <w:top w:val="single" w:sz="4" w:space="0" w:color="002A54" w:themeColor="text2"/>
              <w:left w:val="nil"/>
              <w:right w:val="nil"/>
            </w:tcBorders>
            <w:shd w:val="clear" w:color="000000" w:fill="FFFFFF"/>
            <w:noWrap/>
            <w:vAlign w:val="center"/>
            <w:hideMark/>
          </w:tcPr>
          <w:p w14:paraId="1C03B275"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2024–25</w:t>
            </w:r>
          </w:p>
        </w:tc>
        <w:tc>
          <w:tcPr>
            <w:tcW w:w="550" w:type="pct"/>
            <w:tcBorders>
              <w:top w:val="single" w:sz="4" w:space="0" w:color="002A54" w:themeColor="text2"/>
              <w:left w:val="nil"/>
              <w:right w:val="nil"/>
            </w:tcBorders>
            <w:shd w:val="clear" w:color="000000" w:fill="FFFFFF"/>
            <w:noWrap/>
            <w:vAlign w:val="center"/>
            <w:hideMark/>
          </w:tcPr>
          <w:p w14:paraId="54E1E66E"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2025–26</w:t>
            </w:r>
          </w:p>
        </w:tc>
        <w:tc>
          <w:tcPr>
            <w:tcW w:w="549" w:type="pct"/>
            <w:tcBorders>
              <w:top w:val="single" w:sz="4" w:space="0" w:color="002A54" w:themeColor="text2"/>
              <w:left w:val="nil"/>
              <w:right w:val="nil"/>
            </w:tcBorders>
            <w:shd w:val="clear" w:color="000000" w:fill="FFFFFF"/>
            <w:noWrap/>
            <w:vAlign w:val="center"/>
            <w:hideMark/>
          </w:tcPr>
          <w:p w14:paraId="7951DF14"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2026–27</w:t>
            </w:r>
          </w:p>
        </w:tc>
      </w:tr>
      <w:tr w:rsidR="00EB0C01" w:rsidRPr="00EB0C01" w14:paraId="543D3364" w14:textId="77777777" w:rsidTr="00E832BC">
        <w:trPr>
          <w:divId w:val="668606777"/>
          <w:trHeight w:hRule="exact" w:val="225"/>
        </w:trPr>
        <w:tc>
          <w:tcPr>
            <w:tcW w:w="2251" w:type="pct"/>
            <w:tcBorders>
              <w:top w:val="nil"/>
              <w:left w:val="nil"/>
              <w:bottom w:val="nil"/>
              <w:right w:val="nil"/>
            </w:tcBorders>
            <w:shd w:val="clear" w:color="000000" w:fill="FFFFFF"/>
            <w:noWrap/>
            <w:vAlign w:val="center"/>
            <w:hideMark/>
          </w:tcPr>
          <w:p w14:paraId="5FEDB2CB"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50" w:type="pct"/>
            <w:tcBorders>
              <w:top w:val="nil"/>
              <w:left w:val="nil"/>
              <w:bottom w:val="single" w:sz="4" w:space="0" w:color="002A54" w:themeColor="text2"/>
              <w:right w:val="nil"/>
            </w:tcBorders>
            <w:shd w:val="clear" w:color="000000" w:fill="FFFFFF"/>
            <w:noWrap/>
            <w:vAlign w:val="center"/>
            <w:hideMark/>
          </w:tcPr>
          <w:p w14:paraId="3CF0F9B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E6F2FF"/>
            <w:noWrap/>
            <w:vAlign w:val="center"/>
            <w:hideMark/>
          </w:tcPr>
          <w:p w14:paraId="03A82DB6"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FFFFFF"/>
            <w:noWrap/>
            <w:vAlign w:val="center"/>
            <w:hideMark/>
          </w:tcPr>
          <w:p w14:paraId="65EE3EE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50" w:type="pct"/>
            <w:tcBorders>
              <w:top w:val="nil"/>
              <w:left w:val="nil"/>
              <w:bottom w:val="single" w:sz="4" w:space="0" w:color="002A54" w:themeColor="text2"/>
              <w:right w:val="nil"/>
            </w:tcBorders>
            <w:shd w:val="clear" w:color="000000" w:fill="FFFFFF"/>
            <w:noWrap/>
            <w:vAlign w:val="center"/>
            <w:hideMark/>
          </w:tcPr>
          <w:p w14:paraId="7FEF64E6"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49" w:type="pct"/>
            <w:tcBorders>
              <w:top w:val="nil"/>
              <w:left w:val="nil"/>
              <w:bottom w:val="single" w:sz="4" w:space="0" w:color="002A54" w:themeColor="text2"/>
              <w:right w:val="nil"/>
            </w:tcBorders>
            <w:shd w:val="clear" w:color="000000" w:fill="FFFFFF"/>
            <w:noWrap/>
            <w:vAlign w:val="center"/>
            <w:hideMark/>
          </w:tcPr>
          <w:p w14:paraId="1DFED4F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r>
      <w:tr w:rsidR="00EB0C01" w:rsidRPr="00EB0C01" w14:paraId="66685C69" w14:textId="77777777" w:rsidTr="00E832BC">
        <w:trPr>
          <w:divId w:val="668606777"/>
          <w:trHeight w:hRule="exact" w:val="225"/>
        </w:trPr>
        <w:tc>
          <w:tcPr>
            <w:tcW w:w="2251" w:type="pct"/>
            <w:tcBorders>
              <w:top w:val="nil"/>
              <w:left w:val="nil"/>
              <w:bottom w:val="nil"/>
              <w:right w:val="nil"/>
            </w:tcBorders>
            <w:shd w:val="clear" w:color="000000" w:fill="FFFFFF"/>
            <w:noWrap/>
            <w:vAlign w:val="center"/>
            <w:hideMark/>
          </w:tcPr>
          <w:p w14:paraId="4AE9627D"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Higher education</w:t>
            </w:r>
          </w:p>
        </w:tc>
        <w:tc>
          <w:tcPr>
            <w:tcW w:w="550" w:type="pct"/>
            <w:tcBorders>
              <w:top w:val="single" w:sz="4" w:space="0" w:color="002A54" w:themeColor="text2"/>
              <w:left w:val="nil"/>
              <w:bottom w:val="nil"/>
              <w:right w:val="nil"/>
            </w:tcBorders>
            <w:shd w:val="clear" w:color="000000" w:fill="FFFFFF"/>
            <w:noWrap/>
            <w:vAlign w:val="center"/>
            <w:hideMark/>
          </w:tcPr>
          <w:p w14:paraId="7674231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10,587</w:t>
            </w:r>
          </w:p>
        </w:tc>
        <w:tc>
          <w:tcPr>
            <w:tcW w:w="550" w:type="pct"/>
            <w:tcBorders>
              <w:top w:val="single" w:sz="4" w:space="0" w:color="002A54" w:themeColor="text2"/>
              <w:left w:val="nil"/>
              <w:bottom w:val="nil"/>
              <w:right w:val="nil"/>
            </w:tcBorders>
            <w:shd w:val="clear" w:color="000000" w:fill="E6F2FF"/>
            <w:noWrap/>
            <w:vAlign w:val="center"/>
            <w:hideMark/>
          </w:tcPr>
          <w:p w14:paraId="6073D0D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10,902</w:t>
            </w:r>
          </w:p>
        </w:tc>
        <w:tc>
          <w:tcPr>
            <w:tcW w:w="550" w:type="pct"/>
            <w:tcBorders>
              <w:top w:val="single" w:sz="4" w:space="0" w:color="002A54" w:themeColor="text2"/>
              <w:left w:val="nil"/>
              <w:bottom w:val="nil"/>
              <w:right w:val="nil"/>
            </w:tcBorders>
            <w:shd w:val="clear" w:color="000000" w:fill="FFFFFF"/>
            <w:noWrap/>
            <w:vAlign w:val="center"/>
            <w:hideMark/>
          </w:tcPr>
          <w:p w14:paraId="5620E3D6"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11,485</w:t>
            </w:r>
          </w:p>
        </w:tc>
        <w:tc>
          <w:tcPr>
            <w:tcW w:w="550" w:type="pct"/>
            <w:tcBorders>
              <w:top w:val="single" w:sz="4" w:space="0" w:color="002A54" w:themeColor="text2"/>
              <w:left w:val="nil"/>
              <w:bottom w:val="nil"/>
              <w:right w:val="nil"/>
            </w:tcBorders>
            <w:shd w:val="clear" w:color="000000" w:fill="FFFFFF"/>
            <w:noWrap/>
            <w:vAlign w:val="center"/>
            <w:hideMark/>
          </w:tcPr>
          <w:p w14:paraId="46D1670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11,946</w:t>
            </w:r>
          </w:p>
        </w:tc>
        <w:tc>
          <w:tcPr>
            <w:tcW w:w="549" w:type="pct"/>
            <w:tcBorders>
              <w:top w:val="single" w:sz="4" w:space="0" w:color="002A54" w:themeColor="text2"/>
              <w:left w:val="nil"/>
              <w:bottom w:val="nil"/>
              <w:right w:val="nil"/>
            </w:tcBorders>
            <w:shd w:val="clear" w:color="000000" w:fill="FFFFFF"/>
            <w:noWrap/>
            <w:vAlign w:val="center"/>
            <w:hideMark/>
          </w:tcPr>
          <w:p w14:paraId="6A69582B"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12,322</w:t>
            </w:r>
          </w:p>
        </w:tc>
      </w:tr>
      <w:tr w:rsidR="00EB0C01" w:rsidRPr="00EB0C01" w14:paraId="31B30F7B" w14:textId="77777777" w:rsidTr="00EB0C01">
        <w:trPr>
          <w:divId w:val="668606777"/>
          <w:trHeight w:hRule="exact" w:val="225"/>
        </w:trPr>
        <w:tc>
          <w:tcPr>
            <w:tcW w:w="2251" w:type="pct"/>
            <w:tcBorders>
              <w:top w:val="nil"/>
              <w:left w:val="nil"/>
              <w:bottom w:val="nil"/>
              <w:right w:val="nil"/>
            </w:tcBorders>
            <w:shd w:val="clear" w:color="000000" w:fill="FFFFFF"/>
            <w:noWrap/>
            <w:vAlign w:val="center"/>
            <w:hideMark/>
          </w:tcPr>
          <w:p w14:paraId="4CAE0C79"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Vocational and other education</w:t>
            </w:r>
          </w:p>
        </w:tc>
        <w:tc>
          <w:tcPr>
            <w:tcW w:w="550" w:type="pct"/>
            <w:tcBorders>
              <w:top w:val="nil"/>
              <w:left w:val="nil"/>
              <w:bottom w:val="nil"/>
              <w:right w:val="nil"/>
            </w:tcBorders>
            <w:shd w:val="clear" w:color="000000" w:fill="FFFFFF"/>
            <w:noWrap/>
            <w:vAlign w:val="center"/>
            <w:hideMark/>
          </w:tcPr>
          <w:p w14:paraId="4C21601D"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2,262</w:t>
            </w:r>
          </w:p>
        </w:tc>
        <w:tc>
          <w:tcPr>
            <w:tcW w:w="550" w:type="pct"/>
            <w:tcBorders>
              <w:top w:val="nil"/>
              <w:left w:val="nil"/>
              <w:bottom w:val="nil"/>
              <w:right w:val="nil"/>
            </w:tcBorders>
            <w:shd w:val="clear" w:color="000000" w:fill="E6F2FF"/>
            <w:noWrap/>
            <w:vAlign w:val="center"/>
            <w:hideMark/>
          </w:tcPr>
          <w:p w14:paraId="3771106D"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2,278</w:t>
            </w:r>
          </w:p>
        </w:tc>
        <w:tc>
          <w:tcPr>
            <w:tcW w:w="550" w:type="pct"/>
            <w:tcBorders>
              <w:top w:val="nil"/>
              <w:left w:val="nil"/>
              <w:bottom w:val="nil"/>
              <w:right w:val="nil"/>
            </w:tcBorders>
            <w:shd w:val="clear" w:color="000000" w:fill="FFFFFF"/>
            <w:noWrap/>
            <w:vAlign w:val="center"/>
            <w:hideMark/>
          </w:tcPr>
          <w:p w14:paraId="079001E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2,643</w:t>
            </w:r>
          </w:p>
        </w:tc>
        <w:tc>
          <w:tcPr>
            <w:tcW w:w="550" w:type="pct"/>
            <w:tcBorders>
              <w:top w:val="nil"/>
              <w:left w:val="nil"/>
              <w:bottom w:val="nil"/>
              <w:right w:val="nil"/>
            </w:tcBorders>
            <w:shd w:val="clear" w:color="000000" w:fill="FFFFFF"/>
            <w:noWrap/>
            <w:vAlign w:val="center"/>
            <w:hideMark/>
          </w:tcPr>
          <w:p w14:paraId="3AA6191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2,643</w:t>
            </w:r>
          </w:p>
        </w:tc>
        <w:tc>
          <w:tcPr>
            <w:tcW w:w="549" w:type="pct"/>
            <w:tcBorders>
              <w:top w:val="nil"/>
              <w:left w:val="nil"/>
              <w:bottom w:val="nil"/>
              <w:right w:val="nil"/>
            </w:tcBorders>
            <w:shd w:val="clear" w:color="000000" w:fill="FFFFFF"/>
            <w:noWrap/>
            <w:vAlign w:val="center"/>
            <w:hideMark/>
          </w:tcPr>
          <w:p w14:paraId="111D7235"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2,593</w:t>
            </w:r>
          </w:p>
        </w:tc>
      </w:tr>
      <w:tr w:rsidR="00EB0C01" w:rsidRPr="00EB0C01" w14:paraId="565E223F" w14:textId="77777777" w:rsidTr="00EB0C01">
        <w:trPr>
          <w:divId w:val="668606777"/>
          <w:trHeight w:hRule="exact" w:val="225"/>
        </w:trPr>
        <w:tc>
          <w:tcPr>
            <w:tcW w:w="2251" w:type="pct"/>
            <w:tcBorders>
              <w:top w:val="nil"/>
              <w:left w:val="nil"/>
              <w:bottom w:val="nil"/>
              <w:right w:val="nil"/>
            </w:tcBorders>
            <w:shd w:val="clear" w:color="000000" w:fill="FFFFFF"/>
            <w:noWrap/>
            <w:vAlign w:val="center"/>
            <w:hideMark/>
          </w:tcPr>
          <w:p w14:paraId="3D65AC50"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Schools</w:t>
            </w:r>
          </w:p>
        </w:tc>
        <w:tc>
          <w:tcPr>
            <w:tcW w:w="550" w:type="pct"/>
            <w:tcBorders>
              <w:top w:val="nil"/>
              <w:left w:val="nil"/>
              <w:bottom w:val="nil"/>
              <w:right w:val="nil"/>
            </w:tcBorders>
            <w:shd w:val="clear" w:color="000000" w:fill="FFFFFF"/>
            <w:noWrap/>
            <w:vAlign w:val="center"/>
            <w:hideMark/>
          </w:tcPr>
          <w:p w14:paraId="00904F9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26,909</w:t>
            </w:r>
          </w:p>
        </w:tc>
        <w:tc>
          <w:tcPr>
            <w:tcW w:w="550" w:type="pct"/>
            <w:tcBorders>
              <w:top w:val="nil"/>
              <w:left w:val="nil"/>
              <w:bottom w:val="nil"/>
              <w:right w:val="nil"/>
            </w:tcBorders>
            <w:shd w:val="clear" w:color="000000" w:fill="E6F2FF"/>
            <w:noWrap/>
            <w:vAlign w:val="center"/>
            <w:hideMark/>
          </w:tcPr>
          <w:p w14:paraId="3B4ABF4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28,286</w:t>
            </w:r>
          </w:p>
        </w:tc>
        <w:tc>
          <w:tcPr>
            <w:tcW w:w="550" w:type="pct"/>
            <w:tcBorders>
              <w:top w:val="nil"/>
              <w:left w:val="nil"/>
              <w:bottom w:val="nil"/>
              <w:right w:val="nil"/>
            </w:tcBorders>
            <w:shd w:val="clear" w:color="000000" w:fill="FFFFFF"/>
            <w:noWrap/>
            <w:vAlign w:val="center"/>
            <w:hideMark/>
          </w:tcPr>
          <w:p w14:paraId="3D98FC0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29,397</w:t>
            </w:r>
          </w:p>
        </w:tc>
        <w:tc>
          <w:tcPr>
            <w:tcW w:w="550" w:type="pct"/>
            <w:tcBorders>
              <w:top w:val="nil"/>
              <w:left w:val="nil"/>
              <w:bottom w:val="nil"/>
              <w:right w:val="nil"/>
            </w:tcBorders>
            <w:shd w:val="clear" w:color="000000" w:fill="FFFFFF"/>
            <w:noWrap/>
            <w:vAlign w:val="center"/>
            <w:hideMark/>
          </w:tcPr>
          <w:p w14:paraId="310A94A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30,356</w:t>
            </w:r>
          </w:p>
        </w:tc>
        <w:tc>
          <w:tcPr>
            <w:tcW w:w="549" w:type="pct"/>
            <w:tcBorders>
              <w:top w:val="nil"/>
              <w:left w:val="nil"/>
              <w:bottom w:val="nil"/>
              <w:right w:val="nil"/>
            </w:tcBorders>
            <w:shd w:val="clear" w:color="000000" w:fill="FFFFFF"/>
            <w:noWrap/>
            <w:vAlign w:val="center"/>
            <w:hideMark/>
          </w:tcPr>
          <w:p w14:paraId="7DF5B64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31,368</w:t>
            </w:r>
          </w:p>
        </w:tc>
      </w:tr>
      <w:tr w:rsidR="00EB0C01" w:rsidRPr="00EB0C01" w14:paraId="712A676F" w14:textId="77777777" w:rsidTr="00EB0C01">
        <w:trPr>
          <w:divId w:val="668606777"/>
          <w:trHeight w:hRule="exact" w:val="225"/>
        </w:trPr>
        <w:tc>
          <w:tcPr>
            <w:tcW w:w="2251" w:type="pct"/>
            <w:tcBorders>
              <w:top w:val="nil"/>
              <w:left w:val="nil"/>
              <w:bottom w:val="nil"/>
              <w:right w:val="nil"/>
            </w:tcBorders>
            <w:shd w:val="clear" w:color="000000" w:fill="FFFFFF"/>
            <w:noWrap/>
            <w:vAlign w:val="center"/>
            <w:hideMark/>
          </w:tcPr>
          <w:p w14:paraId="7454B91A" w14:textId="1FC49FFF" w:rsidR="00EB0C01" w:rsidRPr="00EB0C01" w:rsidRDefault="00EB0C01" w:rsidP="00EB0C01">
            <w:pPr>
              <w:spacing w:before="0" w:after="0" w:line="240" w:lineRule="auto"/>
              <w:ind w:left="170"/>
              <w:rPr>
                <w:rFonts w:ascii="Arial" w:hAnsi="Arial" w:cs="Arial"/>
                <w:i/>
                <w:iCs/>
                <w:color w:val="000000"/>
                <w:sz w:val="16"/>
                <w:szCs w:val="16"/>
              </w:rPr>
            </w:pPr>
            <w:r w:rsidRPr="00EB0C01">
              <w:rPr>
                <w:rFonts w:ascii="Arial" w:hAnsi="Arial" w:cs="Arial"/>
                <w:i/>
                <w:iCs/>
                <w:color w:val="000000"/>
                <w:sz w:val="16"/>
                <w:szCs w:val="16"/>
              </w:rPr>
              <w:t>Non</w:t>
            </w:r>
            <w:r w:rsidR="00D34B95">
              <w:rPr>
                <w:rFonts w:ascii="Arial" w:hAnsi="Arial" w:cs="Arial"/>
                <w:i/>
                <w:iCs/>
                <w:color w:val="000000"/>
                <w:sz w:val="16"/>
                <w:szCs w:val="16"/>
              </w:rPr>
              <w:noBreakHyphen/>
            </w:r>
            <w:r w:rsidRPr="00EB0C01">
              <w:rPr>
                <w:rFonts w:ascii="Arial" w:hAnsi="Arial" w:cs="Arial"/>
                <w:i/>
                <w:iCs/>
                <w:color w:val="000000"/>
                <w:sz w:val="16"/>
                <w:szCs w:val="16"/>
              </w:rPr>
              <w:t>government schools</w:t>
            </w:r>
          </w:p>
        </w:tc>
        <w:tc>
          <w:tcPr>
            <w:tcW w:w="550" w:type="pct"/>
            <w:tcBorders>
              <w:top w:val="nil"/>
              <w:left w:val="nil"/>
              <w:bottom w:val="nil"/>
              <w:right w:val="nil"/>
            </w:tcBorders>
            <w:shd w:val="clear" w:color="000000" w:fill="FFFFFF"/>
            <w:noWrap/>
            <w:vAlign w:val="center"/>
            <w:hideMark/>
          </w:tcPr>
          <w:p w14:paraId="714E2210"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16,646</w:t>
            </w:r>
          </w:p>
        </w:tc>
        <w:tc>
          <w:tcPr>
            <w:tcW w:w="550" w:type="pct"/>
            <w:tcBorders>
              <w:top w:val="nil"/>
              <w:left w:val="nil"/>
              <w:bottom w:val="nil"/>
              <w:right w:val="nil"/>
            </w:tcBorders>
            <w:shd w:val="clear" w:color="000000" w:fill="E6F2FF"/>
            <w:noWrap/>
            <w:vAlign w:val="center"/>
            <w:hideMark/>
          </w:tcPr>
          <w:p w14:paraId="5D7DB752"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17,441</w:t>
            </w:r>
          </w:p>
        </w:tc>
        <w:tc>
          <w:tcPr>
            <w:tcW w:w="550" w:type="pct"/>
            <w:tcBorders>
              <w:top w:val="nil"/>
              <w:left w:val="nil"/>
              <w:bottom w:val="nil"/>
              <w:right w:val="nil"/>
            </w:tcBorders>
            <w:shd w:val="clear" w:color="000000" w:fill="FFFFFF"/>
            <w:noWrap/>
            <w:vAlign w:val="center"/>
            <w:hideMark/>
          </w:tcPr>
          <w:p w14:paraId="3AEEBA34"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18,131</w:t>
            </w:r>
          </w:p>
        </w:tc>
        <w:tc>
          <w:tcPr>
            <w:tcW w:w="550" w:type="pct"/>
            <w:tcBorders>
              <w:top w:val="nil"/>
              <w:left w:val="nil"/>
              <w:bottom w:val="nil"/>
              <w:right w:val="nil"/>
            </w:tcBorders>
            <w:shd w:val="clear" w:color="000000" w:fill="FFFFFF"/>
            <w:noWrap/>
            <w:vAlign w:val="center"/>
            <w:hideMark/>
          </w:tcPr>
          <w:p w14:paraId="736A2891"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18,681</w:t>
            </w:r>
          </w:p>
        </w:tc>
        <w:tc>
          <w:tcPr>
            <w:tcW w:w="549" w:type="pct"/>
            <w:tcBorders>
              <w:top w:val="nil"/>
              <w:left w:val="nil"/>
              <w:bottom w:val="nil"/>
              <w:right w:val="nil"/>
            </w:tcBorders>
            <w:shd w:val="clear" w:color="000000" w:fill="FFFFFF"/>
            <w:noWrap/>
            <w:vAlign w:val="center"/>
            <w:hideMark/>
          </w:tcPr>
          <w:p w14:paraId="4AA32E0C"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19,260</w:t>
            </w:r>
          </w:p>
        </w:tc>
      </w:tr>
      <w:tr w:rsidR="00EB0C01" w:rsidRPr="00EB0C01" w14:paraId="6910FB4D" w14:textId="77777777" w:rsidTr="00EB0C01">
        <w:trPr>
          <w:divId w:val="668606777"/>
          <w:trHeight w:hRule="exact" w:val="225"/>
        </w:trPr>
        <w:tc>
          <w:tcPr>
            <w:tcW w:w="2251" w:type="pct"/>
            <w:tcBorders>
              <w:top w:val="nil"/>
              <w:left w:val="nil"/>
              <w:bottom w:val="nil"/>
              <w:right w:val="nil"/>
            </w:tcBorders>
            <w:shd w:val="clear" w:color="000000" w:fill="FFFFFF"/>
            <w:noWrap/>
            <w:vAlign w:val="center"/>
            <w:hideMark/>
          </w:tcPr>
          <w:p w14:paraId="02CF0ECE" w14:textId="77777777" w:rsidR="00EB0C01" w:rsidRPr="00EB0C01" w:rsidRDefault="00EB0C01" w:rsidP="00EB0C01">
            <w:pPr>
              <w:spacing w:before="0" w:after="0" w:line="240" w:lineRule="auto"/>
              <w:ind w:left="170"/>
              <w:rPr>
                <w:rFonts w:ascii="Arial" w:hAnsi="Arial" w:cs="Arial"/>
                <w:i/>
                <w:iCs/>
                <w:color w:val="000000"/>
                <w:sz w:val="16"/>
                <w:szCs w:val="16"/>
              </w:rPr>
            </w:pPr>
            <w:r w:rsidRPr="00EB0C01">
              <w:rPr>
                <w:rFonts w:ascii="Arial" w:hAnsi="Arial" w:cs="Arial"/>
                <w:i/>
                <w:iCs/>
                <w:color w:val="000000"/>
                <w:sz w:val="16"/>
                <w:szCs w:val="16"/>
              </w:rPr>
              <w:t>Government schools</w:t>
            </w:r>
          </w:p>
        </w:tc>
        <w:tc>
          <w:tcPr>
            <w:tcW w:w="550" w:type="pct"/>
            <w:tcBorders>
              <w:top w:val="nil"/>
              <w:left w:val="nil"/>
              <w:bottom w:val="nil"/>
              <w:right w:val="nil"/>
            </w:tcBorders>
            <w:shd w:val="clear" w:color="000000" w:fill="FFFFFF"/>
            <w:noWrap/>
            <w:vAlign w:val="center"/>
            <w:hideMark/>
          </w:tcPr>
          <w:p w14:paraId="5C77A384"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10,264</w:t>
            </w:r>
          </w:p>
        </w:tc>
        <w:tc>
          <w:tcPr>
            <w:tcW w:w="550" w:type="pct"/>
            <w:tcBorders>
              <w:top w:val="nil"/>
              <w:left w:val="nil"/>
              <w:bottom w:val="nil"/>
              <w:right w:val="nil"/>
            </w:tcBorders>
            <w:shd w:val="clear" w:color="000000" w:fill="E6F2FF"/>
            <w:noWrap/>
            <w:vAlign w:val="center"/>
            <w:hideMark/>
          </w:tcPr>
          <w:p w14:paraId="74C8DF03"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10,845</w:t>
            </w:r>
          </w:p>
        </w:tc>
        <w:tc>
          <w:tcPr>
            <w:tcW w:w="550" w:type="pct"/>
            <w:tcBorders>
              <w:top w:val="nil"/>
              <w:left w:val="nil"/>
              <w:bottom w:val="nil"/>
              <w:right w:val="nil"/>
            </w:tcBorders>
            <w:shd w:val="clear" w:color="000000" w:fill="FFFFFF"/>
            <w:noWrap/>
            <w:vAlign w:val="center"/>
            <w:hideMark/>
          </w:tcPr>
          <w:p w14:paraId="592061B0"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11,266</w:t>
            </w:r>
          </w:p>
        </w:tc>
        <w:tc>
          <w:tcPr>
            <w:tcW w:w="550" w:type="pct"/>
            <w:tcBorders>
              <w:top w:val="nil"/>
              <w:left w:val="nil"/>
              <w:bottom w:val="nil"/>
              <w:right w:val="nil"/>
            </w:tcBorders>
            <w:shd w:val="clear" w:color="000000" w:fill="FFFFFF"/>
            <w:noWrap/>
            <w:vAlign w:val="center"/>
            <w:hideMark/>
          </w:tcPr>
          <w:p w14:paraId="4A50707B"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11,676</w:t>
            </w:r>
          </w:p>
        </w:tc>
        <w:tc>
          <w:tcPr>
            <w:tcW w:w="549" w:type="pct"/>
            <w:tcBorders>
              <w:top w:val="nil"/>
              <w:left w:val="nil"/>
              <w:bottom w:val="nil"/>
              <w:right w:val="nil"/>
            </w:tcBorders>
            <w:shd w:val="clear" w:color="000000" w:fill="FFFFFF"/>
            <w:noWrap/>
            <w:vAlign w:val="center"/>
            <w:hideMark/>
          </w:tcPr>
          <w:p w14:paraId="0AF80CD5" w14:textId="77777777" w:rsidR="00EB0C01" w:rsidRPr="00EB0C01" w:rsidRDefault="00EB0C01" w:rsidP="00EB0C01">
            <w:pPr>
              <w:spacing w:before="0" w:after="0" w:line="240" w:lineRule="auto"/>
              <w:jc w:val="right"/>
              <w:rPr>
                <w:rFonts w:ascii="Arial" w:hAnsi="Arial" w:cs="Arial"/>
                <w:i/>
                <w:iCs/>
                <w:color w:val="000000"/>
                <w:sz w:val="16"/>
                <w:szCs w:val="16"/>
              </w:rPr>
            </w:pPr>
            <w:r w:rsidRPr="00EB0C01">
              <w:rPr>
                <w:rFonts w:ascii="Arial" w:hAnsi="Arial" w:cs="Arial"/>
                <w:i/>
                <w:iCs/>
                <w:color w:val="000000"/>
                <w:sz w:val="16"/>
                <w:szCs w:val="16"/>
              </w:rPr>
              <w:t>12,108</w:t>
            </w:r>
          </w:p>
        </w:tc>
      </w:tr>
      <w:tr w:rsidR="00EB0C01" w:rsidRPr="00EB0C01" w14:paraId="789C63E8" w14:textId="77777777" w:rsidTr="00EB0C01">
        <w:trPr>
          <w:divId w:val="668606777"/>
          <w:trHeight w:hRule="exact" w:val="225"/>
        </w:trPr>
        <w:tc>
          <w:tcPr>
            <w:tcW w:w="2251" w:type="pct"/>
            <w:tcBorders>
              <w:top w:val="nil"/>
              <w:left w:val="nil"/>
              <w:bottom w:val="nil"/>
              <w:right w:val="nil"/>
            </w:tcBorders>
            <w:shd w:val="clear" w:color="000000" w:fill="FFFFFF"/>
            <w:noWrap/>
            <w:vAlign w:val="center"/>
            <w:hideMark/>
          </w:tcPr>
          <w:p w14:paraId="4B85B474" w14:textId="12E5A9C2"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xml:space="preserve">School education </w:t>
            </w:r>
            <w:r w:rsidR="00485F94">
              <w:rPr>
                <w:rFonts w:ascii="Arial" w:hAnsi="Arial" w:cs="Arial"/>
                <w:color w:val="000000"/>
                <w:sz w:val="16"/>
                <w:szCs w:val="16"/>
              </w:rPr>
              <w:t>–</w:t>
            </w:r>
            <w:r w:rsidRPr="00EB0C01">
              <w:rPr>
                <w:rFonts w:ascii="Arial" w:hAnsi="Arial" w:cs="Arial"/>
                <w:color w:val="000000"/>
                <w:sz w:val="16"/>
                <w:szCs w:val="16"/>
              </w:rPr>
              <w:t xml:space="preserve"> specific funding</w:t>
            </w:r>
          </w:p>
        </w:tc>
        <w:tc>
          <w:tcPr>
            <w:tcW w:w="550" w:type="pct"/>
            <w:tcBorders>
              <w:top w:val="nil"/>
              <w:left w:val="nil"/>
              <w:bottom w:val="nil"/>
              <w:right w:val="nil"/>
            </w:tcBorders>
            <w:shd w:val="clear" w:color="000000" w:fill="FFFFFF"/>
            <w:noWrap/>
            <w:vAlign w:val="center"/>
            <w:hideMark/>
          </w:tcPr>
          <w:p w14:paraId="6368AD2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1,128</w:t>
            </w:r>
          </w:p>
        </w:tc>
        <w:tc>
          <w:tcPr>
            <w:tcW w:w="550" w:type="pct"/>
            <w:tcBorders>
              <w:top w:val="nil"/>
              <w:left w:val="nil"/>
              <w:bottom w:val="nil"/>
              <w:right w:val="nil"/>
            </w:tcBorders>
            <w:shd w:val="clear" w:color="000000" w:fill="E6F2FF"/>
            <w:noWrap/>
            <w:vAlign w:val="center"/>
            <w:hideMark/>
          </w:tcPr>
          <w:p w14:paraId="41C81B1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1,149</w:t>
            </w:r>
          </w:p>
        </w:tc>
        <w:tc>
          <w:tcPr>
            <w:tcW w:w="550" w:type="pct"/>
            <w:tcBorders>
              <w:top w:val="nil"/>
              <w:left w:val="nil"/>
              <w:bottom w:val="nil"/>
              <w:right w:val="nil"/>
            </w:tcBorders>
            <w:shd w:val="clear" w:color="000000" w:fill="FFFFFF"/>
            <w:noWrap/>
            <w:vAlign w:val="center"/>
            <w:hideMark/>
          </w:tcPr>
          <w:p w14:paraId="34C444B5"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808</w:t>
            </w:r>
          </w:p>
        </w:tc>
        <w:tc>
          <w:tcPr>
            <w:tcW w:w="550" w:type="pct"/>
            <w:tcBorders>
              <w:top w:val="nil"/>
              <w:left w:val="nil"/>
              <w:bottom w:val="nil"/>
              <w:right w:val="nil"/>
            </w:tcBorders>
            <w:shd w:val="clear" w:color="000000" w:fill="FFFFFF"/>
            <w:noWrap/>
            <w:vAlign w:val="center"/>
            <w:hideMark/>
          </w:tcPr>
          <w:p w14:paraId="688C973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821</w:t>
            </w:r>
          </w:p>
        </w:tc>
        <w:tc>
          <w:tcPr>
            <w:tcW w:w="549" w:type="pct"/>
            <w:tcBorders>
              <w:top w:val="nil"/>
              <w:left w:val="nil"/>
              <w:bottom w:val="nil"/>
              <w:right w:val="nil"/>
            </w:tcBorders>
            <w:shd w:val="clear" w:color="000000" w:fill="FFFFFF"/>
            <w:noWrap/>
            <w:vAlign w:val="center"/>
            <w:hideMark/>
          </w:tcPr>
          <w:p w14:paraId="7490F88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827</w:t>
            </w:r>
          </w:p>
        </w:tc>
      </w:tr>
      <w:tr w:rsidR="00EB0C01" w:rsidRPr="00EB0C01" w14:paraId="1E4148F7" w14:textId="77777777" w:rsidTr="00E832BC">
        <w:trPr>
          <w:divId w:val="668606777"/>
          <w:trHeight w:hRule="exact" w:val="225"/>
        </w:trPr>
        <w:tc>
          <w:tcPr>
            <w:tcW w:w="2251" w:type="pct"/>
            <w:tcBorders>
              <w:top w:val="nil"/>
              <w:left w:val="nil"/>
              <w:bottom w:val="nil"/>
              <w:right w:val="nil"/>
            </w:tcBorders>
            <w:shd w:val="clear" w:color="000000" w:fill="FFFFFF"/>
            <w:noWrap/>
            <w:vAlign w:val="center"/>
            <w:hideMark/>
          </w:tcPr>
          <w:p w14:paraId="22B1B318"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Student assistance</w:t>
            </w:r>
          </w:p>
        </w:tc>
        <w:tc>
          <w:tcPr>
            <w:tcW w:w="550" w:type="pct"/>
            <w:tcBorders>
              <w:top w:val="nil"/>
              <w:left w:val="nil"/>
              <w:right w:val="nil"/>
            </w:tcBorders>
            <w:shd w:val="clear" w:color="000000" w:fill="FFFFFF"/>
            <w:noWrap/>
            <w:vAlign w:val="center"/>
            <w:hideMark/>
          </w:tcPr>
          <w:p w14:paraId="1630644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4,783</w:t>
            </w:r>
          </w:p>
        </w:tc>
        <w:tc>
          <w:tcPr>
            <w:tcW w:w="550" w:type="pct"/>
            <w:tcBorders>
              <w:top w:val="nil"/>
              <w:left w:val="nil"/>
              <w:right w:val="nil"/>
            </w:tcBorders>
            <w:shd w:val="clear" w:color="000000" w:fill="E6F2FF"/>
            <w:noWrap/>
            <w:vAlign w:val="center"/>
            <w:hideMark/>
          </w:tcPr>
          <w:p w14:paraId="5983D959"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5,362</w:t>
            </w:r>
          </w:p>
        </w:tc>
        <w:tc>
          <w:tcPr>
            <w:tcW w:w="550" w:type="pct"/>
            <w:tcBorders>
              <w:top w:val="nil"/>
              <w:left w:val="nil"/>
              <w:right w:val="nil"/>
            </w:tcBorders>
            <w:shd w:val="clear" w:color="000000" w:fill="FFFFFF"/>
            <w:noWrap/>
            <w:vAlign w:val="center"/>
            <w:hideMark/>
          </w:tcPr>
          <w:p w14:paraId="32361834"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5,789</w:t>
            </w:r>
          </w:p>
        </w:tc>
        <w:tc>
          <w:tcPr>
            <w:tcW w:w="550" w:type="pct"/>
            <w:tcBorders>
              <w:top w:val="nil"/>
              <w:left w:val="nil"/>
              <w:right w:val="nil"/>
            </w:tcBorders>
            <w:shd w:val="clear" w:color="000000" w:fill="FFFFFF"/>
            <w:noWrap/>
            <w:vAlign w:val="center"/>
            <w:hideMark/>
          </w:tcPr>
          <w:p w14:paraId="604B59C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6,088</w:t>
            </w:r>
          </w:p>
        </w:tc>
        <w:tc>
          <w:tcPr>
            <w:tcW w:w="549" w:type="pct"/>
            <w:tcBorders>
              <w:top w:val="nil"/>
              <w:left w:val="nil"/>
              <w:right w:val="nil"/>
            </w:tcBorders>
            <w:shd w:val="clear" w:color="000000" w:fill="FFFFFF"/>
            <w:noWrap/>
            <w:vAlign w:val="center"/>
            <w:hideMark/>
          </w:tcPr>
          <w:p w14:paraId="45C128A6"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6,369</w:t>
            </w:r>
          </w:p>
        </w:tc>
      </w:tr>
      <w:tr w:rsidR="00EB0C01" w:rsidRPr="00EB0C01" w14:paraId="26C67D72" w14:textId="77777777" w:rsidTr="00E832BC">
        <w:trPr>
          <w:divId w:val="668606777"/>
          <w:trHeight w:hRule="exact" w:val="225"/>
        </w:trPr>
        <w:tc>
          <w:tcPr>
            <w:tcW w:w="2251" w:type="pct"/>
            <w:tcBorders>
              <w:top w:val="nil"/>
              <w:left w:val="nil"/>
              <w:bottom w:val="nil"/>
              <w:right w:val="nil"/>
            </w:tcBorders>
            <w:shd w:val="clear" w:color="000000" w:fill="FFFFFF"/>
            <w:noWrap/>
            <w:vAlign w:val="center"/>
            <w:hideMark/>
          </w:tcPr>
          <w:p w14:paraId="4998EB58"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General administration</w:t>
            </w:r>
          </w:p>
        </w:tc>
        <w:tc>
          <w:tcPr>
            <w:tcW w:w="550" w:type="pct"/>
            <w:tcBorders>
              <w:top w:val="nil"/>
              <w:left w:val="nil"/>
              <w:bottom w:val="single" w:sz="4" w:space="0" w:color="002A54" w:themeColor="text2"/>
              <w:right w:val="nil"/>
            </w:tcBorders>
            <w:shd w:val="clear" w:color="000000" w:fill="FFFFFF"/>
            <w:noWrap/>
            <w:vAlign w:val="center"/>
            <w:hideMark/>
          </w:tcPr>
          <w:p w14:paraId="0A8970FB"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208</w:t>
            </w:r>
          </w:p>
        </w:tc>
        <w:tc>
          <w:tcPr>
            <w:tcW w:w="550" w:type="pct"/>
            <w:tcBorders>
              <w:top w:val="nil"/>
              <w:left w:val="nil"/>
              <w:bottom w:val="single" w:sz="4" w:space="0" w:color="002A54" w:themeColor="text2"/>
              <w:right w:val="nil"/>
            </w:tcBorders>
            <w:shd w:val="clear" w:color="000000" w:fill="E6F2FF"/>
            <w:noWrap/>
            <w:vAlign w:val="center"/>
            <w:hideMark/>
          </w:tcPr>
          <w:p w14:paraId="55BFF0C6"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282</w:t>
            </w:r>
          </w:p>
        </w:tc>
        <w:tc>
          <w:tcPr>
            <w:tcW w:w="550" w:type="pct"/>
            <w:tcBorders>
              <w:top w:val="nil"/>
              <w:left w:val="nil"/>
              <w:bottom w:val="single" w:sz="4" w:space="0" w:color="002A54" w:themeColor="text2"/>
              <w:right w:val="nil"/>
            </w:tcBorders>
            <w:shd w:val="clear" w:color="000000" w:fill="FFFFFF"/>
            <w:noWrap/>
            <w:vAlign w:val="center"/>
            <w:hideMark/>
          </w:tcPr>
          <w:p w14:paraId="3F84C07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263</w:t>
            </w:r>
          </w:p>
        </w:tc>
        <w:tc>
          <w:tcPr>
            <w:tcW w:w="550" w:type="pct"/>
            <w:tcBorders>
              <w:top w:val="nil"/>
              <w:left w:val="nil"/>
              <w:bottom w:val="single" w:sz="4" w:space="0" w:color="002A54" w:themeColor="text2"/>
              <w:right w:val="nil"/>
            </w:tcBorders>
            <w:shd w:val="clear" w:color="000000" w:fill="FFFFFF"/>
            <w:noWrap/>
            <w:vAlign w:val="center"/>
            <w:hideMark/>
          </w:tcPr>
          <w:p w14:paraId="62D925B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259</w:t>
            </w:r>
          </w:p>
        </w:tc>
        <w:tc>
          <w:tcPr>
            <w:tcW w:w="549" w:type="pct"/>
            <w:tcBorders>
              <w:top w:val="nil"/>
              <w:left w:val="nil"/>
              <w:bottom w:val="single" w:sz="4" w:space="0" w:color="002A54" w:themeColor="text2"/>
              <w:right w:val="nil"/>
            </w:tcBorders>
            <w:shd w:val="clear" w:color="000000" w:fill="FFFFFF"/>
            <w:noWrap/>
            <w:vAlign w:val="center"/>
            <w:hideMark/>
          </w:tcPr>
          <w:p w14:paraId="3F89DBE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254</w:t>
            </w:r>
          </w:p>
        </w:tc>
      </w:tr>
      <w:tr w:rsidR="00EB0C01" w:rsidRPr="00EB0C01" w14:paraId="08428F86" w14:textId="77777777" w:rsidTr="00E832BC">
        <w:trPr>
          <w:divId w:val="668606777"/>
          <w:trHeight w:hRule="exact" w:val="225"/>
        </w:trPr>
        <w:tc>
          <w:tcPr>
            <w:tcW w:w="2251" w:type="pct"/>
            <w:tcBorders>
              <w:top w:val="nil"/>
              <w:left w:val="nil"/>
              <w:bottom w:val="single" w:sz="4" w:space="0" w:color="002A54" w:themeColor="text2"/>
              <w:right w:val="nil"/>
            </w:tcBorders>
            <w:shd w:val="clear" w:color="000000" w:fill="FFFFFF"/>
            <w:noWrap/>
            <w:vAlign w:val="center"/>
            <w:hideMark/>
          </w:tcPr>
          <w:p w14:paraId="27C7454C" w14:textId="77777777"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Total education</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22BA4802"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45,876</w:t>
            </w:r>
          </w:p>
        </w:tc>
        <w:tc>
          <w:tcPr>
            <w:tcW w:w="550" w:type="pct"/>
            <w:tcBorders>
              <w:top w:val="single" w:sz="4" w:space="0" w:color="002A54" w:themeColor="text2"/>
              <w:left w:val="nil"/>
              <w:bottom w:val="single" w:sz="4" w:space="0" w:color="002A54" w:themeColor="text2"/>
              <w:right w:val="nil"/>
            </w:tcBorders>
            <w:shd w:val="clear" w:color="000000" w:fill="E6F2FF"/>
            <w:noWrap/>
            <w:vAlign w:val="center"/>
            <w:hideMark/>
          </w:tcPr>
          <w:p w14:paraId="5F692E92"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48,258</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612C7991"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50,385</w:t>
            </w:r>
          </w:p>
        </w:tc>
        <w:tc>
          <w:tcPr>
            <w:tcW w:w="550" w:type="pct"/>
            <w:tcBorders>
              <w:top w:val="single" w:sz="4" w:space="0" w:color="002A54" w:themeColor="text2"/>
              <w:left w:val="nil"/>
              <w:bottom w:val="single" w:sz="4" w:space="0" w:color="002A54" w:themeColor="text2"/>
              <w:right w:val="nil"/>
            </w:tcBorders>
            <w:shd w:val="clear" w:color="000000" w:fill="FFFFFF"/>
            <w:noWrap/>
            <w:vAlign w:val="center"/>
            <w:hideMark/>
          </w:tcPr>
          <w:p w14:paraId="0240AA6A"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52,114</w:t>
            </w:r>
          </w:p>
        </w:tc>
        <w:tc>
          <w:tcPr>
            <w:tcW w:w="549" w:type="pct"/>
            <w:tcBorders>
              <w:top w:val="single" w:sz="4" w:space="0" w:color="002A54" w:themeColor="text2"/>
              <w:left w:val="nil"/>
              <w:bottom w:val="single" w:sz="4" w:space="0" w:color="002A54" w:themeColor="text2"/>
              <w:right w:val="nil"/>
            </w:tcBorders>
            <w:shd w:val="clear" w:color="000000" w:fill="FFFFFF"/>
            <w:noWrap/>
            <w:vAlign w:val="center"/>
            <w:hideMark/>
          </w:tcPr>
          <w:p w14:paraId="05D645DB"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53,732</w:t>
            </w:r>
          </w:p>
        </w:tc>
      </w:tr>
    </w:tbl>
    <w:p w14:paraId="7326E902" w14:textId="5E4D9423" w:rsidR="0050166A" w:rsidRPr="00D53771" w:rsidRDefault="0050166A" w:rsidP="0050166A">
      <w:pPr>
        <w:rPr>
          <w:i/>
          <w:iCs/>
        </w:rPr>
      </w:pPr>
      <w:bookmarkStart w:id="66" w:name="_Toc99203683"/>
      <w:bookmarkStart w:id="67" w:name="_Toc117358176"/>
      <w:r w:rsidRPr="00C079BE">
        <w:rPr>
          <w:szCs w:val="19"/>
        </w:rPr>
        <w:t>Total education function expenses are</w:t>
      </w:r>
      <w:r w:rsidRPr="00323814">
        <w:t xml:space="preserve"> estimated to increase </w:t>
      </w:r>
      <w:r>
        <w:t>reflecting the Government</w:t>
      </w:r>
      <w:r w:rsidR="00D34B95">
        <w:t>’</w:t>
      </w:r>
      <w:r>
        <w:t>s ongoing investment in schools, higher education and the 2023</w:t>
      </w:r>
      <w:r w:rsidR="00485F94">
        <w:t>–</w:t>
      </w:r>
      <w:r>
        <w:t xml:space="preserve">24 </w:t>
      </w:r>
      <w:r w:rsidRPr="0021687D">
        <w:t xml:space="preserve">Budget measure </w:t>
      </w:r>
      <w:r w:rsidRPr="0021687D">
        <w:rPr>
          <w:i/>
          <w:iCs/>
        </w:rPr>
        <w:t>Increase to Working Age Payments.</w:t>
      </w:r>
      <w:r>
        <w:rPr>
          <w:i/>
          <w:iCs/>
        </w:rPr>
        <w:t xml:space="preserve"> </w:t>
      </w:r>
    </w:p>
    <w:p w14:paraId="36C5E976" w14:textId="1A68FB67" w:rsidR="0050166A" w:rsidRPr="000177D7" w:rsidRDefault="0050166A" w:rsidP="0050166A">
      <w:r w:rsidRPr="00745B53">
        <w:t>Expenses</w:t>
      </w:r>
      <w:r>
        <w:t xml:space="preserve"> for the </w:t>
      </w:r>
      <w:r>
        <w:rPr>
          <w:b/>
          <w:bCs/>
        </w:rPr>
        <w:t xml:space="preserve">higher </w:t>
      </w:r>
      <w:r w:rsidRPr="00511106">
        <w:rPr>
          <w:b/>
          <w:bCs/>
        </w:rPr>
        <w:t>education</w:t>
      </w:r>
      <w:r>
        <w:rPr>
          <w:b/>
          <w:bCs/>
        </w:rPr>
        <w:t xml:space="preserve"> </w:t>
      </w:r>
      <w:r>
        <w:t>sub</w:t>
      </w:r>
      <w:r w:rsidR="00D34B95">
        <w:noBreakHyphen/>
      </w:r>
      <w:r>
        <w:t xml:space="preserve">function are estimated to increase largely due to the </w:t>
      </w:r>
      <w:r w:rsidRPr="000177D7">
        <w:t xml:space="preserve">provision of 20,000 additional Commonwealth supported places commencing in 2023 and 2024 </w:t>
      </w:r>
      <w:r w:rsidR="00FA2227">
        <w:t>in</w:t>
      </w:r>
      <w:r w:rsidRPr="000177D7">
        <w:t xml:space="preserve"> the October Budget measure </w:t>
      </w:r>
      <w:r w:rsidRPr="000177D7">
        <w:rPr>
          <w:i/>
        </w:rPr>
        <w:t>Strengthening Australia</w:t>
      </w:r>
      <w:r w:rsidR="00D34B95">
        <w:rPr>
          <w:i/>
        </w:rPr>
        <w:t>’</w:t>
      </w:r>
      <w:r w:rsidRPr="000177D7">
        <w:rPr>
          <w:i/>
        </w:rPr>
        <w:t>s Higher Education Sector</w:t>
      </w:r>
      <w:r w:rsidRPr="000177D7">
        <w:t xml:space="preserve">. </w:t>
      </w:r>
    </w:p>
    <w:p w14:paraId="619A37E5" w14:textId="3D65625E" w:rsidR="0050166A" w:rsidRPr="000177D7" w:rsidRDefault="0050166A" w:rsidP="0050166A">
      <w:r w:rsidRPr="006D3E13">
        <w:t>Expenses</w:t>
      </w:r>
      <w:r>
        <w:t xml:space="preserve"> for the </w:t>
      </w:r>
      <w:r w:rsidRPr="000177D7">
        <w:rPr>
          <w:b/>
          <w:bCs/>
        </w:rPr>
        <w:t>vocational and other education</w:t>
      </w:r>
      <w:r w:rsidRPr="000177D7">
        <w:t xml:space="preserve"> </w:t>
      </w:r>
      <w:r>
        <w:t>sub</w:t>
      </w:r>
      <w:r w:rsidR="00D34B95">
        <w:noBreakHyphen/>
      </w:r>
      <w:r>
        <w:t xml:space="preserve">function are estimated to increase due to the continued provision of funding in the Contingency Reserve for a </w:t>
      </w:r>
      <w:r w:rsidRPr="00DB6784">
        <w:t>new long term</w:t>
      </w:r>
      <w:r>
        <w:t xml:space="preserve"> national skills and training funding agreement with the states and territories, which is expected to commence from 1 January 2024.</w:t>
      </w:r>
    </w:p>
    <w:p w14:paraId="745F38D6" w14:textId="1C0B2762" w:rsidR="0050166A" w:rsidRPr="000177D7" w:rsidRDefault="0050166A" w:rsidP="0050166A">
      <w:r w:rsidRPr="00745B53">
        <w:t>Expenses</w:t>
      </w:r>
      <w:r>
        <w:t xml:space="preserve"> for aggregate schools funding, comprising </w:t>
      </w:r>
      <w:r w:rsidRPr="00961F03">
        <w:rPr>
          <w:b/>
          <w:bCs/>
        </w:rPr>
        <w:t xml:space="preserve">schools </w:t>
      </w:r>
      <w:r w:rsidR="00485F94">
        <w:rPr>
          <w:b/>
          <w:bCs/>
        </w:rPr>
        <w:t>–</w:t>
      </w:r>
      <w:r w:rsidRPr="00961F03">
        <w:rPr>
          <w:b/>
          <w:bCs/>
        </w:rPr>
        <w:t xml:space="preserve"> non</w:t>
      </w:r>
      <w:r w:rsidR="00D34B95">
        <w:rPr>
          <w:b/>
          <w:bCs/>
        </w:rPr>
        <w:noBreakHyphen/>
      </w:r>
      <w:r w:rsidRPr="00961F03">
        <w:rPr>
          <w:b/>
          <w:bCs/>
        </w:rPr>
        <w:t>government schools</w:t>
      </w:r>
      <w:r>
        <w:t xml:space="preserve"> and </w:t>
      </w:r>
      <w:r w:rsidRPr="00961F03">
        <w:rPr>
          <w:b/>
          <w:bCs/>
        </w:rPr>
        <w:t xml:space="preserve">schools </w:t>
      </w:r>
      <w:r w:rsidR="00485F94">
        <w:rPr>
          <w:b/>
          <w:bCs/>
        </w:rPr>
        <w:t>–</w:t>
      </w:r>
      <w:r w:rsidRPr="00961F03">
        <w:rPr>
          <w:b/>
          <w:bCs/>
        </w:rPr>
        <w:t xml:space="preserve"> government schools</w:t>
      </w:r>
      <w:r>
        <w:t xml:space="preserve"> are estimated to increase </w:t>
      </w:r>
      <w:r w:rsidRPr="00ED36BB">
        <w:t>primarily reflect</w:t>
      </w:r>
      <w:r>
        <w:t>ing</w:t>
      </w:r>
      <w:r w:rsidRPr="00ED36BB">
        <w:t xml:space="preserve"> the funding arrangements implemented under the </w:t>
      </w:r>
      <w:r w:rsidRPr="00DB6784">
        <w:t>Quality Schools</w:t>
      </w:r>
      <w:r w:rsidRPr="00ED36BB">
        <w:t xml:space="preserve"> Package.</w:t>
      </w:r>
    </w:p>
    <w:p w14:paraId="0414521F" w14:textId="5F835874" w:rsidR="0050166A" w:rsidRPr="000177D7" w:rsidRDefault="0050166A" w:rsidP="0050166A">
      <w:r w:rsidRPr="00745B53">
        <w:t>Expenses</w:t>
      </w:r>
      <w:r>
        <w:t xml:space="preserve"> for the </w:t>
      </w:r>
      <w:r w:rsidRPr="000177D7">
        <w:rPr>
          <w:b/>
          <w:bCs/>
        </w:rPr>
        <w:t xml:space="preserve">school education </w:t>
      </w:r>
      <w:r w:rsidR="00485F94">
        <w:rPr>
          <w:b/>
          <w:bCs/>
        </w:rPr>
        <w:t>–</w:t>
      </w:r>
      <w:r w:rsidRPr="000177D7">
        <w:rPr>
          <w:b/>
          <w:bCs/>
        </w:rPr>
        <w:t xml:space="preserve"> specific funding </w:t>
      </w:r>
      <w:r>
        <w:t>sub</w:t>
      </w:r>
      <w:r w:rsidR="00D34B95">
        <w:noBreakHyphen/>
      </w:r>
      <w:r>
        <w:t xml:space="preserve">function are estimated to decrease due to </w:t>
      </w:r>
      <w:r w:rsidRPr="0055581A">
        <w:t>the</w:t>
      </w:r>
      <w:r>
        <w:t xml:space="preserve"> termination of the </w:t>
      </w:r>
      <w:r w:rsidRPr="0055581A">
        <w:t xml:space="preserve">October Budget measures </w:t>
      </w:r>
      <w:r w:rsidRPr="0055581A">
        <w:rPr>
          <w:i/>
          <w:iCs/>
        </w:rPr>
        <w:t>Student Wellbeing Boost</w:t>
      </w:r>
      <w:r w:rsidRPr="0055581A">
        <w:t xml:space="preserve"> and </w:t>
      </w:r>
      <w:r w:rsidRPr="0055581A">
        <w:rPr>
          <w:i/>
          <w:iCs/>
        </w:rPr>
        <w:t>Schools Upgrade Fund</w:t>
      </w:r>
      <w:r>
        <w:t xml:space="preserve"> at the end of </w:t>
      </w:r>
      <w:r w:rsidRPr="0055581A">
        <w:t>2023</w:t>
      </w:r>
      <w:r w:rsidR="00485F94">
        <w:t>–</w:t>
      </w:r>
      <w:r w:rsidRPr="0055581A">
        <w:t>24.</w:t>
      </w:r>
    </w:p>
    <w:p w14:paraId="2FB593F8" w14:textId="72BDC3DF" w:rsidR="00B561FF" w:rsidRPr="00961F03" w:rsidRDefault="0050166A" w:rsidP="0050166A">
      <w:r w:rsidRPr="00745B53">
        <w:t>Expenses</w:t>
      </w:r>
      <w:r>
        <w:t xml:space="preserve"> for the </w:t>
      </w:r>
      <w:r w:rsidRPr="000177D7">
        <w:rPr>
          <w:b/>
          <w:bCs/>
        </w:rPr>
        <w:t xml:space="preserve">student assistance </w:t>
      </w:r>
      <w:r w:rsidRPr="0021687D">
        <w:t>sub</w:t>
      </w:r>
      <w:r w:rsidR="00D34B95">
        <w:noBreakHyphen/>
      </w:r>
      <w:r w:rsidRPr="0021687D">
        <w:t>function</w:t>
      </w:r>
      <w:r w:rsidRPr="0021687D">
        <w:rPr>
          <w:b/>
          <w:bCs/>
        </w:rPr>
        <w:t xml:space="preserve"> </w:t>
      </w:r>
      <w:r w:rsidRPr="0021687D">
        <w:t>are estimated to increase primarily due to the Government</w:t>
      </w:r>
      <w:r w:rsidR="00D34B95">
        <w:t>’</w:t>
      </w:r>
      <w:r w:rsidRPr="0021687D">
        <w:t>s 2023</w:t>
      </w:r>
      <w:r w:rsidR="00485F94">
        <w:t>–</w:t>
      </w:r>
      <w:r w:rsidRPr="0021687D">
        <w:t xml:space="preserve">24 Budget measure </w:t>
      </w:r>
      <w:r w:rsidRPr="0021687D">
        <w:rPr>
          <w:i/>
          <w:iCs/>
        </w:rPr>
        <w:t xml:space="preserve">Increase to Working Age Payments </w:t>
      </w:r>
      <w:r w:rsidRPr="0021687D">
        <w:t>and an expected increase in the number of people accessing the Student Payments program due to an anticipated increase in unemployment</w:t>
      </w:r>
      <w:r w:rsidRPr="0021687D">
        <w:rPr>
          <w:rFonts w:cs="Calibri"/>
        </w:rPr>
        <w:t>. The estimated increase in expenses</w:t>
      </w:r>
      <w:r>
        <w:rPr>
          <w:rFonts w:cs="Calibri"/>
        </w:rPr>
        <w:t xml:space="preserve"> is also driven by </w:t>
      </w:r>
      <w:r w:rsidRPr="000177D7" w:rsidDel="00A80DF9">
        <w:t xml:space="preserve">an increase in </w:t>
      </w:r>
      <w:r w:rsidRPr="000177D7">
        <w:t xml:space="preserve">the value of </w:t>
      </w:r>
      <w:r>
        <w:t>Higher Education Loan Program (</w:t>
      </w:r>
      <w:r w:rsidRPr="000177D7" w:rsidDel="00A80DF9">
        <w:t>HELP</w:t>
      </w:r>
      <w:r>
        <w:t>)</w:t>
      </w:r>
      <w:r w:rsidRPr="000177D7" w:rsidDel="00A80DF9">
        <w:t xml:space="preserve"> loans</w:t>
      </w:r>
      <w:r>
        <w:t xml:space="preserve"> issued to students. The increase in the value of HELP loans is a result of</w:t>
      </w:r>
      <w:r w:rsidRPr="000177D7" w:rsidDel="00A80DF9">
        <w:t xml:space="preserve"> </w:t>
      </w:r>
      <w:r w:rsidRPr="000177D7">
        <w:t>the provision of 20,000</w:t>
      </w:r>
      <w:r w:rsidR="00C04E7C">
        <w:t> </w:t>
      </w:r>
      <w:r w:rsidRPr="000177D7">
        <w:t xml:space="preserve">additional Commonwealth supported places commencing in 2023 and 2024 under the October Budget measure </w:t>
      </w:r>
      <w:r w:rsidRPr="000177D7">
        <w:rPr>
          <w:i/>
        </w:rPr>
        <w:t>Strengthening Australia</w:t>
      </w:r>
      <w:r w:rsidR="00D34B95">
        <w:rPr>
          <w:i/>
        </w:rPr>
        <w:t>’</w:t>
      </w:r>
      <w:r w:rsidRPr="000177D7">
        <w:rPr>
          <w:i/>
        </w:rPr>
        <w:t>s Higher Education Sector</w:t>
      </w:r>
      <w:r>
        <w:t xml:space="preserve">, and </w:t>
      </w:r>
      <w:r w:rsidRPr="000177D7" w:rsidDel="00A80DF9">
        <w:t xml:space="preserve">the </w:t>
      </w:r>
      <w:r w:rsidRPr="2A94275A" w:rsidDel="00A80DF9">
        <w:rPr>
          <w:i/>
          <w:iCs/>
        </w:rPr>
        <w:t>Job</w:t>
      </w:r>
      <w:r w:rsidR="00D34B95">
        <w:rPr>
          <w:i/>
          <w:iCs/>
        </w:rPr>
        <w:noBreakHyphen/>
      </w:r>
      <w:r w:rsidRPr="2A94275A" w:rsidDel="00A80DF9">
        <w:rPr>
          <w:i/>
          <w:iCs/>
        </w:rPr>
        <w:t>ready Graduates</w:t>
      </w:r>
      <w:r w:rsidRPr="000177D7" w:rsidDel="00A80DF9">
        <w:t xml:space="preserve"> higher education reform package</w:t>
      </w:r>
      <w:r w:rsidRPr="000177D7">
        <w:t xml:space="preserve"> announced in the 2020 July Economic and Fiscal Update.</w:t>
      </w:r>
      <w:r w:rsidRPr="000177D7" w:rsidDel="00A80DF9">
        <w:t xml:space="preserve"> </w:t>
      </w:r>
      <w:r>
        <w:t>Expenses under HELP mainly reflect the estimated cost to the Government of providing concessional loans, which will vary with enrolment numbers, and the number and value of HELP loans.</w:t>
      </w:r>
    </w:p>
    <w:p w14:paraId="6BECEF9E" w14:textId="62EFECD7" w:rsidR="00C855DF" w:rsidRPr="000177D7" w:rsidRDefault="00C855DF" w:rsidP="00C855DF">
      <w:pPr>
        <w:pStyle w:val="Heading3"/>
      </w:pPr>
      <w:bookmarkStart w:id="68" w:name="_Toc134169617"/>
      <w:r w:rsidRPr="000177D7">
        <w:lastRenderedPageBreak/>
        <w:t>Health</w:t>
      </w:r>
      <w:bookmarkEnd w:id="62"/>
      <w:bookmarkEnd w:id="63"/>
      <w:bookmarkEnd w:id="66"/>
      <w:bookmarkEnd w:id="67"/>
      <w:bookmarkEnd w:id="68"/>
    </w:p>
    <w:p w14:paraId="2FD0F10C" w14:textId="2A1D5567" w:rsidR="00C855DF" w:rsidRPr="000177D7" w:rsidRDefault="00B561FF" w:rsidP="00D014C2">
      <w:bookmarkStart w:id="69" w:name="_Toc4577274"/>
      <w:bookmarkStart w:id="70" w:name="_Toc4689186"/>
      <w:r w:rsidRPr="000177D7">
        <w:t>The health function includes expenses relating to</w:t>
      </w:r>
      <w:r>
        <w:t xml:space="preserve"> </w:t>
      </w:r>
      <w:r w:rsidRPr="000177D7">
        <w:t>medical services that are funded through Medicare</w:t>
      </w:r>
      <w:r>
        <w:t>,</w:t>
      </w:r>
      <w:r w:rsidRPr="000177D7">
        <w:t xml:space="preserve"> payments to the states and territories to deliver essential health services, including public hospitals</w:t>
      </w:r>
      <w:r>
        <w:t>,</w:t>
      </w:r>
      <w:r w:rsidRPr="000177D7">
        <w:t xml:space="preserve"> the Pharmaceutical Benefits and Repatriation Pharmaceutical Benefits Schemes</w:t>
      </w:r>
      <w:r>
        <w:t>,</w:t>
      </w:r>
      <w:r w:rsidRPr="000177D7">
        <w:t xml:space="preserve"> the Private Health Insurance Rebate</w:t>
      </w:r>
      <w:r>
        <w:t>,</w:t>
      </w:r>
      <w:r w:rsidRPr="000177D7">
        <w:t xml:space="preserve"> Aboriginal and Torres Strait Islander health programs, mental health services</w:t>
      </w:r>
      <w:r>
        <w:t>,</w:t>
      </w:r>
      <w:r w:rsidRPr="000177D7">
        <w:t xml:space="preserve"> and health workforce initiatives.</w:t>
      </w:r>
    </w:p>
    <w:p w14:paraId="44A42645" w14:textId="09535E19" w:rsidR="00EB0C01" w:rsidRDefault="00C855DF" w:rsidP="00EB0C01">
      <w:pPr>
        <w:pStyle w:val="TableHeading"/>
        <w:rPr>
          <w:rFonts w:asciiTheme="minorHAnsi" w:eastAsiaTheme="minorHAnsi" w:hAnsiTheme="minorHAnsi" w:cstheme="minorBidi"/>
          <w:sz w:val="22"/>
          <w:szCs w:val="22"/>
          <w:lang w:eastAsia="en-US"/>
        </w:rPr>
      </w:pPr>
      <w:r w:rsidRPr="000177D7">
        <w:t>Table 6.8: Summary of expenses</w:t>
      </w:r>
      <w:r w:rsidR="00103F2F">
        <w:t xml:space="preserve"> </w:t>
      </w:r>
      <w:r w:rsidR="00485F94">
        <w:t>–</w:t>
      </w:r>
      <w:r w:rsidRPr="000177D7">
        <w:t xml:space="preserve"> health</w:t>
      </w:r>
      <w:bookmarkStart w:id="71" w:name="_1555619462"/>
      <w:bookmarkStart w:id="72" w:name="_1727774302"/>
      <w:bookmarkEnd w:id="71"/>
      <w:bookmarkEnd w:id="72"/>
    </w:p>
    <w:tbl>
      <w:tblPr>
        <w:tblW w:w="5000" w:type="pct"/>
        <w:tblCellMar>
          <w:left w:w="0" w:type="dxa"/>
          <w:right w:w="28" w:type="dxa"/>
        </w:tblCellMar>
        <w:tblLook w:val="04A0" w:firstRow="1" w:lastRow="0" w:firstColumn="1" w:lastColumn="0" w:noHBand="0" w:noVBand="1"/>
      </w:tblPr>
      <w:tblGrid>
        <w:gridCol w:w="3538"/>
        <w:gridCol w:w="836"/>
        <w:gridCol w:w="834"/>
        <w:gridCol w:w="834"/>
        <w:gridCol w:w="834"/>
        <w:gridCol w:w="834"/>
      </w:tblGrid>
      <w:tr w:rsidR="00EB0C01" w:rsidRPr="00EB0C01" w14:paraId="4BB0E8D0" w14:textId="77777777" w:rsidTr="00E832BC">
        <w:trPr>
          <w:divId w:val="1846937724"/>
          <w:trHeight w:hRule="exact" w:val="225"/>
        </w:trPr>
        <w:tc>
          <w:tcPr>
            <w:tcW w:w="2294" w:type="pct"/>
            <w:tcBorders>
              <w:top w:val="single" w:sz="4" w:space="0" w:color="002A54" w:themeColor="text2"/>
              <w:left w:val="nil"/>
              <w:bottom w:val="nil"/>
              <w:right w:val="nil"/>
            </w:tcBorders>
            <w:shd w:val="clear" w:color="000000" w:fill="FFFFFF"/>
            <w:noWrap/>
            <w:vAlign w:val="center"/>
            <w:hideMark/>
          </w:tcPr>
          <w:p w14:paraId="789D7C57" w14:textId="316DED49"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Sub</w:t>
            </w:r>
            <w:r w:rsidR="00D34B95">
              <w:rPr>
                <w:rFonts w:ascii="Arial" w:hAnsi="Arial" w:cs="Arial"/>
                <w:b/>
                <w:bCs/>
                <w:color w:val="000000"/>
                <w:sz w:val="16"/>
                <w:szCs w:val="16"/>
              </w:rPr>
              <w:noBreakHyphen/>
            </w:r>
            <w:r w:rsidRPr="00EB0C01">
              <w:rPr>
                <w:rFonts w:ascii="Arial" w:hAnsi="Arial" w:cs="Arial"/>
                <w:b/>
                <w:bCs/>
                <w:color w:val="000000"/>
                <w:sz w:val="16"/>
                <w:szCs w:val="16"/>
              </w:rPr>
              <w:t>function</w:t>
            </w:r>
          </w:p>
        </w:tc>
        <w:tc>
          <w:tcPr>
            <w:tcW w:w="2706"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CB80BFE" w14:textId="77777777" w:rsidR="00EB0C01" w:rsidRPr="00EB0C01" w:rsidRDefault="00EB0C01" w:rsidP="00EB0C01">
            <w:pPr>
              <w:spacing w:before="0" w:after="0" w:line="240" w:lineRule="auto"/>
              <w:jc w:val="center"/>
              <w:rPr>
                <w:rFonts w:ascii="Arial" w:hAnsi="Arial" w:cs="Arial"/>
                <w:color w:val="000000"/>
                <w:sz w:val="16"/>
                <w:szCs w:val="16"/>
              </w:rPr>
            </w:pPr>
            <w:r w:rsidRPr="00EB0C01">
              <w:rPr>
                <w:rFonts w:ascii="Arial" w:hAnsi="Arial" w:cs="Arial"/>
                <w:color w:val="000000"/>
                <w:sz w:val="16"/>
                <w:szCs w:val="16"/>
              </w:rPr>
              <w:t>Estimates</w:t>
            </w:r>
          </w:p>
        </w:tc>
      </w:tr>
      <w:tr w:rsidR="00EB0C01" w:rsidRPr="00EB0C01" w14:paraId="1CEAF5FC" w14:textId="77777777" w:rsidTr="00E832BC">
        <w:trPr>
          <w:divId w:val="1846937724"/>
          <w:trHeight w:hRule="exact" w:val="225"/>
        </w:trPr>
        <w:tc>
          <w:tcPr>
            <w:tcW w:w="2294" w:type="pct"/>
            <w:tcBorders>
              <w:top w:val="nil"/>
              <w:left w:val="nil"/>
              <w:bottom w:val="nil"/>
              <w:right w:val="nil"/>
            </w:tcBorders>
            <w:shd w:val="clear" w:color="000000" w:fill="FFFFFF"/>
            <w:noWrap/>
            <w:vAlign w:val="bottom"/>
            <w:hideMark/>
          </w:tcPr>
          <w:p w14:paraId="5CE04FB9"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42" w:type="pct"/>
            <w:tcBorders>
              <w:top w:val="single" w:sz="4" w:space="0" w:color="002A54" w:themeColor="text2"/>
              <w:left w:val="nil"/>
              <w:right w:val="nil"/>
            </w:tcBorders>
            <w:shd w:val="clear" w:color="000000" w:fill="FFFFFF"/>
            <w:noWrap/>
            <w:vAlign w:val="center"/>
            <w:hideMark/>
          </w:tcPr>
          <w:p w14:paraId="245F5615"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2022–23</w:t>
            </w:r>
          </w:p>
        </w:tc>
        <w:tc>
          <w:tcPr>
            <w:tcW w:w="541" w:type="pct"/>
            <w:tcBorders>
              <w:top w:val="single" w:sz="4" w:space="0" w:color="002A54" w:themeColor="text2"/>
              <w:left w:val="nil"/>
              <w:right w:val="nil"/>
            </w:tcBorders>
            <w:shd w:val="clear" w:color="000000" w:fill="E6F2FF"/>
            <w:noWrap/>
            <w:vAlign w:val="center"/>
            <w:hideMark/>
          </w:tcPr>
          <w:p w14:paraId="7876305A"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2023–24</w:t>
            </w:r>
          </w:p>
        </w:tc>
        <w:tc>
          <w:tcPr>
            <w:tcW w:w="541" w:type="pct"/>
            <w:tcBorders>
              <w:top w:val="single" w:sz="4" w:space="0" w:color="002A54" w:themeColor="text2"/>
              <w:left w:val="nil"/>
              <w:right w:val="nil"/>
            </w:tcBorders>
            <w:shd w:val="clear" w:color="000000" w:fill="FFFFFF"/>
            <w:noWrap/>
            <w:vAlign w:val="center"/>
            <w:hideMark/>
          </w:tcPr>
          <w:p w14:paraId="6929ECE5"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2024–25</w:t>
            </w:r>
          </w:p>
        </w:tc>
        <w:tc>
          <w:tcPr>
            <w:tcW w:w="541" w:type="pct"/>
            <w:tcBorders>
              <w:top w:val="single" w:sz="4" w:space="0" w:color="002A54" w:themeColor="text2"/>
              <w:left w:val="nil"/>
              <w:right w:val="nil"/>
            </w:tcBorders>
            <w:shd w:val="clear" w:color="000000" w:fill="FFFFFF"/>
            <w:noWrap/>
            <w:vAlign w:val="center"/>
            <w:hideMark/>
          </w:tcPr>
          <w:p w14:paraId="0872054E" w14:textId="77777777" w:rsidR="00EB0C01" w:rsidRPr="00EB0C01" w:rsidRDefault="00EB0C01" w:rsidP="00EB0C01">
            <w:pPr>
              <w:spacing w:before="0" w:after="0" w:line="240" w:lineRule="auto"/>
              <w:jc w:val="right"/>
              <w:rPr>
                <w:rFonts w:ascii="Arial" w:hAnsi="Arial" w:cs="Arial"/>
                <w:sz w:val="16"/>
                <w:szCs w:val="16"/>
              </w:rPr>
            </w:pPr>
            <w:r w:rsidRPr="00EB0C01">
              <w:rPr>
                <w:rFonts w:ascii="Arial" w:hAnsi="Arial" w:cs="Arial"/>
                <w:sz w:val="16"/>
                <w:szCs w:val="16"/>
              </w:rPr>
              <w:t>2025–26</w:t>
            </w:r>
          </w:p>
        </w:tc>
        <w:tc>
          <w:tcPr>
            <w:tcW w:w="541" w:type="pct"/>
            <w:tcBorders>
              <w:top w:val="single" w:sz="4" w:space="0" w:color="002A54" w:themeColor="text2"/>
              <w:left w:val="nil"/>
              <w:right w:val="nil"/>
            </w:tcBorders>
            <w:shd w:val="clear" w:color="000000" w:fill="FFFFFF"/>
            <w:noWrap/>
            <w:vAlign w:val="center"/>
            <w:hideMark/>
          </w:tcPr>
          <w:p w14:paraId="19423B55"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2026–27</w:t>
            </w:r>
          </w:p>
        </w:tc>
      </w:tr>
      <w:tr w:rsidR="00EB0C01" w:rsidRPr="00EB0C01" w14:paraId="0B0CBB39" w14:textId="77777777" w:rsidTr="00E832BC">
        <w:trPr>
          <w:divId w:val="1846937724"/>
          <w:trHeight w:hRule="exact" w:val="225"/>
        </w:trPr>
        <w:tc>
          <w:tcPr>
            <w:tcW w:w="2294" w:type="pct"/>
            <w:tcBorders>
              <w:top w:val="nil"/>
              <w:left w:val="nil"/>
              <w:bottom w:val="nil"/>
              <w:right w:val="nil"/>
            </w:tcBorders>
            <w:shd w:val="clear" w:color="000000" w:fill="FFFFFF"/>
            <w:noWrap/>
            <w:vAlign w:val="center"/>
            <w:hideMark/>
          </w:tcPr>
          <w:p w14:paraId="7CEB90AC"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 </w:t>
            </w:r>
          </w:p>
        </w:tc>
        <w:tc>
          <w:tcPr>
            <w:tcW w:w="542" w:type="pct"/>
            <w:tcBorders>
              <w:top w:val="nil"/>
              <w:left w:val="nil"/>
              <w:bottom w:val="single" w:sz="4" w:space="0" w:color="002A54" w:themeColor="text2"/>
              <w:right w:val="nil"/>
            </w:tcBorders>
            <w:shd w:val="clear" w:color="000000" w:fill="FFFFFF"/>
            <w:noWrap/>
            <w:vAlign w:val="center"/>
            <w:hideMark/>
          </w:tcPr>
          <w:p w14:paraId="741A054D"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41" w:type="pct"/>
            <w:tcBorders>
              <w:top w:val="nil"/>
              <w:left w:val="nil"/>
              <w:bottom w:val="single" w:sz="4" w:space="0" w:color="002A54" w:themeColor="text2"/>
              <w:right w:val="nil"/>
            </w:tcBorders>
            <w:shd w:val="clear" w:color="000000" w:fill="E6F2FF"/>
            <w:noWrap/>
            <w:vAlign w:val="center"/>
            <w:hideMark/>
          </w:tcPr>
          <w:p w14:paraId="254A4DB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41" w:type="pct"/>
            <w:tcBorders>
              <w:top w:val="nil"/>
              <w:left w:val="nil"/>
              <w:bottom w:val="single" w:sz="4" w:space="0" w:color="002A54" w:themeColor="text2"/>
              <w:right w:val="nil"/>
            </w:tcBorders>
            <w:shd w:val="clear" w:color="000000" w:fill="FFFFFF"/>
            <w:noWrap/>
            <w:vAlign w:val="center"/>
            <w:hideMark/>
          </w:tcPr>
          <w:p w14:paraId="2E93366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41" w:type="pct"/>
            <w:tcBorders>
              <w:top w:val="nil"/>
              <w:left w:val="nil"/>
              <w:bottom w:val="single" w:sz="4" w:space="0" w:color="002A54" w:themeColor="text2"/>
              <w:right w:val="nil"/>
            </w:tcBorders>
            <w:shd w:val="clear" w:color="000000" w:fill="FFFFFF"/>
            <w:noWrap/>
            <w:vAlign w:val="center"/>
            <w:hideMark/>
          </w:tcPr>
          <w:p w14:paraId="6099C7C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c>
          <w:tcPr>
            <w:tcW w:w="541" w:type="pct"/>
            <w:tcBorders>
              <w:top w:val="nil"/>
              <w:left w:val="nil"/>
              <w:bottom w:val="single" w:sz="4" w:space="0" w:color="002A54" w:themeColor="text2"/>
              <w:right w:val="nil"/>
            </w:tcBorders>
            <w:shd w:val="clear" w:color="000000" w:fill="FFFFFF"/>
            <w:noWrap/>
            <w:vAlign w:val="center"/>
            <w:hideMark/>
          </w:tcPr>
          <w:p w14:paraId="069130E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$m</w:t>
            </w:r>
          </w:p>
        </w:tc>
      </w:tr>
      <w:tr w:rsidR="00EB0C01" w:rsidRPr="00EB0C01" w14:paraId="6588A1BE" w14:textId="77777777" w:rsidTr="00E832BC">
        <w:trPr>
          <w:divId w:val="1846937724"/>
          <w:trHeight w:hRule="exact" w:val="225"/>
        </w:trPr>
        <w:tc>
          <w:tcPr>
            <w:tcW w:w="2294" w:type="pct"/>
            <w:tcBorders>
              <w:top w:val="nil"/>
              <w:left w:val="nil"/>
              <w:bottom w:val="nil"/>
              <w:right w:val="nil"/>
            </w:tcBorders>
            <w:shd w:val="clear" w:color="000000" w:fill="FFFFFF"/>
            <w:noWrap/>
            <w:vAlign w:val="center"/>
            <w:hideMark/>
          </w:tcPr>
          <w:p w14:paraId="027735E1"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Medical services and benefits</w:t>
            </w:r>
          </w:p>
        </w:tc>
        <w:tc>
          <w:tcPr>
            <w:tcW w:w="542" w:type="pct"/>
            <w:tcBorders>
              <w:top w:val="single" w:sz="4" w:space="0" w:color="002A54" w:themeColor="text2"/>
              <w:left w:val="nil"/>
              <w:bottom w:val="nil"/>
              <w:right w:val="nil"/>
            </w:tcBorders>
            <w:shd w:val="clear" w:color="000000" w:fill="FFFFFF"/>
            <w:noWrap/>
            <w:vAlign w:val="center"/>
            <w:hideMark/>
          </w:tcPr>
          <w:p w14:paraId="325AA6B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36,982</w:t>
            </w:r>
          </w:p>
        </w:tc>
        <w:tc>
          <w:tcPr>
            <w:tcW w:w="541" w:type="pct"/>
            <w:tcBorders>
              <w:top w:val="single" w:sz="4" w:space="0" w:color="002A54" w:themeColor="text2"/>
              <w:left w:val="nil"/>
              <w:bottom w:val="nil"/>
              <w:right w:val="nil"/>
            </w:tcBorders>
            <w:shd w:val="clear" w:color="000000" w:fill="E6F2FF"/>
            <w:noWrap/>
            <w:vAlign w:val="center"/>
            <w:hideMark/>
          </w:tcPr>
          <w:p w14:paraId="5ABBB51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39,300</w:t>
            </w:r>
          </w:p>
        </w:tc>
        <w:tc>
          <w:tcPr>
            <w:tcW w:w="541" w:type="pct"/>
            <w:tcBorders>
              <w:top w:val="single" w:sz="4" w:space="0" w:color="002A54" w:themeColor="text2"/>
              <w:left w:val="nil"/>
              <w:bottom w:val="nil"/>
              <w:right w:val="nil"/>
            </w:tcBorders>
            <w:shd w:val="clear" w:color="000000" w:fill="FFFFFF"/>
            <w:noWrap/>
            <w:vAlign w:val="center"/>
            <w:hideMark/>
          </w:tcPr>
          <w:p w14:paraId="6E1F440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41,313</w:t>
            </w:r>
          </w:p>
        </w:tc>
        <w:tc>
          <w:tcPr>
            <w:tcW w:w="541" w:type="pct"/>
            <w:tcBorders>
              <w:top w:val="single" w:sz="4" w:space="0" w:color="002A54" w:themeColor="text2"/>
              <w:left w:val="nil"/>
              <w:bottom w:val="nil"/>
              <w:right w:val="nil"/>
            </w:tcBorders>
            <w:shd w:val="clear" w:color="000000" w:fill="FFFFFF"/>
            <w:noWrap/>
            <w:vAlign w:val="center"/>
            <w:hideMark/>
          </w:tcPr>
          <w:p w14:paraId="40822A2B"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43,396</w:t>
            </w:r>
          </w:p>
        </w:tc>
        <w:tc>
          <w:tcPr>
            <w:tcW w:w="541" w:type="pct"/>
            <w:tcBorders>
              <w:top w:val="single" w:sz="4" w:space="0" w:color="002A54" w:themeColor="text2"/>
              <w:left w:val="nil"/>
              <w:bottom w:val="nil"/>
              <w:right w:val="nil"/>
            </w:tcBorders>
            <w:shd w:val="clear" w:color="000000" w:fill="FFFFFF"/>
            <w:noWrap/>
            <w:vAlign w:val="center"/>
            <w:hideMark/>
          </w:tcPr>
          <w:p w14:paraId="5C989B3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45,471</w:t>
            </w:r>
          </w:p>
        </w:tc>
      </w:tr>
      <w:tr w:rsidR="00EB0C01" w:rsidRPr="00EB0C01" w14:paraId="5C22766F" w14:textId="77777777" w:rsidTr="00EB0C01">
        <w:trPr>
          <w:divId w:val="1846937724"/>
          <w:trHeight w:hRule="exact" w:val="225"/>
        </w:trPr>
        <w:tc>
          <w:tcPr>
            <w:tcW w:w="2294" w:type="pct"/>
            <w:tcBorders>
              <w:top w:val="nil"/>
              <w:left w:val="nil"/>
              <w:bottom w:val="nil"/>
              <w:right w:val="nil"/>
            </w:tcBorders>
            <w:shd w:val="clear" w:color="000000" w:fill="FFFFFF"/>
            <w:noWrap/>
            <w:vAlign w:val="center"/>
            <w:hideMark/>
          </w:tcPr>
          <w:p w14:paraId="45B1D867"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Pharmaceutical benefits and services</w:t>
            </w:r>
          </w:p>
        </w:tc>
        <w:tc>
          <w:tcPr>
            <w:tcW w:w="542" w:type="pct"/>
            <w:tcBorders>
              <w:top w:val="nil"/>
              <w:left w:val="nil"/>
              <w:bottom w:val="nil"/>
              <w:right w:val="nil"/>
            </w:tcBorders>
            <w:shd w:val="clear" w:color="000000" w:fill="FFFFFF"/>
            <w:noWrap/>
            <w:vAlign w:val="center"/>
            <w:hideMark/>
          </w:tcPr>
          <w:p w14:paraId="52C7D437"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19,592</w:t>
            </w:r>
          </w:p>
        </w:tc>
        <w:tc>
          <w:tcPr>
            <w:tcW w:w="541" w:type="pct"/>
            <w:tcBorders>
              <w:top w:val="nil"/>
              <w:left w:val="nil"/>
              <w:bottom w:val="nil"/>
              <w:right w:val="nil"/>
            </w:tcBorders>
            <w:shd w:val="clear" w:color="000000" w:fill="E6F2FF"/>
            <w:noWrap/>
            <w:vAlign w:val="center"/>
            <w:hideMark/>
          </w:tcPr>
          <w:p w14:paraId="572511E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19,106</w:t>
            </w:r>
          </w:p>
        </w:tc>
        <w:tc>
          <w:tcPr>
            <w:tcW w:w="541" w:type="pct"/>
            <w:tcBorders>
              <w:top w:val="nil"/>
              <w:left w:val="nil"/>
              <w:bottom w:val="nil"/>
              <w:right w:val="nil"/>
            </w:tcBorders>
            <w:shd w:val="clear" w:color="000000" w:fill="FFFFFF"/>
            <w:noWrap/>
            <w:vAlign w:val="center"/>
            <w:hideMark/>
          </w:tcPr>
          <w:p w14:paraId="442DAA0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19,035</w:t>
            </w:r>
          </w:p>
        </w:tc>
        <w:tc>
          <w:tcPr>
            <w:tcW w:w="541" w:type="pct"/>
            <w:tcBorders>
              <w:top w:val="nil"/>
              <w:left w:val="nil"/>
              <w:bottom w:val="nil"/>
              <w:right w:val="nil"/>
            </w:tcBorders>
            <w:shd w:val="clear" w:color="000000" w:fill="FFFFFF"/>
            <w:noWrap/>
            <w:vAlign w:val="center"/>
            <w:hideMark/>
          </w:tcPr>
          <w:p w14:paraId="26E0D53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19,214</w:t>
            </w:r>
          </w:p>
        </w:tc>
        <w:tc>
          <w:tcPr>
            <w:tcW w:w="541" w:type="pct"/>
            <w:tcBorders>
              <w:top w:val="nil"/>
              <w:left w:val="nil"/>
              <w:bottom w:val="nil"/>
              <w:right w:val="nil"/>
            </w:tcBorders>
            <w:shd w:val="clear" w:color="000000" w:fill="FFFFFF"/>
            <w:noWrap/>
            <w:vAlign w:val="center"/>
            <w:hideMark/>
          </w:tcPr>
          <w:p w14:paraId="1A5F7BF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19,232</w:t>
            </w:r>
          </w:p>
        </w:tc>
      </w:tr>
      <w:tr w:rsidR="00EB0C01" w:rsidRPr="00EB0C01" w14:paraId="28F060D3" w14:textId="77777777" w:rsidTr="00EB0C01">
        <w:trPr>
          <w:divId w:val="1846937724"/>
          <w:trHeight w:hRule="exact" w:val="225"/>
        </w:trPr>
        <w:tc>
          <w:tcPr>
            <w:tcW w:w="2294" w:type="pct"/>
            <w:tcBorders>
              <w:top w:val="nil"/>
              <w:left w:val="nil"/>
              <w:bottom w:val="nil"/>
              <w:right w:val="nil"/>
            </w:tcBorders>
            <w:shd w:val="clear" w:color="000000" w:fill="FFFFFF"/>
            <w:noWrap/>
            <w:vAlign w:val="center"/>
            <w:hideMark/>
          </w:tcPr>
          <w:p w14:paraId="31266EC5"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Assistance to the states for public hospitals</w:t>
            </w:r>
          </w:p>
        </w:tc>
        <w:tc>
          <w:tcPr>
            <w:tcW w:w="542" w:type="pct"/>
            <w:tcBorders>
              <w:top w:val="nil"/>
              <w:left w:val="nil"/>
              <w:bottom w:val="nil"/>
              <w:right w:val="nil"/>
            </w:tcBorders>
            <w:shd w:val="clear" w:color="000000" w:fill="FFFFFF"/>
            <w:noWrap/>
            <w:vAlign w:val="center"/>
            <w:hideMark/>
          </w:tcPr>
          <w:p w14:paraId="2A744B5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25,658</w:t>
            </w:r>
          </w:p>
        </w:tc>
        <w:tc>
          <w:tcPr>
            <w:tcW w:w="541" w:type="pct"/>
            <w:tcBorders>
              <w:top w:val="nil"/>
              <w:left w:val="nil"/>
              <w:bottom w:val="nil"/>
              <w:right w:val="nil"/>
            </w:tcBorders>
            <w:shd w:val="clear" w:color="000000" w:fill="E6F2FF"/>
            <w:noWrap/>
            <w:vAlign w:val="center"/>
            <w:hideMark/>
          </w:tcPr>
          <w:p w14:paraId="4A7C19C8"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28,392</w:t>
            </w:r>
          </w:p>
        </w:tc>
        <w:tc>
          <w:tcPr>
            <w:tcW w:w="541" w:type="pct"/>
            <w:tcBorders>
              <w:top w:val="nil"/>
              <w:left w:val="nil"/>
              <w:bottom w:val="nil"/>
              <w:right w:val="nil"/>
            </w:tcBorders>
            <w:shd w:val="clear" w:color="000000" w:fill="FFFFFF"/>
            <w:noWrap/>
            <w:vAlign w:val="center"/>
            <w:hideMark/>
          </w:tcPr>
          <w:p w14:paraId="15F5F62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30,456</w:t>
            </w:r>
          </w:p>
        </w:tc>
        <w:tc>
          <w:tcPr>
            <w:tcW w:w="541" w:type="pct"/>
            <w:tcBorders>
              <w:top w:val="nil"/>
              <w:left w:val="nil"/>
              <w:bottom w:val="nil"/>
              <w:right w:val="nil"/>
            </w:tcBorders>
            <w:shd w:val="clear" w:color="000000" w:fill="FFFFFF"/>
            <w:noWrap/>
            <w:vAlign w:val="center"/>
            <w:hideMark/>
          </w:tcPr>
          <w:p w14:paraId="17F22B77"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32,215</w:t>
            </w:r>
          </w:p>
        </w:tc>
        <w:tc>
          <w:tcPr>
            <w:tcW w:w="541" w:type="pct"/>
            <w:tcBorders>
              <w:top w:val="nil"/>
              <w:left w:val="nil"/>
              <w:bottom w:val="nil"/>
              <w:right w:val="nil"/>
            </w:tcBorders>
            <w:shd w:val="clear" w:color="000000" w:fill="FFFFFF"/>
            <w:noWrap/>
            <w:vAlign w:val="center"/>
            <w:hideMark/>
          </w:tcPr>
          <w:p w14:paraId="407A2529"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34,296</w:t>
            </w:r>
          </w:p>
        </w:tc>
      </w:tr>
      <w:tr w:rsidR="00EB0C01" w:rsidRPr="00EB0C01" w14:paraId="08F4F022" w14:textId="77777777" w:rsidTr="00EB0C01">
        <w:trPr>
          <w:divId w:val="1846937724"/>
          <w:trHeight w:hRule="exact" w:val="225"/>
        </w:trPr>
        <w:tc>
          <w:tcPr>
            <w:tcW w:w="2294" w:type="pct"/>
            <w:tcBorders>
              <w:top w:val="nil"/>
              <w:left w:val="nil"/>
              <w:bottom w:val="nil"/>
              <w:right w:val="nil"/>
            </w:tcBorders>
            <w:shd w:val="clear" w:color="000000" w:fill="FFFFFF"/>
            <w:noWrap/>
            <w:vAlign w:val="center"/>
            <w:hideMark/>
          </w:tcPr>
          <w:p w14:paraId="28BF4AB5"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Hospital services(a)</w:t>
            </w:r>
          </w:p>
        </w:tc>
        <w:tc>
          <w:tcPr>
            <w:tcW w:w="542" w:type="pct"/>
            <w:tcBorders>
              <w:top w:val="nil"/>
              <w:left w:val="nil"/>
              <w:bottom w:val="nil"/>
              <w:right w:val="nil"/>
            </w:tcBorders>
            <w:shd w:val="clear" w:color="000000" w:fill="FFFFFF"/>
            <w:noWrap/>
            <w:vAlign w:val="center"/>
            <w:hideMark/>
          </w:tcPr>
          <w:p w14:paraId="4DA1C33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973</w:t>
            </w:r>
          </w:p>
        </w:tc>
        <w:tc>
          <w:tcPr>
            <w:tcW w:w="541" w:type="pct"/>
            <w:tcBorders>
              <w:top w:val="nil"/>
              <w:left w:val="nil"/>
              <w:bottom w:val="nil"/>
              <w:right w:val="nil"/>
            </w:tcBorders>
            <w:shd w:val="clear" w:color="000000" w:fill="E6F2FF"/>
            <w:noWrap/>
            <w:vAlign w:val="center"/>
            <w:hideMark/>
          </w:tcPr>
          <w:p w14:paraId="51CBF1E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999</w:t>
            </w:r>
          </w:p>
        </w:tc>
        <w:tc>
          <w:tcPr>
            <w:tcW w:w="541" w:type="pct"/>
            <w:tcBorders>
              <w:top w:val="nil"/>
              <w:left w:val="nil"/>
              <w:bottom w:val="nil"/>
              <w:right w:val="nil"/>
            </w:tcBorders>
            <w:shd w:val="clear" w:color="000000" w:fill="FFFFFF"/>
            <w:noWrap/>
            <w:vAlign w:val="center"/>
            <w:hideMark/>
          </w:tcPr>
          <w:p w14:paraId="180CC0C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1,137</w:t>
            </w:r>
          </w:p>
        </w:tc>
        <w:tc>
          <w:tcPr>
            <w:tcW w:w="541" w:type="pct"/>
            <w:tcBorders>
              <w:top w:val="nil"/>
              <w:left w:val="nil"/>
              <w:bottom w:val="nil"/>
              <w:right w:val="nil"/>
            </w:tcBorders>
            <w:shd w:val="clear" w:color="000000" w:fill="FFFFFF"/>
            <w:noWrap/>
            <w:vAlign w:val="center"/>
            <w:hideMark/>
          </w:tcPr>
          <w:p w14:paraId="3C4B73AC"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1,195</w:t>
            </w:r>
          </w:p>
        </w:tc>
        <w:tc>
          <w:tcPr>
            <w:tcW w:w="541" w:type="pct"/>
            <w:tcBorders>
              <w:top w:val="nil"/>
              <w:left w:val="nil"/>
              <w:bottom w:val="nil"/>
              <w:right w:val="nil"/>
            </w:tcBorders>
            <w:shd w:val="clear" w:color="000000" w:fill="FFFFFF"/>
            <w:noWrap/>
            <w:vAlign w:val="center"/>
            <w:hideMark/>
          </w:tcPr>
          <w:p w14:paraId="35A152DE"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1,220</w:t>
            </w:r>
          </w:p>
        </w:tc>
      </w:tr>
      <w:tr w:rsidR="00EB0C01" w:rsidRPr="00EB0C01" w14:paraId="5584B8D1" w14:textId="77777777" w:rsidTr="00EB0C01">
        <w:trPr>
          <w:divId w:val="1846937724"/>
          <w:trHeight w:hRule="exact" w:val="225"/>
        </w:trPr>
        <w:tc>
          <w:tcPr>
            <w:tcW w:w="2294" w:type="pct"/>
            <w:tcBorders>
              <w:top w:val="nil"/>
              <w:left w:val="nil"/>
              <w:bottom w:val="nil"/>
              <w:right w:val="nil"/>
            </w:tcBorders>
            <w:shd w:val="clear" w:color="000000" w:fill="FFFFFF"/>
            <w:noWrap/>
            <w:vAlign w:val="center"/>
            <w:hideMark/>
          </w:tcPr>
          <w:p w14:paraId="37AD07E4" w14:textId="77777777" w:rsidR="00EB0C01" w:rsidRPr="00EB0C01" w:rsidRDefault="00EB0C01" w:rsidP="00EB0C01">
            <w:pPr>
              <w:spacing w:before="0" w:after="0" w:line="240" w:lineRule="auto"/>
              <w:rPr>
                <w:rFonts w:ascii="Arial" w:hAnsi="Arial" w:cs="Arial"/>
                <w:sz w:val="16"/>
                <w:szCs w:val="16"/>
              </w:rPr>
            </w:pPr>
            <w:r w:rsidRPr="00EB0C01">
              <w:rPr>
                <w:rFonts w:ascii="Arial" w:hAnsi="Arial" w:cs="Arial"/>
                <w:sz w:val="16"/>
                <w:szCs w:val="16"/>
              </w:rPr>
              <w:t>Health services</w:t>
            </w:r>
          </w:p>
        </w:tc>
        <w:tc>
          <w:tcPr>
            <w:tcW w:w="542" w:type="pct"/>
            <w:tcBorders>
              <w:top w:val="nil"/>
              <w:left w:val="nil"/>
              <w:bottom w:val="nil"/>
              <w:right w:val="nil"/>
            </w:tcBorders>
            <w:shd w:val="clear" w:color="000000" w:fill="FFFFFF"/>
            <w:noWrap/>
            <w:vAlign w:val="center"/>
            <w:hideMark/>
          </w:tcPr>
          <w:p w14:paraId="041490D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19,163</w:t>
            </w:r>
          </w:p>
        </w:tc>
        <w:tc>
          <w:tcPr>
            <w:tcW w:w="541" w:type="pct"/>
            <w:tcBorders>
              <w:top w:val="nil"/>
              <w:left w:val="nil"/>
              <w:bottom w:val="nil"/>
              <w:right w:val="nil"/>
            </w:tcBorders>
            <w:shd w:val="clear" w:color="000000" w:fill="E6F2FF"/>
            <w:noWrap/>
            <w:vAlign w:val="center"/>
            <w:hideMark/>
          </w:tcPr>
          <w:p w14:paraId="240662B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13,220</w:t>
            </w:r>
          </w:p>
        </w:tc>
        <w:tc>
          <w:tcPr>
            <w:tcW w:w="541" w:type="pct"/>
            <w:tcBorders>
              <w:top w:val="nil"/>
              <w:left w:val="nil"/>
              <w:bottom w:val="nil"/>
              <w:right w:val="nil"/>
            </w:tcBorders>
            <w:shd w:val="clear" w:color="000000" w:fill="FFFFFF"/>
            <w:noWrap/>
            <w:vAlign w:val="center"/>
            <w:hideMark/>
          </w:tcPr>
          <w:p w14:paraId="2406376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11,776</w:t>
            </w:r>
          </w:p>
        </w:tc>
        <w:tc>
          <w:tcPr>
            <w:tcW w:w="541" w:type="pct"/>
            <w:tcBorders>
              <w:top w:val="nil"/>
              <w:left w:val="nil"/>
              <w:bottom w:val="nil"/>
              <w:right w:val="nil"/>
            </w:tcBorders>
            <w:shd w:val="clear" w:color="000000" w:fill="FFFFFF"/>
            <w:noWrap/>
            <w:vAlign w:val="center"/>
            <w:hideMark/>
          </w:tcPr>
          <w:p w14:paraId="1D87A530"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11,247</w:t>
            </w:r>
          </w:p>
        </w:tc>
        <w:tc>
          <w:tcPr>
            <w:tcW w:w="541" w:type="pct"/>
            <w:tcBorders>
              <w:top w:val="nil"/>
              <w:left w:val="nil"/>
              <w:bottom w:val="nil"/>
              <w:right w:val="nil"/>
            </w:tcBorders>
            <w:shd w:val="clear" w:color="000000" w:fill="FFFFFF"/>
            <w:noWrap/>
            <w:vAlign w:val="center"/>
            <w:hideMark/>
          </w:tcPr>
          <w:p w14:paraId="77D8DC34"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11,230</w:t>
            </w:r>
          </w:p>
        </w:tc>
      </w:tr>
      <w:tr w:rsidR="00EB0C01" w:rsidRPr="00EB0C01" w14:paraId="6E31F41D" w14:textId="77777777" w:rsidTr="00E832BC">
        <w:trPr>
          <w:divId w:val="1846937724"/>
          <w:trHeight w:hRule="exact" w:val="225"/>
        </w:trPr>
        <w:tc>
          <w:tcPr>
            <w:tcW w:w="2294" w:type="pct"/>
            <w:tcBorders>
              <w:top w:val="nil"/>
              <w:left w:val="nil"/>
              <w:bottom w:val="nil"/>
              <w:right w:val="nil"/>
            </w:tcBorders>
            <w:shd w:val="clear" w:color="000000" w:fill="FFFFFF"/>
            <w:noWrap/>
            <w:vAlign w:val="center"/>
            <w:hideMark/>
          </w:tcPr>
          <w:p w14:paraId="5FB30290"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General administration</w:t>
            </w:r>
          </w:p>
        </w:tc>
        <w:tc>
          <w:tcPr>
            <w:tcW w:w="542" w:type="pct"/>
            <w:tcBorders>
              <w:top w:val="nil"/>
              <w:left w:val="nil"/>
              <w:right w:val="nil"/>
            </w:tcBorders>
            <w:shd w:val="clear" w:color="000000" w:fill="FFFFFF"/>
            <w:noWrap/>
            <w:vAlign w:val="center"/>
            <w:hideMark/>
          </w:tcPr>
          <w:p w14:paraId="717649F1"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4,212</w:t>
            </w:r>
          </w:p>
        </w:tc>
        <w:tc>
          <w:tcPr>
            <w:tcW w:w="541" w:type="pct"/>
            <w:tcBorders>
              <w:top w:val="nil"/>
              <w:left w:val="nil"/>
              <w:right w:val="nil"/>
            </w:tcBorders>
            <w:shd w:val="clear" w:color="000000" w:fill="E6F2FF"/>
            <w:noWrap/>
            <w:vAlign w:val="center"/>
            <w:hideMark/>
          </w:tcPr>
          <w:p w14:paraId="61FF978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4,286</w:t>
            </w:r>
          </w:p>
        </w:tc>
        <w:tc>
          <w:tcPr>
            <w:tcW w:w="541" w:type="pct"/>
            <w:tcBorders>
              <w:top w:val="nil"/>
              <w:left w:val="nil"/>
              <w:right w:val="nil"/>
            </w:tcBorders>
            <w:shd w:val="clear" w:color="000000" w:fill="FFFFFF"/>
            <w:noWrap/>
            <w:vAlign w:val="center"/>
            <w:hideMark/>
          </w:tcPr>
          <w:p w14:paraId="25646B43"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3,815</w:t>
            </w:r>
          </w:p>
        </w:tc>
        <w:tc>
          <w:tcPr>
            <w:tcW w:w="541" w:type="pct"/>
            <w:tcBorders>
              <w:top w:val="nil"/>
              <w:left w:val="nil"/>
              <w:right w:val="nil"/>
            </w:tcBorders>
            <w:shd w:val="clear" w:color="000000" w:fill="FFFFFF"/>
            <w:noWrap/>
            <w:vAlign w:val="center"/>
            <w:hideMark/>
          </w:tcPr>
          <w:p w14:paraId="1873A7AF"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3,605</w:t>
            </w:r>
          </w:p>
        </w:tc>
        <w:tc>
          <w:tcPr>
            <w:tcW w:w="541" w:type="pct"/>
            <w:tcBorders>
              <w:top w:val="nil"/>
              <w:left w:val="nil"/>
              <w:right w:val="nil"/>
            </w:tcBorders>
            <w:shd w:val="clear" w:color="000000" w:fill="FFFFFF"/>
            <w:noWrap/>
            <w:vAlign w:val="center"/>
            <w:hideMark/>
          </w:tcPr>
          <w:p w14:paraId="27F49CD9"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3,558</w:t>
            </w:r>
          </w:p>
        </w:tc>
      </w:tr>
      <w:tr w:rsidR="00EB0C01" w:rsidRPr="00EB0C01" w14:paraId="3E4E12A5" w14:textId="77777777" w:rsidTr="00E832BC">
        <w:trPr>
          <w:divId w:val="1846937724"/>
          <w:trHeight w:hRule="exact" w:val="225"/>
        </w:trPr>
        <w:tc>
          <w:tcPr>
            <w:tcW w:w="2294" w:type="pct"/>
            <w:tcBorders>
              <w:top w:val="nil"/>
              <w:left w:val="nil"/>
              <w:bottom w:val="nil"/>
              <w:right w:val="nil"/>
            </w:tcBorders>
            <w:shd w:val="clear" w:color="000000" w:fill="FFFFFF"/>
            <w:noWrap/>
            <w:vAlign w:val="center"/>
            <w:hideMark/>
          </w:tcPr>
          <w:p w14:paraId="0D6F0116" w14:textId="77777777" w:rsidR="00EB0C01" w:rsidRPr="00EB0C01" w:rsidRDefault="00EB0C01" w:rsidP="00EB0C01">
            <w:pPr>
              <w:spacing w:before="0" w:after="0" w:line="240" w:lineRule="auto"/>
              <w:rPr>
                <w:rFonts w:ascii="Arial" w:hAnsi="Arial" w:cs="Arial"/>
                <w:color w:val="000000"/>
                <w:sz w:val="16"/>
                <w:szCs w:val="16"/>
              </w:rPr>
            </w:pPr>
            <w:r w:rsidRPr="00EB0C01">
              <w:rPr>
                <w:rFonts w:ascii="Arial" w:hAnsi="Arial" w:cs="Arial"/>
                <w:color w:val="000000"/>
                <w:sz w:val="16"/>
                <w:szCs w:val="16"/>
              </w:rPr>
              <w:t>Aboriginal and Torres Strait Islander health</w:t>
            </w:r>
          </w:p>
        </w:tc>
        <w:tc>
          <w:tcPr>
            <w:tcW w:w="542" w:type="pct"/>
            <w:tcBorders>
              <w:top w:val="nil"/>
              <w:left w:val="nil"/>
              <w:bottom w:val="single" w:sz="4" w:space="0" w:color="002A54" w:themeColor="text2"/>
              <w:right w:val="nil"/>
            </w:tcBorders>
            <w:shd w:val="clear" w:color="000000" w:fill="FFFFFF"/>
            <w:noWrap/>
            <w:vAlign w:val="center"/>
            <w:hideMark/>
          </w:tcPr>
          <w:p w14:paraId="768968E7"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1,130</w:t>
            </w:r>
          </w:p>
        </w:tc>
        <w:tc>
          <w:tcPr>
            <w:tcW w:w="541" w:type="pct"/>
            <w:tcBorders>
              <w:top w:val="nil"/>
              <w:left w:val="nil"/>
              <w:bottom w:val="single" w:sz="4" w:space="0" w:color="002A54" w:themeColor="text2"/>
              <w:right w:val="nil"/>
            </w:tcBorders>
            <w:shd w:val="clear" w:color="000000" w:fill="E6F2FF"/>
            <w:noWrap/>
            <w:vAlign w:val="center"/>
            <w:hideMark/>
          </w:tcPr>
          <w:p w14:paraId="108A63CD"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1,234</w:t>
            </w:r>
          </w:p>
        </w:tc>
        <w:tc>
          <w:tcPr>
            <w:tcW w:w="541" w:type="pct"/>
            <w:tcBorders>
              <w:top w:val="nil"/>
              <w:left w:val="nil"/>
              <w:bottom w:val="single" w:sz="4" w:space="0" w:color="002A54" w:themeColor="text2"/>
              <w:right w:val="nil"/>
            </w:tcBorders>
            <w:shd w:val="clear" w:color="000000" w:fill="FFFFFF"/>
            <w:noWrap/>
            <w:vAlign w:val="center"/>
            <w:hideMark/>
          </w:tcPr>
          <w:p w14:paraId="282368F2"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1,328</w:t>
            </w:r>
          </w:p>
        </w:tc>
        <w:tc>
          <w:tcPr>
            <w:tcW w:w="541" w:type="pct"/>
            <w:tcBorders>
              <w:top w:val="nil"/>
              <w:left w:val="nil"/>
              <w:bottom w:val="single" w:sz="4" w:space="0" w:color="002A54" w:themeColor="text2"/>
              <w:right w:val="nil"/>
            </w:tcBorders>
            <w:shd w:val="clear" w:color="000000" w:fill="FFFFFF"/>
            <w:noWrap/>
            <w:vAlign w:val="center"/>
            <w:hideMark/>
          </w:tcPr>
          <w:p w14:paraId="717DCB9A"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1,301</w:t>
            </w:r>
          </w:p>
        </w:tc>
        <w:tc>
          <w:tcPr>
            <w:tcW w:w="541" w:type="pct"/>
            <w:tcBorders>
              <w:top w:val="nil"/>
              <w:left w:val="nil"/>
              <w:bottom w:val="single" w:sz="4" w:space="0" w:color="002A54" w:themeColor="text2"/>
              <w:right w:val="nil"/>
            </w:tcBorders>
            <w:shd w:val="clear" w:color="000000" w:fill="FFFFFF"/>
            <w:noWrap/>
            <w:vAlign w:val="center"/>
            <w:hideMark/>
          </w:tcPr>
          <w:p w14:paraId="01F8BBED" w14:textId="77777777" w:rsidR="00EB0C01" w:rsidRPr="00EB0C01" w:rsidRDefault="00EB0C01" w:rsidP="00EB0C01">
            <w:pPr>
              <w:spacing w:before="0" w:after="0" w:line="240" w:lineRule="auto"/>
              <w:jc w:val="right"/>
              <w:rPr>
                <w:rFonts w:ascii="Arial" w:hAnsi="Arial" w:cs="Arial"/>
                <w:color w:val="000000"/>
                <w:sz w:val="16"/>
                <w:szCs w:val="16"/>
              </w:rPr>
            </w:pPr>
            <w:r w:rsidRPr="00EB0C01">
              <w:rPr>
                <w:rFonts w:ascii="Arial" w:hAnsi="Arial" w:cs="Arial"/>
                <w:color w:val="000000"/>
                <w:sz w:val="16"/>
                <w:szCs w:val="16"/>
              </w:rPr>
              <w:t>1,285</w:t>
            </w:r>
          </w:p>
        </w:tc>
      </w:tr>
      <w:tr w:rsidR="00EB0C01" w:rsidRPr="00EB0C01" w14:paraId="3D194332" w14:textId="77777777" w:rsidTr="00E832BC">
        <w:trPr>
          <w:divId w:val="1846937724"/>
          <w:trHeight w:hRule="exact" w:val="225"/>
        </w:trPr>
        <w:tc>
          <w:tcPr>
            <w:tcW w:w="2294" w:type="pct"/>
            <w:tcBorders>
              <w:top w:val="nil"/>
              <w:left w:val="nil"/>
              <w:bottom w:val="single" w:sz="4" w:space="0" w:color="002A54" w:themeColor="text2"/>
              <w:right w:val="nil"/>
            </w:tcBorders>
            <w:shd w:val="clear" w:color="000000" w:fill="FFFFFF"/>
            <w:noWrap/>
            <w:vAlign w:val="center"/>
            <w:hideMark/>
          </w:tcPr>
          <w:p w14:paraId="542E097A" w14:textId="77777777" w:rsidR="00EB0C01" w:rsidRPr="00EB0C01" w:rsidRDefault="00EB0C01" w:rsidP="00EB0C01">
            <w:pPr>
              <w:spacing w:before="0" w:after="0" w:line="240" w:lineRule="auto"/>
              <w:rPr>
                <w:rFonts w:ascii="Arial" w:hAnsi="Arial" w:cs="Arial"/>
                <w:b/>
                <w:bCs/>
                <w:color w:val="000000"/>
                <w:sz w:val="16"/>
                <w:szCs w:val="16"/>
              </w:rPr>
            </w:pPr>
            <w:r w:rsidRPr="00EB0C01">
              <w:rPr>
                <w:rFonts w:ascii="Arial" w:hAnsi="Arial" w:cs="Arial"/>
                <w:b/>
                <w:bCs/>
                <w:color w:val="000000"/>
                <w:sz w:val="16"/>
                <w:szCs w:val="16"/>
              </w:rPr>
              <w:t>Total health</w:t>
            </w:r>
          </w:p>
        </w:tc>
        <w:tc>
          <w:tcPr>
            <w:tcW w:w="542" w:type="pct"/>
            <w:tcBorders>
              <w:top w:val="single" w:sz="4" w:space="0" w:color="002A54" w:themeColor="text2"/>
              <w:left w:val="nil"/>
              <w:bottom w:val="single" w:sz="4" w:space="0" w:color="002A54" w:themeColor="text2"/>
              <w:right w:val="nil"/>
            </w:tcBorders>
            <w:shd w:val="clear" w:color="000000" w:fill="FFFFFF"/>
            <w:noWrap/>
            <w:vAlign w:val="center"/>
            <w:hideMark/>
          </w:tcPr>
          <w:p w14:paraId="052E6D62"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107,710</w:t>
            </w:r>
          </w:p>
        </w:tc>
        <w:tc>
          <w:tcPr>
            <w:tcW w:w="541" w:type="pct"/>
            <w:tcBorders>
              <w:top w:val="single" w:sz="4" w:space="0" w:color="002A54" w:themeColor="text2"/>
              <w:left w:val="nil"/>
              <w:bottom w:val="single" w:sz="4" w:space="0" w:color="002A54" w:themeColor="text2"/>
              <w:right w:val="nil"/>
            </w:tcBorders>
            <w:shd w:val="clear" w:color="000000" w:fill="E6F2FF"/>
            <w:noWrap/>
            <w:vAlign w:val="center"/>
            <w:hideMark/>
          </w:tcPr>
          <w:p w14:paraId="6126F6D5"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106,538</w:t>
            </w:r>
          </w:p>
        </w:tc>
        <w:tc>
          <w:tcPr>
            <w:tcW w:w="541" w:type="pct"/>
            <w:tcBorders>
              <w:top w:val="single" w:sz="4" w:space="0" w:color="002A54" w:themeColor="text2"/>
              <w:left w:val="nil"/>
              <w:bottom w:val="single" w:sz="4" w:space="0" w:color="002A54" w:themeColor="text2"/>
              <w:right w:val="nil"/>
            </w:tcBorders>
            <w:shd w:val="clear" w:color="000000" w:fill="FFFFFF"/>
            <w:noWrap/>
            <w:vAlign w:val="center"/>
            <w:hideMark/>
          </w:tcPr>
          <w:p w14:paraId="2ED825FE"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108,860</w:t>
            </w:r>
          </w:p>
        </w:tc>
        <w:tc>
          <w:tcPr>
            <w:tcW w:w="541" w:type="pct"/>
            <w:tcBorders>
              <w:top w:val="single" w:sz="4" w:space="0" w:color="002A54" w:themeColor="text2"/>
              <w:left w:val="nil"/>
              <w:bottom w:val="single" w:sz="4" w:space="0" w:color="002A54" w:themeColor="text2"/>
              <w:right w:val="nil"/>
            </w:tcBorders>
            <w:shd w:val="clear" w:color="000000" w:fill="FFFFFF"/>
            <w:noWrap/>
            <w:vAlign w:val="center"/>
            <w:hideMark/>
          </w:tcPr>
          <w:p w14:paraId="3536483B"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112,174</w:t>
            </w:r>
          </w:p>
        </w:tc>
        <w:tc>
          <w:tcPr>
            <w:tcW w:w="541" w:type="pct"/>
            <w:tcBorders>
              <w:top w:val="single" w:sz="4" w:space="0" w:color="002A54" w:themeColor="text2"/>
              <w:left w:val="nil"/>
              <w:bottom w:val="single" w:sz="4" w:space="0" w:color="002A54" w:themeColor="text2"/>
              <w:right w:val="nil"/>
            </w:tcBorders>
            <w:shd w:val="clear" w:color="000000" w:fill="FFFFFF"/>
            <w:noWrap/>
            <w:vAlign w:val="center"/>
            <w:hideMark/>
          </w:tcPr>
          <w:p w14:paraId="7E7DD9CB" w14:textId="77777777" w:rsidR="00EB0C01" w:rsidRPr="00EB0C01" w:rsidRDefault="00EB0C01" w:rsidP="00EB0C01">
            <w:pPr>
              <w:spacing w:before="0" w:after="0" w:line="240" w:lineRule="auto"/>
              <w:jc w:val="right"/>
              <w:rPr>
                <w:rFonts w:ascii="Arial" w:hAnsi="Arial" w:cs="Arial"/>
                <w:b/>
                <w:bCs/>
                <w:color w:val="000000"/>
                <w:sz w:val="16"/>
                <w:szCs w:val="16"/>
              </w:rPr>
            </w:pPr>
            <w:r w:rsidRPr="00EB0C01">
              <w:rPr>
                <w:rFonts w:ascii="Arial" w:hAnsi="Arial" w:cs="Arial"/>
                <w:b/>
                <w:bCs/>
                <w:color w:val="000000"/>
                <w:sz w:val="16"/>
                <w:szCs w:val="16"/>
              </w:rPr>
              <w:t>116,293</w:t>
            </w:r>
          </w:p>
        </w:tc>
      </w:tr>
    </w:tbl>
    <w:p w14:paraId="072F88FD" w14:textId="17FABDE3" w:rsidR="00C855DF" w:rsidRDefault="00C855DF" w:rsidP="00173739">
      <w:pPr>
        <w:pStyle w:val="ChartandTableFootnoteAlpha"/>
        <w:numPr>
          <w:ilvl w:val="0"/>
          <w:numId w:val="7"/>
        </w:numPr>
      </w:pPr>
      <w:r w:rsidRPr="000177D7">
        <w:rPr>
          <w:color w:val="auto"/>
        </w:rPr>
        <w:t>The hospital services sub</w:t>
      </w:r>
      <w:r w:rsidR="00D34B95">
        <w:rPr>
          <w:color w:val="auto"/>
        </w:rPr>
        <w:noBreakHyphen/>
      </w:r>
      <w:r w:rsidRPr="000177D7">
        <w:rPr>
          <w:color w:val="auto"/>
        </w:rPr>
        <w:t>function predominantly reflects Commonwealth funding to the states and territories for veterans</w:t>
      </w:r>
      <w:r w:rsidR="00D34B95">
        <w:rPr>
          <w:color w:val="auto"/>
        </w:rPr>
        <w:t>’</w:t>
      </w:r>
      <w:r w:rsidRPr="000177D7">
        <w:rPr>
          <w:color w:val="auto"/>
        </w:rPr>
        <w:t xml:space="preserve"> hospital services. </w:t>
      </w:r>
    </w:p>
    <w:p w14:paraId="45A6F9EC" w14:textId="77777777" w:rsidR="00C855DF" w:rsidRPr="001F19DB" w:rsidRDefault="00C855DF" w:rsidP="00C855DF">
      <w:pPr>
        <w:pStyle w:val="TableLine"/>
      </w:pPr>
    </w:p>
    <w:p w14:paraId="24B76C81" w14:textId="79B18B82" w:rsidR="0050166A" w:rsidRPr="0021687D" w:rsidRDefault="0050166A" w:rsidP="00D014C2">
      <w:r w:rsidRPr="0021687D">
        <w:t>Expenses for the health function are expected to increase by 9.2</w:t>
      </w:r>
      <w:r w:rsidR="00893776">
        <w:t> per </w:t>
      </w:r>
      <w:r w:rsidRPr="0021687D">
        <w:t>cent in nominal terms and by 0.</w:t>
      </w:r>
      <w:r w:rsidR="00E04E49" w:rsidRPr="0021687D">
        <w:t>8</w:t>
      </w:r>
      <w:r w:rsidR="00893776">
        <w:t> per </w:t>
      </w:r>
      <w:r w:rsidRPr="0021687D">
        <w:t>cent in real terms over the period 2023</w:t>
      </w:r>
      <w:r w:rsidR="00485F94">
        <w:t>–</w:t>
      </w:r>
      <w:r w:rsidRPr="0021687D">
        <w:t>24 to 2026</w:t>
      </w:r>
      <w:r w:rsidR="00485F94">
        <w:t>–</w:t>
      </w:r>
      <w:r w:rsidRPr="0021687D">
        <w:t xml:space="preserve">27 primarily driven by expected growth in the </w:t>
      </w:r>
      <w:r w:rsidRPr="0021687D">
        <w:rPr>
          <w:b/>
        </w:rPr>
        <w:t>assistance to the states for public hospitals</w:t>
      </w:r>
      <w:r w:rsidRPr="0021687D">
        <w:t xml:space="preserve"> and </w:t>
      </w:r>
      <w:r w:rsidRPr="0021687D">
        <w:rPr>
          <w:b/>
          <w:bCs/>
        </w:rPr>
        <w:t>medical services and benefits</w:t>
      </w:r>
      <w:r w:rsidRPr="0021687D">
        <w:t xml:space="preserve"> sub</w:t>
      </w:r>
      <w:r w:rsidR="00D34B95">
        <w:noBreakHyphen/>
      </w:r>
      <w:r w:rsidRPr="0021687D">
        <w:t>functions.</w:t>
      </w:r>
    </w:p>
    <w:p w14:paraId="2BCA67B5" w14:textId="1B4595C0" w:rsidR="0050166A" w:rsidRDefault="0050166A" w:rsidP="0050166A">
      <w:r w:rsidRPr="0021687D">
        <w:t xml:space="preserve">The </w:t>
      </w:r>
      <w:r w:rsidRPr="0021687D">
        <w:rPr>
          <w:b/>
          <w:bCs/>
        </w:rPr>
        <w:t xml:space="preserve">medical services and benefits </w:t>
      </w:r>
      <w:r w:rsidRPr="0021687D">
        <w:t>sub</w:t>
      </w:r>
      <w:r w:rsidR="00D34B95">
        <w:noBreakHyphen/>
      </w:r>
      <w:r w:rsidRPr="0021687D">
        <w:t>function, which primarily consists of Medicare and Private Health Insurance Rebate expenses, comprises 36.</w:t>
      </w:r>
      <w:r w:rsidR="00E04E49" w:rsidRPr="0021687D">
        <w:t>9</w:t>
      </w:r>
      <w:r w:rsidR="00893776">
        <w:t> per </w:t>
      </w:r>
      <w:r w:rsidRPr="0021687D">
        <w:t>cent of total estimated health expenses for 2023</w:t>
      </w:r>
      <w:r w:rsidR="00485F94">
        <w:t>–</w:t>
      </w:r>
      <w:r w:rsidRPr="0021687D">
        <w:t>24. Expenses for medical benefits are expected to increase</w:t>
      </w:r>
      <w:r>
        <w:t xml:space="preserve"> as a result of population growth, ongoing growth in the use of medical </w:t>
      </w:r>
      <w:r w:rsidRPr="0021687D">
        <w:t>services, the use of high value items on the Medicare Benefits Schedule, and the Government</w:t>
      </w:r>
      <w:r w:rsidR="00D34B95">
        <w:t>’</w:t>
      </w:r>
      <w:r w:rsidRPr="0021687D">
        <w:t>s range of 2023</w:t>
      </w:r>
      <w:r w:rsidR="00485F94">
        <w:t>–</w:t>
      </w:r>
      <w:r w:rsidRPr="0021687D">
        <w:t xml:space="preserve">24 Budget measures to strengthen Medicare in response to the findings of the </w:t>
      </w:r>
      <w:r w:rsidRPr="0021687D">
        <w:rPr>
          <w:i/>
          <w:iCs/>
        </w:rPr>
        <w:t>Strengthening Medicare Taskforce Report</w:t>
      </w:r>
      <w:r w:rsidRPr="0021687D">
        <w:t xml:space="preserve"> and stem the decline in bulk billing.</w:t>
      </w:r>
    </w:p>
    <w:p w14:paraId="70A1E5FE" w14:textId="77777777" w:rsidR="009A28F3" w:rsidRDefault="0050166A" w:rsidP="0050166A">
      <w:r w:rsidRPr="000177D7">
        <w:t xml:space="preserve">Table 6.8.1 sets out the major components of the </w:t>
      </w:r>
      <w:r w:rsidRPr="000177D7">
        <w:rPr>
          <w:b/>
          <w:bCs/>
        </w:rPr>
        <w:t>medical services and benefits</w:t>
      </w:r>
      <w:r w:rsidRPr="000177D7">
        <w:t xml:space="preserve"> sub</w:t>
      </w:r>
      <w:r w:rsidR="00D34B95">
        <w:noBreakHyphen/>
      </w:r>
      <w:r w:rsidRPr="000177D7">
        <w:t>function.</w:t>
      </w:r>
    </w:p>
    <w:p w14:paraId="6099D210" w14:textId="299267B9" w:rsidR="00A32E2C" w:rsidRDefault="00A32E2C" w:rsidP="0050166A">
      <w:r>
        <w:br w:type="page"/>
      </w:r>
    </w:p>
    <w:p w14:paraId="61F2AB4A" w14:textId="2CD58FCF" w:rsidR="00D816EB" w:rsidRDefault="00C855DF" w:rsidP="00D816EB">
      <w:pPr>
        <w:pStyle w:val="TableHeading"/>
        <w:rPr>
          <w:rFonts w:asciiTheme="minorHAnsi" w:eastAsiaTheme="minorHAnsi" w:hAnsiTheme="minorHAnsi" w:cstheme="minorBidi"/>
          <w:sz w:val="22"/>
          <w:szCs w:val="22"/>
          <w:lang w:eastAsia="en-US"/>
        </w:rPr>
      </w:pPr>
      <w:r w:rsidRPr="000177D7">
        <w:lastRenderedPageBreak/>
        <w:t>Table 6.8.1: Trends in the major components of medical services and benefits sub</w:t>
      </w:r>
      <w:r w:rsidR="00D34B95">
        <w:noBreakHyphen/>
      </w:r>
      <w:r w:rsidRPr="000177D7">
        <w:t>function expense</w:t>
      </w:r>
      <w:bookmarkStart w:id="73" w:name="_1727953888"/>
      <w:bookmarkStart w:id="74" w:name="_1727955065"/>
      <w:bookmarkEnd w:id="73"/>
      <w:bookmarkEnd w:id="74"/>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D816EB" w:rsidRPr="00D816EB" w14:paraId="10656E6A" w14:textId="77777777" w:rsidTr="00E832BC">
        <w:trPr>
          <w:divId w:val="518196980"/>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3B22E735" w14:textId="41A13ECA" w:rsidR="00D816EB" w:rsidRPr="00D816EB" w:rsidRDefault="00D816EB" w:rsidP="00D816EB">
            <w:pPr>
              <w:spacing w:before="0" w:after="0" w:line="240" w:lineRule="auto"/>
              <w:rPr>
                <w:rFonts w:ascii="Arial" w:hAnsi="Arial" w:cs="Arial"/>
                <w:b/>
                <w:bCs/>
                <w:color w:val="000000"/>
                <w:sz w:val="16"/>
                <w:szCs w:val="16"/>
              </w:rPr>
            </w:pPr>
            <w:r w:rsidRPr="00D816EB">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50CA010" w14:textId="77777777" w:rsidR="00D816EB" w:rsidRPr="00D816EB" w:rsidRDefault="00D816EB" w:rsidP="00D816EB">
            <w:pPr>
              <w:spacing w:before="0" w:after="0" w:line="240" w:lineRule="auto"/>
              <w:jc w:val="center"/>
              <w:rPr>
                <w:rFonts w:ascii="Arial" w:hAnsi="Arial" w:cs="Arial"/>
                <w:color w:val="000000"/>
                <w:sz w:val="16"/>
                <w:szCs w:val="16"/>
              </w:rPr>
            </w:pPr>
            <w:r w:rsidRPr="00D816EB">
              <w:rPr>
                <w:rFonts w:ascii="Arial" w:hAnsi="Arial" w:cs="Arial"/>
                <w:color w:val="000000"/>
                <w:sz w:val="16"/>
                <w:szCs w:val="16"/>
              </w:rPr>
              <w:t>Estimates</w:t>
            </w:r>
          </w:p>
        </w:tc>
      </w:tr>
      <w:tr w:rsidR="00D816EB" w:rsidRPr="00D816EB" w14:paraId="5055A0F5" w14:textId="77777777" w:rsidTr="00E832BC">
        <w:trPr>
          <w:divId w:val="518196980"/>
          <w:trHeight w:hRule="exact" w:val="225"/>
        </w:trPr>
        <w:tc>
          <w:tcPr>
            <w:tcW w:w="2021" w:type="pct"/>
            <w:tcBorders>
              <w:top w:val="nil"/>
              <w:left w:val="nil"/>
              <w:bottom w:val="nil"/>
              <w:right w:val="nil"/>
            </w:tcBorders>
            <w:shd w:val="clear" w:color="000000" w:fill="FFFFFF"/>
            <w:noWrap/>
            <w:vAlign w:val="bottom"/>
            <w:hideMark/>
          </w:tcPr>
          <w:p w14:paraId="1E49A1DD"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09D36E76" w14:textId="221A6C7D"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2022</w:t>
            </w:r>
            <w:r w:rsidR="00485F94">
              <w:rPr>
                <w:rFonts w:ascii="Arial" w:hAnsi="Arial" w:cs="Arial"/>
                <w:sz w:val="16"/>
                <w:szCs w:val="16"/>
              </w:rPr>
              <w:t>–</w:t>
            </w:r>
            <w:r w:rsidRPr="00D816EB">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0F4149CF" w14:textId="0050EB23"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2023</w:t>
            </w:r>
            <w:r w:rsidR="00485F94">
              <w:rPr>
                <w:rFonts w:ascii="Arial" w:hAnsi="Arial" w:cs="Arial"/>
                <w:sz w:val="16"/>
                <w:szCs w:val="16"/>
              </w:rPr>
              <w:t>–</w:t>
            </w:r>
            <w:r w:rsidRPr="00D816EB">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56B952BB" w14:textId="6A47F098"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2024</w:t>
            </w:r>
            <w:r w:rsidR="00485F94">
              <w:rPr>
                <w:rFonts w:ascii="Arial" w:hAnsi="Arial" w:cs="Arial"/>
                <w:sz w:val="16"/>
                <w:szCs w:val="16"/>
              </w:rPr>
              <w:t>–</w:t>
            </w:r>
            <w:r w:rsidRPr="00D816EB">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1EA7A32E" w14:textId="65ADB7C4"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2025</w:t>
            </w:r>
            <w:r w:rsidR="00485F94">
              <w:rPr>
                <w:rFonts w:ascii="Arial" w:hAnsi="Arial" w:cs="Arial"/>
                <w:sz w:val="16"/>
                <w:szCs w:val="16"/>
              </w:rPr>
              <w:t>–</w:t>
            </w:r>
            <w:r w:rsidRPr="00D816EB">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202BEDFC" w14:textId="5F857732"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2026</w:t>
            </w:r>
            <w:r w:rsidR="00485F94">
              <w:rPr>
                <w:rFonts w:ascii="Arial" w:hAnsi="Arial" w:cs="Arial"/>
                <w:color w:val="000000"/>
                <w:sz w:val="16"/>
                <w:szCs w:val="16"/>
              </w:rPr>
              <w:t>–</w:t>
            </w:r>
            <w:r w:rsidRPr="00D816EB">
              <w:rPr>
                <w:rFonts w:ascii="Arial" w:hAnsi="Arial" w:cs="Arial"/>
                <w:color w:val="000000"/>
                <w:sz w:val="16"/>
                <w:szCs w:val="16"/>
              </w:rPr>
              <w:t>27</w:t>
            </w:r>
          </w:p>
        </w:tc>
      </w:tr>
      <w:tr w:rsidR="00D816EB" w:rsidRPr="00D816EB" w14:paraId="0AAAB5BC" w14:textId="77777777" w:rsidTr="00E832BC">
        <w:trPr>
          <w:divId w:val="518196980"/>
          <w:trHeight w:hRule="exact" w:val="225"/>
        </w:trPr>
        <w:tc>
          <w:tcPr>
            <w:tcW w:w="2021" w:type="pct"/>
            <w:tcBorders>
              <w:top w:val="nil"/>
              <w:left w:val="nil"/>
              <w:bottom w:val="nil"/>
              <w:right w:val="nil"/>
            </w:tcBorders>
            <w:shd w:val="clear" w:color="000000" w:fill="FFFFFF"/>
            <w:noWrap/>
            <w:vAlign w:val="center"/>
            <w:hideMark/>
          </w:tcPr>
          <w:p w14:paraId="000CAAA1"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00FA8AE1"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26AE898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10DF7CA6"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68BD985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4C8AFA2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r>
      <w:tr w:rsidR="00D816EB" w:rsidRPr="00D816EB" w14:paraId="38BEC05C" w14:textId="77777777" w:rsidTr="00E832BC">
        <w:trPr>
          <w:divId w:val="518196980"/>
          <w:trHeight w:hRule="exact" w:val="225"/>
        </w:trPr>
        <w:tc>
          <w:tcPr>
            <w:tcW w:w="2021" w:type="pct"/>
            <w:tcBorders>
              <w:top w:val="nil"/>
              <w:left w:val="nil"/>
              <w:bottom w:val="nil"/>
              <w:right w:val="nil"/>
            </w:tcBorders>
            <w:shd w:val="clear" w:color="000000" w:fill="FFFFFF"/>
            <w:noWrap/>
            <w:vAlign w:val="center"/>
            <w:hideMark/>
          </w:tcPr>
          <w:p w14:paraId="520A966F"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Medical benefits</w:t>
            </w:r>
          </w:p>
        </w:tc>
        <w:tc>
          <w:tcPr>
            <w:tcW w:w="596" w:type="pct"/>
            <w:tcBorders>
              <w:top w:val="single" w:sz="4" w:space="0" w:color="002A54" w:themeColor="text2"/>
              <w:left w:val="nil"/>
              <w:bottom w:val="nil"/>
              <w:right w:val="nil"/>
            </w:tcBorders>
            <w:shd w:val="clear" w:color="000000" w:fill="FFFFFF"/>
            <w:noWrap/>
            <w:vAlign w:val="center"/>
            <w:hideMark/>
          </w:tcPr>
          <w:p w14:paraId="7B39EF7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28,245</w:t>
            </w:r>
          </w:p>
        </w:tc>
        <w:tc>
          <w:tcPr>
            <w:tcW w:w="596" w:type="pct"/>
            <w:tcBorders>
              <w:top w:val="single" w:sz="4" w:space="0" w:color="002A54" w:themeColor="text2"/>
              <w:left w:val="nil"/>
              <w:bottom w:val="nil"/>
              <w:right w:val="nil"/>
            </w:tcBorders>
            <w:shd w:val="clear" w:color="000000" w:fill="E6F2FF"/>
            <w:noWrap/>
            <w:vAlign w:val="center"/>
            <w:hideMark/>
          </w:tcPr>
          <w:p w14:paraId="78A3E16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30,413</w:t>
            </w:r>
          </w:p>
        </w:tc>
        <w:tc>
          <w:tcPr>
            <w:tcW w:w="596" w:type="pct"/>
            <w:tcBorders>
              <w:top w:val="single" w:sz="4" w:space="0" w:color="002A54" w:themeColor="text2"/>
              <w:left w:val="nil"/>
              <w:bottom w:val="nil"/>
              <w:right w:val="nil"/>
            </w:tcBorders>
            <w:shd w:val="clear" w:color="000000" w:fill="FFFFFF"/>
            <w:noWrap/>
            <w:vAlign w:val="center"/>
            <w:hideMark/>
          </w:tcPr>
          <w:p w14:paraId="420BD390"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32,242</w:t>
            </w:r>
          </w:p>
        </w:tc>
        <w:tc>
          <w:tcPr>
            <w:tcW w:w="596" w:type="pct"/>
            <w:tcBorders>
              <w:top w:val="single" w:sz="4" w:space="0" w:color="002A54" w:themeColor="text2"/>
              <w:left w:val="nil"/>
              <w:bottom w:val="nil"/>
              <w:right w:val="nil"/>
            </w:tcBorders>
            <w:shd w:val="clear" w:color="000000" w:fill="FFFFFF"/>
            <w:noWrap/>
            <w:vAlign w:val="center"/>
            <w:hideMark/>
          </w:tcPr>
          <w:p w14:paraId="5AC0015F"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34,114</w:t>
            </w:r>
          </w:p>
        </w:tc>
        <w:tc>
          <w:tcPr>
            <w:tcW w:w="595" w:type="pct"/>
            <w:tcBorders>
              <w:top w:val="single" w:sz="4" w:space="0" w:color="002A54" w:themeColor="text2"/>
              <w:left w:val="nil"/>
              <w:bottom w:val="nil"/>
              <w:right w:val="nil"/>
            </w:tcBorders>
            <w:shd w:val="clear" w:color="000000" w:fill="FFFFFF"/>
            <w:noWrap/>
            <w:vAlign w:val="center"/>
            <w:hideMark/>
          </w:tcPr>
          <w:p w14:paraId="13016CF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35,975</w:t>
            </w:r>
          </w:p>
        </w:tc>
      </w:tr>
      <w:tr w:rsidR="00D816EB" w:rsidRPr="00D816EB" w14:paraId="04B9F34A" w14:textId="77777777" w:rsidTr="00D816EB">
        <w:trPr>
          <w:divId w:val="518196980"/>
          <w:trHeight w:hRule="exact" w:val="225"/>
        </w:trPr>
        <w:tc>
          <w:tcPr>
            <w:tcW w:w="2021" w:type="pct"/>
            <w:tcBorders>
              <w:top w:val="nil"/>
              <w:left w:val="nil"/>
              <w:bottom w:val="nil"/>
              <w:right w:val="nil"/>
            </w:tcBorders>
            <w:shd w:val="clear" w:color="000000" w:fill="FFFFFF"/>
            <w:noWrap/>
            <w:vAlign w:val="center"/>
            <w:hideMark/>
          </w:tcPr>
          <w:p w14:paraId="08E667D6"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Private health insurance</w:t>
            </w:r>
          </w:p>
        </w:tc>
        <w:tc>
          <w:tcPr>
            <w:tcW w:w="596" w:type="pct"/>
            <w:tcBorders>
              <w:top w:val="nil"/>
              <w:left w:val="nil"/>
              <w:bottom w:val="nil"/>
              <w:right w:val="nil"/>
            </w:tcBorders>
            <w:shd w:val="clear" w:color="000000" w:fill="FFFFFF"/>
            <w:noWrap/>
            <w:vAlign w:val="center"/>
            <w:hideMark/>
          </w:tcPr>
          <w:p w14:paraId="0A2A2B20"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7,021</w:t>
            </w:r>
          </w:p>
        </w:tc>
        <w:tc>
          <w:tcPr>
            <w:tcW w:w="596" w:type="pct"/>
            <w:tcBorders>
              <w:top w:val="nil"/>
              <w:left w:val="nil"/>
              <w:bottom w:val="nil"/>
              <w:right w:val="nil"/>
            </w:tcBorders>
            <w:shd w:val="clear" w:color="000000" w:fill="E6F2FF"/>
            <w:noWrap/>
            <w:vAlign w:val="center"/>
            <w:hideMark/>
          </w:tcPr>
          <w:p w14:paraId="0EC52ED0"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7,157</w:t>
            </w:r>
          </w:p>
        </w:tc>
        <w:tc>
          <w:tcPr>
            <w:tcW w:w="596" w:type="pct"/>
            <w:tcBorders>
              <w:top w:val="nil"/>
              <w:left w:val="nil"/>
              <w:bottom w:val="nil"/>
              <w:right w:val="nil"/>
            </w:tcBorders>
            <w:shd w:val="clear" w:color="000000" w:fill="FFFFFF"/>
            <w:noWrap/>
            <w:vAlign w:val="center"/>
            <w:hideMark/>
          </w:tcPr>
          <w:p w14:paraId="3DA1A04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7,381</w:t>
            </w:r>
          </w:p>
        </w:tc>
        <w:tc>
          <w:tcPr>
            <w:tcW w:w="596" w:type="pct"/>
            <w:tcBorders>
              <w:top w:val="nil"/>
              <w:left w:val="nil"/>
              <w:bottom w:val="nil"/>
              <w:right w:val="nil"/>
            </w:tcBorders>
            <w:shd w:val="clear" w:color="000000" w:fill="FFFFFF"/>
            <w:noWrap/>
            <w:vAlign w:val="center"/>
            <w:hideMark/>
          </w:tcPr>
          <w:p w14:paraId="7C8E9EE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7,575</w:t>
            </w:r>
          </w:p>
        </w:tc>
        <w:tc>
          <w:tcPr>
            <w:tcW w:w="595" w:type="pct"/>
            <w:tcBorders>
              <w:top w:val="nil"/>
              <w:left w:val="nil"/>
              <w:bottom w:val="nil"/>
              <w:right w:val="nil"/>
            </w:tcBorders>
            <w:shd w:val="clear" w:color="000000" w:fill="FFFFFF"/>
            <w:noWrap/>
            <w:vAlign w:val="center"/>
            <w:hideMark/>
          </w:tcPr>
          <w:p w14:paraId="0672FF54"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7,743</w:t>
            </w:r>
          </w:p>
        </w:tc>
      </w:tr>
      <w:tr w:rsidR="00D816EB" w:rsidRPr="00D816EB" w14:paraId="73D0615D" w14:textId="77777777" w:rsidTr="00D816EB">
        <w:trPr>
          <w:divId w:val="518196980"/>
          <w:trHeight w:hRule="exact" w:val="225"/>
        </w:trPr>
        <w:tc>
          <w:tcPr>
            <w:tcW w:w="2021" w:type="pct"/>
            <w:tcBorders>
              <w:top w:val="nil"/>
              <w:left w:val="nil"/>
              <w:bottom w:val="nil"/>
              <w:right w:val="nil"/>
            </w:tcBorders>
            <w:shd w:val="clear" w:color="000000" w:fill="FFFFFF"/>
            <w:noWrap/>
            <w:vAlign w:val="center"/>
            <w:hideMark/>
          </w:tcPr>
          <w:p w14:paraId="6CB71314"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General medical consultations and</w:t>
            </w:r>
          </w:p>
        </w:tc>
        <w:tc>
          <w:tcPr>
            <w:tcW w:w="596" w:type="pct"/>
            <w:tcBorders>
              <w:top w:val="nil"/>
              <w:left w:val="nil"/>
              <w:bottom w:val="nil"/>
              <w:right w:val="nil"/>
            </w:tcBorders>
            <w:shd w:val="clear" w:color="000000" w:fill="FFFFFF"/>
            <w:noWrap/>
            <w:vAlign w:val="center"/>
            <w:hideMark/>
          </w:tcPr>
          <w:p w14:paraId="4663E51F"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01599DAC"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660286EE"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09FF4231"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5" w:type="pct"/>
            <w:tcBorders>
              <w:top w:val="nil"/>
              <w:left w:val="nil"/>
              <w:bottom w:val="nil"/>
              <w:right w:val="nil"/>
            </w:tcBorders>
            <w:shd w:val="clear" w:color="000000" w:fill="FFFFFF"/>
            <w:noWrap/>
            <w:vAlign w:val="center"/>
            <w:hideMark/>
          </w:tcPr>
          <w:p w14:paraId="209AF5B2"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r>
      <w:tr w:rsidR="00D816EB" w:rsidRPr="00D816EB" w14:paraId="27978B09" w14:textId="77777777" w:rsidTr="00D816EB">
        <w:trPr>
          <w:divId w:val="518196980"/>
          <w:trHeight w:hRule="exact" w:val="225"/>
        </w:trPr>
        <w:tc>
          <w:tcPr>
            <w:tcW w:w="2021" w:type="pct"/>
            <w:tcBorders>
              <w:top w:val="nil"/>
              <w:left w:val="nil"/>
              <w:bottom w:val="nil"/>
              <w:right w:val="nil"/>
            </w:tcBorders>
            <w:shd w:val="clear" w:color="000000" w:fill="FFFFFF"/>
            <w:noWrap/>
            <w:vAlign w:val="center"/>
            <w:hideMark/>
          </w:tcPr>
          <w:p w14:paraId="1C34135D" w14:textId="77777777" w:rsidR="00D816EB" w:rsidRPr="00D816EB" w:rsidRDefault="00D816EB" w:rsidP="00D816EB">
            <w:pPr>
              <w:spacing w:before="0" w:after="0" w:line="240" w:lineRule="auto"/>
              <w:ind w:left="170"/>
              <w:rPr>
                <w:rFonts w:ascii="Arial" w:hAnsi="Arial" w:cs="Arial"/>
                <w:color w:val="000000"/>
                <w:sz w:val="16"/>
                <w:szCs w:val="16"/>
              </w:rPr>
            </w:pPr>
            <w:r w:rsidRPr="00D816EB">
              <w:rPr>
                <w:rFonts w:ascii="Arial" w:hAnsi="Arial" w:cs="Arial"/>
                <w:color w:val="000000"/>
                <w:sz w:val="16"/>
                <w:szCs w:val="16"/>
              </w:rPr>
              <w:t>services</w:t>
            </w:r>
          </w:p>
        </w:tc>
        <w:tc>
          <w:tcPr>
            <w:tcW w:w="596" w:type="pct"/>
            <w:tcBorders>
              <w:top w:val="nil"/>
              <w:left w:val="nil"/>
              <w:bottom w:val="nil"/>
              <w:right w:val="nil"/>
            </w:tcBorders>
            <w:shd w:val="clear" w:color="000000" w:fill="FFFFFF"/>
            <w:noWrap/>
            <w:vAlign w:val="center"/>
            <w:hideMark/>
          </w:tcPr>
          <w:p w14:paraId="14D7A3E4"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715</w:t>
            </w:r>
          </w:p>
        </w:tc>
        <w:tc>
          <w:tcPr>
            <w:tcW w:w="596" w:type="pct"/>
            <w:tcBorders>
              <w:top w:val="nil"/>
              <w:left w:val="nil"/>
              <w:bottom w:val="nil"/>
              <w:right w:val="nil"/>
            </w:tcBorders>
            <w:shd w:val="clear" w:color="000000" w:fill="E6F2FF"/>
            <w:noWrap/>
            <w:vAlign w:val="center"/>
            <w:hideMark/>
          </w:tcPr>
          <w:p w14:paraId="2FB711C9"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720</w:t>
            </w:r>
          </w:p>
        </w:tc>
        <w:tc>
          <w:tcPr>
            <w:tcW w:w="596" w:type="pct"/>
            <w:tcBorders>
              <w:top w:val="nil"/>
              <w:left w:val="nil"/>
              <w:bottom w:val="nil"/>
              <w:right w:val="nil"/>
            </w:tcBorders>
            <w:shd w:val="clear" w:color="000000" w:fill="FFFFFF"/>
            <w:noWrap/>
            <w:vAlign w:val="center"/>
            <w:hideMark/>
          </w:tcPr>
          <w:p w14:paraId="1D32091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720</w:t>
            </w:r>
          </w:p>
        </w:tc>
        <w:tc>
          <w:tcPr>
            <w:tcW w:w="596" w:type="pct"/>
            <w:tcBorders>
              <w:top w:val="nil"/>
              <w:left w:val="nil"/>
              <w:bottom w:val="nil"/>
              <w:right w:val="nil"/>
            </w:tcBorders>
            <w:shd w:val="clear" w:color="000000" w:fill="FFFFFF"/>
            <w:noWrap/>
            <w:vAlign w:val="center"/>
            <w:hideMark/>
          </w:tcPr>
          <w:p w14:paraId="23936C4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706</w:t>
            </w:r>
          </w:p>
        </w:tc>
        <w:tc>
          <w:tcPr>
            <w:tcW w:w="595" w:type="pct"/>
            <w:tcBorders>
              <w:top w:val="nil"/>
              <w:left w:val="nil"/>
              <w:bottom w:val="nil"/>
              <w:right w:val="nil"/>
            </w:tcBorders>
            <w:shd w:val="clear" w:color="000000" w:fill="FFFFFF"/>
            <w:noWrap/>
            <w:vAlign w:val="center"/>
            <w:hideMark/>
          </w:tcPr>
          <w:p w14:paraId="69ACDC9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720</w:t>
            </w:r>
          </w:p>
        </w:tc>
      </w:tr>
      <w:tr w:rsidR="00D816EB" w:rsidRPr="00D816EB" w14:paraId="6F00D273" w14:textId="77777777" w:rsidTr="00E832BC">
        <w:trPr>
          <w:divId w:val="518196980"/>
          <w:trHeight w:hRule="exact" w:val="225"/>
        </w:trPr>
        <w:tc>
          <w:tcPr>
            <w:tcW w:w="2021" w:type="pct"/>
            <w:tcBorders>
              <w:top w:val="nil"/>
              <w:left w:val="nil"/>
              <w:bottom w:val="nil"/>
              <w:right w:val="nil"/>
            </w:tcBorders>
            <w:shd w:val="clear" w:color="000000" w:fill="FFFFFF"/>
            <w:noWrap/>
            <w:vAlign w:val="center"/>
            <w:hideMark/>
          </w:tcPr>
          <w:p w14:paraId="7BBDAD9C"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Dental services(b)</w:t>
            </w:r>
          </w:p>
        </w:tc>
        <w:tc>
          <w:tcPr>
            <w:tcW w:w="596" w:type="pct"/>
            <w:tcBorders>
              <w:top w:val="nil"/>
              <w:left w:val="nil"/>
              <w:right w:val="nil"/>
            </w:tcBorders>
            <w:shd w:val="clear" w:color="000000" w:fill="FFFFFF"/>
            <w:noWrap/>
            <w:vAlign w:val="center"/>
            <w:hideMark/>
          </w:tcPr>
          <w:p w14:paraId="36BA359B"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344</w:t>
            </w:r>
          </w:p>
        </w:tc>
        <w:tc>
          <w:tcPr>
            <w:tcW w:w="596" w:type="pct"/>
            <w:tcBorders>
              <w:top w:val="nil"/>
              <w:left w:val="nil"/>
              <w:right w:val="nil"/>
            </w:tcBorders>
            <w:shd w:val="clear" w:color="000000" w:fill="E6F2FF"/>
            <w:noWrap/>
            <w:vAlign w:val="center"/>
            <w:hideMark/>
          </w:tcPr>
          <w:p w14:paraId="20A73F9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350</w:t>
            </w:r>
          </w:p>
        </w:tc>
        <w:tc>
          <w:tcPr>
            <w:tcW w:w="596" w:type="pct"/>
            <w:tcBorders>
              <w:top w:val="nil"/>
              <w:left w:val="nil"/>
              <w:right w:val="nil"/>
            </w:tcBorders>
            <w:shd w:val="clear" w:color="000000" w:fill="FFFFFF"/>
            <w:noWrap/>
            <w:vAlign w:val="center"/>
            <w:hideMark/>
          </w:tcPr>
          <w:p w14:paraId="4B3E89B9"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358</w:t>
            </w:r>
          </w:p>
        </w:tc>
        <w:tc>
          <w:tcPr>
            <w:tcW w:w="596" w:type="pct"/>
            <w:tcBorders>
              <w:top w:val="nil"/>
              <w:left w:val="nil"/>
              <w:right w:val="nil"/>
            </w:tcBorders>
            <w:shd w:val="clear" w:color="000000" w:fill="FFFFFF"/>
            <w:noWrap/>
            <w:vAlign w:val="center"/>
            <w:hideMark/>
          </w:tcPr>
          <w:p w14:paraId="39365533"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359</w:t>
            </w:r>
          </w:p>
        </w:tc>
        <w:tc>
          <w:tcPr>
            <w:tcW w:w="595" w:type="pct"/>
            <w:tcBorders>
              <w:top w:val="nil"/>
              <w:left w:val="nil"/>
              <w:right w:val="nil"/>
            </w:tcBorders>
            <w:shd w:val="clear" w:color="000000" w:fill="FFFFFF"/>
            <w:noWrap/>
            <w:vAlign w:val="center"/>
            <w:hideMark/>
          </w:tcPr>
          <w:p w14:paraId="746F5AF1"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360</w:t>
            </w:r>
          </w:p>
        </w:tc>
      </w:tr>
      <w:tr w:rsidR="00D816EB" w:rsidRPr="00D816EB" w14:paraId="504D1B88" w14:textId="77777777" w:rsidTr="00E832BC">
        <w:trPr>
          <w:divId w:val="518196980"/>
          <w:trHeight w:hRule="exact" w:val="225"/>
        </w:trPr>
        <w:tc>
          <w:tcPr>
            <w:tcW w:w="2021" w:type="pct"/>
            <w:tcBorders>
              <w:top w:val="nil"/>
              <w:left w:val="nil"/>
              <w:bottom w:val="nil"/>
              <w:right w:val="nil"/>
            </w:tcBorders>
            <w:shd w:val="clear" w:color="000000" w:fill="FFFFFF"/>
            <w:noWrap/>
            <w:vAlign w:val="center"/>
            <w:hideMark/>
          </w:tcPr>
          <w:p w14:paraId="0D966C35"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Other</w:t>
            </w:r>
          </w:p>
        </w:tc>
        <w:tc>
          <w:tcPr>
            <w:tcW w:w="596" w:type="pct"/>
            <w:tcBorders>
              <w:top w:val="nil"/>
              <w:left w:val="nil"/>
              <w:bottom w:val="single" w:sz="4" w:space="0" w:color="002A54" w:themeColor="text2"/>
              <w:right w:val="nil"/>
            </w:tcBorders>
            <w:shd w:val="clear" w:color="000000" w:fill="FFFFFF"/>
            <w:noWrap/>
            <w:vAlign w:val="center"/>
            <w:hideMark/>
          </w:tcPr>
          <w:p w14:paraId="5EC1EC6B"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657</w:t>
            </w:r>
          </w:p>
        </w:tc>
        <w:tc>
          <w:tcPr>
            <w:tcW w:w="596" w:type="pct"/>
            <w:tcBorders>
              <w:top w:val="nil"/>
              <w:left w:val="nil"/>
              <w:bottom w:val="single" w:sz="4" w:space="0" w:color="002A54" w:themeColor="text2"/>
              <w:right w:val="nil"/>
            </w:tcBorders>
            <w:shd w:val="clear" w:color="000000" w:fill="E6F2FF"/>
            <w:noWrap/>
            <w:vAlign w:val="center"/>
            <w:hideMark/>
          </w:tcPr>
          <w:p w14:paraId="5097A36E"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660</w:t>
            </w:r>
          </w:p>
        </w:tc>
        <w:tc>
          <w:tcPr>
            <w:tcW w:w="596" w:type="pct"/>
            <w:tcBorders>
              <w:top w:val="nil"/>
              <w:left w:val="nil"/>
              <w:bottom w:val="single" w:sz="4" w:space="0" w:color="002A54" w:themeColor="text2"/>
              <w:right w:val="nil"/>
            </w:tcBorders>
            <w:shd w:val="clear" w:color="000000" w:fill="FFFFFF"/>
            <w:noWrap/>
            <w:vAlign w:val="center"/>
            <w:hideMark/>
          </w:tcPr>
          <w:p w14:paraId="646595A4"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611</w:t>
            </w:r>
          </w:p>
        </w:tc>
        <w:tc>
          <w:tcPr>
            <w:tcW w:w="596" w:type="pct"/>
            <w:tcBorders>
              <w:top w:val="nil"/>
              <w:left w:val="nil"/>
              <w:bottom w:val="single" w:sz="4" w:space="0" w:color="002A54" w:themeColor="text2"/>
              <w:right w:val="nil"/>
            </w:tcBorders>
            <w:shd w:val="clear" w:color="000000" w:fill="FFFFFF"/>
            <w:noWrap/>
            <w:vAlign w:val="center"/>
            <w:hideMark/>
          </w:tcPr>
          <w:p w14:paraId="282A96E3"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642</w:t>
            </w:r>
          </w:p>
        </w:tc>
        <w:tc>
          <w:tcPr>
            <w:tcW w:w="595" w:type="pct"/>
            <w:tcBorders>
              <w:top w:val="nil"/>
              <w:left w:val="nil"/>
              <w:bottom w:val="single" w:sz="4" w:space="0" w:color="002A54" w:themeColor="text2"/>
              <w:right w:val="nil"/>
            </w:tcBorders>
            <w:shd w:val="clear" w:color="000000" w:fill="FFFFFF"/>
            <w:noWrap/>
            <w:vAlign w:val="center"/>
            <w:hideMark/>
          </w:tcPr>
          <w:p w14:paraId="04EB41EF"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672</w:t>
            </w:r>
          </w:p>
        </w:tc>
      </w:tr>
      <w:tr w:rsidR="00D816EB" w:rsidRPr="00D816EB" w14:paraId="63C4A513" w14:textId="77777777" w:rsidTr="0070524E">
        <w:trPr>
          <w:divId w:val="518196980"/>
          <w:trHeight w:hRule="exact" w:val="225"/>
        </w:trPr>
        <w:tc>
          <w:tcPr>
            <w:tcW w:w="2021" w:type="pct"/>
            <w:tcBorders>
              <w:top w:val="nil"/>
              <w:left w:val="nil"/>
              <w:bottom w:val="single" w:sz="4" w:space="0" w:color="002A54" w:themeColor="text2"/>
              <w:right w:val="nil"/>
            </w:tcBorders>
            <w:shd w:val="clear" w:color="000000" w:fill="FFFFFF"/>
            <w:noWrap/>
            <w:vAlign w:val="center"/>
            <w:hideMark/>
          </w:tcPr>
          <w:p w14:paraId="3926029A" w14:textId="77777777" w:rsidR="00D816EB" w:rsidRPr="00D816EB" w:rsidRDefault="00D816EB" w:rsidP="00D816EB">
            <w:pPr>
              <w:spacing w:before="0" w:after="0" w:line="240" w:lineRule="auto"/>
              <w:rPr>
                <w:rFonts w:ascii="Arial" w:hAnsi="Arial" w:cs="Arial"/>
                <w:b/>
                <w:bCs/>
                <w:color w:val="000000"/>
                <w:sz w:val="16"/>
                <w:szCs w:val="16"/>
              </w:rPr>
            </w:pPr>
            <w:r w:rsidRPr="00D816EB">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023EB1C1"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36,982</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3A35EA7E"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39,300</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171B227"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41,313</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1CC4C7F"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43,396</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559F852B"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45,471</w:t>
            </w:r>
          </w:p>
        </w:tc>
      </w:tr>
    </w:tbl>
    <w:p w14:paraId="0A809B81" w14:textId="26EEA8FC" w:rsidR="00C855DF" w:rsidRPr="000177D7" w:rsidRDefault="00C855DF" w:rsidP="00173739">
      <w:pPr>
        <w:pStyle w:val="ChartandTableFootnoteAlpha"/>
        <w:numPr>
          <w:ilvl w:val="0"/>
          <w:numId w:val="5"/>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02DA64AE" w14:textId="000B8058" w:rsidR="00C855DF" w:rsidRPr="000177D7" w:rsidRDefault="00C855DF" w:rsidP="00173739">
      <w:pPr>
        <w:pStyle w:val="ChartandTableFootnoteAlpha"/>
        <w:numPr>
          <w:ilvl w:val="0"/>
          <w:numId w:val="5"/>
        </w:numPr>
        <w:rPr>
          <w:color w:val="auto"/>
        </w:rPr>
      </w:pPr>
      <w:r w:rsidRPr="000177D7">
        <w:rPr>
          <w:color w:val="auto"/>
        </w:rPr>
        <w:t>Payments under the funding agreements on Public Dental Services for Adults from 2020</w:t>
      </w:r>
      <w:r w:rsidRPr="000177D7">
        <w:rPr>
          <w:rFonts w:cs="Arial"/>
          <w:color w:val="auto"/>
        </w:rPr>
        <w:t>–</w:t>
      </w:r>
      <w:r w:rsidRPr="000177D7">
        <w:rPr>
          <w:color w:val="auto"/>
        </w:rPr>
        <w:t>21 are provided for under the health services sub</w:t>
      </w:r>
      <w:r w:rsidR="00D34B95">
        <w:rPr>
          <w:color w:val="auto"/>
        </w:rPr>
        <w:noBreakHyphen/>
      </w:r>
      <w:r w:rsidRPr="000177D7">
        <w:rPr>
          <w:color w:val="auto"/>
        </w:rPr>
        <w:t>function in Table 6.8.</w:t>
      </w:r>
    </w:p>
    <w:p w14:paraId="0F551F43" w14:textId="77777777" w:rsidR="00C855DF" w:rsidRPr="000177D7" w:rsidRDefault="00C855DF" w:rsidP="00C855DF">
      <w:pPr>
        <w:pStyle w:val="TableLine"/>
      </w:pPr>
    </w:p>
    <w:p w14:paraId="15169BD2" w14:textId="5585E55B" w:rsidR="0050166A" w:rsidRPr="00745B53" w:rsidRDefault="0050166A" w:rsidP="0050166A">
      <w:pPr>
        <w:rPr>
          <w:rFonts w:eastAsia="Book Antiqua" w:cs="Book Antiqua"/>
        </w:rPr>
      </w:pPr>
      <w:r w:rsidRPr="00745B53">
        <w:t xml:space="preserve">Expenses for the </w:t>
      </w:r>
      <w:r w:rsidRPr="00745B53">
        <w:rPr>
          <w:b/>
          <w:bCs/>
        </w:rPr>
        <w:t xml:space="preserve">pharmaceutical benefits and services </w:t>
      </w:r>
      <w:r>
        <w:t>sub</w:t>
      </w:r>
      <w:r w:rsidR="00A46178">
        <w:t>-</w:t>
      </w:r>
      <w:r>
        <w:t>function</w:t>
      </w:r>
      <w:r w:rsidRPr="00745B53">
        <w:t xml:space="preserve"> are expected to increase </w:t>
      </w:r>
      <w:r w:rsidRPr="0021687D">
        <w:t>by 0.7</w:t>
      </w:r>
      <w:r w:rsidR="00893776">
        <w:t> per </w:t>
      </w:r>
      <w:r w:rsidRPr="0021687D">
        <w:t>cent in nominal terms and decrease by 7.0</w:t>
      </w:r>
      <w:r w:rsidR="00893776">
        <w:t> per </w:t>
      </w:r>
      <w:r w:rsidRPr="0021687D">
        <w:t>cent in real terms over the period 2023</w:t>
      </w:r>
      <w:r w:rsidR="00485F94">
        <w:t>–</w:t>
      </w:r>
      <w:r w:rsidRPr="0021687D">
        <w:t>24 to 2026</w:t>
      </w:r>
      <w:r w:rsidR="00485F94">
        <w:t>–</w:t>
      </w:r>
      <w:r w:rsidRPr="0021687D">
        <w:t xml:space="preserve">27. The decrease in real terms is </w:t>
      </w:r>
      <w:r w:rsidRPr="0021687D">
        <w:rPr>
          <w:rFonts w:eastAsia="Book Antiqua" w:cs="Book Antiqua"/>
        </w:rPr>
        <w:t>primarily due to the impacts of existing pricing policies under the Pharmaceutical Benefits Scheme. T</w:t>
      </w:r>
      <w:r w:rsidRPr="0021687D">
        <w:t>he Government is investing $1.3</w:t>
      </w:r>
      <w:r w:rsidR="00A047E1">
        <w:t> </w:t>
      </w:r>
      <w:r w:rsidRPr="0021687D">
        <w:t>billion in the 2023</w:t>
      </w:r>
      <w:r w:rsidR="00485F94">
        <w:t>–</w:t>
      </w:r>
      <w:r w:rsidRPr="0021687D">
        <w:t>24 Budget to ensure access to existing pharmacy programs, support rural and remote pharmacies and deliver on improved pharmacy services.</w:t>
      </w:r>
    </w:p>
    <w:p w14:paraId="060C9B4E" w14:textId="50464F07" w:rsidR="00B561FF" w:rsidRPr="00AE4E7C" w:rsidRDefault="0050166A" w:rsidP="0050166A">
      <w:r w:rsidRPr="000177D7">
        <w:t xml:space="preserve">Table 6.8.2 sets out the major components of the </w:t>
      </w:r>
      <w:r w:rsidRPr="000177D7">
        <w:rPr>
          <w:b/>
          <w:bCs/>
        </w:rPr>
        <w:t>pharmaceutical benefits and services</w:t>
      </w:r>
      <w:r w:rsidRPr="000177D7">
        <w:t xml:space="preserve"> sub</w:t>
      </w:r>
      <w:r w:rsidR="00D34B95">
        <w:noBreakHyphen/>
      </w:r>
      <w:r w:rsidRPr="000177D7">
        <w:t>function.</w:t>
      </w:r>
    </w:p>
    <w:p w14:paraId="51C0F476" w14:textId="471FB850" w:rsidR="00D816EB" w:rsidRPr="00D816EB" w:rsidRDefault="00C855DF" w:rsidP="00D816EB">
      <w:pPr>
        <w:pStyle w:val="TableHeading"/>
        <w:rPr>
          <w:rFonts w:asciiTheme="minorHAnsi" w:eastAsiaTheme="minorHAnsi" w:hAnsiTheme="minorHAnsi" w:cstheme="minorBidi"/>
          <w:b w:val="0"/>
          <w:sz w:val="22"/>
          <w:szCs w:val="22"/>
          <w:lang w:eastAsia="en-US"/>
        </w:rPr>
      </w:pPr>
      <w:r w:rsidRPr="000177D7">
        <w:t>Table 6.8.2: Trends in the major components of pharmaceutical benefits and services sub</w:t>
      </w:r>
      <w:r w:rsidR="00D34B95">
        <w:noBreakHyphen/>
      </w:r>
      <w:r w:rsidRPr="000177D7">
        <w:t>function expense</w:t>
      </w:r>
      <w:bookmarkStart w:id="75" w:name="_1727953890"/>
      <w:bookmarkStart w:id="76" w:name="_1727955067"/>
      <w:bookmarkEnd w:id="75"/>
      <w:bookmarkEnd w:id="76"/>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D816EB" w:rsidRPr="00D816EB" w14:paraId="1638A069" w14:textId="77777777" w:rsidTr="0070524E">
        <w:trPr>
          <w:divId w:val="1602496133"/>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4FE4891A" w14:textId="1F0D068C" w:rsidR="00D816EB" w:rsidRPr="00D816EB" w:rsidRDefault="00D816EB" w:rsidP="00D816EB">
            <w:pPr>
              <w:spacing w:before="0" w:after="0" w:line="240" w:lineRule="auto"/>
              <w:rPr>
                <w:rFonts w:ascii="Arial" w:hAnsi="Arial" w:cs="Arial"/>
                <w:b/>
                <w:bCs/>
                <w:color w:val="000000"/>
                <w:sz w:val="16"/>
                <w:szCs w:val="16"/>
              </w:rPr>
            </w:pPr>
            <w:r w:rsidRPr="00D816EB">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0D6C7E5E" w14:textId="77777777" w:rsidR="00D816EB" w:rsidRPr="00D816EB" w:rsidRDefault="00D816EB" w:rsidP="00D816EB">
            <w:pPr>
              <w:spacing w:before="0" w:after="0" w:line="240" w:lineRule="auto"/>
              <w:jc w:val="center"/>
              <w:rPr>
                <w:rFonts w:ascii="Arial" w:hAnsi="Arial" w:cs="Arial"/>
                <w:color w:val="000000"/>
                <w:sz w:val="16"/>
                <w:szCs w:val="16"/>
              </w:rPr>
            </w:pPr>
            <w:r w:rsidRPr="00D816EB">
              <w:rPr>
                <w:rFonts w:ascii="Arial" w:hAnsi="Arial" w:cs="Arial"/>
                <w:color w:val="000000"/>
                <w:sz w:val="16"/>
                <w:szCs w:val="16"/>
              </w:rPr>
              <w:t>Estimates</w:t>
            </w:r>
          </w:p>
        </w:tc>
      </w:tr>
      <w:tr w:rsidR="00D816EB" w:rsidRPr="00D816EB" w14:paraId="3E9DA44E" w14:textId="77777777" w:rsidTr="0070524E">
        <w:trPr>
          <w:divId w:val="1602496133"/>
          <w:trHeight w:hRule="exact" w:val="225"/>
        </w:trPr>
        <w:tc>
          <w:tcPr>
            <w:tcW w:w="2021" w:type="pct"/>
            <w:tcBorders>
              <w:top w:val="nil"/>
              <w:left w:val="nil"/>
              <w:bottom w:val="nil"/>
              <w:right w:val="nil"/>
            </w:tcBorders>
            <w:shd w:val="clear" w:color="000000" w:fill="FFFFFF"/>
            <w:noWrap/>
            <w:vAlign w:val="bottom"/>
            <w:hideMark/>
          </w:tcPr>
          <w:p w14:paraId="156EA1D5"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50431902" w14:textId="7BBEF048"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2022</w:t>
            </w:r>
            <w:r w:rsidR="00485F94">
              <w:rPr>
                <w:rFonts w:ascii="Arial" w:hAnsi="Arial" w:cs="Arial"/>
                <w:sz w:val="16"/>
                <w:szCs w:val="16"/>
              </w:rPr>
              <w:t>–</w:t>
            </w:r>
            <w:r w:rsidRPr="00D816EB">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39233725" w14:textId="2799926B"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2023</w:t>
            </w:r>
            <w:r w:rsidR="00485F94">
              <w:rPr>
                <w:rFonts w:ascii="Arial" w:hAnsi="Arial" w:cs="Arial"/>
                <w:sz w:val="16"/>
                <w:szCs w:val="16"/>
              </w:rPr>
              <w:t>–</w:t>
            </w:r>
            <w:r w:rsidRPr="00D816EB">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170762FB" w14:textId="1F6E2EE5"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2024</w:t>
            </w:r>
            <w:r w:rsidR="00485F94">
              <w:rPr>
                <w:rFonts w:ascii="Arial" w:hAnsi="Arial" w:cs="Arial"/>
                <w:sz w:val="16"/>
                <w:szCs w:val="16"/>
              </w:rPr>
              <w:t>–</w:t>
            </w:r>
            <w:r w:rsidRPr="00D816EB">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116CF72D" w14:textId="4DC0DE7D" w:rsidR="00D816EB" w:rsidRPr="00D816EB" w:rsidRDefault="00D816EB" w:rsidP="00D816EB">
            <w:pPr>
              <w:spacing w:before="0" w:after="0" w:line="240" w:lineRule="auto"/>
              <w:jc w:val="right"/>
              <w:rPr>
                <w:rFonts w:ascii="Arial" w:hAnsi="Arial" w:cs="Arial"/>
                <w:sz w:val="16"/>
                <w:szCs w:val="16"/>
              </w:rPr>
            </w:pPr>
            <w:r w:rsidRPr="00D816EB">
              <w:rPr>
                <w:rFonts w:ascii="Arial" w:hAnsi="Arial" w:cs="Arial"/>
                <w:sz w:val="16"/>
                <w:szCs w:val="16"/>
              </w:rPr>
              <w:t>2025</w:t>
            </w:r>
            <w:r w:rsidR="00485F94">
              <w:rPr>
                <w:rFonts w:ascii="Arial" w:hAnsi="Arial" w:cs="Arial"/>
                <w:sz w:val="16"/>
                <w:szCs w:val="16"/>
              </w:rPr>
              <w:t>–</w:t>
            </w:r>
            <w:r w:rsidRPr="00D816EB">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1C533179" w14:textId="3B5D5141"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2026</w:t>
            </w:r>
            <w:r w:rsidR="00485F94">
              <w:rPr>
                <w:rFonts w:ascii="Arial" w:hAnsi="Arial" w:cs="Arial"/>
                <w:color w:val="000000"/>
                <w:sz w:val="16"/>
                <w:szCs w:val="16"/>
              </w:rPr>
              <w:t>–</w:t>
            </w:r>
            <w:r w:rsidRPr="00D816EB">
              <w:rPr>
                <w:rFonts w:ascii="Arial" w:hAnsi="Arial" w:cs="Arial"/>
                <w:color w:val="000000"/>
                <w:sz w:val="16"/>
                <w:szCs w:val="16"/>
              </w:rPr>
              <w:t>27</w:t>
            </w:r>
          </w:p>
        </w:tc>
      </w:tr>
      <w:tr w:rsidR="00D816EB" w:rsidRPr="00D816EB" w14:paraId="144092BE" w14:textId="77777777" w:rsidTr="0070524E">
        <w:trPr>
          <w:divId w:val="1602496133"/>
          <w:trHeight w:hRule="exact" w:val="225"/>
        </w:trPr>
        <w:tc>
          <w:tcPr>
            <w:tcW w:w="2021" w:type="pct"/>
            <w:tcBorders>
              <w:top w:val="nil"/>
              <w:left w:val="nil"/>
              <w:bottom w:val="nil"/>
              <w:right w:val="nil"/>
            </w:tcBorders>
            <w:shd w:val="clear" w:color="000000" w:fill="FFFFFF"/>
            <w:noWrap/>
            <w:vAlign w:val="center"/>
            <w:hideMark/>
          </w:tcPr>
          <w:p w14:paraId="40B52AC3"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0136604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1E18F4D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3E759C8C"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1036DEE"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3B9D152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$m</w:t>
            </w:r>
          </w:p>
        </w:tc>
      </w:tr>
      <w:tr w:rsidR="00D816EB" w:rsidRPr="00D816EB" w14:paraId="3FB1B71B" w14:textId="77777777" w:rsidTr="00D816EB">
        <w:trPr>
          <w:gridAfter w:val="1"/>
          <w:divId w:val="1602496133"/>
          <w:wAfter w:w="595" w:type="pct"/>
          <w:trHeight w:hRule="exact" w:val="225"/>
        </w:trPr>
        <w:tc>
          <w:tcPr>
            <w:tcW w:w="2021" w:type="pct"/>
            <w:tcBorders>
              <w:top w:val="nil"/>
              <w:left w:val="nil"/>
              <w:bottom w:val="nil"/>
              <w:right w:val="nil"/>
            </w:tcBorders>
            <w:shd w:val="clear" w:color="000000" w:fill="FFFFFF"/>
            <w:noWrap/>
            <w:vAlign w:val="center"/>
            <w:hideMark/>
          </w:tcPr>
          <w:p w14:paraId="0C4A5141"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Pharmaceutical benefits, services and</w:t>
            </w:r>
          </w:p>
        </w:tc>
        <w:tc>
          <w:tcPr>
            <w:tcW w:w="596" w:type="pct"/>
            <w:tcBorders>
              <w:top w:val="nil"/>
              <w:left w:val="nil"/>
              <w:bottom w:val="nil"/>
              <w:right w:val="nil"/>
            </w:tcBorders>
            <w:shd w:val="clear" w:color="000000" w:fill="FFFFFF"/>
            <w:noWrap/>
            <w:vAlign w:val="center"/>
            <w:hideMark/>
          </w:tcPr>
          <w:p w14:paraId="1A1BD001"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38078257"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1320247E"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5324A3EE" w14:textId="77777777" w:rsidR="00D816EB" w:rsidRPr="00D816EB" w:rsidRDefault="00D816EB" w:rsidP="00D816EB">
            <w:pPr>
              <w:spacing w:before="0" w:after="0" w:line="240" w:lineRule="auto"/>
              <w:rPr>
                <w:rFonts w:ascii="Arial" w:hAnsi="Arial" w:cs="Arial"/>
                <w:color w:val="000000"/>
                <w:sz w:val="16"/>
                <w:szCs w:val="16"/>
              </w:rPr>
            </w:pPr>
            <w:r w:rsidRPr="00D816EB">
              <w:rPr>
                <w:rFonts w:ascii="Arial" w:hAnsi="Arial" w:cs="Arial"/>
                <w:color w:val="000000"/>
                <w:sz w:val="16"/>
                <w:szCs w:val="16"/>
              </w:rPr>
              <w:t> </w:t>
            </w:r>
          </w:p>
        </w:tc>
      </w:tr>
      <w:tr w:rsidR="00D816EB" w:rsidRPr="00D816EB" w14:paraId="7C6939C4" w14:textId="77777777" w:rsidTr="00D816EB">
        <w:trPr>
          <w:divId w:val="1602496133"/>
          <w:trHeight w:hRule="exact" w:val="225"/>
        </w:trPr>
        <w:tc>
          <w:tcPr>
            <w:tcW w:w="2021" w:type="pct"/>
            <w:tcBorders>
              <w:top w:val="nil"/>
              <w:left w:val="nil"/>
              <w:bottom w:val="nil"/>
              <w:right w:val="nil"/>
            </w:tcBorders>
            <w:shd w:val="clear" w:color="000000" w:fill="FFFFFF"/>
            <w:noWrap/>
            <w:vAlign w:val="center"/>
            <w:hideMark/>
          </w:tcPr>
          <w:p w14:paraId="1FCA51E4" w14:textId="77777777" w:rsidR="00D816EB" w:rsidRPr="00D816EB" w:rsidRDefault="00D816EB" w:rsidP="00D816EB">
            <w:pPr>
              <w:spacing w:before="0" w:after="0" w:line="240" w:lineRule="auto"/>
              <w:ind w:left="170"/>
              <w:rPr>
                <w:rFonts w:ascii="Arial" w:hAnsi="Arial" w:cs="Arial"/>
                <w:color w:val="000000"/>
                <w:sz w:val="16"/>
                <w:szCs w:val="16"/>
              </w:rPr>
            </w:pPr>
            <w:r w:rsidRPr="00D816EB">
              <w:rPr>
                <w:rFonts w:ascii="Arial" w:hAnsi="Arial" w:cs="Arial"/>
                <w:color w:val="000000"/>
                <w:sz w:val="16"/>
                <w:szCs w:val="16"/>
              </w:rPr>
              <w:t>supply</w:t>
            </w:r>
          </w:p>
        </w:tc>
        <w:tc>
          <w:tcPr>
            <w:tcW w:w="596" w:type="pct"/>
            <w:tcBorders>
              <w:top w:val="nil"/>
              <w:left w:val="nil"/>
              <w:bottom w:val="nil"/>
              <w:right w:val="nil"/>
            </w:tcBorders>
            <w:shd w:val="clear" w:color="000000" w:fill="FFFFFF"/>
            <w:noWrap/>
            <w:vAlign w:val="center"/>
            <w:hideMark/>
          </w:tcPr>
          <w:p w14:paraId="2FB44B74"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18,733</w:t>
            </w:r>
          </w:p>
        </w:tc>
        <w:tc>
          <w:tcPr>
            <w:tcW w:w="596" w:type="pct"/>
            <w:tcBorders>
              <w:top w:val="nil"/>
              <w:left w:val="nil"/>
              <w:bottom w:val="nil"/>
              <w:right w:val="nil"/>
            </w:tcBorders>
            <w:shd w:val="clear" w:color="000000" w:fill="E6F2FF"/>
            <w:noWrap/>
            <w:vAlign w:val="center"/>
            <w:hideMark/>
          </w:tcPr>
          <w:p w14:paraId="32BF80C0"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18,218</w:t>
            </w:r>
          </w:p>
        </w:tc>
        <w:tc>
          <w:tcPr>
            <w:tcW w:w="596" w:type="pct"/>
            <w:tcBorders>
              <w:top w:val="nil"/>
              <w:left w:val="nil"/>
              <w:bottom w:val="nil"/>
              <w:right w:val="nil"/>
            </w:tcBorders>
            <w:shd w:val="clear" w:color="000000" w:fill="FFFFFF"/>
            <w:noWrap/>
            <w:vAlign w:val="center"/>
            <w:hideMark/>
          </w:tcPr>
          <w:p w14:paraId="77BB16E5"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18,121</w:t>
            </w:r>
          </w:p>
        </w:tc>
        <w:tc>
          <w:tcPr>
            <w:tcW w:w="596" w:type="pct"/>
            <w:tcBorders>
              <w:top w:val="nil"/>
              <w:left w:val="nil"/>
              <w:bottom w:val="nil"/>
              <w:right w:val="nil"/>
            </w:tcBorders>
            <w:shd w:val="clear" w:color="000000" w:fill="FFFFFF"/>
            <w:noWrap/>
            <w:vAlign w:val="center"/>
            <w:hideMark/>
          </w:tcPr>
          <w:p w14:paraId="5F6A448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18,300</w:t>
            </w:r>
          </w:p>
        </w:tc>
        <w:tc>
          <w:tcPr>
            <w:tcW w:w="595" w:type="pct"/>
            <w:tcBorders>
              <w:top w:val="nil"/>
              <w:left w:val="nil"/>
              <w:bottom w:val="nil"/>
              <w:right w:val="nil"/>
            </w:tcBorders>
            <w:shd w:val="clear" w:color="000000" w:fill="FFFFFF"/>
            <w:noWrap/>
            <w:vAlign w:val="center"/>
            <w:hideMark/>
          </w:tcPr>
          <w:p w14:paraId="0AD3DA45"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18,319</w:t>
            </w:r>
          </w:p>
        </w:tc>
      </w:tr>
      <w:tr w:rsidR="00D816EB" w:rsidRPr="00D816EB" w14:paraId="068425EF" w14:textId="77777777" w:rsidTr="0070524E">
        <w:trPr>
          <w:divId w:val="1602496133"/>
          <w:trHeight w:hRule="exact" w:val="225"/>
        </w:trPr>
        <w:tc>
          <w:tcPr>
            <w:tcW w:w="2021" w:type="pct"/>
            <w:tcBorders>
              <w:top w:val="nil"/>
              <w:left w:val="nil"/>
              <w:bottom w:val="nil"/>
              <w:right w:val="nil"/>
            </w:tcBorders>
            <w:shd w:val="clear" w:color="000000" w:fill="FFFFFF"/>
            <w:noWrap/>
            <w:vAlign w:val="center"/>
            <w:hideMark/>
          </w:tcPr>
          <w:p w14:paraId="6BDA16F3" w14:textId="7777777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Immunisation</w:t>
            </w:r>
          </w:p>
        </w:tc>
        <w:tc>
          <w:tcPr>
            <w:tcW w:w="596" w:type="pct"/>
            <w:tcBorders>
              <w:top w:val="nil"/>
              <w:left w:val="nil"/>
              <w:right w:val="nil"/>
            </w:tcBorders>
            <w:shd w:val="clear" w:color="000000" w:fill="FFFFFF"/>
            <w:noWrap/>
            <w:vAlign w:val="center"/>
            <w:hideMark/>
          </w:tcPr>
          <w:p w14:paraId="28AF672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477</w:t>
            </w:r>
          </w:p>
        </w:tc>
        <w:tc>
          <w:tcPr>
            <w:tcW w:w="596" w:type="pct"/>
            <w:tcBorders>
              <w:top w:val="nil"/>
              <w:left w:val="nil"/>
              <w:right w:val="nil"/>
            </w:tcBorders>
            <w:shd w:val="clear" w:color="000000" w:fill="E6F2FF"/>
            <w:noWrap/>
            <w:vAlign w:val="center"/>
            <w:hideMark/>
          </w:tcPr>
          <w:p w14:paraId="6C144AC2"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545</w:t>
            </w:r>
          </w:p>
        </w:tc>
        <w:tc>
          <w:tcPr>
            <w:tcW w:w="596" w:type="pct"/>
            <w:tcBorders>
              <w:top w:val="nil"/>
              <w:left w:val="nil"/>
              <w:right w:val="nil"/>
            </w:tcBorders>
            <w:shd w:val="clear" w:color="000000" w:fill="FFFFFF"/>
            <w:noWrap/>
            <w:vAlign w:val="center"/>
            <w:hideMark/>
          </w:tcPr>
          <w:p w14:paraId="6184D249"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576</w:t>
            </w:r>
          </w:p>
        </w:tc>
        <w:tc>
          <w:tcPr>
            <w:tcW w:w="596" w:type="pct"/>
            <w:tcBorders>
              <w:top w:val="nil"/>
              <w:left w:val="nil"/>
              <w:right w:val="nil"/>
            </w:tcBorders>
            <w:shd w:val="clear" w:color="000000" w:fill="FFFFFF"/>
            <w:noWrap/>
            <w:vAlign w:val="center"/>
            <w:hideMark/>
          </w:tcPr>
          <w:p w14:paraId="3F84243E"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578</w:t>
            </w:r>
          </w:p>
        </w:tc>
        <w:tc>
          <w:tcPr>
            <w:tcW w:w="595" w:type="pct"/>
            <w:tcBorders>
              <w:top w:val="nil"/>
              <w:left w:val="nil"/>
              <w:right w:val="nil"/>
            </w:tcBorders>
            <w:shd w:val="clear" w:color="000000" w:fill="FFFFFF"/>
            <w:noWrap/>
            <w:vAlign w:val="center"/>
            <w:hideMark/>
          </w:tcPr>
          <w:p w14:paraId="4B6F43AD"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580</w:t>
            </w:r>
          </w:p>
        </w:tc>
      </w:tr>
      <w:tr w:rsidR="00D816EB" w:rsidRPr="00D816EB" w14:paraId="7744E640" w14:textId="77777777" w:rsidTr="0070524E">
        <w:trPr>
          <w:divId w:val="1602496133"/>
          <w:trHeight w:hRule="exact" w:val="225"/>
        </w:trPr>
        <w:tc>
          <w:tcPr>
            <w:tcW w:w="2021" w:type="pct"/>
            <w:tcBorders>
              <w:top w:val="nil"/>
              <w:left w:val="nil"/>
              <w:bottom w:val="nil"/>
              <w:right w:val="nil"/>
            </w:tcBorders>
            <w:shd w:val="clear" w:color="000000" w:fill="FFFFFF"/>
            <w:noWrap/>
            <w:vAlign w:val="center"/>
            <w:hideMark/>
          </w:tcPr>
          <w:p w14:paraId="16AFEC63" w14:textId="0343C267" w:rsidR="00D816EB" w:rsidRPr="00D816EB" w:rsidRDefault="00D816EB" w:rsidP="00D816EB">
            <w:pPr>
              <w:spacing w:before="0" w:after="0" w:line="240" w:lineRule="auto"/>
              <w:rPr>
                <w:rFonts w:ascii="Arial" w:hAnsi="Arial" w:cs="Arial"/>
                <w:sz w:val="16"/>
                <w:szCs w:val="16"/>
              </w:rPr>
            </w:pPr>
            <w:r w:rsidRPr="00D816EB">
              <w:rPr>
                <w:rFonts w:ascii="Arial" w:hAnsi="Arial" w:cs="Arial"/>
                <w:sz w:val="16"/>
                <w:szCs w:val="16"/>
              </w:rPr>
              <w:t>Veterans</w:t>
            </w:r>
            <w:r w:rsidR="00D34B95">
              <w:rPr>
                <w:rFonts w:ascii="Arial" w:hAnsi="Arial" w:cs="Arial"/>
                <w:sz w:val="16"/>
                <w:szCs w:val="16"/>
              </w:rPr>
              <w:t>’</w:t>
            </w:r>
            <w:r w:rsidRPr="00D816EB">
              <w:rPr>
                <w:rFonts w:ascii="Arial" w:hAnsi="Arial" w:cs="Arial"/>
                <w:sz w:val="16"/>
                <w:szCs w:val="16"/>
              </w:rPr>
              <w:t xml:space="preserve"> pharmaceutical benefits</w:t>
            </w:r>
          </w:p>
        </w:tc>
        <w:tc>
          <w:tcPr>
            <w:tcW w:w="596" w:type="pct"/>
            <w:tcBorders>
              <w:top w:val="nil"/>
              <w:left w:val="nil"/>
              <w:bottom w:val="single" w:sz="4" w:space="0" w:color="002A54" w:themeColor="text2"/>
              <w:right w:val="nil"/>
            </w:tcBorders>
            <w:shd w:val="clear" w:color="000000" w:fill="FFFFFF"/>
            <w:noWrap/>
            <w:vAlign w:val="center"/>
            <w:hideMark/>
          </w:tcPr>
          <w:p w14:paraId="760C4C08"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382</w:t>
            </w:r>
          </w:p>
        </w:tc>
        <w:tc>
          <w:tcPr>
            <w:tcW w:w="596" w:type="pct"/>
            <w:tcBorders>
              <w:top w:val="nil"/>
              <w:left w:val="nil"/>
              <w:bottom w:val="single" w:sz="4" w:space="0" w:color="002A54" w:themeColor="text2"/>
              <w:right w:val="nil"/>
            </w:tcBorders>
            <w:shd w:val="clear" w:color="000000" w:fill="E6F2FF"/>
            <w:noWrap/>
            <w:vAlign w:val="center"/>
            <w:hideMark/>
          </w:tcPr>
          <w:p w14:paraId="50CDC657"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343</w:t>
            </w:r>
          </w:p>
        </w:tc>
        <w:tc>
          <w:tcPr>
            <w:tcW w:w="596" w:type="pct"/>
            <w:tcBorders>
              <w:top w:val="nil"/>
              <w:left w:val="nil"/>
              <w:bottom w:val="single" w:sz="4" w:space="0" w:color="002A54" w:themeColor="text2"/>
              <w:right w:val="nil"/>
            </w:tcBorders>
            <w:shd w:val="clear" w:color="000000" w:fill="FFFFFF"/>
            <w:noWrap/>
            <w:vAlign w:val="center"/>
            <w:hideMark/>
          </w:tcPr>
          <w:p w14:paraId="013EE621"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338</w:t>
            </w:r>
          </w:p>
        </w:tc>
        <w:tc>
          <w:tcPr>
            <w:tcW w:w="596" w:type="pct"/>
            <w:tcBorders>
              <w:top w:val="nil"/>
              <w:left w:val="nil"/>
              <w:bottom w:val="single" w:sz="4" w:space="0" w:color="002A54" w:themeColor="text2"/>
              <w:right w:val="nil"/>
            </w:tcBorders>
            <w:shd w:val="clear" w:color="000000" w:fill="FFFFFF"/>
            <w:noWrap/>
            <w:vAlign w:val="center"/>
            <w:hideMark/>
          </w:tcPr>
          <w:p w14:paraId="650F3064"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336</w:t>
            </w:r>
          </w:p>
        </w:tc>
        <w:tc>
          <w:tcPr>
            <w:tcW w:w="595" w:type="pct"/>
            <w:tcBorders>
              <w:top w:val="nil"/>
              <w:left w:val="nil"/>
              <w:bottom w:val="single" w:sz="4" w:space="0" w:color="002A54" w:themeColor="text2"/>
              <w:right w:val="nil"/>
            </w:tcBorders>
            <w:shd w:val="clear" w:color="000000" w:fill="FFFFFF"/>
            <w:noWrap/>
            <w:vAlign w:val="center"/>
            <w:hideMark/>
          </w:tcPr>
          <w:p w14:paraId="12C05335" w14:textId="77777777" w:rsidR="00D816EB" w:rsidRPr="00D816EB" w:rsidRDefault="00D816EB" w:rsidP="00D816EB">
            <w:pPr>
              <w:spacing w:before="0" w:after="0" w:line="240" w:lineRule="auto"/>
              <w:jc w:val="right"/>
              <w:rPr>
                <w:rFonts w:ascii="Arial" w:hAnsi="Arial" w:cs="Arial"/>
                <w:color w:val="000000"/>
                <w:sz w:val="16"/>
                <w:szCs w:val="16"/>
              </w:rPr>
            </w:pPr>
            <w:r w:rsidRPr="00D816EB">
              <w:rPr>
                <w:rFonts w:ascii="Arial" w:hAnsi="Arial" w:cs="Arial"/>
                <w:color w:val="000000"/>
                <w:sz w:val="16"/>
                <w:szCs w:val="16"/>
              </w:rPr>
              <w:t>333</w:t>
            </w:r>
          </w:p>
        </w:tc>
      </w:tr>
      <w:tr w:rsidR="00D816EB" w:rsidRPr="00D816EB" w14:paraId="79A0B785" w14:textId="77777777" w:rsidTr="0070524E">
        <w:trPr>
          <w:divId w:val="1602496133"/>
          <w:trHeight w:hRule="exact" w:val="225"/>
        </w:trPr>
        <w:tc>
          <w:tcPr>
            <w:tcW w:w="2021" w:type="pct"/>
            <w:tcBorders>
              <w:top w:val="nil"/>
              <w:left w:val="nil"/>
              <w:bottom w:val="single" w:sz="4" w:space="0" w:color="002A54" w:themeColor="text2"/>
              <w:right w:val="nil"/>
            </w:tcBorders>
            <w:shd w:val="clear" w:color="000000" w:fill="FFFFFF"/>
            <w:noWrap/>
            <w:vAlign w:val="center"/>
            <w:hideMark/>
          </w:tcPr>
          <w:p w14:paraId="294228D3" w14:textId="77777777" w:rsidR="00D816EB" w:rsidRPr="00D816EB" w:rsidRDefault="00D816EB" w:rsidP="00D816EB">
            <w:pPr>
              <w:spacing w:before="0" w:after="0" w:line="240" w:lineRule="auto"/>
              <w:rPr>
                <w:rFonts w:ascii="Arial" w:hAnsi="Arial" w:cs="Arial"/>
                <w:b/>
                <w:bCs/>
                <w:color w:val="000000"/>
                <w:sz w:val="16"/>
                <w:szCs w:val="16"/>
              </w:rPr>
            </w:pPr>
            <w:r w:rsidRPr="00D816EB">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6A24FEFE"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19,592</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28573609"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19,106</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34C0AFFE"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19,035</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5F2C6A01"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19,214</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45EB942F" w14:textId="77777777" w:rsidR="00D816EB" w:rsidRPr="00D816EB" w:rsidRDefault="00D816EB" w:rsidP="00D816EB">
            <w:pPr>
              <w:spacing w:before="0" w:after="0" w:line="240" w:lineRule="auto"/>
              <w:jc w:val="right"/>
              <w:rPr>
                <w:rFonts w:ascii="Arial" w:hAnsi="Arial" w:cs="Arial"/>
                <w:b/>
                <w:bCs/>
                <w:color w:val="000000"/>
                <w:sz w:val="16"/>
                <w:szCs w:val="16"/>
              </w:rPr>
            </w:pPr>
            <w:r w:rsidRPr="00D816EB">
              <w:rPr>
                <w:rFonts w:ascii="Arial" w:hAnsi="Arial" w:cs="Arial"/>
                <w:b/>
                <w:bCs/>
                <w:color w:val="000000"/>
                <w:sz w:val="16"/>
                <w:szCs w:val="16"/>
              </w:rPr>
              <w:t>19,232</w:t>
            </w:r>
          </w:p>
        </w:tc>
      </w:tr>
    </w:tbl>
    <w:p w14:paraId="4FF18ADA" w14:textId="5A609ACE" w:rsidR="00C855DF" w:rsidRPr="000177D7" w:rsidRDefault="00C855DF" w:rsidP="00173739">
      <w:pPr>
        <w:pStyle w:val="ChartandTableFootnoteAlpha"/>
        <w:numPr>
          <w:ilvl w:val="0"/>
          <w:numId w:val="12"/>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0068AC5C" w14:textId="77777777" w:rsidR="00C855DF" w:rsidRPr="000177D7" w:rsidRDefault="00C855DF" w:rsidP="00C855DF">
      <w:pPr>
        <w:pStyle w:val="TableLine"/>
      </w:pPr>
    </w:p>
    <w:p w14:paraId="0EC6E11F" w14:textId="74292893" w:rsidR="0050166A" w:rsidRPr="000177D7" w:rsidRDefault="0050166A" w:rsidP="0050166A">
      <w:bookmarkStart w:id="77" w:name="_Toc117358177"/>
      <w:bookmarkEnd w:id="69"/>
      <w:bookmarkEnd w:id="70"/>
      <w:r w:rsidRPr="000177D7">
        <w:t>The Australian Government</w:t>
      </w:r>
      <w:r w:rsidR="00D34B95">
        <w:t>’</w:t>
      </w:r>
      <w:r w:rsidRPr="000177D7">
        <w:t xml:space="preserve">s contribution to public hospital funding is reported through the </w:t>
      </w:r>
      <w:r w:rsidRPr="000177D7">
        <w:rPr>
          <w:b/>
          <w:bCs/>
        </w:rPr>
        <w:t xml:space="preserve">assistance to the states for public hospitals </w:t>
      </w:r>
      <w:r w:rsidRPr="000177D7">
        <w:t>sub</w:t>
      </w:r>
      <w:r w:rsidR="00D34B95">
        <w:noBreakHyphen/>
      </w:r>
      <w:r w:rsidRPr="000177D7">
        <w:t>function. Hospital services covered by this sub</w:t>
      </w:r>
      <w:r w:rsidR="00D34B95">
        <w:noBreakHyphen/>
      </w:r>
      <w:r w:rsidRPr="000177D7">
        <w:t>function include all admitted services, programs that deliver hospital services in the home, and emergency department services. Expenditure for this sub</w:t>
      </w:r>
      <w:r w:rsidR="00D34B95">
        <w:noBreakHyphen/>
      </w:r>
      <w:r w:rsidRPr="000177D7">
        <w:t xml:space="preserve">function is expected to </w:t>
      </w:r>
      <w:r>
        <w:t xml:space="preserve">increase </w:t>
      </w:r>
      <w:r w:rsidRPr="000177D7">
        <w:t>reflecting the Government</w:t>
      </w:r>
      <w:r w:rsidR="00D34B95">
        <w:t>’</w:t>
      </w:r>
      <w:r w:rsidRPr="000177D7">
        <w:t>s agreement with states and territories for the Commonwealth to fund 45</w:t>
      </w:r>
      <w:r w:rsidR="00893776">
        <w:t> per </w:t>
      </w:r>
      <w:r w:rsidRPr="000177D7">
        <w:t>cent of the efficient growth in activity</w:t>
      </w:r>
      <w:r w:rsidR="00D34B95">
        <w:noBreakHyphen/>
      </w:r>
      <w:r w:rsidRPr="000177D7">
        <w:t>based services for public hospitals from 2020</w:t>
      </w:r>
      <w:r w:rsidR="00485F94">
        <w:t>–</w:t>
      </w:r>
      <w:r w:rsidRPr="000177D7">
        <w:t>21 to 2024</w:t>
      </w:r>
      <w:r w:rsidR="00485F94">
        <w:t>–</w:t>
      </w:r>
      <w:r w:rsidRPr="000177D7">
        <w:t>25.</w:t>
      </w:r>
    </w:p>
    <w:p w14:paraId="7EB70CBE" w14:textId="56203A00" w:rsidR="0050166A" w:rsidRPr="000177D7" w:rsidRDefault="0050166A" w:rsidP="0050166A">
      <w:pPr>
        <w:rPr>
          <w:rFonts w:eastAsia="Book Antiqua" w:cs="Book Antiqua"/>
        </w:rPr>
      </w:pPr>
      <w:bookmarkStart w:id="78" w:name="_Hlk133619965"/>
      <w:r w:rsidRPr="000177D7">
        <w:lastRenderedPageBreak/>
        <w:t xml:space="preserve">The </w:t>
      </w:r>
      <w:r w:rsidRPr="000177D7">
        <w:rPr>
          <w:b/>
          <w:bCs/>
        </w:rPr>
        <w:t xml:space="preserve">hospital services </w:t>
      </w:r>
      <w:r w:rsidRPr="000177D7">
        <w:t>sub</w:t>
      </w:r>
      <w:r w:rsidR="00D34B95">
        <w:noBreakHyphen/>
      </w:r>
      <w:r w:rsidRPr="000177D7">
        <w:t>function consists mainly of payments to the states and territories to deliver veterans</w:t>
      </w:r>
      <w:r w:rsidR="00D34B95">
        <w:t>’</w:t>
      </w:r>
      <w:r w:rsidRPr="000177D7">
        <w:t xml:space="preserve"> hospital services. </w:t>
      </w:r>
      <w:r>
        <w:t>T</w:t>
      </w:r>
      <w:bookmarkEnd w:id="78"/>
      <w:r>
        <w:rPr>
          <w:rFonts w:eastAsia="Book Antiqua" w:cs="Book Antiqua"/>
        </w:rPr>
        <w:t>his increase in expenditure largely reflects an anticipated return to pre</w:t>
      </w:r>
      <w:r w:rsidR="00D34B95">
        <w:rPr>
          <w:rFonts w:eastAsia="Book Antiqua" w:cs="Book Antiqua"/>
        </w:rPr>
        <w:noBreakHyphen/>
      </w:r>
      <w:r>
        <w:rPr>
          <w:rFonts w:eastAsia="Book Antiqua" w:cs="Book Antiqua"/>
        </w:rPr>
        <w:t>COVID</w:t>
      </w:r>
      <w:r w:rsidR="00D34B95">
        <w:rPr>
          <w:rFonts w:eastAsia="Book Antiqua" w:cs="Book Antiqua"/>
        </w:rPr>
        <w:noBreakHyphen/>
      </w:r>
      <w:r>
        <w:rPr>
          <w:rFonts w:eastAsia="Book Antiqua" w:cs="Book Antiqua"/>
        </w:rPr>
        <w:t xml:space="preserve">19 use of hospital services </w:t>
      </w:r>
      <w:r w:rsidR="007E2B7A">
        <w:rPr>
          <w:rFonts w:eastAsia="Book Antiqua" w:cs="Book Antiqua"/>
        </w:rPr>
        <w:t>by</w:t>
      </w:r>
      <w:r>
        <w:rPr>
          <w:rFonts w:eastAsia="Book Antiqua" w:cs="Book Antiqua"/>
        </w:rPr>
        <w:t xml:space="preserve"> veterans and their dependants. </w:t>
      </w:r>
    </w:p>
    <w:p w14:paraId="4F70D4DA" w14:textId="7BC62668" w:rsidR="0050166A" w:rsidRPr="00745B53" w:rsidRDefault="0050166A" w:rsidP="0050166A">
      <w:pPr>
        <w:rPr>
          <w:i/>
          <w:iCs/>
        </w:rPr>
      </w:pPr>
      <w:r w:rsidRPr="00745B53">
        <w:t xml:space="preserve">Expenses in the </w:t>
      </w:r>
      <w:r w:rsidRPr="00745B53">
        <w:rPr>
          <w:b/>
          <w:bCs/>
        </w:rPr>
        <w:t xml:space="preserve">health services </w:t>
      </w:r>
      <w:r w:rsidRPr="003314E1">
        <w:t>sub</w:t>
      </w:r>
      <w:r w:rsidR="00D34B95">
        <w:noBreakHyphen/>
      </w:r>
      <w:r w:rsidRPr="003314E1">
        <w:t>function include expenses associated with the delivery of population health, medical research, mental health, blood and blood products, other allied health services, health infrastructure and disbursements from the Medical Research Future Fund.</w:t>
      </w:r>
      <w:r>
        <w:t xml:space="preserve"> The decrease in</w:t>
      </w:r>
      <w:r w:rsidRPr="003314E1">
        <w:t xml:space="preserve"> </w:t>
      </w:r>
      <w:r w:rsidRPr="00D53771">
        <w:rPr>
          <w:b/>
          <w:bCs/>
        </w:rPr>
        <w:t>health services</w:t>
      </w:r>
      <w:r w:rsidRPr="003314E1">
        <w:t xml:space="preserve"> expenditure is largely driven by</w:t>
      </w:r>
      <w:r>
        <w:t xml:space="preserve"> the termination of </w:t>
      </w:r>
      <w:r w:rsidRPr="0021687D">
        <w:t>measures responding to the COVID</w:t>
      </w:r>
      <w:r w:rsidR="00D34B95">
        <w:noBreakHyphen/>
      </w:r>
      <w:r w:rsidRPr="0021687D">
        <w:t>19 pandemic after 2023</w:t>
      </w:r>
      <w:r w:rsidR="00CA3FDE">
        <w:t>–</w:t>
      </w:r>
      <w:r w:rsidRPr="0021687D">
        <w:t>24. Terminating measures include the 2023</w:t>
      </w:r>
      <w:r w:rsidR="00CA3FDE">
        <w:t>–</w:t>
      </w:r>
      <w:r w:rsidRPr="0021687D">
        <w:t xml:space="preserve">24 Budget measures </w:t>
      </w:r>
      <w:r w:rsidRPr="0021687D">
        <w:rPr>
          <w:i/>
          <w:iCs/>
        </w:rPr>
        <w:t>COVID</w:t>
      </w:r>
      <w:r w:rsidR="00D34B95">
        <w:rPr>
          <w:i/>
          <w:iCs/>
        </w:rPr>
        <w:noBreakHyphen/>
      </w:r>
      <w:r w:rsidRPr="0021687D">
        <w:rPr>
          <w:i/>
          <w:iCs/>
        </w:rPr>
        <w:t xml:space="preserve">19 Response </w:t>
      </w:r>
      <w:r w:rsidRPr="0021687D">
        <w:t>and</w:t>
      </w:r>
      <w:r w:rsidRPr="0021687D">
        <w:rPr>
          <w:i/>
          <w:iCs/>
        </w:rPr>
        <w:t xml:space="preserve"> COVID</w:t>
      </w:r>
      <w:r w:rsidR="00D34B95">
        <w:rPr>
          <w:i/>
          <w:iCs/>
        </w:rPr>
        <w:noBreakHyphen/>
      </w:r>
      <w:r w:rsidRPr="0021687D">
        <w:rPr>
          <w:i/>
          <w:iCs/>
        </w:rPr>
        <w:t>19</w:t>
      </w:r>
      <w:r w:rsidRPr="0021687D">
        <w:t xml:space="preserve"> </w:t>
      </w:r>
      <w:r w:rsidRPr="0021687D">
        <w:rPr>
          <w:i/>
          <w:iCs/>
        </w:rPr>
        <w:t>Aged Care Response,</w:t>
      </w:r>
      <w:r w:rsidRPr="0021687D">
        <w:t xml:space="preserve"> and the October</w:t>
      </w:r>
      <w:r w:rsidRPr="003314E1">
        <w:t xml:space="preserve"> Budget measure </w:t>
      </w:r>
      <w:r w:rsidRPr="003314E1">
        <w:rPr>
          <w:i/>
          <w:iCs/>
        </w:rPr>
        <w:t>COVID</w:t>
      </w:r>
      <w:r w:rsidR="00D34B95">
        <w:rPr>
          <w:i/>
        </w:rPr>
        <w:noBreakHyphen/>
      </w:r>
      <w:r w:rsidRPr="003314E1">
        <w:rPr>
          <w:i/>
          <w:iCs/>
        </w:rPr>
        <w:t>19 Package</w:t>
      </w:r>
      <w:r>
        <w:rPr>
          <w:i/>
          <w:iCs/>
        </w:rPr>
        <w:t xml:space="preserve"> </w:t>
      </w:r>
      <w:r w:rsidR="00CA3FDE">
        <w:rPr>
          <w:i/>
          <w:iCs/>
        </w:rPr>
        <w:t>–</w:t>
      </w:r>
      <w:r>
        <w:rPr>
          <w:i/>
          <w:iCs/>
        </w:rPr>
        <w:t xml:space="preserve"> </w:t>
      </w:r>
      <w:r w:rsidRPr="003314E1">
        <w:rPr>
          <w:i/>
          <w:iCs/>
        </w:rPr>
        <w:t>vaccines</w:t>
      </w:r>
      <w:r>
        <w:rPr>
          <w:i/>
          <w:iCs/>
        </w:rPr>
        <w:t xml:space="preserve"> </w:t>
      </w:r>
      <w:r w:rsidRPr="003314E1">
        <w:rPr>
          <w:i/>
          <w:iCs/>
        </w:rPr>
        <w:t>and treatments</w:t>
      </w:r>
      <w:r w:rsidRPr="008C29AE">
        <w:t>.</w:t>
      </w:r>
    </w:p>
    <w:p w14:paraId="36A2848A" w14:textId="05EE5723" w:rsidR="0050166A" w:rsidRPr="003314E1" w:rsidRDefault="0050166A" w:rsidP="0050166A">
      <w:pPr>
        <w:rPr>
          <w:i/>
          <w:iCs/>
          <w:lang w:val="en-US"/>
        </w:rPr>
      </w:pPr>
      <w:r w:rsidRPr="003314E1">
        <w:t xml:space="preserve">The </w:t>
      </w:r>
      <w:r w:rsidRPr="003314E1">
        <w:rPr>
          <w:b/>
          <w:bCs/>
        </w:rPr>
        <w:t xml:space="preserve">general administration </w:t>
      </w:r>
      <w:r w:rsidRPr="003314E1">
        <w:t>sub</w:t>
      </w:r>
      <w:r w:rsidR="00D34B95">
        <w:noBreakHyphen/>
      </w:r>
      <w:r w:rsidRPr="003314E1">
        <w:t>function includes the Government</w:t>
      </w:r>
      <w:r w:rsidR="00D34B95">
        <w:t>’</w:t>
      </w:r>
      <w:r w:rsidRPr="003314E1">
        <w:t>s general administrative costs</w:t>
      </w:r>
      <w:r>
        <w:t xml:space="preserve"> associated with health care</w:t>
      </w:r>
      <w:r w:rsidRPr="003314E1">
        <w:t>, funding for primary health care and coordination, investment in health workforce measures, and support for rural health initiatives. Expenditure for this sub</w:t>
      </w:r>
      <w:r w:rsidR="00D34B95">
        <w:noBreakHyphen/>
      </w:r>
      <w:r w:rsidRPr="003314E1">
        <w:t>function is expected to decrease largely reflecting the cessation of temporary and targeted measures to respond to the COVID</w:t>
      </w:r>
      <w:r w:rsidR="00D34B95">
        <w:noBreakHyphen/>
      </w:r>
      <w:r w:rsidRPr="003314E1">
        <w:t>19 pandemic</w:t>
      </w:r>
      <w:r>
        <w:t xml:space="preserve"> in 2023</w:t>
      </w:r>
      <w:r w:rsidR="00CA3FDE">
        <w:t>–</w:t>
      </w:r>
      <w:r>
        <w:t>24</w:t>
      </w:r>
      <w:r w:rsidRPr="003314E1">
        <w:t>.</w:t>
      </w:r>
    </w:p>
    <w:p w14:paraId="570F33E5" w14:textId="58F0AD46" w:rsidR="00B561FF" w:rsidRPr="000177D7" w:rsidRDefault="0050166A" w:rsidP="00521B25">
      <w:r w:rsidRPr="0021687D">
        <w:t xml:space="preserve">Expenses in the </w:t>
      </w:r>
      <w:r w:rsidRPr="0021687D">
        <w:rPr>
          <w:b/>
          <w:bCs/>
        </w:rPr>
        <w:t xml:space="preserve">Aboriginal and Torres Strait Islander health </w:t>
      </w:r>
      <w:r w:rsidRPr="0021687D">
        <w:t>sub</w:t>
      </w:r>
      <w:r w:rsidR="00A01F2E">
        <w:t>-</w:t>
      </w:r>
      <w:r w:rsidRPr="0021687D">
        <w:t>function are expected to increase by 4.</w:t>
      </w:r>
      <w:r w:rsidR="00E04E49" w:rsidRPr="0021687D">
        <w:t>2</w:t>
      </w:r>
      <w:r w:rsidR="00893776">
        <w:t> per </w:t>
      </w:r>
      <w:r w:rsidRPr="0021687D">
        <w:t>cent in nominal terms and decrease by 3.</w:t>
      </w:r>
      <w:r w:rsidR="00E04E49" w:rsidRPr="0021687D">
        <w:t>7</w:t>
      </w:r>
      <w:r w:rsidR="00893776">
        <w:t> per </w:t>
      </w:r>
      <w:r w:rsidRPr="0021687D">
        <w:t>cent in real terms over the period 2023</w:t>
      </w:r>
      <w:r w:rsidR="00CA3FDE">
        <w:t>–</w:t>
      </w:r>
      <w:r w:rsidRPr="0021687D">
        <w:t>24 to 2026</w:t>
      </w:r>
      <w:r w:rsidR="00CA3FDE">
        <w:t>–</w:t>
      </w:r>
      <w:r w:rsidRPr="0021687D">
        <w:t>27</w:t>
      </w:r>
      <w:r w:rsidRPr="00E072B0">
        <w:t xml:space="preserve">. The </w:t>
      </w:r>
      <w:r w:rsidRPr="00B94532">
        <w:t>increase</w:t>
      </w:r>
      <w:r>
        <w:t xml:space="preserve"> in real expenses from 2022</w:t>
      </w:r>
      <w:r w:rsidR="00CA3FDE">
        <w:t>–</w:t>
      </w:r>
      <w:r>
        <w:t>23 to 2023</w:t>
      </w:r>
      <w:r w:rsidR="00CA3FDE">
        <w:t>–</w:t>
      </w:r>
      <w:r>
        <w:t>24</w:t>
      </w:r>
      <w:r w:rsidRPr="00E072B0">
        <w:t xml:space="preserve"> reflects the Government</w:t>
      </w:r>
      <w:r w:rsidR="00D34B95">
        <w:t>’</w:t>
      </w:r>
      <w:r w:rsidRPr="00E072B0">
        <w:t>s commitment to close the gap for First Nations peoples</w:t>
      </w:r>
      <w:r w:rsidR="00D34B95">
        <w:t>’</w:t>
      </w:r>
      <w:r w:rsidRPr="00E072B0">
        <w:t xml:space="preserve"> health and wellbeing through the</w:t>
      </w:r>
      <w:r w:rsidRPr="00745B53">
        <w:t xml:space="preserve"> </w:t>
      </w:r>
      <w:r w:rsidRPr="00961F03">
        <w:t>2023</w:t>
      </w:r>
      <w:r w:rsidR="00CA3FDE">
        <w:t>–</w:t>
      </w:r>
      <w:r w:rsidRPr="00961F03">
        <w:t xml:space="preserve">24 Budget </w:t>
      </w:r>
      <w:r w:rsidRPr="0021687D">
        <w:t xml:space="preserve">measure </w:t>
      </w:r>
      <w:r w:rsidRPr="0021687D">
        <w:rPr>
          <w:rFonts w:eastAsia="Book Antiqua" w:cs="Book Antiqua"/>
          <w:i/>
          <w:iCs/>
          <w:szCs w:val="19"/>
        </w:rPr>
        <w:t>Improving</w:t>
      </w:r>
      <w:r w:rsidR="00D56C86">
        <w:rPr>
          <w:rFonts w:eastAsia="Book Antiqua" w:cs="Book Antiqua"/>
          <w:i/>
          <w:iCs/>
          <w:szCs w:val="19"/>
        </w:rPr>
        <w:t> </w:t>
      </w:r>
      <w:r w:rsidRPr="0021687D">
        <w:rPr>
          <w:rFonts w:eastAsia="Book Antiqua" w:cs="Book Antiqua"/>
          <w:i/>
          <w:iCs/>
          <w:szCs w:val="19"/>
        </w:rPr>
        <w:t>Health</w:t>
      </w:r>
      <w:r w:rsidR="00D56C86">
        <w:rPr>
          <w:rFonts w:eastAsia="Book Antiqua" w:cs="Book Antiqua"/>
          <w:i/>
          <w:iCs/>
          <w:szCs w:val="19"/>
        </w:rPr>
        <w:t> </w:t>
      </w:r>
      <w:r w:rsidRPr="0021687D">
        <w:rPr>
          <w:rFonts w:eastAsia="Book Antiqua" w:cs="Book Antiqua"/>
          <w:i/>
          <w:iCs/>
          <w:szCs w:val="19"/>
        </w:rPr>
        <w:t>Outcomes</w:t>
      </w:r>
      <w:r w:rsidR="00D56C86">
        <w:rPr>
          <w:rFonts w:eastAsia="Book Antiqua" w:cs="Book Antiqua"/>
          <w:i/>
          <w:iCs/>
          <w:szCs w:val="19"/>
        </w:rPr>
        <w:t> </w:t>
      </w:r>
      <w:r w:rsidRPr="0021687D">
        <w:rPr>
          <w:rFonts w:eastAsia="Book Antiqua" w:cs="Book Antiqua"/>
          <w:i/>
          <w:iCs/>
        </w:rPr>
        <w:t>for</w:t>
      </w:r>
      <w:r w:rsidR="00D56C86">
        <w:rPr>
          <w:rFonts w:eastAsia="Book Antiqua" w:cs="Book Antiqua"/>
          <w:i/>
          <w:iCs/>
        </w:rPr>
        <w:t> </w:t>
      </w:r>
      <w:r w:rsidRPr="0021687D">
        <w:rPr>
          <w:rFonts w:eastAsia="Book Antiqua" w:cs="Book Antiqua"/>
          <w:i/>
          <w:iCs/>
        </w:rPr>
        <w:t>Aboriginal</w:t>
      </w:r>
      <w:r w:rsidR="00D56C86">
        <w:rPr>
          <w:rFonts w:eastAsia="Book Antiqua" w:cs="Book Antiqua"/>
          <w:i/>
          <w:iCs/>
        </w:rPr>
        <w:t> </w:t>
      </w:r>
      <w:r w:rsidRPr="0021687D">
        <w:rPr>
          <w:rFonts w:eastAsia="Book Antiqua" w:cs="Book Antiqua"/>
          <w:i/>
          <w:iCs/>
        </w:rPr>
        <w:t>and Torres</w:t>
      </w:r>
      <w:r w:rsidR="00D56C86">
        <w:rPr>
          <w:rFonts w:eastAsia="Book Antiqua" w:cs="Book Antiqua"/>
          <w:i/>
          <w:iCs/>
        </w:rPr>
        <w:t> </w:t>
      </w:r>
      <w:r w:rsidRPr="0021687D">
        <w:rPr>
          <w:rFonts w:eastAsia="Book Antiqua" w:cs="Book Antiqua"/>
          <w:i/>
          <w:iCs/>
        </w:rPr>
        <w:t>Strait</w:t>
      </w:r>
      <w:r w:rsidR="00D56C86">
        <w:rPr>
          <w:rFonts w:eastAsia="Book Antiqua" w:cs="Book Antiqua"/>
          <w:i/>
          <w:iCs/>
        </w:rPr>
        <w:t> </w:t>
      </w:r>
      <w:r w:rsidRPr="0021687D">
        <w:rPr>
          <w:rFonts w:eastAsia="Book Antiqua" w:cs="Book Antiqua"/>
          <w:i/>
          <w:iCs/>
        </w:rPr>
        <w:t xml:space="preserve">Islander people </w:t>
      </w:r>
      <w:r w:rsidRPr="0021687D">
        <w:t xml:space="preserve">and the October Budget measure </w:t>
      </w:r>
      <w:r w:rsidRPr="0021687D">
        <w:rPr>
          <w:i/>
          <w:iCs/>
        </w:rPr>
        <w:t>Strengthening First</w:t>
      </w:r>
      <w:r w:rsidR="000366F0">
        <w:rPr>
          <w:i/>
          <w:iCs/>
        </w:rPr>
        <w:t xml:space="preserve"> </w:t>
      </w:r>
      <w:r w:rsidRPr="0021687D">
        <w:rPr>
          <w:i/>
          <w:iCs/>
        </w:rPr>
        <w:t>Nations</w:t>
      </w:r>
      <w:r w:rsidR="000366F0">
        <w:rPr>
          <w:i/>
          <w:iCs/>
        </w:rPr>
        <w:t xml:space="preserve"> </w:t>
      </w:r>
      <w:r w:rsidRPr="0021687D">
        <w:rPr>
          <w:i/>
          <w:iCs/>
        </w:rPr>
        <w:t>Health</w:t>
      </w:r>
      <w:r w:rsidRPr="0021687D">
        <w:t>. The decrease in real expenses</w:t>
      </w:r>
      <w:r>
        <w:t xml:space="preserve"> from 2023</w:t>
      </w:r>
      <w:r w:rsidR="00CA3FDE">
        <w:t>–</w:t>
      </w:r>
      <w:r>
        <w:t>24 to 2026</w:t>
      </w:r>
      <w:r w:rsidR="00CA3FDE">
        <w:t>–</w:t>
      </w:r>
      <w:r>
        <w:t>27 reflects that a number of these measures terminate over the forward estimates period.</w:t>
      </w:r>
    </w:p>
    <w:p w14:paraId="63EF74A9" w14:textId="77777777" w:rsidR="00C855DF" w:rsidRPr="000177D7" w:rsidRDefault="00C855DF" w:rsidP="00C855DF">
      <w:pPr>
        <w:pStyle w:val="Heading3"/>
      </w:pPr>
      <w:bookmarkStart w:id="79" w:name="_Toc134169618"/>
      <w:r w:rsidRPr="000177D7">
        <w:t>Social security and welfare</w:t>
      </w:r>
      <w:bookmarkEnd w:id="77"/>
      <w:bookmarkEnd w:id="79"/>
    </w:p>
    <w:p w14:paraId="269D6BE1" w14:textId="77777777" w:rsidR="00706CC2" w:rsidRDefault="00B561FF" w:rsidP="00B561FF">
      <w:r w:rsidRPr="000177D7">
        <w:t>The social security and welfare function includes expenses for pensions and services to the aged</w:t>
      </w:r>
      <w:r>
        <w:t>,</w:t>
      </w:r>
      <w:r w:rsidRPr="000177D7">
        <w:t xml:space="preserve"> assistance to the unemployed and the sick, people with disabilities and families with children</w:t>
      </w:r>
      <w:r>
        <w:t>,</w:t>
      </w:r>
      <w:r w:rsidRPr="000177D7">
        <w:t xml:space="preserve"> and income support and compensation for veterans and their dependants. It also includes assistance provided to Indigenous Australians that has not been included under other functions.</w:t>
      </w:r>
    </w:p>
    <w:p w14:paraId="2B888704" w14:textId="7142B16C" w:rsidR="00A32E2C" w:rsidRDefault="00A32E2C" w:rsidP="00B561FF">
      <w:r>
        <w:br w:type="page"/>
      </w:r>
    </w:p>
    <w:p w14:paraId="13DF5587" w14:textId="77777777" w:rsidR="00B561FF" w:rsidRDefault="00B561FF" w:rsidP="00B561FF"/>
    <w:p w14:paraId="7D3F5DC2" w14:textId="3D2DC208" w:rsidR="00B01968" w:rsidRDefault="00C855DF" w:rsidP="00B01968">
      <w:pPr>
        <w:pStyle w:val="TableHeading"/>
        <w:rPr>
          <w:rFonts w:asciiTheme="minorHAnsi" w:eastAsiaTheme="minorHAnsi" w:hAnsiTheme="minorHAnsi" w:cstheme="minorBidi"/>
          <w:sz w:val="22"/>
          <w:szCs w:val="22"/>
          <w:lang w:eastAsia="en-US"/>
        </w:rPr>
      </w:pPr>
      <w:r w:rsidRPr="000177D7">
        <w:t>Table 6.9: Summary of expenses – social security and welfare</w:t>
      </w:r>
      <w:bookmarkStart w:id="80" w:name="_1727774312"/>
      <w:bookmarkEnd w:id="80"/>
    </w:p>
    <w:tbl>
      <w:tblPr>
        <w:tblW w:w="5000" w:type="pct"/>
        <w:tblCellMar>
          <w:left w:w="0" w:type="dxa"/>
          <w:right w:w="28" w:type="dxa"/>
        </w:tblCellMar>
        <w:tblLook w:val="04A0" w:firstRow="1" w:lastRow="0" w:firstColumn="1" w:lastColumn="0" w:noHBand="0" w:noVBand="1"/>
      </w:tblPr>
      <w:tblGrid>
        <w:gridCol w:w="3638"/>
        <w:gridCol w:w="816"/>
        <w:gridCol w:w="814"/>
        <w:gridCol w:w="814"/>
        <w:gridCol w:w="814"/>
        <w:gridCol w:w="814"/>
      </w:tblGrid>
      <w:tr w:rsidR="00B01968" w:rsidRPr="00B01968" w14:paraId="3A12C7C7" w14:textId="77777777" w:rsidTr="0070524E">
        <w:trPr>
          <w:divId w:val="525481909"/>
          <w:trHeight w:hRule="exact" w:val="225"/>
        </w:trPr>
        <w:tc>
          <w:tcPr>
            <w:tcW w:w="2359" w:type="pct"/>
            <w:tcBorders>
              <w:top w:val="single" w:sz="4" w:space="0" w:color="002A54" w:themeColor="text2"/>
              <w:left w:val="nil"/>
              <w:bottom w:val="nil"/>
              <w:right w:val="nil"/>
            </w:tcBorders>
            <w:shd w:val="clear" w:color="000000" w:fill="FFFFFF"/>
            <w:noWrap/>
            <w:vAlign w:val="center"/>
            <w:hideMark/>
          </w:tcPr>
          <w:p w14:paraId="451EEE4C" w14:textId="71FC6ED5"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41"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EA8BACA"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6E5C2E8B" w14:textId="77777777" w:rsidTr="0070524E">
        <w:trPr>
          <w:divId w:val="525481909"/>
          <w:trHeight w:hRule="exact" w:val="225"/>
        </w:trPr>
        <w:tc>
          <w:tcPr>
            <w:tcW w:w="2359" w:type="pct"/>
            <w:tcBorders>
              <w:top w:val="nil"/>
              <w:left w:val="nil"/>
              <w:bottom w:val="nil"/>
              <w:right w:val="nil"/>
            </w:tcBorders>
            <w:shd w:val="clear" w:color="000000" w:fill="FFFFFF"/>
            <w:noWrap/>
            <w:vAlign w:val="bottom"/>
            <w:hideMark/>
          </w:tcPr>
          <w:p w14:paraId="7D86E27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single" w:sz="4" w:space="0" w:color="002A54" w:themeColor="text2"/>
              <w:left w:val="nil"/>
              <w:right w:val="nil"/>
            </w:tcBorders>
            <w:shd w:val="clear" w:color="000000" w:fill="FFFFFF"/>
            <w:noWrap/>
            <w:vAlign w:val="center"/>
            <w:hideMark/>
          </w:tcPr>
          <w:p w14:paraId="3AAA48B8"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2022–23</w:t>
            </w:r>
          </w:p>
        </w:tc>
        <w:tc>
          <w:tcPr>
            <w:tcW w:w="528" w:type="pct"/>
            <w:tcBorders>
              <w:top w:val="single" w:sz="4" w:space="0" w:color="002A54" w:themeColor="text2"/>
              <w:left w:val="nil"/>
              <w:right w:val="nil"/>
            </w:tcBorders>
            <w:shd w:val="clear" w:color="000000" w:fill="E6F2FF"/>
            <w:noWrap/>
            <w:vAlign w:val="center"/>
            <w:hideMark/>
          </w:tcPr>
          <w:p w14:paraId="31B486E6"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8" w:type="pct"/>
            <w:tcBorders>
              <w:top w:val="single" w:sz="4" w:space="0" w:color="002A54" w:themeColor="text2"/>
              <w:left w:val="nil"/>
              <w:right w:val="nil"/>
            </w:tcBorders>
            <w:shd w:val="clear" w:color="000000" w:fill="FFFFFF"/>
            <w:noWrap/>
            <w:vAlign w:val="center"/>
            <w:hideMark/>
          </w:tcPr>
          <w:p w14:paraId="75A7E70A"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8" w:type="pct"/>
            <w:tcBorders>
              <w:top w:val="single" w:sz="4" w:space="0" w:color="002A54" w:themeColor="text2"/>
              <w:left w:val="nil"/>
              <w:right w:val="nil"/>
            </w:tcBorders>
            <w:shd w:val="clear" w:color="000000" w:fill="FFFFFF"/>
            <w:noWrap/>
            <w:vAlign w:val="center"/>
            <w:hideMark/>
          </w:tcPr>
          <w:p w14:paraId="45576165"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8" w:type="pct"/>
            <w:tcBorders>
              <w:top w:val="single" w:sz="4" w:space="0" w:color="002A54" w:themeColor="text2"/>
              <w:left w:val="nil"/>
              <w:right w:val="nil"/>
            </w:tcBorders>
            <w:shd w:val="clear" w:color="000000" w:fill="FFFFFF"/>
            <w:noWrap/>
            <w:vAlign w:val="center"/>
            <w:hideMark/>
          </w:tcPr>
          <w:p w14:paraId="444035C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101BB461" w14:textId="77777777" w:rsidTr="0070524E">
        <w:trPr>
          <w:divId w:val="525481909"/>
          <w:trHeight w:hRule="exact" w:val="225"/>
        </w:trPr>
        <w:tc>
          <w:tcPr>
            <w:tcW w:w="2359" w:type="pct"/>
            <w:tcBorders>
              <w:top w:val="nil"/>
              <w:left w:val="nil"/>
              <w:bottom w:val="nil"/>
              <w:right w:val="nil"/>
            </w:tcBorders>
            <w:shd w:val="clear" w:color="000000" w:fill="FFFFFF"/>
            <w:noWrap/>
            <w:vAlign w:val="center"/>
            <w:hideMark/>
          </w:tcPr>
          <w:p w14:paraId="6172721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nil"/>
              <w:left w:val="nil"/>
              <w:bottom w:val="single" w:sz="4" w:space="0" w:color="002A54" w:themeColor="text2"/>
              <w:right w:val="nil"/>
            </w:tcBorders>
            <w:shd w:val="clear" w:color="000000" w:fill="FFFFFF"/>
            <w:noWrap/>
            <w:vAlign w:val="center"/>
            <w:hideMark/>
          </w:tcPr>
          <w:p w14:paraId="7E90F13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E6F2FF"/>
            <w:noWrap/>
            <w:vAlign w:val="center"/>
            <w:hideMark/>
          </w:tcPr>
          <w:p w14:paraId="1981CE2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23CE70A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41C3AEC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0B13C29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000E7FBF" w14:textId="77777777" w:rsidTr="0070524E">
        <w:trPr>
          <w:divId w:val="525481909"/>
          <w:trHeight w:hRule="exact" w:val="225"/>
        </w:trPr>
        <w:tc>
          <w:tcPr>
            <w:tcW w:w="2359" w:type="pct"/>
            <w:tcBorders>
              <w:top w:val="nil"/>
              <w:left w:val="nil"/>
              <w:bottom w:val="nil"/>
              <w:right w:val="nil"/>
            </w:tcBorders>
            <w:shd w:val="clear" w:color="000000" w:fill="FFFFFF"/>
            <w:noWrap/>
            <w:vAlign w:val="center"/>
            <w:hideMark/>
          </w:tcPr>
          <w:p w14:paraId="11E3AB35"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Assistance to the aged</w:t>
            </w:r>
          </w:p>
        </w:tc>
        <w:tc>
          <w:tcPr>
            <w:tcW w:w="529" w:type="pct"/>
            <w:tcBorders>
              <w:top w:val="single" w:sz="4" w:space="0" w:color="002A54" w:themeColor="text2"/>
              <w:left w:val="nil"/>
              <w:bottom w:val="nil"/>
              <w:right w:val="nil"/>
            </w:tcBorders>
            <w:shd w:val="clear" w:color="000000" w:fill="FFFFFF"/>
            <w:noWrap/>
            <w:vAlign w:val="center"/>
            <w:hideMark/>
          </w:tcPr>
          <w:p w14:paraId="662BCC0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84,844</w:t>
            </w:r>
          </w:p>
        </w:tc>
        <w:tc>
          <w:tcPr>
            <w:tcW w:w="528" w:type="pct"/>
            <w:tcBorders>
              <w:top w:val="single" w:sz="4" w:space="0" w:color="002A54" w:themeColor="text2"/>
              <w:left w:val="nil"/>
              <w:bottom w:val="nil"/>
              <w:right w:val="nil"/>
            </w:tcBorders>
            <w:shd w:val="clear" w:color="000000" w:fill="E6F2FF"/>
            <w:noWrap/>
            <w:vAlign w:val="center"/>
            <w:hideMark/>
          </w:tcPr>
          <w:p w14:paraId="393FC04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95,214</w:t>
            </w:r>
          </w:p>
        </w:tc>
        <w:tc>
          <w:tcPr>
            <w:tcW w:w="528" w:type="pct"/>
            <w:tcBorders>
              <w:top w:val="single" w:sz="4" w:space="0" w:color="002A54" w:themeColor="text2"/>
              <w:left w:val="nil"/>
              <w:bottom w:val="nil"/>
              <w:right w:val="nil"/>
            </w:tcBorders>
            <w:shd w:val="clear" w:color="000000" w:fill="FFFFFF"/>
            <w:noWrap/>
            <w:vAlign w:val="center"/>
            <w:hideMark/>
          </w:tcPr>
          <w:p w14:paraId="5DBF338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99,698</w:t>
            </w:r>
          </w:p>
        </w:tc>
        <w:tc>
          <w:tcPr>
            <w:tcW w:w="528" w:type="pct"/>
            <w:tcBorders>
              <w:top w:val="single" w:sz="4" w:space="0" w:color="002A54" w:themeColor="text2"/>
              <w:left w:val="nil"/>
              <w:bottom w:val="nil"/>
              <w:right w:val="nil"/>
            </w:tcBorders>
            <w:shd w:val="clear" w:color="000000" w:fill="FFFFFF"/>
            <w:noWrap/>
            <w:vAlign w:val="center"/>
            <w:hideMark/>
          </w:tcPr>
          <w:p w14:paraId="0B29ECC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104,664</w:t>
            </w:r>
          </w:p>
        </w:tc>
        <w:tc>
          <w:tcPr>
            <w:tcW w:w="528" w:type="pct"/>
            <w:tcBorders>
              <w:top w:val="single" w:sz="4" w:space="0" w:color="002A54" w:themeColor="text2"/>
              <w:left w:val="nil"/>
              <w:bottom w:val="nil"/>
              <w:right w:val="nil"/>
            </w:tcBorders>
            <w:shd w:val="clear" w:color="000000" w:fill="FFFFFF"/>
            <w:noWrap/>
            <w:vAlign w:val="center"/>
            <w:hideMark/>
          </w:tcPr>
          <w:p w14:paraId="626CB95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109,287</w:t>
            </w:r>
          </w:p>
        </w:tc>
      </w:tr>
      <w:tr w:rsidR="00B01968" w:rsidRPr="00B01968" w14:paraId="264C9860" w14:textId="77777777" w:rsidTr="00B01968">
        <w:trPr>
          <w:divId w:val="525481909"/>
          <w:trHeight w:hRule="exact" w:val="225"/>
        </w:trPr>
        <w:tc>
          <w:tcPr>
            <w:tcW w:w="2359" w:type="pct"/>
            <w:tcBorders>
              <w:top w:val="nil"/>
              <w:left w:val="nil"/>
              <w:bottom w:val="nil"/>
              <w:right w:val="nil"/>
            </w:tcBorders>
            <w:shd w:val="clear" w:color="000000" w:fill="FFFFFF"/>
            <w:noWrap/>
            <w:vAlign w:val="center"/>
            <w:hideMark/>
          </w:tcPr>
          <w:p w14:paraId="474766A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Assistance to veterans and dependants</w:t>
            </w:r>
          </w:p>
        </w:tc>
        <w:tc>
          <w:tcPr>
            <w:tcW w:w="529" w:type="pct"/>
            <w:tcBorders>
              <w:top w:val="nil"/>
              <w:left w:val="nil"/>
              <w:bottom w:val="nil"/>
              <w:right w:val="nil"/>
            </w:tcBorders>
            <w:shd w:val="clear" w:color="000000" w:fill="FFFFFF"/>
            <w:noWrap/>
            <w:vAlign w:val="center"/>
            <w:hideMark/>
          </w:tcPr>
          <w:p w14:paraId="1939EB3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7,741</w:t>
            </w:r>
          </w:p>
        </w:tc>
        <w:tc>
          <w:tcPr>
            <w:tcW w:w="528" w:type="pct"/>
            <w:tcBorders>
              <w:top w:val="nil"/>
              <w:left w:val="nil"/>
              <w:bottom w:val="nil"/>
              <w:right w:val="nil"/>
            </w:tcBorders>
            <w:shd w:val="clear" w:color="000000" w:fill="E6F2FF"/>
            <w:noWrap/>
            <w:vAlign w:val="center"/>
            <w:hideMark/>
          </w:tcPr>
          <w:p w14:paraId="5E01563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8,385</w:t>
            </w:r>
          </w:p>
        </w:tc>
        <w:tc>
          <w:tcPr>
            <w:tcW w:w="528" w:type="pct"/>
            <w:tcBorders>
              <w:top w:val="nil"/>
              <w:left w:val="nil"/>
              <w:bottom w:val="nil"/>
              <w:right w:val="nil"/>
            </w:tcBorders>
            <w:shd w:val="clear" w:color="000000" w:fill="FFFFFF"/>
            <w:noWrap/>
            <w:vAlign w:val="center"/>
            <w:hideMark/>
          </w:tcPr>
          <w:p w14:paraId="7455C03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8,351</w:t>
            </w:r>
          </w:p>
        </w:tc>
        <w:tc>
          <w:tcPr>
            <w:tcW w:w="528" w:type="pct"/>
            <w:tcBorders>
              <w:top w:val="nil"/>
              <w:left w:val="nil"/>
              <w:bottom w:val="nil"/>
              <w:right w:val="nil"/>
            </w:tcBorders>
            <w:shd w:val="clear" w:color="000000" w:fill="FFFFFF"/>
            <w:noWrap/>
            <w:vAlign w:val="center"/>
            <w:hideMark/>
          </w:tcPr>
          <w:p w14:paraId="18BBF35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8,400</w:t>
            </w:r>
          </w:p>
        </w:tc>
        <w:tc>
          <w:tcPr>
            <w:tcW w:w="528" w:type="pct"/>
            <w:tcBorders>
              <w:top w:val="nil"/>
              <w:left w:val="nil"/>
              <w:bottom w:val="nil"/>
              <w:right w:val="nil"/>
            </w:tcBorders>
            <w:shd w:val="clear" w:color="000000" w:fill="FFFFFF"/>
            <w:noWrap/>
            <w:vAlign w:val="center"/>
            <w:hideMark/>
          </w:tcPr>
          <w:p w14:paraId="7D7255A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8,384</w:t>
            </w:r>
          </w:p>
        </w:tc>
      </w:tr>
      <w:tr w:rsidR="00B01968" w:rsidRPr="00B01968" w14:paraId="30118EB1" w14:textId="77777777" w:rsidTr="00B01968">
        <w:trPr>
          <w:divId w:val="525481909"/>
          <w:trHeight w:hRule="exact" w:val="225"/>
        </w:trPr>
        <w:tc>
          <w:tcPr>
            <w:tcW w:w="2359" w:type="pct"/>
            <w:tcBorders>
              <w:top w:val="nil"/>
              <w:left w:val="nil"/>
              <w:bottom w:val="nil"/>
              <w:right w:val="nil"/>
            </w:tcBorders>
            <w:shd w:val="clear" w:color="000000" w:fill="FFFFFF"/>
            <w:noWrap/>
            <w:vAlign w:val="center"/>
            <w:hideMark/>
          </w:tcPr>
          <w:p w14:paraId="637E510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Assistance to people with disabilities</w:t>
            </w:r>
          </w:p>
        </w:tc>
        <w:tc>
          <w:tcPr>
            <w:tcW w:w="529" w:type="pct"/>
            <w:tcBorders>
              <w:top w:val="nil"/>
              <w:left w:val="nil"/>
              <w:bottom w:val="nil"/>
              <w:right w:val="nil"/>
            </w:tcBorders>
            <w:shd w:val="clear" w:color="000000" w:fill="FFFFFF"/>
            <w:noWrap/>
            <w:vAlign w:val="center"/>
            <w:hideMark/>
          </w:tcPr>
          <w:p w14:paraId="7FF81FB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69,429</w:t>
            </w:r>
          </w:p>
        </w:tc>
        <w:tc>
          <w:tcPr>
            <w:tcW w:w="528" w:type="pct"/>
            <w:tcBorders>
              <w:top w:val="nil"/>
              <w:left w:val="nil"/>
              <w:bottom w:val="nil"/>
              <w:right w:val="nil"/>
            </w:tcBorders>
            <w:shd w:val="clear" w:color="000000" w:fill="E6F2FF"/>
            <w:noWrap/>
            <w:vAlign w:val="center"/>
            <w:hideMark/>
          </w:tcPr>
          <w:p w14:paraId="6CE5679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78,332</w:t>
            </w:r>
          </w:p>
        </w:tc>
        <w:tc>
          <w:tcPr>
            <w:tcW w:w="528" w:type="pct"/>
            <w:tcBorders>
              <w:top w:val="nil"/>
              <w:left w:val="nil"/>
              <w:bottom w:val="nil"/>
              <w:right w:val="nil"/>
            </w:tcBorders>
            <w:shd w:val="clear" w:color="000000" w:fill="FFFFFF"/>
            <w:noWrap/>
            <w:vAlign w:val="center"/>
            <w:hideMark/>
          </w:tcPr>
          <w:p w14:paraId="37C45AB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82,602</w:t>
            </w:r>
          </w:p>
        </w:tc>
        <w:tc>
          <w:tcPr>
            <w:tcW w:w="528" w:type="pct"/>
            <w:tcBorders>
              <w:top w:val="nil"/>
              <w:left w:val="nil"/>
              <w:bottom w:val="nil"/>
              <w:right w:val="nil"/>
            </w:tcBorders>
            <w:shd w:val="clear" w:color="000000" w:fill="FFFFFF"/>
            <w:noWrap/>
            <w:vAlign w:val="center"/>
            <w:hideMark/>
          </w:tcPr>
          <w:p w14:paraId="02D9A56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89,129</w:t>
            </w:r>
          </w:p>
        </w:tc>
        <w:tc>
          <w:tcPr>
            <w:tcW w:w="528" w:type="pct"/>
            <w:tcBorders>
              <w:top w:val="nil"/>
              <w:left w:val="nil"/>
              <w:bottom w:val="nil"/>
              <w:right w:val="nil"/>
            </w:tcBorders>
            <w:shd w:val="clear" w:color="000000" w:fill="FFFFFF"/>
            <w:noWrap/>
            <w:vAlign w:val="center"/>
            <w:hideMark/>
          </w:tcPr>
          <w:p w14:paraId="72AB48B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94,087</w:t>
            </w:r>
          </w:p>
        </w:tc>
      </w:tr>
      <w:tr w:rsidR="00B01968" w:rsidRPr="00B01968" w14:paraId="2D52806D" w14:textId="77777777" w:rsidTr="00B01968">
        <w:trPr>
          <w:divId w:val="525481909"/>
          <w:trHeight w:hRule="exact" w:val="225"/>
        </w:trPr>
        <w:tc>
          <w:tcPr>
            <w:tcW w:w="2359" w:type="pct"/>
            <w:tcBorders>
              <w:top w:val="nil"/>
              <w:left w:val="nil"/>
              <w:bottom w:val="nil"/>
              <w:right w:val="nil"/>
            </w:tcBorders>
            <w:shd w:val="clear" w:color="000000" w:fill="FFFFFF"/>
            <w:noWrap/>
            <w:vAlign w:val="center"/>
            <w:hideMark/>
          </w:tcPr>
          <w:p w14:paraId="2C9BF099"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Assistance to families with children</w:t>
            </w:r>
          </w:p>
        </w:tc>
        <w:tc>
          <w:tcPr>
            <w:tcW w:w="529" w:type="pct"/>
            <w:tcBorders>
              <w:top w:val="nil"/>
              <w:left w:val="nil"/>
              <w:bottom w:val="nil"/>
              <w:right w:val="nil"/>
            </w:tcBorders>
            <w:shd w:val="clear" w:color="000000" w:fill="FFFFFF"/>
            <w:noWrap/>
            <w:vAlign w:val="center"/>
            <w:hideMark/>
          </w:tcPr>
          <w:p w14:paraId="7569DE5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39,622</w:t>
            </w:r>
          </w:p>
        </w:tc>
        <w:tc>
          <w:tcPr>
            <w:tcW w:w="528" w:type="pct"/>
            <w:tcBorders>
              <w:top w:val="nil"/>
              <w:left w:val="nil"/>
              <w:bottom w:val="nil"/>
              <w:right w:val="nil"/>
            </w:tcBorders>
            <w:shd w:val="clear" w:color="000000" w:fill="E6F2FF"/>
            <w:noWrap/>
            <w:vAlign w:val="center"/>
            <w:hideMark/>
          </w:tcPr>
          <w:p w14:paraId="7982C73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45,123</w:t>
            </w:r>
          </w:p>
        </w:tc>
        <w:tc>
          <w:tcPr>
            <w:tcW w:w="528" w:type="pct"/>
            <w:tcBorders>
              <w:top w:val="nil"/>
              <w:left w:val="nil"/>
              <w:bottom w:val="nil"/>
              <w:right w:val="nil"/>
            </w:tcBorders>
            <w:shd w:val="clear" w:color="000000" w:fill="FFFFFF"/>
            <w:noWrap/>
            <w:vAlign w:val="center"/>
            <w:hideMark/>
          </w:tcPr>
          <w:p w14:paraId="2921FB6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47,904</w:t>
            </w:r>
          </w:p>
        </w:tc>
        <w:tc>
          <w:tcPr>
            <w:tcW w:w="528" w:type="pct"/>
            <w:tcBorders>
              <w:top w:val="nil"/>
              <w:left w:val="nil"/>
              <w:bottom w:val="nil"/>
              <w:right w:val="nil"/>
            </w:tcBorders>
            <w:shd w:val="clear" w:color="000000" w:fill="FFFFFF"/>
            <w:noWrap/>
            <w:vAlign w:val="center"/>
            <w:hideMark/>
          </w:tcPr>
          <w:p w14:paraId="17B55CB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50,020</w:t>
            </w:r>
          </w:p>
        </w:tc>
        <w:tc>
          <w:tcPr>
            <w:tcW w:w="528" w:type="pct"/>
            <w:tcBorders>
              <w:top w:val="nil"/>
              <w:left w:val="nil"/>
              <w:bottom w:val="nil"/>
              <w:right w:val="nil"/>
            </w:tcBorders>
            <w:shd w:val="clear" w:color="000000" w:fill="FFFFFF"/>
            <w:noWrap/>
            <w:vAlign w:val="center"/>
            <w:hideMark/>
          </w:tcPr>
          <w:p w14:paraId="23B3370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52,174</w:t>
            </w:r>
          </w:p>
        </w:tc>
      </w:tr>
      <w:tr w:rsidR="00B01968" w:rsidRPr="00B01968" w14:paraId="1F0DD5F4" w14:textId="77777777" w:rsidTr="00B01968">
        <w:trPr>
          <w:divId w:val="525481909"/>
          <w:trHeight w:hRule="exact" w:val="225"/>
        </w:trPr>
        <w:tc>
          <w:tcPr>
            <w:tcW w:w="2359" w:type="pct"/>
            <w:tcBorders>
              <w:top w:val="nil"/>
              <w:left w:val="nil"/>
              <w:bottom w:val="nil"/>
              <w:right w:val="nil"/>
            </w:tcBorders>
            <w:shd w:val="clear" w:color="000000" w:fill="FFFFFF"/>
            <w:noWrap/>
            <w:vAlign w:val="center"/>
            <w:hideMark/>
          </w:tcPr>
          <w:p w14:paraId="5115A59F"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Assistance to the unemployed and the sick</w:t>
            </w:r>
          </w:p>
        </w:tc>
        <w:tc>
          <w:tcPr>
            <w:tcW w:w="529" w:type="pct"/>
            <w:tcBorders>
              <w:top w:val="nil"/>
              <w:left w:val="nil"/>
              <w:bottom w:val="nil"/>
              <w:right w:val="nil"/>
            </w:tcBorders>
            <w:shd w:val="clear" w:color="000000" w:fill="FFFFFF"/>
            <w:noWrap/>
            <w:vAlign w:val="center"/>
            <w:hideMark/>
          </w:tcPr>
          <w:p w14:paraId="467F9E4D"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13,867</w:t>
            </w:r>
          </w:p>
        </w:tc>
        <w:tc>
          <w:tcPr>
            <w:tcW w:w="528" w:type="pct"/>
            <w:tcBorders>
              <w:top w:val="nil"/>
              <w:left w:val="nil"/>
              <w:bottom w:val="nil"/>
              <w:right w:val="nil"/>
            </w:tcBorders>
            <w:shd w:val="clear" w:color="000000" w:fill="E6F2FF"/>
            <w:noWrap/>
            <w:vAlign w:val="center"/>
            <w:hideMark/>
          </w:tcPr>
          <w:p w14:paraId="28E8CC23"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13,830</w:t>
            </w:r>
          </w:p>
        </w:tc>
        <w:tc>
          <w:tcPr>
            <w:tcW w:w="528" w:type="pct"/>
            <w:tcBorders>
              <w:top w:val="nil"/>
              <w:left w:val="nil"/>
              <w:bottom w:val="nil"/>
              <w:right w:val="nil"/>
            </w:tcBorders>
            <w:shd w:val="clear" w:color="000000" w:fill="FFFFFF"/>
            <w:noWrap/>
            <w:vAlign w:val="center"/>
            <w:hideMark/>
          </w:tcPr>
          <w:p w14:paraId="05EC1E3B"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15,483</w:t>
            </w:r>
          </w:p>
        </w:tc>
        <w:tc>
          <w:tcPr>
            <w:tcW w:w="528" w:type="pct"/>
            <w:tcBorders>
              <w:top w:val="nil"/>
              <w:left w:val="nil"/>
              <w:bottom w:val="nil"/>
              <w:right w:val="nil"/>
            </w:tcBorders>
            <w:shd w:val="clear" w:color="000000" w:fill="FFFFFF"/>
            <w:noWrap/>
            <w:vAlign w:val="center"/>
            <w:hideMark/>
          </w:tcPr>
          <w:p w14:paraId="4E5063CC"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15,999</w:t>
            </w:r>
          </w:p>
        </w:tc>
        <w:tc>
          <w:tcPr>
            <w:tcW w:w="528" w:type="pct"/>
            <w:tcBorders>
              <w:top w:val="nil"/>
              <w:left w:val="nil"/>
              <w:bottom w:val="nil"/>
              <w:right w:val="nil"/>
            </w:tcBorders>
            <w:shd w:val="clear" w:color="000000" w:fill="FFFFFF"/>
            <w:noWrap/>
            <w:vAlign w:val="center"/>
            <w:hideMark/>
          </w:tcPr>
          <w:p w14:paraId="7D1162F2"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15,915</w:t>
            </w:r>
          </w:p>
        </w:tc>
      </w:tr>
      <w:tr w:rsidR="00B01968" w:rsidRPr="00B01968" w14:paraId="185D364C" w14:textId="77777777" w:rsidTr="00B01968">
        <w:trPr>
          <w:divId w:val="525481909"/>
          <w:trHeight w:hRule="exact" w:val="225"/>
        </w:trPr>
        <w:tc>
          <w:tcPr>
            <w:tcW w:w="2359" w:type="pct"/>
            <w:tcBorders>
              <w:top w:val="nil"/>
              <w:left w:val="nil"/>
              <w:bottom w:val="nil"/>
              <w:right w:val="nil"/>
            </w:tcBorders>
            <w:shd w:val="clear" w:color="000000" w:fill="FFFFFF"/>
            <w:noWrap/>
            <w:vAlign w:val="center"/>
            <w:hideMark/>
          </w:tcPr>
          <w:p w14:paraId="70D5A4D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Other welfare programs</w:t>
            </w:r>
          </w:p>
        </w:tc>
        <w:tc>
          <w:tcPr>
            <w:tcW w:w="529" w:type="pct"/>
            <w:tcBorders>
              <w:top w:val="nil"/>
              <w:left w:val="nil"/>
              <w:bottom w:val="nil"/>
              <w:right w:val="nil"/>
            </w:tcBorders>
            <w:shd w:val="clear" w:color="000000" w:fill="FFFFFF"/>
            <w:noWrap/>
            <w:vAlign w:val="center"/>
            <w:hideMark/>
          </w:tcPr>
          <w:p w14:paraId="4F20C21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2,700</w:t>
            </w:r>
          </w:p>
        </w:tc>
        <w:tc>
          <w:tcPr>
            <w:tcW w:w="528" w:type="pct"/>
            <w:tcBorders>
              <w:top w:val="nil"/>
              <w:left w:val="nil"/>
              <w:bottom w:val="nil"/>
              <w:right w:val="nil"/>
            </w:tcBorders>
            <w:shd w:val="clear" w:color="000000" w:fill="E6F2FF"/>
            <w:noWrap/>
            <w:vAlign w:val="center"/>
            <w:hideMark/>
          </w:tcPr>
          <w:p w14:paraId="36C2B00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1,717</w:t>
            </w:r>
          </w:p>
        </w:tc>
        <w:tc>
          <w:tcPr>
            <w:tcW w:w="528" w:type="pct"/>
            <w:tcBorders>
              <w:top w:val="nil"/>
              <w:left w:val="nil"/>
              <w:bottom w:val="nil"/>
              <w:right w:val="nil"/>
            </w:tcBorders>
            <w:shd w:val="clear" w:color="000000" w:fill="FFFFFF"/>
            <w:noWrap/>
            <w:vAlign w:val="center"/>
            <w:hideMark/>
          </w:tcPr>
          <w:p w14:paraId="65E7641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1,601</w:t>
            </w:r>
          </w:p>
        </w:tc>
        <w:tc>
          <w:tcPr>
            <w:tcW w:w="528" w:type="pct"/>
            <w:tcBorders>
              <w:top w:val="nil"/>
              <w:left w:val="nil"/>
              <w:bottom w:val="nil"/>
              <w:right w:val="nil"/>
            </w:tcBorders>
            <w:shd w:val="clear" w:color="000000" w:fill="FFFFFF"/>
            <w:noWrap/>
            <w:vAlign w:val="center"/>
            <w:hideMark/>
          </w:tcPr>
          <w:p w14:paraId="78F8A47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1,523</w:t>
            </w:r>
          </w:p>
        </w:tc>
        <w:tc>
          <w:tcPr>
            <w:tcW w:w="528" w:type="pct"/>
            <w:tcBorders>
              <w:top w:val="nil"/>
              <w:left w:val="nil"/>
              <w:bottom w:val="nil"/>
              <w:right w:val="nil"/>
            </w:tcBorders>
            <w:shd w:val="clear" w:color="000000" w:fill="FFFFFF"/>
            <w:noWrap/>
            <w:vAlign w:val="center"/>
            <w:hideMark/>
          </w:tcPr>
          <w:p w14:paraId="75CB6E8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1,377</w:t>
            </w:r>
          </w:p>
        </w:tc>
      </w:tr>
      <w:tr w:rsidR="00B01968" w:rsidRPr="00B01968" w14:paraId="079CDFE7" w14:textId="77777777" w:rsidTr="0070524E">
        <w:trPr>
          <w:divId w:val="525481909"/>
          <w:trHeight w:hRule="exact" w:val="225"/>
        </w:trPr>
        <w:tc>
          <w:tcPr>
            <w:tcW w:w="2359" w:type="pct"/>
            <w:tcBorders>
              <w:top w:val="nil"/>
              <w:left w:val="nil"/>
              <w:bottom w:val="nil"/>
              <w:right w:val="nil"/>
            </w:tcBorders>
            <w:shd w:val="clear" w:color="000000" w:fill="FFFFFF"/>
            <w:noWrap/>
            <w:vAlign w:val="center"/>
            <w:hideMark/>
          </w:tcPr>
          <w:p w14:paraId="4AF8CD1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Assistance for Indigenous Australians nec</w:t>
            </w:r>
          </w:p>
        </w:tc>
        <w:tc>
          <w:tcPr>
            <w:tcW w:w="529" w:type="pct"/>
            <w:tcBorders>
              <w:top w:val="nil"/>
              <w:left w:val="nil"/>
              <w:right w:val="nil"/>
            </w:tcBorders>
            <w:shd w:val="clear" w:color="000000" w:fill="FFFFFF"/>
            <w:noWrap/>
            <w:vAlign w:val="center"/>
            <w:hideMark/>
          </w:tcPr>
          <w:p w14:paraId="45DFB54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2,872</w:t>
            </w:r>
          </w:p>
        </w:tc>
        <w:tc>
          <w:tcPr>
            <w:tcW w:w="528" w:type="pct"/>
            <w:tcBorders>
              <w:top w:val="nil"/>
              <w:left w:val="nil"/>
              <w:right w:val="nil"/>
            </w:tcBorders>
            <w:shd w:val="clear" w:color="000000" w:fill="E6F2FF"/>
            <w:noWrap/>
            <w:vAlign w:val="center"/>
            <w:hideMark/>
          </w:tcPr>
          <w:p w14:paraId="323A562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3,049</w:t>
            </w:r>
          </w:p>
        </w:tc>
        <w:tc>
          <w:tcPr>
            <w:tcW w:w="528" w:type="pct"/>
            <w:tcBorders>
              <w:top w:val="nil"/>
              <w:left w:val="nil"/>
              <w:right w:val="nil"/>
            </w:tcBorders>
            <w:shd w:val="clear" w:color="000000" w:fill="FFFFFF"/>
            <w:noWrap/>
            <w:vAlign w:val="center"/>
            <w:hideMark/>
          </w:tcPr>
          <w:p w14:paraId="030835E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3,080</w:t>
            </w:r>
          </w:p>
        </w:tc>
        <w:tc>
          <w:tcPr>
            <w:tcW w:w="528" w:type="pct"/>
            <w:tcBorders>
              <w:top w:val="nil"/>
              <w:left w:val="nil"/>
              <w:right w:val="nil"/>
            </w:tcBorders>
            <w:shd w:val="clear" w:color="000000" w:fill="FFFFFF"/>
            <w:noWrap/>
            <w:vAlign w:val="center"/>
            <w:hideMark/>
          </w:tcPr>
          <w:p w14:paraId="6D0935B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3,091</w:t>
            </w:r>
          </w:p>
        </w:tc>
        <w:tc>
          <w:tcPr>
            <w:tcW w:w="528" w:type="pct"/>
            <w:tcBorders>
              <w:top w:val="nil"/>
              <w:left w:val="nil"/>
              <w:right w:val="nil"/>
            </w:tcBorders>
            <w:shd w:val="clear" w:color="000000" w:fill="FFFFFF"/>
            <w:noWrap/>
            <w:vAlign w:val="center"/>
            <w:hideMark/>
          </w:tcPr>
          <w:p w14:paraId="155F647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2,996</w:t>
            </w:r>
          </w:p>
        </w:tc>
      </w:tr>
      <w:tr w:rsidR="00B01968" w:rsidRPr="00B01968" w14:paraId="3FE610B4" w14:textId="77777777" w:rsidTr="0070524E">
        <w:trPr>
          <w:divId w:val="525481909"/>
          <w:trHeight w:hRule="exact" w:val="225"/>
        </w:trPr>
        <w:tc>
          <w:tcPr>
            <w:tcW w:w="2359" w:type="pct"/>
            <w:tcBorders>
              <w:top w:val="nil"/>
              <w:left w:val="nil"/>
              <w:bottom w:val="nil"/>
              <w:right w:val="nil"/>
            </w:tcBorders>
            <w:shd w:val="clear" w:color="000000" w:fill="FFFFFF"/>
            <w:noWrap/>
            <w:vAlign w:val="center"/>
            <w:hideMark/>
          </w:tcPr>
          <w:p w14:paraId="284651C6"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General administration</w:t>
            </w:r>
          </w:p>
        </w:tc>
        <w:tc>
          <w:tcPr>
            <w:tcW w:w="529" w:type="pct"/>
            <w:tcBorders>
              <w:top w:val="nil"/>
              <w:left w:val="nil"/>
              <w:bottom w:val="single" w:sz="4" w:space="0" w:color="002A54" w:themeColor="text2"/>
              <w:right w:val="nil"/>
            </w:tcBorders>
            <w:shd w:val="clear" w:color="000000" w:fill="FFFFFF"/>
            <w:noWrap/>
            <w:vAlign w:val="center"/>
            <w:hideMark/>
          </w:tcPr>
          <w:p w14:paraId="2CBBDCE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5,302</w:t>
            </w:r>
          </w:p>
        </w:tc>
        <w:tc>
          <w:tcPr>
            <w:tcW w:w="528" w:type="pct"/>
            <w:tcBorders>
              <w:top w:val="nil"/>
              <w:left w:val="nil"/>
              <w:bottom w:val="single" w:sz="4" w:space="0" w:color="002A54" w:themeColor="text2"/>
              <w:right w:val="nil"/>
            </w:tcBorders>
            <w:shd w:val="clear" w:color="000000" w:fill="E6F2FF"/>
            <w:noWrap/>
            <w:vAlign w:val="center"/>
            <w:hideMark/>
          </w:tcPr>
          <w:p w14:paraId="3E15E70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4,630</w:t>
            </w:r>
          </w:p>
        </w:tc>
        <w:tc>
          <w:tcPr>
            <w:tcW w:w="528" w:type="pct"/>
            <w:tcBorders>
              <w:top w:val="nil"/>
              <w:left w:val="nil"/>
              <w:bottom w:val="single" w:sz="4" w:space="0" w:color="002A54" w:themeColor="text2"/>
              <w:right w:val="nil"/>
            </w:tcBorders>
            <w:shd w:val="clear" w:color="000000" w:fill="FFFFFF"/>
            <w:noWrap/>
            <w:vAlign w:val="center"/>
            <w:hideMark/>
          </w:tcPr>
          <w:p w14:paraId="694BD27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4,355</w:t>
            </w:r>
          </w:p>
        </w:tc>
        <w:tc>
          <w:tcPr>
            <w:tcW w:w="528" w:type="pct"/>
            <w:tcBorders>
              <w:top w:val="nil"/>
              <w:left w:val="nil"/>
              <w:bottom w:val="single" w:sz="4" w:space="0" w:color="002A54" w:themeColor="text2"/>
              <w:right w:val="nil"/>
            </w:tcBorders>
            <w:shd w:val="clear" w:color="000000" w:fill="FFFFFF"/>
            <w:noWrap/>
            <w:vAlign w:val="center"/>
            <w:hideMark/>
          </w:tcPr>
          <w:p w14:paraId="1CD6663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4,228</w:t>
            </w:r>
          </w:p>
        </w:tc>
        <w:tc>
          <w:tcPr>
            <w:tcW w:w="528" w:type="pct"/>
            <w:tcBorders>
              <w:top w:val="nil"/>
              <w:left w:val="nil"/>
              <w:bottom w:val="single" w:sz="4" w:space="0" w:color="002A54" w:themeColor="text2"/>
              <w:right w:val="nil"/>
            </w:tcBorders>
            <w:shd w:val="clear" w:color="000000" w:fill="FFFFFF"/>
            <w:noWrap/>
            <w:vAlign w:val="center"/>
            <w:hideMark/>
          </w:tcPr>
          <w:p w14:paraId="681D1CC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4,221</w:t>
            </w:r>
          </w:p>
        </w:tc>
      </w:tr>
      <w:tr w:rsidR="00B01968" w:rsidRPr="00B01968" w14:paraId="67B86323" w14:textId="77777777" w:rsidTr="0070524E">
        <w:trPr>
          <w:divId w:val="525481909"/>
          <w:trHeight w:hRule="exact" w:val="225"/>
        </w:trPr>
        <w:tc>
          <w:tcPr>
            <w:tcW w:w="2359" w:type="pct"/>
            <w:tcBorders>
              <w:top w:val="nil"/>
              <w:left w:val="nil"/>
              <w:bottom w:val="single" w:sz="4" w:space="0" w:color="002A54" w:themeColor="text2"/>
              <w:right w:val="nil"/>
            </w:tcBorders>
            <w:shd w:val="clear" w:color="000000" w:fill="FFFFFF"/>
            <w:noWrap/>
            <w:vAlign w:val="center"/>
            <w:hideMark/>
          </w:tcPr>
          <w:p w14:paraId="781BA061"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 social security and welfare</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56E4A505"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226,378</w:t>
            </w:r>
          </w:p>
        </w:tc>
        <w:tc>
          <w:tcPr>
            <w:tcW w:w="528" w:type="pct"/>
            <w:tcBorders>
              <w:top w:val="single" w:sz="4" w:space="0" w:color="002A54" w:themeColor="text2"/>
              <w:left w:val="nil"/>
              <w:bottom w:val="single" w:sz="4" w:space="0" w:color="002A54" w:themeColor="text2"/>
              <w:right w:val="nil"/>
            </w:tcBorders>
            <w:shd w:val="clear" w:color="000000" w:fill="E6F2FF"/>
            <w:noWrap/>
            <w:vAlign w:val="center"/>
            <w:hideMark/>
          </w:tcPr>
          <w:p w14:paraId="1C9B8D5B"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250,280</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168A9C0D"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263,074</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5E9156D8"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277,054</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08BD782F"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288,442</w:t>
            </w:r>
          </w:p>
        </w:tc>
      </w:tr>
    </w:tbl>
    <w:p w14:paraId="28B34335" w14:textId="59A229E3" w:rsidR="0050166A" w:rsidRPr="000177D7" w:rsidRDefault="0050166A" w:rsidP="00706CC2">
      <w:r w:rsidRPr="0021687D">
        <w:t>Expenses in the social security and welfare function are estimated to increase by 15.2</w:t>
      </w:r>
      <w:r w:rsidR="00893776">
        <w:t> per </w:t>
      </w:r>
      <w:r w:rsidRPr="0021687D">
        <w:t xml:space="preserve">cent in nominal terms </w:t>
      </w:r>
      <w:r w:rsidR="007E2B7A">
        <w:t xml:space="preserve">and </w:t>
      </w:r>
      <w:r w:rsidRPr="0021687D">
        <w:t>by 6.5</w:t>
      </w:r>
      <w:r w:rsidR="00893776">
        <w:t> per </w:t>
      </w:r>
      <w:r w:rsidRPr="0021687D">
        <w:t>cent in real terms over the period 2023</w:t>
      </w:r>
      <w:r w:rsidR="00CA3FDE">
        <w:t>–</w:t>
      </w:r>
      <w:r w:rsidRPr="0021687D">
        <w:t>24 to 2026</w:t>
      </w:r>
      <w:r w:rsidR="00CA3FDE">
        <w:t>–</w:t>
      </w:r>
      <w:r w:rsidRPr="0021687D">
        <w:t>27. This is largely driven by the 2023</w:t>
      </w:r>
      <w:r w:rsidR="00CA3FDE">
        <w:t>–</w:t>
      </w:r>
      <w:r w:rsidRPr="0021687D">
        <w:t>24 Budget</w:t>
      </w:r>
      <w:r w:rsidR="00A01F2E">
        <w:t xml:space="preserve"> measures</w:t>
      </w:r>
      <w:r w:rsidRPr="0021687D">
        <w:t xml:space="preserve"> </w:t>
      </w:r>
      <w:r w:rsidR="0021687D" w:rsidRPr="0021687D">
        <w:rPr>
          <w:i/>
          <w:iCs/>
        </w:rPr>
        <w:t>Increase to Working Age Payments</w:t>
      </w:r>
      <w:r w:rsidR="0021687D" w:rsidRPr="0021687D">
        <w:t xml:space="preserve"> and </w:t>
      </w:r>
      <w:r w:rsidR="0021687D" w:rsidRPr="0021687D">
        <w:rPr>
          <w:i/>
          <w:iCs/>
        </w:rPr>
        <w:t>Increased Support for Commonwealth Rent Assistance Recipients</w:t>
      </w:r>
      <w:r w:rsidRPr="0021687D">
        <w:t xml:space="preserve">, as well as growth in the </w:t>
      </w:r>
      <w:r w:rsidRPr="0021687D">
        <w:rPr>
          <w:b/>
          <w:bCs/>
        </w:rPr>
        <w:t xml:space="preserve">assistance to the aged </w:t>
      </w:r>
      <w:r w:rsidRPr="0021687D">
        <w:t>and</w:t>
      </w:r>
      <w:r w:rsidRPr="0021687D">
        <w:rPr>
          <w:b/>
          <w:bCs/>
        </w:rPr>
        <w:t xml:space="preserve"> assistance to people with disabilities </w:t>
      </w:r>
      <w:r w:rsidRPr="0021687D">
        <w:t>sub</w:t>
      </w:r>
      <w:r w:rsidR="00D34B95">
        <w:noBreakHyphen/>
      </w:r>
      <w:r w:rsidRPr="0021687D">
        <w:t>func</w:t>
      </w:r>
      <w:r w:rsidRPr="000177D7">
        <w:t xml:space="preserve">tions. </w:t>
      </w:r>
    </w:p>
    <w:p w14:paraId="002605B3" w14:textId="47988694" w:rsidR="0050166A" w:rsidRPr="000177D7" w:rsidRDefault="0050166A" w:rsidP="0050166A">
      <w:r w:rsidRPr="000177D7">
        <w:t xml:space="preserve">The </w:t>
      </w:r>
      <w:r w:rsidRPr="0021687D">
        <w:rPr>
          <w:b/>
          <w:bCs/>
        </w:rPr>
        <w:t xml:space="preserve">assistance to the aged </w:t>
      </w:r>
      <w:r w:rsidRPr="0021687D">
        <w:t>sub</w:t>
      </w:r>
      <w:r w:rsidR="00D34B95">
        <w:noBreakHyphen/>
      </w:r>
      <w:r w:rsidRPr="0021687D">
        <w:t>function is estimated to increase by 14.8</w:t>
      </w:r>
      <w:r w:rsidR="00893776">
        <w:t> per </w:t>
      </w:r>
      <w:r w:rsidRPr="0021687D">
        <w:t>cent in nominal terms and by 6.0</w:t>
      </w:r>
      <w:r w:rsidR="00893776">
        <w:t> per </w:t>
      </w:r>
      <w:r w:rsidRPr="0021687D">
        <w:t xml:space="preserve">cent in real terms over the period 2023–24 to 2026–27. The Aged Care Services program is a key driver of this growth with funding of $11.3 billion over the period 2023–24 to 2026–27 to implement the </w:t>
      </w:r>
      <w:r w:rsidRPr="0021687D">
        <w:rPr>
          <w:shd w:val="clear" w:color="auto" w:fill="FFFFFF" w:themeFill="background1"/>
        </w:rPr>
        <w:t>Fair Work Commission</w:t>
      </w:r>
      <w:r w:rsidR="00D34B95">
        <w:rPr>
          <w:shd w:val="clear" w:color="auto" w:fill="FFFFFF" w:themeFill="background1"/>
        </w:rPr>
        <w:t>’</w:t>
      </w:r>
      <w:r w:rsidRPr="0021687D">
        <w:rPr>
          <w:shd w:val="clear" w:color="auto" w:fill="FFFFFF" w:themeFill="background1"/>
        </w:rPr>
        <w:t xml:space="preserve">s decision on the </w:t>
      </w:r>
      <w:r w:rsidRPr="007E2B7A">
        <w:rPr>
          <w:i/>
          <w:shd w:val="clear" w:color="auto" w:fill="FFFFFF" w:themeFill="background1"/>
        </w:rPr>
        <w:t>Aged</w:t>
      </w:r>
      <w:r w:rsidR="002C1E75">
        <w:rPr>
          <w:i/>
          <w:shd w:val="clear" w:color="auto" w:fill="FFFFFF" w:themeFill="background1"/>
        </w:rPr>
        <w:t> </w:t>
      </w:r>
      <w:r w:rsidRPr="007E2B7A">
        <w:rPr>
          <w:i/>
          <w:shd w:val="clear" w:color="auto" w:fill="FFFFFF" w:themeFill="background1"/>
        </w:rPr>
        <w:t>Care</w:t>
      </w:r>
      <w:r w:rsidR="002C1E75">
        <w:rPr>
          <w:i/>
          <w:shd w:val="clear" w:color="auto" w:fill="FFFFFF" w:themeFill="background1"/>
        </w:rPr>
        <w:t> </w:t>
      </w:r>
      <w:r w:rsidRPr="007E2B7A">
        <w:rPr>
          <w:i/>
          <w:shd w:val="clear" w:color="auto" w:fill="FFFFFF" w:themeFill="background1"/>
        </w:rPr>
        <w:t>Work</w:t>
      </w:r>
      <w:r w:rsidR="002C1E75">
        <w:rPr>
          <w:i/>
          <w:shd w:val="clear" w:color="auto" w:fill="FFFFFF" w:themeFill="background1"/>
        </w:rPr>
        <w:t> </w:t>
      </w:r>
      <w:r w:rsidRPr="007E2B7A">
        <w:rPr>
          <w:i/>
          <w:shd w:val="clear" w:color="auto" w:fill="FFFFFF" w:themeFill="background1"/>
        </w:rPr>
        <w:t>Value</w:t>
      </w:r>
      <w:r w:rsidR="002C1E75">
        <w:rPr>
          <w:i/>
          <w:shd w:val="clear" w:color="auto" w:fill="FFFFFF" w:themeFill="background1"/>
        </w:rPr>
        <w:t> </w:t>
      </w:r>
      <w:r w:rsidRPr="007E2B7A">
        <w:rPr>
          <w:i/>
          <w:shd w:val="clear" w:color="auto" w:fill="FFFFFF" w:themeFill="background1"/>
        </w:rPr>
        <w:t>Case</w:t>
      </w:r>
      <w:r w:rsidRPr="0021687D">
        <w:rPr>
          <w:shd w:val="clear" w:color="auto" w:fill="FFFFFF" w:themeFill="background1"/>
        </w:rPr>
        <w:t xml:space="preserve"> which increased minimum award wages by 15</w:t>
      </w:r>
      <w:r w:rsidR="00893776">
        <w:rPr>
          <w:shd w:val="clear" w:color="auto" w:fill="FFFFFF" w:themeFill="background1"/>
        </w:rPr>
        <w:t> per </w:t>
      </w:r>
      <w:r w:rsidRPr="0021687D">
        <w:rPr>
          <w:shd w:val="clear" w:color="auto" w:fill="FFFFFF" w:themeFill="background1"/>
        </w:rPr>
        <w:t>cent from 30 June 2023 for many aged care workers.</w:t>
      </w:r>
      <w:r w:rsidRPr="0021687D">
        <w:t xml:space="preserve"> The other significant driver of growth in this sub</w:t>
      </w:r>
      <w:r w:rsidR="00D34B95">
        <w:noBreakHyphen/>
      </w:r>
      <w:r w:rsidRPr="0021687D">
        <w:t>function is the Support for Seniors program which is estimated to increase by 5.1</w:t>
      </w:r>
      <w:r w:rsidR="00893776">
        <w:t> per </w:t>
      </w:r>
      <w:r>
        <w:t>cent in real terms over the period reflecting</w:t>
      </w:r>
      <w:r w:rsidRPr="000177D7">
        <w:t xml:space="preserve"> the expected increase in the number of Age</w:t>
      </w:r>
      <w:r w:rsidR="00A32E2C">
        <w:t> </w:t>
      </w:r>
      <w:r w:rsidRPr="000177D7">
        <w:t>Pension recipients as the Australian population ages.</w:t>
      </w:r>
      <w:r w:rsidRPr="000177D7" w:rsidDel="00CD39DC">
        <w:t xml:space="preserve"> </w:t>
      </w:r>
    </w:p>
    <w:p w14:paraId="4DB55568" w14:textId="7029C2A5" w:rsidR="0050166A" w:rsidRPr="0021687D" w:rsidRDefault="0050166A" w:rsidP="0050166A">
      <w:r w:rsidRPr="000177D7">
        <w:t xml:space="preserve">Expenses in the Aged Care Quality program are estimated to </w:t>
      </w:r>
      <w:r>
        <w:t xml:space="preserve">decrease </w:t>
      </w:r>
      <w:r w:rsidRPr="00650B79">
        <w:t xml:space="preserve">reflecting terminating funding provided </w:t>
      </w:r>
      <w:r w:rsidRPr="00650B79" w:rsidDel="003E0FB8">
        <w:t xml:space="preserve">in </w:t>
      </w:r>
      <w:r w:rsidRPr="00650B79">
        <w:t>the 2021</w:t>
      </w:r>
      <w:r w:rsidR="00CA3FDE">
        <w:t>–</w:t>
      </w:r>
      <w:r w:rsidRPr="00650B79">
        <w:t xml:space="preserve">22 Budget measures </w:t>
      </w:r>
      <w:r w:rsidRPr="00650B79">
        <w:rPr>
          <w:i/>
          <w:iCs/>
        </w:rPr>
        <w:t xml:space="preserve">Aged Care </w:t>
      </w:r>
      <w:r w:rsidR="00CA3FDE">
        <w:rPr>
          <w:i/>
          <w:iCs/>
        </w:rPr>
        <w:t>–</w:t>
      </w:r>
      <w:r w:rsidRPr="00650B79">
        <w:rPr>
          <w:i/>
          <w:iCs/>
        </w:rPr>
        <w:t xml:space="preserve"> Government response to the </w:t>
      </w:r>
      <w:r w:rsidRPr="0021687D">
        <w:rPr>
          <w:i/>
          <w:iCs/>
        </w:rPr>
        <w:t xml:space="preserve">Royal Commission into Aged Care Quality and Safety </w:t>
      </w:r>
      <w:r w:rsidR="00CA3FDE">
        <w:rPr>
          <w:i/>
          <w:iCs/>
        </w:rPr>
        <w:t>–</w:t>
      </w:r>
      <w:r w:rsidRPr="0021687D">
        <w:rPr>
          <w:i/>
          <w:iCs/>
        </w:rPr>
        <w:t xml:space="preserve"> residential aged care quality and safety</w:t>
      </w:r>
      <w:r w:rsidRPr="0021687D">
        <w:t xml:space="preserve"> and </w:t>
      </w:r>
      <w:r w:rsidRPr="0021687D">
        <w:rPr>
          <w:i/>
          <w:iCs/>
        </w:rPr>
        <w:t xml:space="preserve">Aged Care </w:t>
      </w:r>
      <w:r w:rsidR="00CA3FDE">
        <w:rPr>
          <w:i/>
          <w:iCs/>
        </w:rPr>
        <w:t>–</w:t>
      </w:r>
      <w:r w:rsidRPr="0021687D">
        <w:rPr>
          <w:i/>
          <w:iCs/>
        </w:rPr>
        <w:t xml:space="preserve"> Government response to the Royal Commission into Aged Care Quality and Safety </w:t>
      </w:r>
      <w:r w:rsidR="00CA3FDE">
        <w:rPr>
          <w:i/>
          <w:iCs/>
        </w:rPr>
        <w:t>–</w:t>
      </w:r>
      <w:r w:rsidRPr="0021687D">
        <w:rPr>
          <w:i/>
          <w:iCs/>
        </w:rPr>
        <w:t xml:space="preserve"> home care</w:t>
      </w:r>
      <w:r w:rsidRPr="0021687D">
        <w:t>, as well as terminating COVID</w:t>
      </w:r>
      <w:r w:rsidR="00D34B95">
        <w:noBreakHyphen/>
      </w:r>
      <w:r w:rsidRPr="0021687D">
        <w:t>19 support measures. This reduction is partially offset by the 2023</w:t>
      </w:r>
      <w:r w:rsidR="00CA3FDE">
        <w:t>–</w:t>
      </w:r>
      <w:r w:rsidRPr="0021687D">
        <w:t xml:space="preserve">24 Budget measure </w:t>
      </w:r>
      <w:r w:rsidR="0021687D" w:rsidRPr="0021687D">
        <w:rPr>
          <w:i/>
        </w:rPr>
        <w:t>Aged Care Regulatory Reform</w:t>
      </w:r>
      <w:r w:rsidR="0021687D" w:rsidRPr="0021687D" w:rsidDel="005B42F7">
        <w:t xml:space="preserve"> </w:t>
      </w:r>
      <w:r w:rsidRPr="0021687D">
        <w:t xml:space="preserve">which builds on the October Budget measure </w:t>
      </w:r>
      <w:r w:rsidRPr="0021687D">
        <w:rPr>
          <w:i/>
          <w:iCs/>
        </w:rPr>
        <w:t xml:space="preserve">Fixing the Aged Care Crisis, </w:t>
      </w:r>
      <w:r w:rsidRPr="0021687D">
        <w:t xml:space="preserve">and the October Budget measure </w:t>
      </w:r>
      <w:r w:rsidRPr="0021687D">
        <w:rPr>
          <w:i/>
        </w:rPr>
        <w:t>COVID</w:t>
      </w:r>
      <w:r w:rsidR="00D34B95">
        <w:rPr>
          <w:i/>
        </w:rPr>
        <w:noBreakHyphen/>
      </w:r>
      <w:r w:rsidRPr="0021687D">
        <w:rPr>
          <w:i/>
        </w:rPr>
        <w:t>19</w:t>
      </w:r>
      <w:r w:rsidRPr="0021687D">
        <w:t xml:space="preserve"> </w:t>
      </w:r>
      <w:r w:rsidRPr="0021687D">
        <w:rPr>
          <w:i/>
        </w:rPr>
        <w:t xml:space="preserve">Package </w:t>
      </w:r>
      <w:r w:rsidR="00CA3FDE">
        <w:rPr>
          <w:i/>
        </w:rPr>
        <w:t>–</w:t>
      </w:r>
      <w:r w:rsidRPr="0021687D">
        <w:rPr>
          <w:i/>
        </w:rPr>
        <w:t xml:space="preserve"> aged care</w:t>
      </w:r>
      <w:r w:rsidRPr="0021687D">
        <w:t>.</w:t>
      </w:r>
      <w:r w:rsidRPr="0021687D" w:rsidDel="00F73271">
        <w:t xml:space="preserve"> </w:t>
      </w:r>
    </w:p>
    <w:p w14:paraId="409A4528" w14:textId="7C73589E" w:rsidR="0050166A" w:rsidRPr="000177D7" w:rsidRDefault="0050166A" w:rsidP="0050166A">
      <w:pPr>
        <w:rPr>
          <w:lang w:val="en-US"/>
        </w:rPr>
      </w:pPr>
      <w:r w:rsidRPr="0021687D">
        <w:rPr>
          <w:lang w:val="en-US"/>
        </w:rPr>
        <w:t xml:space="preserve">Expenses for </w:t>
      </w:r>
      <w:r w:rsidRPr="0021687D">
        <w:rPr>
          <w:b/>
          <w:bCs/>
          <w:lang w:val="en-US"/>
        </w:rPr>
        <w:t>veterans</w:t>
      </w:r>
      <w:r w:rsidR="00D34B95">
        <w:rPr>
          <w:b/>
          <w:bCs/>
          <w:lang w:val="en-US"/>
        </w:rPr>
        <w:t>’</w:t>
      </w:r>
      <w:r w:rsidRPr="0021687D">
        <w:rPr>
          <w:b/>
          <w:bCs/>
          <w:lang w:val="en-US"/>
        </w:rPr>
        <w:t xml:space="preserve"> community care and support </w:t>
      </w:r>
      <w:r w:rsidRPr="0021687D">
        <w:rPr>
          <w:lang w:val="en-US"/>
        </w:rPr>
        <w:t xml:space="preserve">are estimated to </w:t>
      </w:r>
      <w:r w:rsidRPr="0021687D">
        <w:t>increase by 12.9</w:t>
      </w:r>
      <w:r w:rsidR="00893776">
        <w:t> per </w:t>
      </w:r>
      <w:r w:rsidRPr="0021687D">
        <w:t xml:space="preserve">cent in nominal terms </w:t>
      </w:r>
      <w:r w:rsidRPr="0021687D">
        <w:rPr>
          <w:lang w:val="en-US"/>
        </w:rPr>
        <w:t>and</w:t>
      </w:r>
      <w:r w:rsidRPr="0021687D">
        <w:t xml:space="preserve"> by 4.4</w:t>
      </w:r>
      <w:r w:rsidR="00893776">
        <w:t> per </w:t>
      </w:r>
      <w:r w:rsidRPr="0021687D">
        <w:t>cent in real terms over the period 2023</w:t>
      </w:r>
      <w:r w:rsidR="00CA3FDE">
        <w:t>–</w:t>
      </w:r>
      <w:r w:rsidRPr="0021687D">
        <w:t>24 to 2026</w:t>
      </w:r>
      <w:r w:rsidR="00CA3FDE">
        <w:t>–</w:t>
      </w:r>
      <w:r w:rsidRPr="0021687D">
        <w:t xml:space="preserve">27, </w:t>
      </w:r>
      <w:r w:rsidRPr="0021687D">
        <w:rPr>
          <w:lang w:val="en-US"/>
        </w:rPr>
        <w:t>reflecting additional funding for increased care minutes and the requirement for registered nurses to be on site 24 hours</w:t>
      </w:r>
      <w:r w:rsidR="00893776">
        <w:rPr>
          <w:lang w:val="en-US"/>
        </w:rPr>
        <w:t> per </w:t>
      </w:r>
      <w:r w:rsidRPr="0021687D">
        <w:rPr>
          <w:lang w:val="en-US"/>
        </w:rPr>
        <w:t>day, 7 days a week as part of the October</w:t>
      </w:r>
      <w:r w:rsidRPr="00BE28B3">
        <w:rPr>
          <w:lang w:val="en-US"/>
        </w:rPr>
        <w:t xml:space="preserve"> Budget measure </w:t>
      </w:r>
      <w:r w:rsidRPr="00670F0A">
        <w:rPr>
          <w:i/>
          <w:iCs/>
          <w:lang w:val="en-US"/>
        </w:rPr>
        <w:t>Fixing the Aged Care Crisis</w:t>
      </w:r>
      <w:r w:rsidRPr="00BE28B3">
        <w:rPr>
          <w:lang w:val="en-US"/>
        </w:rPr>
        <w:t>.</w:t>
      </w:r>
    </w:p>
    <w:p w14:paraId="4B27C574" w14:textId="33A2C9FC" w:rsidR="00B561FF" w:rsidRPr="000177D7" w:rsidRDefault="0050166A" w:rsidP="0050166A">
      <w:r w:rsidRPr="000177D7">
        <w:lastRenderedPageBreak/>
        <w:t xml:space="preserve">Table 6.9.1 sets out the major components of the </w:t>
      </w:r>
      <w:r w:rsidRPr="000177D7">
        <w:rPr>
          <w:b/>
        </w:rPr>
        <w:t>assistance to the aged</w:t>
      </w:r>
      <w:r w:rsidRPr="000177D7">
        <w:t xml:space="preserve"> sub</w:t>
      </w:r>
      <w:r w:rsidR="00D34B95">
        <w:noBreakHyphen/>
      </w:r>
      <w:r w:rsidRPr="000177D7">
        <w:t>function.</w:t>
      </w:r>
    </w:p>
    <w:p w14:paraId="650238AC" w14:textId="258B5302" w:rsidR="00B01968" w:rsidRPr="00B01968" w:rsidRDefault="00C855DF" w:rsidP="00B01968">
      <w:pPr>
        <w:pStyle w:val="TableHeading"/>
        <w:rPr>
          <w:rFonts w:asciiTheme="minorHAnsi" w:eastAsiaTheme="minorHAnsi" w:hAnsiTheme="minorHAnsi" w:cstheme="minorBidi"/>
          <w:b w:val="0"/>
          <w:sz w:val="22"/>
          <w:szCs w:val="22"/>
          <w:lang w:eastAsia="en-US"/>
        </w:rPr>
      </w:pPr>
      <w:r w:rsidRPr="000177D7">
        <w:t>Table 6.9.1: Trends in the major components of assistance to the aged sub</w:t>
      </w:r>
      <w:r w:rsidR="00D34B95">
        <w:noBreakHyphen/>
      </w:r>
      <w:r w:rsidRPr="000177D7">
        <w:t>function expense</w:t>
      </w:r>
      <w:bookmarkStart w:id="81" w:name="_1727953893"/>
      <w:bookmarkStart w:id="82" w:name="_1727955070"/>
      <w:bookmarkEnd w:id="81"/>
      <w:bookmarkEnd w:id="82"/>
    </w:p>
    <w:tbl>
      <w:tblPr>
        <w:tblW w:w="5000" w:type="pct"/>
        <w:tblCellMar>
          <w:left w:w="0" w:type="dxa"/>
          <w:right w:w="28" w:type="dxa"/>
        </w:tblCellMar>
        <w:tblLook w:val="04A0" w:firstRow="1" w:lastRow="0" w:firstColumn="1" w:lastColumn="0" w:noHBand="0" w:noVBand="1"/>
      </w:tblPr>
      <w:tblGrid>
        <w:gridCol w:w="3157"/>
        <w:gridCol w:w="912"/>
        <w:gridCol w:w="911"/>
        <w:gridCol w:w="911"/>
        <w:gridCol w:w="911"/>
        <w:gridCol w:w="908"/>
      </w:tblGrid>
      <w:tr w:rsidR="00B01968" w:rsidRPr="00B01968" w14:paraId="3700A75F" w14:textId="77777777" w:rsidTr="0070524E">
        <w:trPr>
          <w:divId w:val="738021631"/>
          <w:trHeight w:hRule="exact" w:val="225"/>
        </w:trPr>
        <w:tc>
          <w:tcPr>
            <w:tcW w:w="2047" w:type="pct"/>
            <w:tcBorders>
              <w:top w:val="single" w:sz="4" w:space="0" w:color="002A54" w:themeColor="text2"/>
              <w:left w:val="nil"/>
              <w:bottom w:val="nil"/>
              <w:right w:val="nil"/>
            </w:tcBorders>
            <w:shd w:val="clear" w:color="000000" w:fill="FFFFFF"/>
            <w:noWrap/>
            <w:vAlign w:val="center"/>
            <w:hideMark/>
          </w:tcPr>
          <w:p w14:paraId="67483C77" w14:textId="5E32FC34"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953"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59449478"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0280121A" w14:textId="77777777" w:rsidTr="0070524E">
        <w:trPr>
          <w:divId w:val="738021631"/>
          <w:trHeight w:hRule="exact" w:val="225"/>
        </w:trPr>
        <w:tc>
          <w:tcPr>
            <w:tcW w:w="2047" w:type="pct"/>
            <w:tcBorders>
              <w:top w:val="nil"/>
              <w:left w:val="nil"/>
              <w:bottom w:val="nil"/>
              <w:right w:val="nil"/>
            </w:tcBorders>
            <w:shd w:val="clear" w:color="000000" w:fill="FFFFFF"/>
            <w:noWrap/>
            <w:vAlign w:val="bottom"/>
            <w:hideMark/>
          </w:tcPr>
          <w:p w14:paraId="2F21B0F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1" w:type="pct"/>
            <w:tcBorders>
              <w:top w:val="single" w:sz="4" w:space="0" w:color="002A54" w:themeColor="text2"/>
              <w:left w:val="nil"/>
              <w:right w:val="nil"/>
            </w:tcBorders>
            <w:shd w:val="clear" w:color="000000" w:fill="FFFFFF"/>
            <w:noWrap/>
            <w:vAlign w:val="center"/>
            <w:hideMark/>
          </w:tcPr>
          <w:p w14:paraId="3A8DE7B1" w14:textId="0D50BF88"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CA3FDE">
              <w:rPr>
                <w:rFonts w:ascii="Arial" w:hAnsi="Arial" w:cs="Arial"/>
                <w:sz w:val="16"/>
                <w:szCs w:val="16"/>
              </w:rPr>
              <w:t>–</w:t>
            </w:r>
            <w:r w:rsidRPr="00B01968">
              <w:rPr>
                <w:rFonts w:ascii="Arial" w:hAnsi="Arial" w:cs="Arial"/>
                <w:sz w:val="16"/>
                <w:szCs w:val="16"/>
              </w:rPr>
              <w:t>23</w:t>
            </w:r>
          </w:p>
        </w:tc>
        <w:tc>
          <w:tcPr>
            <w:tcW w:w="591" w:type="pct"/>
            <w:tcBorders>
              <w:top w:val="single" w:sz="4" w:space="0" w:color="002A54" w:themeColor="text2"/>
              <w:left w:val="nil"/>
              <w:right w:val="nil"/>
            </w:tcBorders>
            <w:shd w:val="clear" w:color="000000" w:fill="E6F2FF"/>
            <w:noWrap/>
            <w:vAlign w:val="center"/>
            <w:hideMark/>
          </w:tcPr>
          <w:p w14:paraId="70FE387B" w14:textId="720F8536"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CA3FDE">
              <w:rPr>
                <w:rFonts w:ascii="Arial" w:hAnsi="Arial" w:cs="Arial"/>
                <w:sz w:val="16"/>
                <w:szCs w:val="16"/>
              </w:rPr>
              <w:t>–</w:t>
            </w:r>
            <w:r w:rsidRPr="00B01968">
              <w:rPr>
                <w:rFonts w:ascii="Arial" w:hAnsi="Arial" w:cs="Arial"/>
                <w:sz w:val="16"/>
                <w:szCs w:val="16"/>
              </w:rPr>
              <w:t>24</w:t>
            </w:r>
          </w:p>
        </w:tc>
        <w:tc>
          <w:tcPr>
            <w:tcW w:w="591" w:type="pct"/>
            <w:tcBorders>
              <w:top w:val="single" w:sz="4" w:space="0" w:color="002A54" w:themeColor="text2"/>
              <w:left w:val="nil"/>
              <w:right w:val="nil"/>
            </w:tcBorders>
            <w:shd w:val="clear" w:color="000000" w:fill="FFFFFF"/>
            <w:noWrap/>
            <w:vAlign w:val="center"/>
            <w:hideMark/>
          </w:tcPr>
          <w:p w14:paraId="63C9B5F3" w14:textId="4E027BAE"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CA3FDE">
              <w:rPr>
                <w:rFonts w:ascii="Arial" w:hAnsi="Arial" w:cs="Arial"/>
                <w:sz w:val="16"/>
                <w:szCs w:val="16"/>
              </w:rPr>
              <w:t>–</w:t>
            </w:r>
            <w:r w:rsidRPr="00B01968">
              <w:rPr>
                <w:rFonts w:ascii="Arial" w:hAnsi="Arial" w:cs="Arial"/>
                <w:sz w:val="16"/>
                <w:szCs w:val="16"/>
              </w:rPr>
              <w:t>25</w:t>
            </w:r>
          </w:p>
        </w:tc>
        <w:tc>
          <w:tcPr>
            <w:tcW w:w="591" w:type="pct"/>
            <w:tcBorders>
              <w:top w:val="single" w:sz="4" w:space="0" w:color="002A54" w:themeColor="text2"/>
              <w:left w:val="nil"/>
              <w:right w:val="nil"/>
            </w:tcBorders>
            <w:shd w:val="clear" w:color="000000" w:fill="FFFFFF"/>
            <w:noWrap/>
            <w:vAlign w:val="center"/>
            <w:hideMark/>
          </w:tcPr>
          <w:p w14:paraId="4C562170" w14:textId="17C0E04E"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CA3FDE">
              <w:rPr>
                <w:rFonts w:ascii="Arial" w:hAnsi="Arial" w:cs="Arial"/>
                <w:sz w:val="16"/>
                <w:szCs w:val="16"/>
              </w:rPr>
              <w:t>–</w:t>
            </w:r>
            <w:r w:rsidRPr="00B01968">
              <w:rPr>
                <w:rFonts w:ascii="Arial" w:hAnsi="Arial" w:cs="Arial"/>
                <w:sz w:val="16"/>
                <w:szCs w:val="16"/>
              </w:rPr>
              <w:t>26</w:t>
            </w:r>
          </w:p>
        </w:tc>
        <w:tc>
          <w:tcPr>
            <w:tcW w:w="589" w:type="pct"/>
            <w:tcBorders>
              <w:top w:val="single" w:sz="4" w:space="0" w:color="002A54" w:themeColor="text2"/>
              <w:left w:val="nil"/>
              <w:right w:val="nil"/>
            </w:tcBorders>
            <w:shd w:val="clear" w:color="000000" w:fill="FFFFFF"/>
            <w:noWrap/>
            <w:vAlign w:val="center"/>
            <w:hideMark/>
          </w:tcPr>
          <w:p w14:paraId="1F4DB0B0" w14:textId="3EB1E6EA"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CA3FDE">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57501D50" w14:textId="77777777" w:rsidTr="0070524E">
        <w:trPr>
          <w:divId w:val="738021631"/>
          <w:trHeight w:hRule="exact" w:val="225"/>
        </w:trPr>
        <w:tc>
          <w:tcPr>
            <w:tcW w:w="2047" w:type="pct"/>
            <w:tcBorders>
              <w:top w:val="nil"/>
              <w:left w:val="nil"/>
              <w:bottom w:val="nil"/>
              <w:right w:val="nil"/>
            </w:tcBorders>
            <w:shd w:val="clear" w:color="000000" w:fill="FFFFFF"/>
            <w:noWrap/>
            <w:vAlign w:val="center"/>
            <w:hideMark/>
          </w:tcPr>
          <w:p w14:paraId="064331D6"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1" w:type="pct"/>
            <w:tcBorders>
              <w:top w:val="nil"/>
              <w:left w:val="nil"/>
              <w:bottom w:val="single" w:sz="4" w:space="0" w:color="002A54" w:themeColor="text2"/>
              <w:right w:val="nil"/>
            </w:tcBorders>
            <w:shd w:val="clear" w:color="000000" w:fill="FFFFFF"/>
            <w:noWrap/>
            <w:vAlign w:val="center"/>
            <w:hideMark/>
          </w:tcPr>
          <w:p w14:paraId="5ADB8FA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1" w:type="pct"/>
            <w:tcBorders>
              <w:top w:val="nil"/>
              <w:left w:val="nil"/>
              <w:bottom w:val="single" w:sz="4" w:space="0" w:color="002A54" w:themeColor="text2"/>
              <w:right w:val="nil"/>
            </w:tcBorders>
            <w:shd w:val="clear" w:color="000000" w:fill="E6F2FF"/>
            <w:noWrap/>
            <w:vAlign w:val="center"/>
            <w:hideMark/>
          </w:tcPr>
          <w:p w14:paraId="34239B6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1" w:type="pct"/>
            <w:tcBorders>
              <w:top w:val="nil"/>
              <w:left w:val="nil"/>
              <w:bottom w:val="single" w:sz="4" w:space="0" w:color="002A54" w:themeColor="text2"/>
              <w:right w:val="nil"/>
            </w:tcBorders>
            <w:shd w:val="clear" w:color="000000" w:fill="FFFFFF"/>
            <w:noWrap/>
            <w:vAlign w:val="center"/>
            <w:hideMark/>
          </w:tcPr>
          <w:p w14:paraId="550DBED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1" w:type="pct"/>
            <w:tcBorders>
              <w:top w:val="nil"/>
              <w:left w:val="nil"/>
              <w:bottom w:val="single" w:sz="4" w:space="0" w:color="002A54" w:themeColor="text2"/>
              <w:right w:val="nil"/>
            </w:tcBorders>
            <w:shd w:val="clear" w:color="000000" w:fill="FFFFFF"/>
            <w:noWrap/>
            <w:vAlign w:val="center"/>
            <w:hideMark/>
          </w:tcPr>
          <w:p w14:paraId="0B5F4B0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89" w:type="pct"/>
            <w:tcBorders>
              <w:top w:val="nil"/>
              <w:left w:val="nil"/>
              <w:bottom w:val="single" w:sz="4" w:space="0" w:color="002A54" w:themeColor="text2"/>
              <w:right w:val="nil"/>
            </w:tcBorders>
            <w:shd w:val="clear" w:color="000000" w:fill="FFFFFF"/>
            <w:noWrap/>
            <w:vAlign w:val="center"/>
            <w:hideMark/>
          </w:tcPr>
          <w:p w14:paraId="61CED86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18397213" w14:textId="77777777" w:rsidTr="0070524E">
        <w:trPr>
          <w:divId w:val="738021631"/>
          <w:trHeight w:hRule="exact" w:val="225"/>
        </w:trPr>
        <w:tc>
          <w:tcPr>
            <w:tcW w:w="2047" w:type="pct"/>
            <w:tcBorders>
              <w:top w:val="nil"/>
              <w:left w:val="nil"/>
              <w:bottom w:val="nil"/>
              <w:right w:val="nil"/>
            </w:tcBorders>
            <w:shd w:val="clear" w:color="000000" w:fill="FFFFFF"/>
            <w:noWrap/>
            <w:vAlign w:val="center"/>
            <w:hideMark/>
          </w:tcPr>
          <w:p w14:paraId="37816D9D"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Support for Seniors</w:t>
            </w:r>
          </w:p>
        </w:tc>
        <w:tc>
          <w:tcPr>
            <w:tcW w:w="591" w:type="pct"/>
            <w:tcBorders>
              <w:top w:val="single" w:sz="4" w:space="0" w:color="002A54" w:themeColor="text2"/>
              <w:left w:val="nil"/>
              <w:bottom w:val="nil"/>
              <w:right w:val="nil"/>
            </w:tcBorders>
            <w:shd w:val="clear" w:color="000000" w:fill="FFFFFF"/>
            <w:noWrap/>
            <w:vAlign w:val="center"/>
            <w:hideMark/>
          </w:tcPr>
          <w:p w14:paraId="7B56FAE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54,873</w:t>
            </w:r>
          </w:p>
        </w:tc>
        <w:tc>
          <w:tcPr>
            <w:tcW w:w="591" w:type="pct"/>
            <w:tcBorders>
              <w:top w:val="single" w:sz="4" w:space="0" w:color="002A54" w:themeColor="text2"/>
              <w:left w:val="nil"/>
              <w:bottom w:val="nil"/>
              <w:right w:val="nil"/>
            </w:tcBorders>
            <w:shd w:val="clear" w:color="000000" w:fill="E6F2FF"/>
            <w:noWrap/>
            <w:vAlign w:val="center"/>
            <w:hideMark/>
          </w:tcPr>
          <w:p w14:paraId="52E5163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59,192</w:t>
            </w:r>
          </w:p>
        </w:tc>
        <w:tc>
          <w:tcPr>
            <w:tcW w:w="591" w:type="pct"/>
            <w:tcBorders>
              <w:top w:val="single" w:sz="4" w:space="0" w:color="002A54" w:themeColor="text2"/>
              <w:left w:val="nil"/>
              <w:bottom w:val="nil"/>
              <w:right w:val="nil"/>
            </w:tcBorders>
            <w:shd w:val="clear" w:color="000000" w:fill="FFFFFF"/>
            <w:noWrap/>
            <w:vAlign w:val="center"/>
            <w:hideMark/>
          </w:tcPr>
          <w:p w14:paraId="3992E83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61,684</w:t>
            </w:r>
          </w:p>
        </w:tc>
        <w:tc>
          <w:tcPr>
            <w:tcW w:w="591" w:type="pct"/>
            <w:tcBorders>
              <w:top w:val="single" w:sz="4" w:space="0" w:color="002A54" w:themeColor="text2"/>
              <w:left w:val="nil"/>
              <w:bottom w:val="nil"/>
              <w:right w:val="nil"/>
            </w:tcBorders>
            <w:shd w:val="clear" w:color="000000" w:fill="FFFFFF"/>
            <w:noWrap/>
            <w:vAlign w:val="center"/>
            <w:hideMark/>
          </w:tcPr>
          <w:p w14:paraId="53E37FD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64,590</w:t>
            </w:r>
          </w:p>
        </w:tc>
        <w:tc>
          <w:tcPr>
            <w:tcW w:w="589" w:type="pct"/>
            <w:tcBorders>
              <w:top w:val="single" w:sz="4" w:space="0" w:color="002A54" w:themeColor="text2"/>
              <w:left w:val="nil"/>
              <w:bottom w:val="nil"/>
              <w:right w:val="nil"/>
            </w:tcBorders>
            <w:shd w:val="clear" w:color="000000" w:fill="FFFFFF"/>
            <w:noWrap/>
            <w:vAlign w:val="center"/>
            <w:hideMark/>
          </w:tcPr>
          <w:p w14:paraId="59AB35B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67,322</w:t>
            </w:r>
          </w:p>
        </w:tc>
      </w:tr>
      <w:tr w:rsidR="00B01968" w:rsidRPr="00B01968" w14:paraId="3F6E8BF4"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6ED9F148"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Aged Care Services</w:t>
            </w:r>
          </w:p>
        </w:tc>
        <w:tc>
          <w:tcPr>
            <w:tcW w:w="591" w:type="pct"/>
            <w:tcBorders>
              <w:top w:val="nil"/>
              <w:left w:val="nil"/>
              <w:bottom w:val="nil"/>
              <w:right w:val="nil"/>
            </w:tcBorders>
            <w:shd w:val="clear" w:color="000000" w:fill="FFFFFF"/>
            <w:noWrap/>
            <w:vAlign w:val="center"/>
            <w:hideMark/>
          </w:tcPr>
          <w:p w14:paraId="3A0A41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26,900</w:t>
            </w:r>
          </w:p>
        </w:tc>
        <w:tc>
          <w:tcPr>
            <w:tcW w:w="591" w:type="pct"/>
            <w:tcBorders>
              <w:top w:val="nil"/>
              <w:left w:val="nil"/>
              <w:bottom w:val="nil"/>
              <w:right w:val="nil"/>
            </w:tcBorders>
            <w:shd w:val="clear" w:color="000000" w:fill="E6F2FF"/>
            <w:noWrap/>
            <w:vAlign w:val="center"/>
            <w:hideMark/>
          </w:tcPr>
          <w:p w14:paraId="36877B9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32,668</w:t>
            </w:r>
          </w:p>
        </w:tc>
        <w:tc>
          <w:tcPr>
            <w:tcW w:w="591" w:type="pct"/>
            <w:tcBorders>
              <w:top w:val="nil"/>
              <w:left w:val="nil"/>
              <w:bottom w:val="nil"/>
              <w:right w:val="nil"/>
            </w:tcBorders>
            <w:shd w:val="clear" w:color="000000" w:fill="FFFFFF"/>
            <w:noWrap/>
            <w:vAlign w:val="center"/>
            <w:hideMark/>
          </w:tcPr>
          <w:p w14:paraId="069E457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35,894</w:t>
            </w:r>
          </w:p>
        </w:tc>
        <w:tc>
          <w:tcPr>
            <w:tcW w:w="591" w:type="pct"/>
            <w:tcBorders>
              <w:top w:val="nil"/>
              <w:left w:val="nil"/>
              <w:bottom w:val="nil"/>
              <w:right w:val="nil"/>
            </w:tcBorders>
            <w:shd w:val="clear" w:color="000000" w:fill="FFFFFF"/>
            <w:noWrap/>
            <w:vAlign w:val="center"/>
            <w:hideMark/>
          </w:tcPr>
          <w:p w14:paraId="00DB199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37,988</w:t>
            </w:r>
          </w:p>
        </w:tc>
        <w:tc>
          <w:tcPr>
            <w:tcW w:w="589" w:type="pct"/>
            <w:tcBorders>
              <w:top w:val="nil"/>
              <w:left w:val="nil"/>
              <w:bottom w:val="nil"/>
              <w:right w:val="nil"/>
            </w:tcBorders>
            <w:shd w:val="clear" w:color="000000" w:fill="FFFFFF"/>
            <w:noWrap/>
            <w:vAlign w:val="center"/>
            <w:hideMark/>
          </w:tcPr>
          <w:p w14:paraId="7071239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39,854</w:t>
            </w:r>
          </w:p>
        </w:tc>
      </w:tr>
      <w:tr w:rsidR="00B01968" w:rsidRPr="00B01968" w14:paraId="2ECFAD3F"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0EFBF506" w14:textId="184D8058"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Veterans</w:t>
            </w:r>
            <w:r w:rsidR="00D34B95">
              <w:rPr>
                <w:rFonts w:ascii="Arial" w:hAnsi="Arial" w:cs="Arial"/>
                <w:sz w:val="16"/>
                <w:szCs w:val="16"/>
              </w:rPr>
              <w:t>’</w:t>
            </w:r>
            <w:r w:rsidRPr="00B01968">
              <w:rPr>
                <w:rFonts w:ascii="Arial" w:hAnsi="Arial" w:cs="Arial"/>
                <w:sz w:val="16"/>
                <w:szCs w:val="16"/>
              </w:rPr>
              <w:t xml:space="preserve"> Community Care and Support</w:t>
            </w:r>
          </w:p>
        </w:tc>
        <w:tc>
          <w:tcPr>
            <w:tcW w:w="591" w:type="pct"/>
            <w:tcBorders>
              <w:top w:val="nil"/>
              <w:left w:val="nil"/>
              <w:bottom w:val="nil"/>
              <w:right w:val="nil"/>
            </w:tcBorders>
            <w:shd w:val="clear" w:color="000000" w:fill="FFFFFF"/>
            <w:noWrap/>
            <w:vAlign w:val="center"/>
            <w:hideMark/>
          </w:tcPr>
          <w:p w14:paraId="72F3917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942</w:t>
            </w:r>
          </w:p>
        </w:tc>
        <w:tc>
          <w:tcPr>
            <w:tcW w:w="591" w:type="pct"/>
            <w:tcBorders>
              <w:top w:val="nil"/>
              <w:left w:val="nil"/>
              <w:bottom w:val="nil"/>
              <w:right w:val="nil"/>
            </w:tcBorders>
            <w:shd w:val="clear" w:color="000000" w:fill="E6F2FF"/>
            <w:noWrap/>
            <w:vAlign w:val="center"/>
            <w:hideMark/>
          </w:tcPr>
          <w:p w14:paraId="051F609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899</w:t>
            </w:r>
          </w:p>
        </w:tc>
        <w:tc>
          <w:tcPr>
            <w:tcW w:w="591" w:type="pct"/>
            <w:tcBorders>
              <w:top w:val="nil"/>
              <w:left w:val="nil"/>
              <w:bottom w:val="nil"/>
              <w:right w:val="nil"/>
            </w:tcBorders>
            <w:shd w:val="clear" w:color="000000" w:fill="FFFFFF"/>
            <w:noWrap/>
            <w:vAlign w:val="center"/>
            <w:hideMark/>
          </w:tcPr>
          <w:p w14:paraId="1FCA224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954</w:t>
            </w:r>
          </w:p>
        </w:tc>
        <w:tc>
          <w:tcPr>
            <w:tcW w:w="591" w:type="pct"/>
            <w:tcBorders>
              <w:top w:val="nil"/>
              <w:left w:val="nil"/>
              <w:bottom w:val="nil"/>
              <w:right w:val="nil"/>
            </w:tcBorders>
            <w:shd w:val="clear" w:color="000000" w:fill="FFFFFF"/>
            <w:noWrap/>
            <w:vAlign w:val="center"/>
            <w:hideMark/>
          </w:tcPr>
          <w:p w14:paraId="2892D7D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998</w:t>
            </w:r>
          </w:p>
        </w:tc>
        <w:tc>
          <w:tcPr>
            <w:tcW w:w="589" w:type="pct"/>
            <w:tcBorders>
              <w:top w:val="nil"/>
              <w:left w:val="nil"/>
              <w:bottom w:val="nil"/>
              <w:right w:val="nil"/>
            </w:tcBorders>
            <w:shd w:val="clear" w:color="000000" w:fill="FFFFFF"/>
            <w:noWrap/>
            <w:vAlign w:val="center"/>
            <w:hideMark/>
          </w:tcPr>
          <w:p w14:paraId="246E195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1,016</w:t>
            </w:r>
          </w:p>
        </w:tc>
      </w:tr>
      <w:tr w:rsidR="00B01968" w:rsidRPr="00B01968" w14:paraId="1A985AF2"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70362705"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Aged Care Quality</w:t>
            </w:r>
          </w:p>
        </w:tc>
        <w:tc>
          <w:tcPr>
            <w:tcW w:w="591" w:type="pct"/>
            <w:tcBorders>
              <w:top w:val="nil"/>
              <w:left w:val="nil"/>
              <w:bottom w:val="nil"/>
              <w:right w:val="nil"/>
            </w:tcBorders>
            <w:shd w:val="clear" w:color="000000" w:fill="FFFFFF"/>
            <w:noWrap/>
            <w:vAlign w:val="center"/>
            <w:hideMark/>
          </w:tcPr>
          <w:p w14:paraId="6883E28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1,223</w:t>
            </w:r>
          </w:p>
        </w:tc>
        <w:tc>
          <w:tcPr>
            <w:tcW w:w="591" w:type="pct"/>
            <w:tcBorders>
              <w:top w:val="nil"/>
              <w:left w:val="nil"/>
              <w:bottom w:val="nil"/>
              <w:right w:val="nil"/>
            </w:tcBorders>
            <w:shd w:val="clear" w:color="000000" w:fill="E6F2FF"/>
            <w:noWrap/>
            <w:vAlign w:val="center"/>
            <w:hideMark/>
          </w:tcPr>
          <w:p w14:paraId="26971F4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1,504</w:t>
            </w:r>
          </w:p>
        </w:tc>
        <w:tc>
          <w:tcPr>
            <w:tcW w:w="591" w:type="pct"/>
            <w:tcBorders>
              <w:top w:val="nil"/>
              <w:left w:val="nil"/>
              <w:bottom w:val="nil"/>
              <w:right w:val="nil"/>
            </w:tcBorders>
            <w:shd w:val="clear" w:color="000000" w:fill="FFFFFF"/>
            <w:noWrap/>
            <w:vAlign w:val="center"/>
            <w:hideMark/>
          </w:tcPr>
          <w:p w14:paraId="0E96C6E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320</w:t>
            </w:r>
          </w:p>
        </w:tc>
        <w:tc>
          <w:tcPr>
            <w:tcW w:w="591" w:type="pct"/>
            <w:tcBorders>
              <w:top w:val="nil"/>
              <w:left w:val="nil"/>
              <w:bottom w:val="nil"/>
              <w:right w:val="nil"/>
            </w:tcBorders>
            <w:shd w:val="clear" w:color="000000" w:fill="FFFFFF"/>
            <w:noWrap/>
            <w:vAlign w:val="center"/>
            <w:hideMark/>
          </w:tcPr>
          <w:p w14:paraId="4959279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259</w:t>
            </w:r>
          </w:p>
        </w:tc>
        <w:tc>
          <w:tcPr>
            <w:tcW w:w="589" w:type="pct"/>
            <w:tcBorders>
              <w:top w:val="nil"/>
              <w:left w:val="nil"/>
              <w:bottom w:val="nil"/>
              <w:right w:val="nil"/>
            </w:tcBorders>
            <w:shd w:val="clear" w:color="000000" w:fill="FFFFFF"/>
            <w:noWrap/>
            <w:vAlign w:val="center"/>
            <w:hideMark/>
          </w:tcPr>
          <w:p w14:paraId="7C4FC07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250</w:t>
            </w:r>
          </w:p>
        </w:tc>
      </w:tr>
      <w:tr w:rsidR="00B01968" w:rsidRPr="00B01968" w14:paraId="2E7A01F8"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61E5C02B"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Access and information</w:t>
            </w:r>
          </w:p>
        </w:tc>
        <w:tc>
          <w:tcPr>
            <w:tcW w:w="591" w:type="pct"/>
            <w:tcBorders>
              <w:top w:val="nil"/>
              <w:left w:val="nil"/>
              <w:bottom w:val="nil"/>
              <w:right w:val="nil"/>
            </w:tcBorders>
            <w:shd w:val="clear" w:color="000000" w:fill="FFFFFF"/>
            <w:noWrap/>
            <w:vAlign w:val="center"/>
            <w:hideMark/>
          </w:tcPr>
          <w:p w14:paraId="460A0BA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646</w:t>
            </w:r>
          </w:p>
        </w:tc>
        <w:tc>
          <w:tcPr>
            <w:tcW w:w="591" w:type="pct"/>
            <w:tcBorders>
              <w:top w:val="nil"/>
              <w:left w:val="nil"/>
              <w:bottom w:val="nil"/>
              <w:right w:val="nil"/>
            </w:tcBorders>
            <w:shd w:val="clear" w:color="000000" w:fill="E6F2FF"/>
            <w:noWrap/>
            <w:vAlign w:val="center"/>
            <w:hideMark/>
          </w:tcPr>
          <w:p w14:paraId="0A6F1F2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637</w:t>
            </w:r>
          </w:p>
        </w:tc>
        <w:tc>
          <w:tcPr>
            <w:tcW w:w="591" w:type="pct"/>
            <w:tcBorders>
              <w:top w:val="nil"/>
              <w:left w:val="nil"/>
              <w:bottom w:val="nil"/>
              <w:right w:val="nil"/>
            </w:tcBorders>
            <w:shd w:val="clear" w:color="000000" w:fill="FFFFFF"/>
            <w:noWrap/>
            <w:vAlign w:val="center"/>
            <w:hideMark/>
          </w:tcPr>
          <w:p w14:paraId="640AE83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642</w:t>
            </w:r>
          </w:p>
        </w:tc>
        <w:tc>
          <w:tcPr>
            <w:tcW w:w="591" w:type="pct"/>
            <w:tcBorders>
              <w:top w:val="nil"/>
              <w:left w:val="nil"/>
              <w:bottom w:val="nil"/>
              <w:right w:val="nil"/>
            </w:tcBorders>
            <w:shd w:val="clear" w:color="000000" w:fill="FFFFFF"/>
            <w:noWrap/>
            <w:vAlign w:val="center"/>
            <w:hideMark/>
          </w:tcPr>
          <w:p w14:paraId="117A958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631</w:t>
            </w:r>
          </w:p>
        </w:tc>
        <w:tc>
          <w:tcPr>
            <w:tcW w:w="589" w:type="pct"/>
            <w:tcBorders>
              <w:top w:val="nil"/>
              <w:left w:val="nil"/>
              <w:bottom w:val="nil"/>
              <w:right w:val="nil"/>
            </w:tcBorders>
            <w:shd w:val="clear" w:color="000000" w:fill="FFFFFF"/>
            <w:noWrap/>
            <w:vAlign w:val="center"/>
            <w:hideMark/>
          </w:tcPr>
          <w:p w14:paraId="26C6AA2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644</w:t>
            </w:r>
          </w:p>
        </w:tc>
      </w:tr>
      <w:tr w:rsidR="00B01968" w:rsidRPr="00B01968" w14:paraId="0708B2E8"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19AA473C" w14:textId="0B5B4E62"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 xml:space="preserve">National Partnership Payments </w:t>
            </w:r>
            <w:r w:rsidR="00CA3FDE">
              <w:rPr>
                <w:rFonts w:ascii="Arial" w:hAnsi="Arial" w:cs="Arial"/>
                <w:sz w:val="16"/>
                <w:szCs w:val="16"/>
              </w:rPr>
              <w:t>–</w:t>
            </w:r>
          </w:p>
        </w:tc>
        <w:tc>
          <w:tcPr>
            <w:tcW w:w="591" w:type="pct"/>
            <w:tcBorders>
              <w:top w:val="nil"/>
              <w:left w:val="nil"/>
              <w:bottom w:val="nil"/>
              <w:right w:val="nil"/>
            </w:tcBorders>
            <w:shd w:val="clear" w:color="000000" w:fill="FFFFFF"/>
            <w:noWrap/>
            <w:vAlign w:val="center"/>
            <w:hideMark/>
          </w:tcPr>
          <w:p w14:paraId="347B8ED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1" w:type="pct"/>
            <w:tcBorders>
              <w:top w:val="nil"/>
              <w:left w:val="nil"/>
              <w:bottom w:val="nil"/>
              <w:right w:val="nil"/>
            </w:tcBorders>
            <w:shd w:val="clear" w:color="000000" w:fill="E6F2FF"/>
            <w:noWrap/>
            <w:vAlign w:val="center"/>
            <w:hideMark/>
          </w:tcPr>
          <w:p w14:paraId="03243B0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1" w:type="pct"/>
            <w:tcBorders>
              <w:top w:val="nil"/>
              <w:left w:val="nil"/>
              <w:bottom w:val="nil"/>
              <w:right w:val="nil"/>
            </w:tcBorders>
            <w:shd w:val="clear" w:color="000000" w:fill="FFFFFF"/>
            <w:noWrap/>
            <w:vAlign w:val="center"/>
            <w:hideMark/>
          </w:tcPr>
          <w:p w14:paraId="1FF962B9"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1" w:type="pct"/>
            <w:tcBorders>
              <w:top w:val="nil"/>
              <w:left w:val="nil"/>
              <w:bottom w:val="nil"/>
              <w:right w:val="nil"/>
            </w:tcBorders>
            <w:shd w:val="clear" w:color="000000" w:fill="FFFFFF"/>
            <w:noWrap/>
            <w:vAlign w:val="center"/>
            <w:hideMark/>
          </w:tcPr>
          <w:p w14:paraId="3D4D0B42"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89" w:type="pct"/>
            <w:tcBorders>
              <w:top w:val="nil"/>
              <w:left w:val="nil"/>
              <w:bottom w:val="nil"/>
              <w:right w:val="nil"/>
            </w:tcBorders>
            <w:shd w:val="clear" w:color="000000" w:fill="FFFFFF"/>
            <w:noWrap/>
            <w:vAlign w:val="center"/>
            <w:hideMark/>
          </w:tcPr>
          <w:p w14:paraId="4FB5A85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65DFA46D" w14:textId="77777777" w:rsidTr="00B01968">
        <w:trPr>
          <w:divId w:val="738021631"/>
          <w:trHeight w:hRule="exact" w:val="225"/>
        </w:trPr>
        <w:tc>
          <w:tcPr>
            <w:tcW w:w="2047" w:type="pct"/>
            <w:tcBorders>
              <w:top w:val="nil"/>
              <w:left w:val="nil"/>
              <w:bottom w:val="nil"/>
              <w:right w:val="nil"/>
            </w:tcBorders>
            <w:shd w:val="clear" w:color="000000" w:fill="FFFFFF"/>
            <w:noWrap/>
            <w:vAlign w:val="center"/>
            <w:hideMark/>
          </w:tcPr>
          <w:p w14:paraId="73C42DD1"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Assistance to the Aged</w:t>
            </w:r>
          </w:p>
        </w:tc>
        <w:tc>
          <w:tcPr>
            <w:tcW w:w="591" w:type="pct"/>
            <w:tcBorders>
              <w:top w:val="nil"/>
              <w:left w:val="nil"/>
              <w:bottom w:val="nil"/>
              <w:right w:val="nil"/>
            </w:tcBorders>
            <w:shd w:val="clear" w:color="000000" w:fill="FFFFFF"/>
            <w:noWrap/>
            <w:vAlign w:val="center"/>
            <w:hideMark/>
          </w:tcPr>
          <w:p w14:paraId="481EAC5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w:t>
            </w:r>
          </w:p>
        </w:tc>
        <w:tc>
          <w:tcPr>
            <w:tcW w:w="591" w:type="pct"/>
            <w:tcBorders>
              <w:top w:val="nil"/>
              <w:left w:val="nil"/>
              <w:bottom w:val="nil"/>
              <w:right w:val="nil"/>
            </w:tcBorders>
            <w:shd w:val="clear" w:color="000000" w:fill="E6F2FF"/>
            <w:noWrap/>
            <w:vAlign w:val="center"/>
            <w:hideMark/>
          </w:tcPr>
          <w:p w14:paraId="5BC5E0A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w:t>
            </w:r>
          </w:p>
        </w:tc>
        <w:tc>
          <w:tcPr>
            <w:tcW w:w="591" w:type="pct"/>
            <w:tcBorders>
              <w:top w:val="nil"/>
              <w:left w:val="nil"/>
              <w:bottom w:val="nil"/>
              <w:right w:val="nil"/>
            </w:tcBorders>
            <w:shd w:val="clear" w:color="000000" w:fill="FFFFFF"/>
            <w:noWrap/>
            <w:vAlign w:val="center"/>
            <w:hideMark/>
          </w:tcPr>
          <w:p w14:paraId="5148C4E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c>
          <w:tcPr>
            <w:tcW w:w="591" w:type="pct"/>
            <w:tcBorders>
              <w:top w:val="nil"/>
              <w:left w:val="nil"/>
              <w:bottom w:val="nil"/>
              <w:right w:val="nil"/>
            </w:tcBorders>
            <w:shd w:val="clear" w:color="000000" w:fill="FFFFFF"/>
            <w:noWrap/>
            <w:vAlign w:val="center"/>
            <w:hideMark/>
          </w:tcPr>
          <w:p w14:paraId="6FB6C86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c>
          <w:tcPr>
            <w:tcW w:w="589" w:type="pct"/>
            <w:tcBorders>
              <w:top w:val="nil"/>
              <w:left w:val="nil"/>
              <w:bottom w:val="nil"/>
              <w:right w:val="nil"/>
            </w:tcBorders>
            <w:shd w:val="clear" w:color="000000" w:fill="FFFFFF"/>
            <w:noWrap/>
            <w:vAlign w:val="center"/>
            <w:hideMark/>
          </w:tcPr>
          <w:p w14:paraId="523211B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r>
      <w:tr w:rsidR="00B01968" w:rsidRPr="00B01968" w14:paraId="0565C9C6" w14:textId="77777777" w:rsidTr="0070524E">
        <w:trPr>
          <w:divId w:val="738021631"/>
          <w:trHeight w:hRule="exact" w:val="225"/>
        </w:trPr>
        <w:tc>
          <w:tcPr>
            <w:tcW w:w="2047" w:type="pct"/>
            <w:tcBorders>
              <w:top w:val="nil"/>
              <w:left w:val="nil"/>
              <w:right w:val="nil"/>
            </w:tcBorders>
            <w:shd w:val="clear" w:color="000000" w:fill="FFFFFF"/>
            <w:noWrap/>
            <w:vAlign w:val="center"/>
            <w:hideMark/>
          </w:tcPr>
          <w:p w14:paraId="4FB3D3D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Other</w:t>
            </w:r>
          </w:p>
        </w:tc>
        <w:tc>
          <w:tcPr>
            <w:tcW w:w="591" w:type="pct"/>
            <w:tcBorders>
              <w:top w:val="nil"/>
              <w:left w:val="nil"/>
              <w:bottom w:val="single" w:sz="4" w:space="0" w:color="002A54" w:themeColor="text2"/>
              <w:right w:val="nil"/>
            </w:tcBorders>
            <w:shd w:val="clear" w:color="000000" w:fill="FFFFFF"/>
            <w:noWrap/>
            <w:vAlign w:val="center"/>
            <w:hideMark/>
          </w:tcPr>
          <w:p w14:paraId="40D2F50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226</w:t>
            </w:r>
          </w:p>
        </w:tc>
        <w:tc>
          <w:tcPr>
            <w:tcW w:w="591" w:type="pct"/>
            <w:tcBorders>
              <w:top w:val="nil"/>
              <w:left w:val="nil"/>
              <w:bottom w:val="single" w:sz="4" w:space="0" w:color="002A54" w:themeColor="text2"/>
              <w:right w:val="nil"/>
            </w:tcBorders>
            <w:shd w:val="clear" w:color="000000" w:fill="E6F2FF"/>
            <w:noWrap/>
            <w:vAlign w:val="center"/>
            <w:hideMark/>
          </w:tcPr>
          <w:p w14:paraId="780F45D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283</w:t>
            </w:r>
          </w:p>
        </w:tc>
        <w:tc>
          <w:tcPr>
            <w:tcW w:w="591" w:type="pct"/>
            <w:tcBorders>
              <w:top w:val="nil"/>
              <w:left w:val="nil"/>
              <w:bottom w:val="single" w:sz="4" w:space="0" w:color="002A54" w:themeColor="text2"/>
              <w:right w:val="nil"/>
            </w:tcBorders>
            <w:shd w:val="clear" w:color="000000" w:fill="FFFFFF"/>
            <w:noWrap/>
            <w:vAlign w:val="center"/>
            <w:hideMark/>
          </w:tcPr>
          <w:p w14:paraId="7CF8293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204</w:t>
            </w:r>
          </w:p>
        </w:tc>
        <w:tc>
          <w:tcPr>
            <w:tcW w:w="591" w:type="pct"/>
            <w:tcBorders>
              <w:top w:val="nil"/>
              <w:left w:val="nil"/>
              <w:bottom w:val="single" w:sz="4" w:space="0" w:color="002A54" w:themeColor="text2"/>
              <w:right w:val="nil"/>
            </w:tcBorders>
            <w:shd w:val="clear" w:color="000000" w:fill="FFFFFF"/>
            <w:noWrap/>
            <w:vAlign w:val="center"/>
            <w:hideMark/>
          </w:tcPr>
          <w:p w14:paraId="57512B0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199</w:t>
            </w:r>
          </w:p>
        </w:tc>
        <w:tc>
          <w:tcPr>
            <w:tcW w:w="589" w:type="pct"/>
            <w:tcBorders>
              <w:top w:val="nil"/>
              <w:left w:val="nil"/>
              <w:bottom w:val="single" w:sz="4" w:space="0" w:color="002A54" w:themeColor="text2"/>
              <w:right w:val="nil"/>
            </w:tcBorders>
            <w:shd w:val="clear" w:color="000000" w:fill="FFFFFF"/>
            <w:noWrap/>
            <w:vAlign w:val="center"/>
            <w:hideMark/>
          </w:tcPr>
          <w:p w14:paraId="5FEC402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201</w:t>
            </w:r>
          </w:p>
        </w:tc>
      </w:tr>
      <w:tr w:rsidR="00B01968" w:rsidRPr="00B01968" w14:paraId="2019E9DE" w14:textId="77777777" w:rsidTr="0070524E">
        <w:trPr>
          <w:divId w:val="738021631"/>
          <w:trHeight w:hRule="exact" w:val="225"/>
        </w:trPr>
        <w:tc>
          <w:tcPr>
            <w:tcW w:w="2047" w:type="pct"/>
            <w:tcBorders>
              <w:top w:val="nil"/>
              <w:left w:val="nil"/>
              <w:bottom w:val="single" w:sz="4" w:space="0" w:color="002A54" w:themeColor="text2"/>
              <w:right w:val="nil"/>
            </w:tcBorders>
            <w:shd w:val="clear" w:color="000000" w:fill="FFFFFF"/>
            <w:noWrap/>
            <w:vAlign w:val="center"/>
            <w:hideMark/>
          </w:tcPr>
          <w:p w14:paraId="2CFA6DD9"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91" w:type="pct"/>
            <w:tcBorders>
              <w:top w:val="single" w:sz="4" w:space="0" w:color="002A54" w:themeColor="text2"/>
              <w:left w:val="nil"/>
              <w:bottom w:val="single" w:sz="4" w:space="0" w:color="002A54" w:themeColor="text2"/>
              <w:right w:val="nil"/>
            </w:tcBorders>
            <w:shd w:val="clear" w:color="000000" w:fill="FFFFFF"/>
            <w:noWrap/>
            <w:vAlign w:val="center"/>
            <w:hideMark/>
          </w:tcPr>
          <w:p w14:paraId="1E54EB2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84,844</w:t>
            </w:r>
          </w:p>
        </w:tc>
        <w:tc>
          <w:tcPr>
            <w:tcW w:w="591" w:type="pct"/>
            <w:tcBorders>
              <w:top w:val="single" w:sz="4" w:space="0" w:color="002A54" w:themeColor="text2"/>
              <w:left w:val="nil"/>
              <w:bottom w:val="single" w:sz="4" w:space="0" w:color="002A54" w:themeColor="text2"/>
              <w:right w:val="nil"/>
            </w:tcBorders>
            <w:shd w:val="clear" w:color="000000" w:fill="E6F2FF"/>
            <w:noWrap/>
            <w:vAlign w:val="center"/>
            <w:hideMark/>
          </w:tcPr>
          <w:p w14:paraId="3ACE48C1"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95,214</w:t>
            </w:r>
          </w:p>
        </w:tc>
        <w:tc>
          <w:tcPr>
            <w:tcW w:w="591" w:type="pct"/>
            <w:tcBorders>
              <w:top w:val="single" w:sz="4" w:space="0" w:color="002A54" w:themeColor="text2"/>
              <w:left w:val="nil"/>
              <w:bottom w:val="single" w:sz="4" w:space="0" w:color="002A54" w:themeColor="text2"/>
              <w:right w:val="nil"/>
            </w:tcBorders>
            <w:shd w:val="clear" w:color="000000" w:fill="FFFFFF"/>
            <w:noWrap/>
            <w:vAlign w:val="center"/>
            <w:hideMark/>
          </w:tcPr>
          <w:p w14:paraId="16C9EB2F"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99,698</w:t>
            </w:r>
          </w:p>
        </w:tc>
        <w:tc>
          <w:tcPr>
            <w:tcW w:w="591" w:type="pct"/>
            <w:tcBorders>
              <w:top w:val="single" w:sz="4" w:space="0" w:color="002A54" w:themeColor="text2"/>
              <w:left w:val="nil"/>
              <w:bottom w:val="single" w:sz="4" w:space="0" w:color="002A54" w:themeColor="text2"/>
              <w:right w:val="nil"/>
            </w:tcBorders>
            <w:shd w:val="clear" w:color="000000" w:fill="FFFFFF"/>
            <w:noWrap/>
            <w:vAlign w:val="center"/>
            <w:hideMark/>
          </w:tcPr>
          <w:p w14:paraId="5B50201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104,664</w:t>
            </w:r>
          </w:p>
        </w:tc>
        <w:tc>
          <w:tcPr>
            <w:tcW w:w="589" w:type="pct"/>
            <w:tcBorders>
              <w:top w:val="single" w:sz="4" w:space="0" w:color="002A54" w:themeColor="text2"/>
              <w:left w:val="nil"/>
              <w:bottom w:val="single" w:sz="4" w:space="0" w:color="002A54" w:themeColor="text2"/>
              <w:right w:val="nil"/>
            </w:tcBorders>
            <w:shd w:val="clear" w:color="000000" w:fill="FFFFFF"/>
            <w:noWrap/>
            <w:vAlign w:val="center"/>
            <w:hideMark/>
          </w:tcPr>
          <w:p w14:paraId="2BEC3780"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109,287</w:t>
            </w:r>
          </w:p>
        </w:tc>
      </w:tr>
    </w:tbl>
    <w:p w14:paraId="4A6FC7AE" w14:textId="67438D29" w:rsidR="00C855DF" w:rsidRPr="000177D7" w:rsidRDefault="00C855DF" w:rsidP="00173739">
      <w:pPr>
        <w:pStyle w:val="ChartandTableFootnoteAlpha"/>
        <w:numPr>
          <w:ilvl w:val="0"/>
          <w:numId w:val="13"/>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3D4C30A2" w14:textId="77777777" w:rsidR="00C855DF" w:rsidRPr="000177D7" w:rsidRDefault="00C855DF" w:rsidP="00C855DF">
      <w:pPr>
        <w:pStyle w:val="TableLine"/>
      </w:pPr>
    </w:p>
    <w:p w14:paraId="65C248EF" w14:textId="6FDDB46B" w:rsidR="0050166A" w:rsidRPr="0021687D" w:rsidRDefault="0050166A" w:rsidP="0050166A">
      <w:r w:rsidRPr="000177D7">
        <w:t xml:space="preserve">Expenses for </w:t>
      </w:r>
      <w:r w:rsidRPr="000177D7">
        <w:rPr>
          <w:b/>
          <w:bCs/>
        </w:rPr>
        <w:t>assistance to veterans and dependants</w:t>
      </w:r>
      <w:r w:rsidRPr="000177D7">
        <w:t xml:space="preserve"> are expected to </w:t>
      </w:r>
      <w:r>
        <w:t xml:space="preserve">remain constant in nominal terms </w:t>
      </w:r>
      <w:r>
        <w:rPr>
          <w:lang w:val="en-US"/>
        </w:rPr>
        <w:t>and</w:t>
      </w:r>
      <w:r>
        <w:t xml:space="preserve"> </w:t>
      </w:r>
      <w:r w:rsidRPr="0021687D">
        <w:t>decrease by 7.6</w:t>
      </w:r>
      <w:r w:rsidR="00893776">
        <w:t> per </w:t>
      </w:r>
      <w:r w:rsidRPr="0021687D">
        <w:t>cent in real terms over the period 2023</w:t>
      </w:r>
      <w:r w:rsidR="00CA3FDE">
        <w:t>–</w:t>
      </w:r>
      <w:r w:rsidRPr="0021687D">
        <w:t xml:space="preserve">24 to </w:t>
      </w:r>
      <w:r w:rsidR="00706CC2">
        <w:br/>
      </w:r>
      <w:r w:rsidRPr="0021687D">
        <w:t>2026</w:t>
      </w:r>
      <w:r w:rsidR="00CA3FDE">
        <w:t>–</w:t>
      </w:r>
      <w:r w:rsidRPr="0021687D">
        <w:t>27. The real decrease is mainly attributable to the declining population of aged veterans and their dependents</w:t>
      </w:r>
      <w:r w:rsidR="003F7CEB">
        <w:t xml:space="preserve"> with</w:t>
      </w:r>
      <w:r w:rsidRPr="0021687D">
        <w:t xml:space="preserve"> the decrease partially offset by an increase in compensation payments for younger veterans.</w:t>
      </w:r>
    </w:p>
    <w:p w14:paraId="6974F19B" w14:textId="5D9A8814" w:rsidR="0050166A" w:rsidRDefault="0050166A" w:rsidP="0050166A">
      <w:r w:rsidRPr="0021687D">
        <w:rPr>
          <w:lang w:val="en-US"/>
        </w:rPr>
        <w:t xml:space="preserve">Expenses for the </w:t>
      </w:r>
      <w:r w:rsidRPr="0021687D">
        <w:rPr>
          <w:b/>
          <w:bCs/>
          <w:lang w:val="en-US"/>
        </w:rPr>
        <w:t xml:space="preserve">assistance to people with disabilities </w:t>
      </w:r>
      <w:r w:rsidRPr="0021687D">
        <w:rPr>
          <w:lang w:val="en-US"/>
        </w:rPr>
        <w:t>sub</w:t>
      </w:r>
      <w:r w:rsidR="00D34B95">
        <w:rPr>
          <w:lang w:val="en-US"/>
        </w:rPr>
        <w:noBreakHyphen/>
      </w:r>
      <w:r w:rsidRPr="0021687D">
        <w:rPr>
          <w:lang w:val="en-US"/>
        </w:rPr>
        <w:t xml:space="preserve">function are expected to </w:t>
      </w:r>
      <w:r w:rsidRPr="0021687D">
        <w:t>increase by 20.1</w:t>
      </w:r>
      <w:r w:rsidR="00893776">
        <w:t> per </w:t>
      </w:r>
      <w:r w:rsidRPr="0021687D">
        <w:t>cent in nominal terms and by 11.0</w:t>
      </w:r>
      <w:r w:rsidR="00893776">
        <w:t> per </w:t>
      </w:r>
      <w:r w:rsidRPr="0021687D">
        <w:t>cent in real</w:t>
      </w:r>
      <w:r>
        <w:t xml:space="preserve"> terms over the period 2023</w:t>
      </w:r>
      <w:r w:rsidR="00CA3FDE">
        <w:t>–</w:t>
      </w:r>
      <w:r>
        <w:t>24 to 2026</w:t>
      </w:r>
      <w:r w:rsidR="00CA3FDE">
        <w:t>–</w:t>
      </w:r>
      <w:r>
        <w:t>27, largely</w:t>
      </w:r>
      <w:r w:rsidRPr="632B096E">
        <w:rPr>
          <w:lang w:val="en-US"/>
        </w:rPr>
        <w:t xml:space="preserve"> reflecting an increase in the number of people with</w:t>
      </w:r>
      <w:r>
        <w:rPr>
          <w:lang w:val="en-US"/>
        </w:rPr>
        <w:t xml:space="preserve"> a</w:t>
      </w:r>
      <w:r w:rsidRPr="632B096E">
        <w:rPr>
          <w:lang w:val="en-US"/>
        </w:rPr>
        <w:t xml:space="preserve"> disabilit</w:t>
      </w:r>
      <w:r>
        <w:rPr>
          <w:lang w:val="en-US"/>
        </w:rPr>
        <w:t>y</w:t>
      </w:r>
      <w:r w:rsidRPr="632B096E">
        <w:rPr>
          <w:lang w:val="en-US"/>
        </w:rPr>
        <w:t xml:space="preserve"> participating in the National Disability Insurance Scheme </w:t>
      </w:r>
      <w:r w:rsidRPr="632B096E">
        <w:rPr>
          <w:rFonts w:eastAsia="Book Antiqua" w:cs="Book Antiqua"/>
          <w:lang w:val="en-US"/>
        </w:rPr>
        <w:t>and increases in individual support costs.</w:t>
      </w:r>
      <w:r w:rsidRPr="00252E22">
        <w:t xml:space="preserve"> </w:t>
      </w:r>
    </w:p>
    <w:p w14:paraId="4665C005" w14:textId="5660DF01" w:rsidR="0050166A" w:rsidRDefault="0050166A" w:rsidP="0050166A">
      <w:pPr>
        <w:rPr>
          <w:lang w:val="en-US"/>
        </w:rPr>
      </w:pPr>
      <w:r>
        <w:t>National Cabinet has committed to a National Disability Insurance Scheme Financial Sustainability Framework. While the Scheme remains demand driven, the goal of the Financial Sustainability Framework is to moderate growth in the National Disability Insurance Scheme to no more than 8</w:t>
      </w:r>
      <w:r w:rsidR="00893776">
        <w:t> per </w:t>
      </w:r>
      <w:r>
        <w:t xml:space="preserve">cent by 1 July 2026, with further moderation of growth as the Scheme matures. </w:t>
      </w:r>
    </w:p>
    <w:p w14:paraId="48844B32" w14:textId="37A743CA" w:rsidR="0050166A" w:rsidRPr="000177D7" w:rsidRDefault="0050166A" w:rsidP="0050166A">
      <w:pPr>
        <w:rPr>
          <w:lang w:val="en-US"/>
        </w:rPr>
      </w:pPr>
      <w:r w:rsidRPr="000177D7">
        <w:rPr>
          <w:lang w:val="en-US"/>
        </w:rPr>
        <w:t>Expenses</w:t>
      </w:r>
      <w:r>
        <w:rPr>
          <w:lang w:val="en-US"/>
        </w:rPr>
        <w:t xml:space="preserve"> for the </w:t>
      </w:r>
      <w:r>
        <w:rPr>
          <w:b/>
          <w:bCs/>
          <w:lang w:val="en-US"/>
        </w:rPr>
        <w:t xml:space="preserve">assistance to people with disabilities </w:t>
      </w:r>
      <w:r>
        <w:rPr>
          <w:lang w:val="en-US"/>
        </w:rPr>
        <w:t>sub</w:t>
      </w:r>
      <w:r w:rsidR="000E5DEB">
        <w:rPr>
          <w:lang w:val="en-US"/>
        </w:rPr>
        <w:t>-</w:t>
      </w:r>
      <w:r>
        <w:rPr>
          <w:lang w:val="en-US"/>
        </w:rPr>
        <w:t xml:space="preserve">function also includes expenses associated with </w:t>
      </w:r>
      <w:r w:rsidRPr="00B662DA">
        <w:rPr>
          <w:lang w:val="en-US"/>
        </w:rPr>
        <w:t>Financial Support for People with Disability</w:t>
      </w:r>
      <w:r>
        <w:rPr>
          <w:lang w:val="en-US"/>
        </w:rPr>
        <w:t xml:space="preserve"> </w:t>
      </w:r>
      <w:r w:rsidR="00CA3FDE">
        <w:rPr>
          <w:lang w:val="en-US"/>
        </w:rPr>
        <w:t>–</w:t>
      </w:r>
      <w:r>
        <w:rPr>
          <w:lang w:val="en-US"/>
        </w:rPr>
        <w:t xml:space="preserve"> primarily the Disability Support Pension </w:t>
      </w:r>
      <w:r w:rsidR="00CA3FDE">
        <w:rPr>
          <w:lang w:val="en-US"/>
        </w:rPr>
        <w:t>–</w:t>
      </w:r>
      <w:r>
        <w:rPr>
          <w:lang w:val="en-US"/>
        </w:rPr>
        <w:t xml:space="preserve"> and Financial Support for Carers, both components are expected to increase </w:t>
      </w:r>
      <w:r w:rsidRPr="000177D7">
        <w:rPr>
          <w:rFonts w:eastAsia="Book Antiqua" w:cs="Book Antiqua"/>
          <w:lang w:val="en-US"/>
        </w:rPr>
        <w:t>reflecting growth in estimated recipient numbers.</w:t>
      </w:r>
    </w:p>
    <w:p w14:paraId="74765F23" w14:textId="77777777" w:rsidR="00706CC2" w:rsidRDefault="0050166A" w:rsidP="0050166A">
      <w:pPr>
        <w:rPr>
          <w:lang w:val="en-US"/>
        </w:rPr>
      </w:pPr>
      <w:r w:rsidRPr="000177D7">
        <w:rPr>
          <w:lang w:val="en-US"/>
        </w:rPr>
        <w:t xml:space="preserve">Table 6.9.2 </w:t>
      </w:r>
      <w:r w:rsidRPr="000177D7">
        <w:t xml:space="preserve">sets out the major components of the </w:t>
      </w:r>
      <w:r w:rsidRPr="000177D7">
        <w:rPr>
          <w:b/>
        </w:rPr>
        <w:t>assistance to</w:t>
      </w:r>
      <w:r w:rsidRPr="000177D7">
        <w:t xml:space="preserve"> </w:t>
      </w:r>
      <w:r w:rsidRPr="000177D7">
        <w:rPr>
          <w:b/>
          <w:lang w:val="en-US"/>
        </w:rPr>
        <w:t>people with disabilities</w:t>
      </w:r>
      <w:r w:rsidRPr="000177D7">
        <w:rPr>
          <w:lang w:val="en-US"/>
        </w:rPr>
        <w:t xml:space="preserve"> sub</w:t>
      </w:r>
      <w:r w:rsidR="00D34B95">
        <w:rPr>
          <w:lang w:val="en-US"/>
        </w:rPr>
        <w:noBreakHyphen/>
      </w:r>
      <w:r w:rsidRPr="000177D7">
        <w:rPr>
          <w:lang w:val="en-US"/>
        </w:rPr>
        <w:t>function.</w:t>
      </w:r>
    </w:p>
    <w:p w14:paraId="0A188863" w14:textId="020E2A38" w:rsidR="00B561FF" w:rsidRDefault="00A32E2C" w:rsidP="0050166A">
      <w:pPr>
        <w:rPr>
          <w:lang w:val="en-US"/>
        </w:rPr>
      </w:pPr>
      <w:r>
        <w:rPr>
          <w:lang w:val="en-US"/>
        </w:rPr>
        <w:br w:type="page"/>
      </w:r>
    </w:p>
    <w:p w14:paraId="12A245E3" w14:textId="52B79107" w:rsidR="00B01968" w:rsidRPr="00B01968" w:rsidRDefault="00C855DF" w:rsidP="00B01968">
      <w:pPr>
        <w:pStyle w:val="TableHeading"/>
        <w:rPr>
          <w:rFonts w:asciiTheme="minorHAnsi" w:eastAsiaTheme="minorHAnsi" w:hAnsiTheme="minorHAnsi" w:cstheme="minorBidi"/>
          <w:b w:val="0"/>
          <w:sz w:val="22"/>
          <w:szCs w:val="22"/>
          <w:lang w:eastAsia="en-US"/>
        </w:rPr>
      </w:pPr>
      <w:r w:rsidRPr="000177D7">
        <w:lastRenderedPageBreak/>
        <w:t>Table 6.9.2: Trends in the major components of assistance to people with disabilities sub</w:t>
      </w:r>
      <w:r w:rsidR="00D34B95">
        <w:noBreakHyphen/>
      </w:r>
      <w:r w:rsidRPr="000177D7">
        <w:t>function expense</w:t>
      </w:r>
    </w:p>
    <w:tbl>
      <w:tblPr>
        <w:tblW w:w="5000" w:type="pct"/>
        <w:tblCellMar>
          <w:left w:w="0" w:type="dxa"/>
          <w:right w:w="28" w:type="dxa"/>
        </w:tblCellMar>
        <w:tblLook w:val="04A0" w:firstRow="1" w:lastRow="0" w:firstColumn="1" w:lastColumn="0" w:noHBand="0" w:noVBand="1"/>
      </w:tblPr>
      <w:tblGrid>
        <w:gridCol w:w="3233"/>
        <w:gridCol w:w="893"/>
        <w:gridCol w:w="893"/>
        <w:gridCol w:w="893"/>
        <w:gridCol w:w="893"/>
        <w:gridCol w:w="897"/>
        <w:gridCol w:w="8"/>
      </w:tblGrid>
      <w:tr w:rsidR="00B01968" w:rsidRPr="00B01968" w14:paraId="77911AE2" w14:textId="77777777" w:rsidTr="002F2045">
        <w:trPr>
          <w:gridAfter w:val="1"/>
          <w:divId w:val="1133257777"/>
          <w:wAfter w:w="5" w:type="pct"/>
          <w:trHeight w:hRule="exact" w:val="225"/>
        </w:trPr>
        <w:tc>
          <w:tcPr>
            <w:tcW w:w="2097" w:type="pct"/>
            <w:tcBorders>
              <w:top w:val="single" w:sz="4" w:space="0" w:color="002A54" w:themeColor="text2"/>
              <w:left w:val="nil"/>
              <w:bottom w:val="nil"/>
              <w:right w:val="nil"/>
            </w:tcBorders>
            <w:shd w:val="clear" w:color="000000" w:fill="FFFFFF"/>
            <w:noWrap/>
            <w:vAlign w:val="center"/>
            <w:hideMark/>
          </w:tcPr>
          <w:p w14:paraId="78E69471" w14:textId="7AD32E40"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898"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0D99E0C"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27301F18" w14:textId="77777777" w:rsidTr="002F2045">
        <w:trPr>
          <w:divId w:val="1133257777"/>
          <w:trHeight w:hRule="exact" w:val="225"/>
        </w:trPr>
        <w:tc>
          <w:tcPr>
            <w:tcW w:w="2097" w:type="pct"/>
            <w:tcBorders>
              <w:top w:val="nil"/>
              <w:left w:val="nil"/>
              <w:bottom w:val="nil"/>
              <w:right w:val="nil"/>
            </w:tcBorders>
            <w:shd w:val="clear" w:color="000000" w:fill="FFFFFF"/>
            <w:noWrap/>
            <w:vAlign w:val="bottom"/>
            <w:hideMark/>
          </w:tcPr>
          <w:p w14:paraId="14C138D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single" w:sz="4" w:space="0" w:color="293F5B"/>
              <w:left w:val="nil"/>
              <w:right w:val="nil"/>
            </w:tcBorders>
            <w:shd w:val="clear" w:color="000000" w:fill="FFFFFF"/>
            <w:noWrap/>
            <w:vAlign w:val="center"/>
            <w:hideMark/>
          </w:tcPr>
          <w:p w14:paraId="53AEDAA3" w14:textId="3C704192"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CA3FDE">
              <w:rPr>
                <w:rFonts w:ascii="Arial" w:hAnsi="Arial" w:cs="Arial"/>
                <w:sz w:val="16"/>
                <w:szCs w:val="16"/>
              </w:rPr>
              <w:t>–</w:t>
            </w:r>
            <w:r w:rsidRPr="00B01968">
              <w:rPr>
                <w:rFonts w:ascii="Arial" w:hAnsi="Arial" w:cs="Arial"/>
                <w:sz w:val="16"/>
                <w:szCs w:val="16"/>
              </w:rPr>
              <w:t>23</w:t>
            </w:r>
          </w:p>
        </w:tc>
        <w:tc>
          <w:tcPr>
            <w:tcW w:w="579" w:type="pct"/>
            <w:tcBorders>
              <w:top w:val="single" w:sz="4" w:space="0" w:color="293F5B"/>
              <w:left w:val="nil"/>
              <w:right w:val="nil"/>
            </w:tcBorders>
            <w:shd w:val="clear" w:color="000000" w:fill="E6F2FF"/>
            <w:noWrap/>
            <w:vAlign w:val="center"/>
            <w:hideMark/>
          </w:tcPr>
          <w:p w14:paraId="76067814" w14:textId="6F044160"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CA3FDE">
              <w:rPr>
                <w:rFonts w:ascii="Arial" w:hAnsi="Arial" w:cs="Arial"/>
                <w:sz w:val="16"/>
                <w:szCs w:val="16"/>
              </w:rPr>
              <w:t>–</w:t>
            </w:r>
            <w:r w:rsidRPr="00B01968">
              <w:rPr>
                <w:rFonts w:ascii="Arial" w:hAnsi="Arial" w:cs="Arial"/>
                <w:sz w:val="16"/>
                <w:szCs w:val="16"/>
              </w:rPr>
              <w:t>24</w:t>
            </w:r>
          </w:p>
        </w:tc>
        <w:tc>
          <w:tcPr>
            <w:tcW w:w="579" w:type="pct"/>
            <w:tcBorders>
              <w:top w:val="single" w:sz="4" w:space="0" w:color="293F5B"/>
              <w:left w:val="nil"/>
              <w:right w:val="nil"/>
            </w:tcBorders>
            <w:shd w:val="clear" w:color="000000" w:fill="FFFFFF"/>
            <w:noWrap/>
            <w:vAlign w:val="center"/>
            <w:hideMark/>
          </w:tcPr>
          <w:p w14:paraId="71398170" w14:textId="52538DA6"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CA3FDE">
              <w:rPr>
                <w:rFonts w:ascii="Arial" w:hAnsi="Arial" w:cs="Arial"/>
                <w:sz w:val="16"/>
                <w:szCs w:val="16"/>
              </w:rPr>
              <w:t>–</w:t>
            </w:r>
            <w:r w:rsidRPr="00B01968">
              <w:rPr>
                <w:rFonts w:ascii="Arial" w:hAnsi="Arial" w:cs="Arial"/>
                <w:sz w:val="16"/>
                <w:szCs w:val="16"/>
              </w:rPr>
              <w:t>25</w:t>
            </w:r>
          </w:p>
        </w:tc>
        <w:tc>
          <w:tcPr>
            <w:tcW w:w="579" w:type="pct"/>
            <w:tcBorders>
              <w:top w:val="single" w:sz="4" w:space="0" w:color="293F5B"/>
              <w:left w:val="nil"/>
              <w:right w:val="nil"/>
            </w:tcBorders>
            <w:shd w:val="clear" w:color="000000" w:fill="FFFFFF"/>
            <w:noWrap/>
            <w:vAlign w:val="center"/>
            <w:hideMark/>
          </w:tcPr>
          <w:p w14:paraId="46278E5D" w14:textId="19406B28"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CA3FDE">
              <w:rPr>
                <w:rFonts w:ascii="Arial" w:hAnsi="Arial" w:cs="Arial"/>
                <w:sz w:val="16"/>
                <w:szCs w:val="16"/>
              </w:rPr>
              <w:t>–</w:t>
            </w:r>
            <w:r w:rsidRPr="00B01968">
              <w:rPr>
                <w:rFonts w:ascii="Arial" w:hAnsi="Arial" w:cs="Arial"/>
                <w:sz w:val="16"/>
                <w:szCs w:val="16"/>
              </w:rPr>
              <w:t>26</w:t>
            </w:r>
          </w:p>
        </w:tc>
        <w:tc>
          <w:tcPr>
            <w:tcW w:w="587" w:type="pct"/>
            <w:gridSpan w:val="2"/>
            <w:tcBorders>
              <w:top w:val="single" w:sz="4" w:space="0" w:color="293F5B"/>
              <w:left w:val="nil"/>
              <w:right w:val="nil"/>
            </w:tcBorders>
            <w:shd w:val="clear" w:color="000000" w:fill="FFFFFF"/>
            <w:noWrap/>
            <w:vAlign w:val="center"/>
            <w:hideMark/>
          </w:tcPr>
          <w:p w14:paraId="768D562E" w14:textId="704F5A74"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CA3FDE">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73CE5C21" w14:textId="77777777" w:rsidTr="002F2045">
        <w:trPr>
          <w:divId w:val="1133257777"/>
          <w:trHeight w:hRule="exact" w:val="225"/>
        </w:trPr>
        <w:tc>
          <w:tcPr>
            <w:tcW w:w="2097" w:type="pct"/>
            <w:tcBorders>
              <w:top w:val="nil"/>
              <w:left w:val="nil"/>
              <w:bottom w:val="nil"/>
              <w:right w:val="nil"/>
            </w:tcBorders>
            <w:shd w:val="clear" w:color="000000" w:fill="FFFFFF"/>
            <w:noWrap/>
            <w:vAlign w:val="center"/>
            <w:hideMark/>
          </w:tcPr>
          <w:p w14:paraId="7C25A346"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single" w:sz="4" w:space="0" w:color="002A54" w:themeColor="text2"/>
              <w:right w:val="nil"/>
            </w:tcBorders>
            <w:shd w:val="clear" w:color="000000" w:fill="FFFFFF"/>
            <w:noWrap/>
            <w:vAlign w:val="center"/>
            <w:hideMark/>
          </w:tcPr>
          <w:p w14:paraId="4AF5A02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79" w:type="pct"/>
            <w:tcBorders>
              <w:top w:val="nil"/>
              <w:left w:val="nil"/>
              <w:bottom w:val="single" w:sz="4" w:space="0" w:color="002A54" w:themeColor="text2"/>
              <w:right w:val="nil"/>
            </w:tcBorders>
            <w:shd w:val="clear" w:color="000000" w:fill="E6F2FF"/>
            <w:noWrap/>
            <w:vAlign w:val="center"/>
            <w:hideMark/>
          </w:tcPr>
          <w:p w14:paraId="4C0EBFF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79" w:type="pct"/>
            <w:tcBorders>
              <w:top w:val="nil"/>
              <w:left w:val="nil"/>
              <w:bottom w:val="single" w:sz="4" w:space="0" w:color="002A54" w:themeColor="text2"/>
              <w:right w:val="nil"/>
            </w:tcBorders>
            <w:shd w:val="clear" w:color="000000" w:fill="FFFFFF"/>
            <w:noWrap/>
            <w:vAlign w:val="center"/>
            <w:hideMark/>
          </w:tcPr>
          <w:p w14:paraId="6CE7CDA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79" w:type="pct"/>
            <w:tcBorders>
              <w:top w:val="nil"/>
              <w:left w:val="nil"/>
              <w:bottom w:val="single" w:sz="4" w:space="0" w:color="002A54" w:themeColor="text2"/>
              <w:right w:val="nil"/>
            </w:tcBorders>
            <w:shd w:val="clear" w:color="000000" w:fill="FFFFFF"/>
            <w:noWrap/>
            <w:vAlign w:val="center"/>
            <w:hideMark/>
          </w:tcPr>
          <w:p w14:paraId="13C99F3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87" w:type="pct"/>
            <w:gridSpan w:val="2"/>
            <w:tcBorders>
              <w:top w:val="nil"/>
              <w:left w:val="nil"/>
              <w:bottom w:val="single" w:sz="4" w:space="0" w:color="002A54" w:themeColor="text2"/>
              <w:right w:val="nil"/>
            </w:tcBorders>
            <w:shd w:val="clear" w:color="000000" w:fill="FFFFFF"/>
            <w:noWrap/>
            <w:vAlign w:val="center"/>
            <w:hideMark/>
          </w:tcPr>
          <w:p w14:paraId="38ECE9B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64309DE1" w14:textId="77777777" w:rsidTr="002F2045">
        <w:trPr>
          <w:divId w:val="1133257777"/>
          <w:trHeight w:hRule="exact" w:val="225"/>
        </w:trPr>
        <w:tc>
          <w:tcPr>
            <w:tcW w:w="2097" w:type="pct"/>
            <w:tcBorders>
              <w:top w:val="nil"/>
              <w:left w:val="nil"/>
              <w:bottom w:val="nil"/>
              <w:right w:val="nil"/>
            </w:tcBorders>
            <w:shd w:val="clear" w:color="000000" w:fill="FFFFFF"/>
            <w:noWrap/>
            <w:vAlign w:val="center"/>
            <w:hideMark/>
          </w:tcPr>
          <w:p w14:paraId="4EB1519A"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National Disability Insurance Scheme(b)</w:t>
            </w:r>
          </w:p>
        </w:tc>
        <w:tc>
          <w:tcPr>
            <w:tcW w:w="579" w:type="pct"/>
            <w:tcBorders>
              <w:top w:val="single" w:sz="4" w:space="0" w:color="002A54" w:themeColor="text2"/>
              <w:left w:val="nil"/>
              <w:bottom w:val="nil"/>
              <w:right w:val="nil"/>
            </w:tcBorders>
            <w:shd w:val="clear" w:color="000000" w:fill="FFFFFF"/>
            <w:noWrap/>
            <w:vAlign w:val="center"/>
            <w:hideMark/>
          </w:tcPr>
          <w:p w14:paraId="0394654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36,654</w:t>
            </w:r>
          </w:p>
        </w:tc>
        <w:tc>
          <w:tcPr>
            <w:tcW w:w="579" w:type="pct"/>
            <w:tcBorders>
              <w:top w:val="single" w:sz="4" w:space="0" w:color="002A54" w:themeColor="text2"/>
              <w:left w:val="nil"/>
              <w:bottom w:val="nil"/>
              <w:right w:val="nil"/>
            </w:tcBorders>
            <w:shd w:val="clear" w:color="000000" w:fill="E6F2FF"/>
            <w:noWrap/>
            <w:vAlign w:val="center"/>
            <w:hideMark/>
          </w:tcPr>
          <w:p w14:paraId="6EFE109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41,922</w:t>
            </w:r>
          </w:p>
        </w:tc>
        <w:tc>
          <w:tcPr>
            <w:tcW w:w="579" w:type="pct"/>
            <w:tcBorders>
              <w:top w:val="single" w:sz="4" w:space="0" w:color="002A54" w:themeColor="text2"/>
              <w:left w:val="nil"/>
              <w:bottom w:val="nil"/>
              <w:right w:val="nil"/>
            </w:tcBorders>
            <w:shd w:val="clear" w:color="000000" w:fill="FFFFFF"/>
            <w:noWrap/>
            <w:vAlign w:val="center"/>
            <w:hideMark/>
          </w:tcPr>
          <w:p w14:paraId="23CF226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46,765</w:t>
            </w:r>
          </w:p>
        </w:tc>
        <w:tc>
          <w:tcPr>
            <w:tcW w:w="579" w:type="pct"/>
            <w:tcBorders>
              <w:top w:val="single" w:sz="4" w:space="0" w:color="002A54" w:themeColor="text2"/>
              <w:left w:val="nil"/>
              <w:bottom w:val="nil"/>
              <w:right w:val="nil"/>
            </w:tcBorders>
            <w:shd w:val="clear" w:color="000000" w:fill="FFFFFF"/>
            <w:noWrap/>
            <w:vAlign w:val="center"/>
            <w:hideMark/>
          </w:tcPr>
          <w:p w14:paraId="5C66E5F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51,852</w:t>
            </w:r>
          </w:p>
        </w:tc>
        <w:tc>
          <w:tcPr>
            <w:tcW w:w="587" w:type="pct"/>
            <w:gridSpan w:val="2"/>
            <w:tcBorders>
              <w:top w:val="single" w:sz="4" w:space="0" w:color="002A54" w:themeColor="text2"/>
              <w:left w:val="nil"/>
              <w:bottom w:val="nil"/>
              <w:right w:val="nil"/>
            </w:tcBorders>
            <w:shd w:val="clear" w:color="000000" w:fill="FFFFFF"/>
            <w:noWrap/>
            <w:vAlign w:val="center"/>
            <w:hideMark/>
          </w:tcPr>
          <w:p w14:paraId="7291F35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55,936</w:t>
            </w:r>
          </w:p>
        </w:tc>
      </w:tr>
      <w:tr w:rsidR="00B01968" w:rsidRPr="00B01968" w14:paraId="20ACEE87" w14:textId="77777777" w:rsidTr="00B01968">
        <w:trPr>
          <w:gridAfter w:val="2"/>
          <w:divId w:val="1133257777"/>
          <w:wAfter w:w="587" w:type="pct"/>
          <w:trHeight w:hRule="exact" w:val="225"/>
        </w:trPr>
        <w:tc>
          <w:tcPr>
            <w:tcW w:w="2097" w:type="pct"/>
            <w:tcBorders>
              <w:top w:val="nil"/>
              <w:left w:val="nil"/>
              <w:bottom w:val="nil"/>
              <w:right w:val="nil"/>
            </w:tcBorders>
            <w:shd w:val="clear" w:color="000000" w:fill="FFFFFF"/>
            <w:noWrap/>
            <w:vAlign w:val="center"/>
            <w:hideMark/>
          </w:tcPr>
          <w:p w14:paraId="38259BC7" w14:textId="60F3AB33"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 xml:space="preserve">National Disability Insurance Scheme </w:t>
            </w:r>
            <w:r w:rsidR="00CA3FDE">
              <w:rPr>
                <w:rFonts w:ascii="Arial" w:hAnsi="Arial" w:cs="Arial"/>
                <w:sz w:val="16"/>
                <w:szCs w:val="16"/>
              </w:rPr>
              <w:t>–</w:t>
            </w:r>
            <w:r w:rsidRPr="00B01968">
              <w:rPr>
                <w:rFonts w:ascii="Arial" w:hAnsi="Arial" w:cs="Arial"/>
                <w:sz w:val="16"/>
                <w:szCs w:val="16"/>
              </w:rPr>
              <w:t xml:space="preserve"> </w:t>
            </w:r>
          </w:p>
        </w:tc>
        <w:tc>
          <w:tcPr>
            <w:tcW w:w="579" w:type="pct"/>
            <w:tcBorders>
              <w:top w:val="nil"/>
              <w:left w:val="nil"/>
              <w:bottom w:val="nil"/>
              <w:right w:val="nil"/>
            </w:tcBorders>
            <w:shd w:val="clear" w:color="000000" w:fill="FFFFFF"/>
            <w:noWrap/>
            <w:vAlign w:val="center"/>
            <w:hideMark/>
          </w:tcPr>
          <w:p w14:paraId="15D5EF5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E6F2FF"/>
            <w:noWrap/>
            <w:vAlign w:val="center"/>
            <w:hideMark/>
          </w:tcPr>
          <w:p w14:paraId="4B4CCD5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FFFFFF"/>
            <w:noWrap/>
            <w:vAlign w:val="center"/>
            <w:hideMark/>
          </w:tcPr>
          <w:p w14:paraId="5C6DE3B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FFFFFF"/>
            <w:noWrap/>
            <w:vAlign w:val="center"/>
            <w:hideMark/>
          </w:tcPr>
          <w:p w14:paraId="7EC6836D"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5544E6C3" w14:textId="77777777" w:rsidTr="00B01968">
        <w:trPr>
          <w:divId w:val="1133257777"/>
          <w:trHeight w:hRule="exact" w:val="225"/>
        </w:trPr>
        <w:tc>
          <w:tcPr>
            <w:tcW w:w="2097" w:type="pct"/>
            <w:tcBorders>
              <w:top w:val="nil"/>
              <w:left w:val="nil"/>
              <w:bottom w:val="nil"/>
              <w:right w:val="nil"/>
            </w:tcBorders>
            <w:shd w:val="clear" w:color="000000" w:fill="FFFFFF"/>
            <w:noWrap/>
            <w:vAlign w:val="center"/>
            <w:hideMark/>
          </w:tcPr>
          <w:p w14:paraId="25476352"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Quality and Safeguards</w:t>
            </w:r>
          </w:p>
        </w:tc>
        <w:tc>
          <w:tcPr>
            <w:tcW w:w="579" w:type="pct"/>
            <w:tcBorders>
              <w:top w:val="nil"/>
              <w:left w:val="nil"/>
              <w:bottom w:val="nil"/>
              <w:right w:val="nil"/>
            </w:tcBorders>
            <w:shd w:val="clear" w:color="000000" w:fill="FFFFFF"/>
            <w:noWrap/>
            <w:vAlign w:val="center"/>
            <w:hideMark/>
          </w:tcPr>
          <w:p w14:paraId="3EBA160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90</w:t>
            </w:r>
          </w:p>
        </w:tc>
        <w:tc>
          <w:tcPr>
            <w:tcW w:w="579" w:type="pct"/>
            <w:tcBorders>
              <w:top w:val="nil"/>
              <w:left w:val="nil"/>
              <w:bottom w:val="nil"/>
              <w:right w:val="nil"/>
            </w:tcBorders>
            <w:shd w:val="clear" w:color="000000" w:fill="E6F2FF"/>
            <w:noWrap/>
            <w:vAlign w:val="center"/>
            <w:hideMark/>
          </w:tcPr>
          <w:p w14:paraId="03ED0C0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139</w:t>
            </w:r>
          </w:p>
        </w:tc>
        <w:tc>
          <w:tcPr>
            <w:tcW w:w="579" w:type="pct"/>
            <w:tcBorders>
              <w:top w:val="nil"/>
              <w:left w:val="nil"/>
              <w:bottom w:val="nil"/>
              <w:right w:val="nil"/>
            </w:tcBorders>
            <w:shd w:val="clear" w:color="000000" w:fill="FFFFFF"/>
            <w:noWrap/>
            <w:vAlign w:val="center"/>
            <w:hideMark/>
          </w:tcPr>
          <w:p w14:paraId="37F416F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142</w:t>
            </w:r>
          </w:p>
        </w:tc>
        <w:tc>
          <w:tcPr>
            <w:tcW w:w="579" w:type="pct"/>
            <w:tcBorders>
              <w:top w:val="nil"/>
              <w:left w:val="nil"/>
              <w:bottom w:val="nil"/>
              <w:right w:val="nil"/>
            </w:tcBorders>
            <w:shd w:val="clear" w:color="000000" w:fill="FFFFFF"/>
            <w:noWrap/>
            <w:vAlign w:val="center"/>
            <w:hideMark/>
          </w:tcPr>
          <w:p w14:paraId="2A216C6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75</w:t>
            </w:r>
          </w:p>
        </w:tc>
        <w:tc>
          <w:tcPr>
            <w:tcW w:w="587" w:type="pct"/>
            <w:gridSpan w:val="2"/>
            <w:tcBorders>
              <w:top w:val="nil"/>
              <w:left w:val="nil"/>
              <w:bottom w:val="nil"/>
              <w:right w:val="nil"/>
            </w:tcBorders>
            <w:shd w:val="clear" w:color="000000" w:fill="FFFFFF"/>
            <w:noWrap/>
            <w:vAlign w:val="center"/>
            <w:hideMark/>
          </w:tcPr>
          <w:p w14:paraId="5F4781A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71</w:t>
            </w:r>
          </w:p>
        </w:tc>
      </w:tr>
      <w:tr w:rsidR="00B01968" w:rsidRPr="00B01968" w14:paraId="1BA5E975" w14:textId="77777777" w:rsidTr="00B01968">
        <w:trPr>
          <w:divId w:val="1133257777"/>
          <w:trHeight w:hRule="exact" w:val="225"/>
        </w:trPr>
        <w:tc>
          <w:tcPr>
            <w:tcW w:w="2097" w:type="pct"/>
            <w:tcBorders>
              <w:top w:val="nil"/>
              <w:left w:val="nil"/>
              <w:bottom w:val="nil"/>
              <w:right w:val="nil"/>
            </w:tcBorders>
            <w:shd w:val="clear" w:color="000000" w:fill="FFFFFF"/>
            <w:noWrap/>
            <w:vAlign w:val="center"/>
            <w:hideMark/>
          </w:tcPr>
          <w:p w14:paraId="4F55A88C"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Financial Support for People with</w:t>
            </w:r>
          </w:p>
        </w:tc>
        <w:tc>
          <w:tcPr>
            <w:tcW w:w="579" w:type="pct"/>
            <w:tcBorders>
              <w:top w:val="nil"/>
              <w:left w:val="nil"/>
              <w:bottom w:val="nil"/>
              <w:right w:val="nil"/>
            </w:tcBorders>
            <w:shd w:val="clear" w:color="000000" w:fill="FFFFFF"/>
            <w:noWrap/>
            <w:vAlign w:val="center"/>
            <w:hideMark/>
          </w:tcPr>
          <w:p w14:paraId="242FD74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E6F2FF"/>
            <w:noWrap/>
            <w:vAlign w:val="center"/>
            <w:hideMark/>
          </w:tcPr>
          <w:p w14:paraId="5A639A02"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FFFFFF"/>
            <w:noWrap/>
            <w:vAlign w:val="center"/>
            <w:hideMark/>
          </w:tcPr>
          <w:p w14:paraId="3A18344A"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bottom w:val="nil"/>
              <w:right w:val="nil"/>
            </w:tcBorders>
            <w:shd w:val="clear" w:color="000000" w:fill="FFFFFF"/>
            <w:noWrap/>
            <w:vAlign w:val="center"/>
            <w:hideMark/>
          </w:tcPr>
          <w:p w14:paraId="4D9AD47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87" w:type="pct"/>
            <w:gridSpan w:val="2"/>
            <w:tcBorders>
              <w:top w:val="nil"/>
              <w:left w:val="nil"/>
              <w:bottom w:val="nil"/>
              <w:right w:val="nil"/>
            </w:tcBorders>
            <w:shd w:val="clear" w:color="000000" w:fill="FFFFFF"/>
            <w:noWrap/>
            <w:vAlign w:val="center"/>
            <w:hideMark/>
          </w:tcPr>
          <w:p w14:paraId="47D6EF4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7871F5C8" w14:textId="77777777" w:rsidTr="00B01968">
        <w:trPr>
          <w:divId w:val="1133257777"/>
          <w:trHeight w:hRule="exact" w:val="225"/>
        </w:trPr>
        <w:tc>
          <w:tcPr>
            <w:tcW w:w="2097" w:type="pct"/>
            <w:tcBorders>
              <w:top w:val="nil"/>
              <w:left w:val="nil"/>
              <w:bottom w:val="nil"/>
              <w:right w:val="nil"/>
            </w:tcBorders>
            <w:shd w:val="clear" w:color="000000" w:fill="FFFFFF"/>
            <w:noWrap/>
            <w:vAlign w:val="center"/>
            <w:hideMark/>
          </w:tcPr>
          <w:p w14:paraId="46F9FA9B"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Disability</w:t>
            </w:r>
          </w:p>
        </w:tc>
        <w:tc>
          <w:tcPr>
            <w:tcW w:w="579" w:type="pct"/>
            <w:tcBorders>
              <w:top w:val="nil"/>
              <w:left w:val="nil"/>
              <w:bottom w:val="nil"/>
              <w:right w:val="nil"/>
            </w:tcBorders>
            <w:shd w:val="clear" w:color="000000" w:fill="FFFFFF"/>
            <w:noWrap/>
            <w:vAlign w:val="center"/>
            <w:hideMark/>
          </w:tcPr>
          <w:p w14:paraId="7F0FE29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19,392</w:t>
            </w:r>
          </w:p>
        </w:tc>
        <w:tc>
          <w:tcPr>
            <w:tcW w:w="579" w:type="pct"/>
            <w:tcBorders>
              <w:top w:val="nil"/>
              <w:left w:val="nil"/>
              <w:bottom w:val="nil"/>
              <w:right w:val="nil"/>
            </w:tcBorders>
            <w:shd w:val="clear" w:color="000000" w:fill="E6F2FF"/>
            <w:noWrap/>
            <w:vAlign w:val="center"/>
            <w:hideMark/>
          </w:tcPr>
          <w:p w14:paraId="1F75F78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21,043</w:t>
            </w:r>
          </w:p>
        </w:tc>
        <w:tc>
          <w:tcPr>
            <w:tcW w:w="579" w:type="pct"/>
            <w:tcBorders>
              <w:top w:val="nil"/>
              <w:left w:val="nil"/>
              <w:bottom w:val="nil"/>
              <w:right w:val="nil"/>
            </w:tcBorders>
            <w:shd w:val="clear" w:color="000000" w:fill="FFFFFF"/>
            <w:noWrap/>
            <w:vAlign w:val="center"/>
            <w:hideMark/>
          </w:tcPr>
          <w:p w14:paraId="0BA6DDE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21,800</w:t>
            </w:r>
          </w:p>
        </w:tc>
        <w:tc>
          <w:tcPr>
            <w:tcW w:w="579" w:type="pct"/>
            <w:tcBorders>
              <w:top w:val="nil"/>
              <w:left w:val="nil"/>
              <w:bottom w:val="nil"/>
              <w:right w:val="nil"/>
            </w:tcBorders>
            <w:shd w:val="clear" w:color="000000" w:fill="FFFFFF"/>
            <w:noWrap/>
            <w:vAlign w:val="center"/>
            <w:hideMark/>
          </w:tcPr>
          <w:p w14:paraId="1B9C90A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22,608</w:t>
            </w:r>
          </w:p>
        </w:tc>
        <w:tc>
          <w:tcPr>
            <w:tcW w:w="587" w:type="pct"/>
            <w:gridSpan w:val="2"/>
            <w:tcBorders>
              <w:top w:val="nil"/>
              <w:left w:val="nil"/>
              <w:bottom w:val="nil"/>
              <w:right w:val="nil"/>
            </w:tcBorders>
            <w:shd w:val="clear" w:color="000000" w:fill="FFFFFF"/>
            <w:noWrap/>
            <w:vAlign w:val="center"/>
            <w:hideMark/>
          </w:tcPr>
          <w:p w14:paraId="60675D4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23,046</w:t>
            </w:r>
          </w:p>
        </w:tc>
      </w:tr>
      <w:tr w:rsidR="00B01968" w:rsidRPr="00B01968" w14:paraId="2B706193" w14:textId="77777777" w:rsidTr="00B01968">
        <w:trPr>
          <w:divId w:val="1133257777"/>
          <w:trHeight w:hRule="exact" w:val="225"/>
        </w:trPr>
        <w:tc>
          <w:tcPr>
            <w:tcW w:w="2097" w:type="pct"/>
            <w:tcBorders>
              <w:top w:val="nil"/>
              <w:left w:val="nil"/>
              <w:bottom w:val="nil"/>
              <w:right w:val="nil"/>
            </w:tcBorders>
            <w:shd w:val="clear" w:color="000000" w:fill="FFFFFF"/>
            <w:noWrap/>
            <w:vAlign w:val="center"/>
            <w:hideMark/>
          </w:tcPr>
          <w:p w14:paraId="46EEF211"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Financial Support for Carers</w:t>
            </w:r>
          </w:p>
        </w:tc>
        <w:tc>
          <w:tcPr>
            <w:tcW w:w="579" w:type="pct"/>
            <w:tcBorders>
              <w:top w:val="nil"/>
              <w:left w:val="nil"/>
              <w:bottom w:val="nil"/>
              <w:right w:val="nil"/>
            </w:tcBorders>
            <w:shd w:val="clear" w:color="000000" w:fill="FFFFFF"/>
            <w:noWrap/>
            <w:vAlign w:val="center"/>
            <w:hideMark/>
          </w:tcPr>
          <w:p w14:paraId="57C94C1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12,318</w:t>
            </w:r>
          </w:p>
        </w:tc>
        <w:tc>
          <w:tcPr>
            <w:tcW w:w="579" w:type="pct"/>
            <w:tcBorders>
              <w:top w:val="nil"/>
              <w:left w:val="nil"/>
              <w:bottom w:val="nil"/>
              <w:right w:val="nil"/>
            </w:tcBorders>
            <w:shd w:val="clear" w:color="000000" w:fill="E6F2FF"/>
            <w:noWrap/>
            <w:vAlign w:val="center"/>
            <w:hideMark/>
          </w:tcPr>
          <w:p w14:paraId="607A01D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13,213</w:t>
            </w:r>
          </w:p>
        </w:tc>
        <w:tc>
          <w:tcPr>
            <w:tcW w:w="579" w:type="pct"/>
            <w:tcBorders>
              <w:top w:val="nil"/>
              <w:left w:val="nil"/>
              <w:bottom w:val="nil"/>
              <w:right w:val="nil"/>
            </w:tcBorders>
            <w:shd w:val="clear" w:color="000000" w:fill="FFFFFF"/>
            <w:noWrap/>
            <w:vAlign w:val="center"/>
            <w:hideMark/>
          </w:tcPr>
          <w:p w14:paraId="43A5D1B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13,895</w:t>
            </w:r>
          </w:p>
        </w:tc>
        <w:tc>
          <w:tcPr>
            <w:tcW w:w="579" w:type="pct"/>
            <w:tcBorders>
              <w:top w:val="nil"/>
              <w:left w:val="nil"/>
              <w:bottom w:val="nil"/>
              <w:right w:val="nil"/>
            </w:tcBorders>
            <w:shd w:val="clear" w:color="000000" w:fill="FFFFFF"/>
            <w:noWrap/>
            <w:vAlign w:val="center"/>
            <w:hideMark/>
          </w:tcPr>
          <w:p w14:paraId="4B6AA12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14,594</w:t>
            </w:r>
          </w:p>
        </w:tc>
        <w:tc>
          <w:tcPr>
            <w:tcW w:w="587" w:type="pct"/>
            <w:gridSpan w:val="2"/>
            <w:tcBorders>
              <w:top w:val="nil"/>
              <w:left w:val="nil"/>
              <w:bottom w:val="nil"/>
              <w:right w:val="nil"/>
            </w:tcBorders>
            <w:shd w:val="clear" w:color="000000" w:fill="FFFFFF"/>
            <w:noWrap/>
            <w:vAlign w:val="center"/>
            <w:hideMark/>
          </w:tcPr>
          <w:p w14:paraId="54B47EC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15,033</w:t>
            </w:r>
          </w:p>
        </w:tc>
      </w:tr>
      <w:tr w:rsidR="00B01968" w:rsidRPr="00B01968" w14:paraId="53D9C030" w14:textId="77777777" w:rsidTr="002F2045">
        <w:trPr>
          <w:divId w:val="1133257777"/>
          <w:trHeight w:hRule="exact" w:val="225"/>
        </w:trPr>
        <w:tc>
          <w:tcPr>
            <w:tcW w:w="2097" w:type="pct"/>
            <w:tcBorders>
              <w:top w:val="nil"/>
              <w:left w:val="nil"/>
              <w:bottom w:val="nil"/>
              <w:right w:val="nil"/>
            </w:tcBorders>
            <w:shd w:val="clear" w:color="000000" w:fill="FFFFFF"/>
            <w:noWrap/>
            <w:vAlign w:val="center"/>
            <w:hideMark/>
          </w:tcPr>
          <w:p w14:paraId="115C109C" w14:textId="194EE89A"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 xml:space="preserve">National Partnership Payments </w:t>
            </w:r>
            <w:r w:rsidR="00CA3FDE">
              <w:rPr>
                <w:rFonts w:ascii="Arial" w:hAnsi="Arial" w:cs="Arial"/>
                <w:sz w:val="16"/>
                <w:szCs w:val="16"/>
              </w:rPr>
              <w:t>–</w:t>
            </w:r>
          </w:p>
        </w:tc>
        <w:tc>
          <w:tcPr>
            <w:tcW w:w="579" w:type="pct"/>
            <w:tcBorders>
              <w:top w:val="nil"/>
              <w:left w:val="nil"/>
              <w:right w:val="nil"/>
            </w:tcBorders>
            <w:shd w:val="clear" w:color="000000" w:fill="FFFFFF"/>
            <w:noWrap/>
            <w:vAlign w:val="center"/>
            <w:hideMark/>
          </w:tcPr>
          <w:p w14:paraId="13F5D9B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right w:val="nil"/>
            </w:tcBorders>
            <w:shd w:val="clear" w:color="000000" w:fill="E6F2FF"/>
            <w:noWrap/>
            <w:vAlign w:val="center"/>
            <w:hideMark/>
          </w:tcPr>
          <w:p w14:paraId="59AEC97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right w:val="nil"/>
            </w:tcBorders>
            <w:shd w:val="clear" w:color="000000" w:fill="FFFFFF"/>
            <w:noWrap/>
            <w:vAlign w:val="center"/>
            <w:hideMark/>
          </w:tcPr>
          <w:p w14:paraId="21733DE9"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79" w:type="pct"/>
            <w:tcBorders>
              <w:top w:val="nil"/>
              <w:left w:val="nil"/>
              <w:right w:val="nil"/>
            </w:tcBorders>
            <w:shd w:val="clear" w:color="000000" w:fill="FFFFFF"/>
            <w:noWrap/>
            <w:vAlign w:val="center"/>
            <w:hideMark/>
          </w:tcPr>
          <w:p w14:paraId="5D1AD42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87" w:type="pct"/>
            <w:gridSpan w:val="2"/>
            <w:tcBorders>
              <w:top w:val="nil"/>
              <w:left w:val="nil"/>
              <w:right w:val="nil"/>
            </w:tcBorders>
            <w:shd w:val="clear" w:color="000000" w:fill="FFFFFF"/>
            <w:noWrap/>
            <w:vAlign w:val="center"/>
            <w:hideMark/>
          </w:tcPr>
          <w:p w14:paraId="6949EB6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3665F189" w14:textId="77777777" w:rsidTr="002F2045">
        <w:trPr>
          <w:divId w:val="1133257777"/>
          <w:trHeight w:hRule="exact" w:val="225"/>
        </w:trPr>
        <w:tc>
          <w:tcPr>
            <w:tcW w:w="2097" w:type="pct"/>
            <w:tcBorders>
              <w:top w:val="nil"/>
              <w:left w:val="nil"/>
              <w:bottom w:val="nil"/>
              <w:right w:val="nil"/>
            </w:tcBorders>
            <w:shd w:val="clear" w:color="000000" w:fill="FFFFFF"/>
            <w:noWrap/>
            <w:vAlign w:val="center"/>
            <w:hideMark/>
          </w:tcPr>
          <w:p w14:paraId="63AEDA7C"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Assistance to People with Disabilities</w:t>
            </w:r>
          </w:p>
        </w:tc>
        <w:tc>
          <w:tcPr>
            <w:tcW w:w="579" w:type="pct"/>
            <w:tcBorders>
              <w:top w:val="nil"/>
              <w:left w:val="nil"/>
              <w:bottom w:val="single" w:sz="4" w:space="0" w:color="002A54" w:themeColor="text2"/>
              <w:right w:val="nil"/>
            </w:tcBorders>
            <w:shd w:val="clear" w:color="000000" w:fill="FFFFFF"/>
            <w:noWrap/>
            <w:vAlign w:val="center"/>
            <w:hideMark/>
          </w:tcPr>
          <w:p w14:paraId="4600BA3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975</w:t>
            </w:r>
          </w:p>
        </w:tc>
        <w:tc>
          <w:tcPr>
            <w:tcW w:w="579" w:type="pct"/>
            <w:tcBorders>
              <w:top w:val="nil"/>
              <w:left w:val="nil"/>
              <w:bottom w:val="single" w:sz="4" w:space="0" w:color="002A54" w:themeColor="text2"/>
              <w:right w:val="nil"/>
            </w:tcBorders>
            <w:shd w:val="clear" w:color="000000" w:fill="E6F2FF"/>
            <w:noWrap/>
            <w:vAlign w:val="center"/>
            <w:hideMark/>
          </w:tcPr>
          <w:p w14:paraId="24F48A6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2,015</w:t>
            </w:r>
          </w:p>
        </w:tc>
        <w:tc>
          <w:tcPr>
            <w:tcW w:w="579" w:type="pct"/>
            <w:tcBorders>
              <w:top w:val="nil"/>
              <w:left w:val="nil"/>
              <w:bottom w:val="single" w:sz="4" w:space="0" w:color="002A54" w:themeColor="text2"/>
              <w:right w:val="nil"/>
            </w:tcBorders>
            <w:shd w:val="clear" w:color="000000" w:fill="FFFFFF"/>
            <w:noWrap/>
            <w:vAlign w:val="center"/>
            <w:hideMark/>
          </w:tcPr>
          <w:p w14:paraId="546F452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c>
          <w:tcPr>
            <w:tcW w:w="579" w:type="pct"/>
            <w:tcBorders>
              <w:top w:val="nil"/>
              <w:left w:val="nil"/>
              <w:bottom w:val="single" w:sz="4" w:space="0" w:color="002A54" w:themeColor="text2"/>
              <w:right w:val="nil"/>
            </w:tcBorders>
            <w:shd w:val="clear" w:color="000000" w:fill="FFFFFF"/>
            <w:noWrap/>
            <w:vAlign w:val="center"/>
            <w:hideMark/>
          </w:tcPr>
          <w:p w14:paraId="4BBC9C9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c>
          <w:tcPr>
            <w:tcW w:w="587" w:type="pct"/>
            <w:gridSpan w:val="2"/>
            <w:tcBorders>
              <w:top w:val="nil"/>
              <w:left w:val="nil"/>
              <w:bottom w:val="single" w:sz="4" w:space="0" w:color="002A54" w:themeColor="text2"/>
              <w:right w:val="nil"/>
            </w:tcBorders>
            <w:shd w:val="clear" w:color="000000" w:fill="FFFFFF"/>
            <w:noWrap/>
            <w:vAlign w:val="center"/>
            <w:hideMark/>
          </w:tcPr>
          <w:p w14:paraId="1DCF57B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0</w:t>
            </w:r>
          </w:p>
        </w:tc>
      </w:tr>
      <w:tr w:rsidR="00B01968" w:rsidRPr="00B01968" w14:paraId="0375AB82" w14:textId="77777777" w:rsidTr="00371B8D">
        <w:trPr>
          <w:divId w:val="1133257777"/>
          <w:trHeight w:hRule="exact" w:val="225"/>
        </w:trPr>
        <w:tc>
          <w:tcPr>
            <w:tcW w:w="2097" w:type="pct"/>
            <w:tcBorders>
              <w:top w:val="nil"/>
              <w:left w:val="nil"/>
              <w:bottom w:val="single" w:sz="4" w:space="0" w:color="002A54" w:themeColor="text2"/>
              <w:right w:val="nil"/>
            </w:tcBorders>
            <w:shd w:val="clear" w:color="000000" w:fill="FFFFFF"/>
            <w:noWrap/>
            <w:vAlign w:val="center"/>
            <w:hideMark/>
          </w:tcPr>
          <w:p w14:paraId="7FEFE29E"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79" w:type="pct"/>
            <w:tcBorders>
              <w:top w:val="single" w:sz="4" w:space="0" w:color="002A54" w:themeColor="text2"/>
              <w:left w:val="nil"/>
              <w:bottom w:val="single" w:sz="4" w:space="0" w:color="002A54" w:themeColor="text2"/>
              <w:right w:val="nil"/>
            </w:tcBorders>
            <w:shd w:val="clear" w:color="000000" w:fill="FFFFFF"/>
            <w:noWrap/>
            <w:vAlign w:val="center"/>
            <w:hideMark/>
          </w:tcPr>
          <w:p w14:paraId="30D5BD0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69,429</w:t>
            </w:r>
          </w:p>
        </w:tc>
        <w:tc>
          <w:tcPr>
            <w:tcW w:w="579" w:type="pct"/>
            <w:tcBorders>
              <w:top w:val="single" w:sz="4" w:space="0" w:color="002A54" w:themeColor="text2"/>
              <w:left w:val="nil"/>
              <w:bottom w:val="single" w:sz="4" w:space="0" w:color="002A54" w:themeColor="text2"/>
              <w:right w:val="nil"/>
            </w:tcBorders>
            <w:shd w:val="clear" w:color="000000" w:fill="E6F2FF"/>
            <w:noWrap/>
            <w:vAlign w:val="center"/>
            <w:hideMark/>
          </w:tcPr>
          <w:p w14:paraId="12C1E301"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78,332</w:t>
            </w:r>
          </w:p>
        </w:tc>
        <w:tc>
          <w:tcPr>
            <w:tcW w:w="579" w:type="pct"/>
            <w:tcBorders>
              <w:top w:val="single" w:sz="4" w:space="0" w:color="002A54" w:themeColor="text2"/>
              <w:left w:val="nil"/>
              <w:bottom w:val="single" w:sz="4" w:space="0" w:color="002A54" w:themeColor="text2"/>
              <w:right w:val="nil"/>
            </w:tcBorders>
            <w:shd w:val="clear" w:color="000000" w:fill="FFFFFF"/>
            <w:noWrap/>
            <w:vAlign w:val="center"/>
            <w:hideMark/>
          </w:tcPr>
          <w:p w14:paraId="332E63F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82,602</w:t>
            </w:r>
          </w:p>
        </w:tc>
        <w:tc>
          <w:tcPr>
            <w:tcW w:w="579" w:type="pct"/>
            <w:tcBorders>
              <w:top w:val="single" w:sz="4" w:space="0" w:color="002A54" w:themeColor="text2"/>
              <w:left w:val="nil"/>
              <w:bottom w:val="single" w:sz="4" w:space="0" w:color="002A54" w:themeColor="text2"/>
              <w:right w:val="nil"/>
            </w:tcBorders>
            <w:shd w:val="clear" w:color="000000" w:fill="FFFFFF"/>
            <w:noWrap/>
            <w:vAlign w:val="center"/>
            <w:hideMark/>
          </w:tcPr>
          <w:p w14:paraId="15BD18CD"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89,129</w:t>
            </w:r>
          </w:p>
        </w:tc>
        <w:tc>
          <w:tcPr>
            <w:tcW w:w="587" w:type="pct"/>
            <w:gridSpan w:val="2"/>
            <w:tcBorders>
              <w:top w:val="single" w:sz="4" w:space="0" w:color="002A54" w:themeColor="text2"/>
              <w:left w:val="nil"/>
              <w:bottom w:val="single" w:sz="4" w:space="0" w:color="002A54" w:themeColor="text2"/>
              <w:right w:val="nil"/>
            </w:tcBorders>
            <w:shd w:val="clear" w:color="000000" w:fill="FFFFFF"/>
            <w:noWrap/>
            <w:vAlign w:val="center"/>
            <w:hideMark/>
          </w:tcPr>
          <w:p w14:paraId="126D3ACE"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94,087</w:t>
            </w:r>
          </w:p>
        </w:tc>
      </w:tr>
    </w:tbl>
    <w:p w14:paraId="24767140" w14:textId="49F83935" w:rsidR="00C855DF" w:rsidRPr="000177D7" w:rsidRDefault="00C855DF" w:rsidP="00173739">
      <w:pPr>
        <w:pStyle w:val="ChartandTableFootnoteAlpha"/>
        <w:numPr>
          <w:ilvl w:val="0"/>
          <w:numId w:val="14"/>
        </w:numPr>
        <w:rPr>
          <w:color w:val="auto"/>
        </w:rPr>
      </w:pPr>
      <w:r w:rsidRPr="00BF5A80">
        <w:rPr>
          <w:color w:val="auto"/>
        </w:rPr>
        <w:t>The entry for each component includes eliminations</w:t>
      </w:r>
      <w:r w:rsidRPr="000177D7">
        <w:rPr>
          <w:color w:val="auto"/>
        </w:rPr>
        <w:t xml:space="preserve"> for inter</w:t>
      </w:r>
      <w:r w:rsidR="00D34B95">
        <w:rPr>
          <w:color w:val="auto"/>
        </w:rPr>
        <w:noBreakHyphen/>
      </w:r>
      <w:r w:rsidRPr="000177D7">
        <w:rPr>
          <w:color w:val="auto"/>
        </w:rPr>
        <w:t>agency transactions within that component.</w:t>
      </w:r>
    </w:p>
    <w:p w14:paraId="6EE36848" w14:textId="77777777" w:rsidR="00C855DF" w:rsidRPr="000177D7" w:rsidRDefault="00C855DF" w:rsidP="00173739">
      <w:pPr>
        <w:pStyle w:val="ChartandTableFootnoteAlpha"/>
        <w:numPr>
          <w:ilvl w:val="0"/>
          <w:numId w:val="14"/>
        </w:numPr>
        <w:rPr>
          <w:color w:val="auto"/>
        </w:rPr>
      </w:pPr>
      <w:r w:rsidRPr="000177D7">
        <w:rPr>
          <w:color w:val="auto"/>
        </w:rPr>
        <w:t xml:space="preserve">Includes both Commonwealth and State contributions to the cost of the National Disability Insurance Scheme delivered through the National Disability Insurance Agency, which is a Commonwealth agency in the general government sector, </w:t>
      </w:r>
      <w:r>
        <w:t>and the cost of the NDIS program administered by the Department of Social Services</w:t>
      </w:r>
      <w:r w:rsidRPr="000177D7">
        <w:rPr>
          <w:color w:val="auto"/>
        </w:rPr>
        <w:t>.</w:t>
      </w:r>
    </w:p>
    <w:p w14:paraId="25248FAA" w14:textId="77777777" w:rsidR="00C855DF" w:rsidRPr="000177D7" w:rsidRDefault="00C855DF" w:rsidP="00C855DF">
      <w:pPr>
        <w:pStyle w:val="TableLine"/>
      </w:pPr>
    </w:p>
    <w:p w14:paraId="1D508400" w14:textId="6E6DE946" w:rsidR="0050166A" w:rsidRPr="000177D7" w:rsidRDefault="0050166A" w:rsidP="0050166A">
      <w:r w:rsidRPr="0021687D">
        <w:t xml:space="preserve">Expenses for the </w:t>
      </w:r>
      <w:r w:rsidRPr="0021687D">
        <w:rPr>
          <w:b/>
          <w:bCs/>
        </w:rPr>
        <w:t>assistance to families with children</w:t>
      </w:r>
      <w:r w:rsidRPr="0021687D">
        <w:t xml:space="preserve"> sub</w:t>
      </w:r>
      <w:r w:rsidR="00D34B95">
        <w:noBreakHyphen/>
      </w:r>
      <w:r w:rsidRPr="0021687D">
        <w:t>function are expected to increase by 15.6</w:t>
      </w:r>
      <w:r w:rsidR="00893776">
        <w:t> per </w:t>
      </w:r>
      <w:r w:rsidRPr="0021687D">
        <w:t>cent in nominal terms and by 6.8</w:t>
      </w:r>
      <w:r w:rsidR="00893776">
        <w:t> per </w:t>
      </w:r>
      <w:r>
        <w:t>cent in real terms over the period 2023</w:t>
      </w:r>
      <w:r w:rsidR="00CA3FDE">
        <w:t>–</w:t>
      </w:r>
      <w:r>
        <w:t>24 to 2026</w:t>
      </w:r>
      <w:r w:rsidR="00CA3FDE">
        <w:t>–</w:t>
      </w:r>
      <w:r>
        <w:t>27.</w:t>
      </w:r>
      <w:r w:rsidRPr="000177D7">
        <w:t xml:space="preserve"> The major programs impacting this trend include Family Assistance, Parents Income Support, and the Child Care Subsidy. </w:t>
      </w:r>
    </w:p>
    <w:p w14:paraId="34E4B5B7" w14:textId="186E3421" w:rsidR="0050166A" w:rsidRPr="000177D7" w:rsidRDefault="0050166A" w:rsidP="00455F97">
      <w:r>
        <w:t>Family Assistance expenses are expected to increase</w:t>
      </w:r>
      <w:r w:rsidR="007A5877">
        <w:t>,</w:t>
      </w:r>
      <w:r>
        <w:t xml:space="preserve"> largely driven by the October Budget measure </w:t>
      </w:r>
      <w:r w:rsidRPr="4B50A229">
        <w:rPr>
          <w:i/>
          <w:iCs/>
        </w:rPr>
        <w:t>Boosting Parental Leave to Enhance Economic Security, Support and Flexibility for Australia</w:t>
      </w:r>
      <w:r w:rsidR="00D34B95">
        <w:rPr>
          <w:i/>
          <w:iCs/>
        </w:rPr>
        <w:t>’</w:t>
      </w:r>
      <w:r w:rsidRPr="4B50A229">
        <w:rPr>
          <w:i/>
          <w:iCs/>
        </w:rPr>
        <w:t>s Families</w:t>
      </w:r>
      <w:r>
        <w:t xml:space="preserve"> which increases paid parental leave by 2 weeks each year from 1</w:t>
      </w:r>
      <w:r w:rsidR="005C1192">
        <w:t> </w:t>
      </w:r>
      <w:r>
        <w:t>July</w:t>
      </w:r>
      <w:r w:rsidR="005C1192">
        <w:t> </w:t>
      </w:r>
      <w:r>
        <w:t xml:space="preserve">2024 until 1 July 2026. </w:t>
      </w:r>
    </w:p>
    <w:p w14:paraId="451BEC6C" w14:textId="525A5DE6" w:rsidR="0050166A" w:rsidRDefault="0050166A" w:rsidP="00455F97">
      <w:r w:rsidRPr="00996312">
        <w:t xml:space="preserve">Parents Income Support expenses are expected to increase primarily driven by the </w:t>
      </w:r>
      <w:r w:rsidR="00136E6F">
        <w:br/>
      </w:r>
      <w:r w:rsidRPr="00996312">
        <w:t>2023</w:t>
      </w:r>
      <w:r w:rsidR="00CA3FDE">
        <w:t>–</w:t>
      </w:r>
      <w:r w:rsidRPr="00996312">
        <w:t>24</w:t>
      </w:r>
      <w:r w:rsidR="003F7CEB">
        <w:t> </w:t>
      </w:r>
      <w:r w:rsidRPr="00996312">
        <w:t xml:space="preserve">Budget </w:t>
      </w:r>
      <w:r w:rsidRPr="0021687D">
        <w:t xml:space="preserve">measure </w:t>
      </w:r>
      <w:r w:rsidR="0021687D" w:rsidRPr="0021687D">
        <w:rPr>
          <w:i/>
          <w:iCs/>
        </w:rPr>
        <w:t xml:space="preserve">Parenting Payment (Single) </w:t>
      </w:r>
      <w:r w:rsidR="00CA3FDE">
        <w:rPr>
          <w:i/>
          <w:iCs/>
        </w:rPr>
        <w:t>–</w:t>
      </w:r>
      <w:r w:rsidR="0021687D" w:rsidRPr="0021687D">
        <w:rPr>
          <w:i/>
          <w:iCs/>
        </w:rPr>
        <w:t xml:space="preserve"> improved support for single parents </w:t>
      </w:r>
      <w:r w:rsidRPr="0021687D">
        <w:rPr>
          <w:rStyle w:val="ui-provider"/>
        </w:rPr>
        <w:t>through which the Government will extend eligibility for Parenting Payment (Single) to p</w:t>
      </w:r>
      <w:r>
        <w:rPr>
          <w:rStyle w:val="ui-provider"/>
        </w:rPr>
        <w:t>rincipal carers with a youngest child under 14 years of age. </w:t>
      </w:r>
    </w:p>
    <w:p w14:paraId="5B49B4E3" w14:textId="6BE06FBC" w:rsidR="0050166A" w:rsidRPr="000177D7" w:rsidRDefault="0050166A" w:rsidP="0050166A">
      <w:r w:rsidRPr="000177D7">
        <w:t xml:space="preserve">The </w:t>
      </w:r>
      <w:r w:rsidRPr="000177D7">
        <w:rPr>
          <w:b/>
          <w:bCs/>
        </w:rPr>
        <w:t>assistance to families with children</w:t>
      </w:r>
      <w:r w:rsidRPr="000177D7">
        <w:t xml:space="preserve"> </w:t>
      </w:r>
      <w:r w:rsidRPr="000177D7" w:rsidDel="009F669B">
        <w:t>s</w:t>
      </w:r>
      <w:r w:rsidRPr="000177D7" w:rsidDel="0047245F">
        <w:t>ub</w:t>
      </w:r>
      <w:r w:rsidR="00D34B95">
        <w:noBreakHyphen/>
      </w:r>
      <w:r>
        <w:t>function profile also includes an in</w:t>
      </w:r>
      <w:r w:rsidRPr="000177D7" w:rsidDel="009F669B">
        <w:t>crease</w:t>
      </w:r>
      <w:r>
        <w:t xml:space="preserve"> driven by the </w:t>
      </w:r>
      <w:r w:rsidRPr="000177D7" w:rsidDel="00B94C69">
        <w:t>child</w:t>
      </w:r>
      <w:r w:rsidDel="00B94C69">
        <w:t xml:space="preserve"> </w:t>
      </w:r>
      <w:r>
        <w:t xml:space="preserve">care subsidy </w:t>
      </w:r>
      <w:r w:rsidRPr="000177D7" w:rsidDel="00B94C69">
        <w:t>component</w:t>
      </w:r>
      <w:r w:rsidDel="00B94C69">
        <w:t>.</w:t>
      </w:r>
      <w:r>
        <w:t xml:space="preserve"> </w:t>
      </w:r>
      <w:r w:rsidDel="007B58BE">
        <w:t>The increase</w:t>
      </w:r>
      <w:r w:rsidRPr="000177D7">
        <w:t xml:space="preserve"> primarily reflect</w:t>
      </w:r>
      <w:r>
        <w:t>s</w:t>
      </w:r>
      <w:r w:rsidRPr="000177D7">
        <w:t xml:space="preserve"> the October</w:t>
      </w:r>
      <w:r w:rsidR="00257A7A">
        <w:t> </w:t>
      </w:r>
      <w:r w:rsidRPr="000177D7">
        <w:t xml:space="preserve">Budget measure </w:t>
      </w:r>
      <w:r w:rsidRPr="233B6699">
        <w:rPr>
          <w:i/>
          <w:iCs/>
        </w:rPr>
        <w:t xml:space="preserve">Plan for Cheaper Child Care, </w:t>
      </w:r>
      <w:r w:rsidRPr="000177D7">
        <w:t>which will increase</w:t>
      </w:r>
      <w:r>
        <w:t>, from 1 July 2023,</w:t>
      </w:r>
      <w:r w:rsidDel="005537F3">
        <w:t xml:space="preserve"> </w:t>
      </w:r>
      <w:r w:rsidRPr="000177D7">
        <w:t xml:space="preserve">the maximum Child Care Subsidy (CCS) rate </w:t>
      </w:r>
      <w:r w:rsidRPr="233B6699">
        <w:t>from 85</w:t>
      </w:r>
      <w:r w:rsidR="00893776">
        <w:t> per </w:t>
      </w:r>
      <w:r w:rsidRPr="233B6699">
        <w:t>cent to 90</w:t>
      </w:r>
      <w:r w:rsidR="00893776">
        <w:t> per </w:t>
      </w:r>
      <w:r w:rsidRPr="233B6699">
        <w:t>cent for</w:t>
      </w:r>
      <w:r w:rsidRPr="000177D7">
        <w:t xml:space="preserve"> families for</w:t>
      </w:r>
      <w:r w:rsidRPr="233B6699">
        <w:t xml:space="preserve"> the first child in care</w:t>
      </w:r>
      <w:r w:rsidRPr="000177D7">
        <w:rPr>
          <w:b/>
          <w:bCs/>
        </w:rPr>
        <w:t xml:space="preserve">; </w:t>
      </w:r>
      <w:r w:rsidRPr="000177D7">
        <w:t>increase the CCS rate for all families earning less than $530,000 in household income; and maintain the current CCS rates for families with multiple children aged 5 years or under in care.</w:t>
      </w:r>
    </w:p>
    <w:p w14:paraId="13867F19" w14:textId="15B11F2A" w:rsidR="00136E6F" w:rsidRDefault="0050166A" w:rsidP="0050166A">
      <w:r w:rsidRPr="000177D7">
        <w:t xml:space="preserve">Table 6.9.3 sets out the major components of the </w:t>
      </w:r>
      <w:r w:rsidRPr="000177D7">
        <w:rPr>
          <w:b/>
        </w:rPr>
        <w:t>assistance to families with children</w:t>
      </w:r>
      <w:r w:rsidRPr="000177D7">
        <w:t xml:space="preserve"> sub</w:t>
      </w:r>
      <w:r w:rsidR="00D34B95">
        <w:noBreakHyphen/>
      </w:r>
      <w:r w:rsidRPr="000177D7">
        <w:t>function.</w:t>
      </w:r>
    </w:p>
    <w:p w14:paraId="47053B37" w14:textId="77777777" w:rsidR="00136E6F" w:rsidRDefault="00136E6F">
      <w:pPr>
        <w:spacing w:before="0" w:after="160" w:line="259" w:lineRule="auto"/>
      </w:pPr>
      <w:r>
        <w:br w:type="page"/>
      </w:r>
    </w:p>
    <w:p w14:paraId="3FC04256" w14:textId="044AECC0" w:rsidR="00B01968" w:rsidRPr="00B01968" w:rsidRDefault="00C855DF" w:rsidP="00136E6F">
      <w:pPr>
        <w:pStyle w:val="TableHeading"/>
        <w:rPr>
          <w:rFonts w:asciiTheme="minorHAnsi" w:eastAsiaTheme="minorHAnsi" w:hAnsiTheme="minorHAnsi" w:cstheme="minorBidi"/>
          <w:b w:val="0"/>
          <w:sz w:val="22"/>
          <w:szCs w:val="22"/>
          <w:lang w:eastAsia="en-US"/>
        </w:rPr>
      </w:pPr>
      <w:r w:rsidRPr="000177D7">
        <w:lastRenderedPageBreak/>
        <w:t>Table 6.9.3: Trends in the major components of assistance to families with children sub</w:t>
      </w:r>
      <w:r w:rsidR="00D34B95">
        <w:noBreakHyphen/>
      </w:r>
      <w:r w:rsidRPr="000177D7">
        <w:t>function expense</w:t>
      </w:r>
      <w:bookmarkStart w:id="83" w:name="_1727953897"/>
      <w:bookmarkStart w:id="84" w:name="_1727955074"/>
      <w:bookmarkEnd w:id="83"/>
      <w:bookmarkEnd w:id="84"/>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B01968" w:rsidRPr="00B01968" w14:paraId="781344F5" w14:textId="77777777" w:rsidTr="000D3856">
        <w:trPr>
          <w:divId w:val="1761102023"/>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05150CD0" w14:textId="5B39495C"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13993858"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230F07B7" w14:textId="77777777" w:rsidTr="000D3856">
        <w:trPr>
          <w:divId w:val="1761102023"/>
          <w:trHeight w:hRule="exact" w:val="225"/>
        </w:trPr>
        <w:tc>
          <w:tcPr>
            <w:tcW w:w="2021" w:type="pct"/>
            <w:tcBorders>
              <w:top w:val="nil"/>
              <w:left w:val="nil"/>
              <w:bottom w:val="nil"/>
              <w:right w:val="nil"/>
            </w:tcBorders>
            <w:shd w:val="clear" w:color="000000" w:fill="FFFFFF"/>
            <w:noWrap/>
            <w:vAlign w:val="bottom"/>
            <w:hideMark/>
          </w:tcPr>
          <w:p w14:paraId="164965AA"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18CDEB93" w14:textId="22F3A7B0"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CA3FDE">
              <w:rPr>
                <w:rFonts w:ascii="Arial" w:hAnsi="Arial" w:cs="Arial"/>
                <w:sz w:val="16"/>
                <w:szCs w:val="16"/>
              </w:rPr>
              <w:t>–</w:t>
            </w:r>
            <w:r w:rsidRPr="00B01968">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2ED31E73" w14:textId="329CCFF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CA3FDE">
              <w:rPr>
                <w:rFonts w:ascii="Arial" w:hAnsi="Arial" w:cs="Arial"/>
                <w:sz w:val="16"/>
                <w:szCs w:val="16"/>
              </w:rPr>
              <w:t>–</w:t>
            </w:r>
            <w:r w:rsidRPr="00B01968">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7443F685" w14:textId="5325638F"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CA3FDE">
              <w:rPr>
                <w:rFonts w:ascii="Arial" w:hAnsi="Arial" w:cs="Arial"/>
                <w:sz w:val="16"/>
                <w:szCs w:val="16"/>
              </w:rPr>
              <w:t>–</w:t>
            </w:r>
            <w:r w:rsidRPr="00B01968">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6E5536DD" w14:textId="4E2D0AF3"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CA3FDE">
              <w:rPr>
                <w:rFonts w:ascii="Arial" w:hAnsi="Arial" w:cs="Arial"/>
                <w:sz w:val="16"/>
                <w:szCs w:val="16"/>
              </w:rPr>
              <w:t>–</w:t>
            </w:r>
            <w:r w:rsidRPr="00B01968">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5626A183" w14:textId="638321EE"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CA3FDE">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7E524CBD" w14:textId="77777777" w:rsidTr="000D3856">
        <w:trPr>
          <w:divId w:val="1761102023"/>
          <w:trHeight w:hRule="exact" w:val="225"/>
        </w:trPr>
        <w:tc>
          <w:tcPr>
            <w:tcW w:w="2021" w:type="pct"/>
            <w:tcBorders>
              <w:top w:val="nil"/>
              <w:left w:val="nil"/>
              <w:bottom w:val="nil"/>
              <w:right w:val="nil"/>
            </w:tcBorders>
            <w:shd w:val="clear" w:color="000000" w:fill="FFFFFF"/>
            <w:noWrap/>
            <w:vAlign w:val="center"/>
            <w:hideMark/>
          </w:tcPr>
          <w:p w14:paraId="12A7CB4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4A2D32F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4307EF1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226D01C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AEA0BC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0FD1CA8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373A31D3" w14:textId="77777777" w:rsidTr="000D3856">
        <w:trPr>
          <w:divId w:val="1761102023"/>
          <w:trHeight w:hRule="exact" w:val="225"/>
        </w:trPr>
        <w:tc>
          <w:tcPr>
            <w:tcW w:w="2021" w:type="pct"/>
            <w:tcBorders>
              <w:top w:val="nil"/>
              <w:left w:val="nil"/>
              <w:bottom w:val="nil"/>
              <w:right w:val="nil"/>
            </w:tcBorders>
            <w:shd w:val="clear" w:color="000000" w:fill="FFFFFF"/>
            <w:noWrap/>
            <w:vAlign w:val="center"/>
            <w:hideMark/>
          </w:tcPr>
          <w:p w14:paraId="3656F05D"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Family Assistance</w:t>
            </w:r>
          </w:p>
        </w:tc>
        <w:tc>
          <w:tcPr>
            <w:tcW w:w="596" w:type="pct"/>
            <w:tcBorders>
              <w:top w:val="single" w:sz="4" w:space="0" w:color="002A54" w:themeColor="text2"/>
              <w:left w:val="nil"/>
              <w:bottom w:val="nil"/>
              <w:right w:val="nil"/>
            </w:tcBorders>
            <w:shd w:val="clear" w:color="000000" w:fill="FFFFFF"/>
            <w:noWrap/>
            <w:vAlign w:val="center"/>
            <w:hideMark/>
          </w:tcPr>
          <w:p w14:paraId="404FE37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19,872</w:t>
            </w:r>
          </w:p>
        </w:tc>
        <w:tc>
          <w:tcPr>
            <w:tcW w:w="596" w:type="pct"/>
            <w:tcBorders>
              <w:top w:val="single" w:sz="4" w:space="0" w:color="002A54" w:themeColor="text2"/>
              <w:left w:val="nil"/>
              <w:bottom w:val="nil"/>
              <w:right w:val="nil"/>
            </w:tcBorders>
            <w:shd w:val="clear" w:color="000000" w:fill="E6F2FF"/>
            <w:noWrap/>
            <w:vAlign w:val="center"/>
            <w:hideMark/>
          </w:tcPr>
          <w:p w14:paraId="53D5671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21,460</w:t>
            </w:r>
          </w:p>
        </w:tc>
        <w:tc>
          <w:tcPr>
            <w:tcW w:w="596" w:type="pct"/>
            <w:tcBorders>
              <w:top w:val="single" w:sz="4" w:space="0" w:color="002A54" w:themeColor="text2"/>
              <w:left w:val="nil"/>
              <w:bottom w:val="nil"/>
              <w:right w:val="nil"/>
            </w:tcBorders>
            <w:shd w:val="clear" w:color="000000" w:fill="FFFFFF"/>
            <w:noWrap/>
            <w:vAlign w:val="center"/>
            <w:hideMark/>
          </w:tcPr>
          <w:p w14:paraId="3CE03BD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22,767</w:t>
            </w:r>
          </w:p>
        </w:tc>
        <w:tc>
          <w:tcPr>
            <w:tcW w:w="596" w:type="pct"/>
            <w:tcBorders>
              <w:top w:val="single" w:sz="4" w:space="0" w:color="002A54" w:themeColor="text2"/>
              <w:left w:val="nil"/>
              <w:bottom w:val="nil"/>
              <w:right w:val="nil"/>
            </w:tcBorders>
            <w:shd w:val="clear" w:color="000000" w:fill="FFFFFF"/>
            <w:noWrap/>
            <w:vAlign w:val="center"/>
            <w:hideMark/>
          </w:tcPr>
          <w:p w14:paraId="01655FB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23,910</w:t>
            </w:r>
          </w:p>
        </w:tc>
        <w:tc>
          <w:tcPr>
            <w:tcW w:w="595" w:type="pct"/>
            <w:tcBorders>
              <w:top w:val="single" w:sz="4" w:space="0" w:color="002A54" w:themeColor="text2"/>
              <w:left w:val="nil"/>
              <w:bottom w:val="nil"/>
              <w:right w:val="nil"/>
            </w:tcBorders>
            <w:shd w:val="clear" w:color="000000" w:fill="FFFFFF"/>
            <w:noWrap/>
            <w:vAlign w:val="center"/>
            <w:hideMark/>
          </w:tcPr>
          <w:p w14:paraId="2915751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24,830</w:t>
            </w:r>
          </w:p>
        </w:tc>
      </w:tr>
      <w:tr w:rsidR="00B01968" w:rsidRPr="00B01968" w14:paraId="7CF3AF7D"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4E9646A7"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Child Care Subsidy</w:t>
            </w:r>
          </w:p>
        </w:tc>
        <w:tc>
          <w:tcPr>
            <w:tcW w:w="596" w:type="pct"/>
            <w:tcBorders>
              <w:top w:val="nil"/>
              <w:left w:val="nil"/>
              <w:bottom w:val="nil"/>
              <w:right w:val="nil"/>
            </w:tcBorders>
            <w:shd w:val="clear" w:color="000000" w:fill="FFFFFF"/>
            <w:noWrap/>
            <w:vAlign w:val="center"/>
            <w:hideMark/>
          </w:tcPr>
          <w:p w14:paraId="7621527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10,626</w:t>
            </w:r>
          </w:p>
        </w:tc>
        <w:tc>
          <w:tcPr>
            <w:tcW w:w="596" w:type="pct"/>
            <w:tcBorders>
              <w:top w:val="nil"/>
              <w:left w:val="nil"/>
              <w:bottom w:val="nil"/>
              <w:right w:val="nil"/>
            </w:tcBorders>
            <w:shd w:val="clear" w:color="000000" w:fill="E6F2FF"/>
            <w:noWrap/>
            <w:vAlign w:val="center"/>
            <w:hideMark/>
          </w:tcPr>
          <w:p w14:paraId="7765FC0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12,716</w:t>
            </w:r>
          </w:p>
        </w:tc>
        <w:tc>
          <w:tcPr>
            <w:tcW w:w="596" w:type="pct"/>
            <w:tcBorders>
              <w:top w:val="nil"/>
              <w:left w:val="nil"/>
              <w:bottom w:val="nil"/>
              <w:right w:val="nil"/>
            </w:tcBorders>
            <w:shd w:val="clear" w:color="000000" w:fill="FFFFFF"/>
            <w:noWrap/>
            <w:vAlign w:val="center"/>
            <w:hideMark/>
          </w:tcPr>
          <w:p w14:paraId="1E83173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13,474</w:t>
            </w:r>
          </w:p>
        </w:tc>
        <w:tc>
          <w:tcPr>
            <w:tcW w:w="596" w:type="pct"/>
            <w:tcBorders>
              <w:top w:val="nil"/>
              <w:left w:val="nil"/>
              <w:bottom w:val="nil"/>
              <w:right w:val="nil"/>
            </w:tcBorders>
            <w:shd w:val="clear" w:color="000000" w:fill="FFFFFF"/>
            <w:noWrap/>
            <w:vAlign w:val="center"/>
            <w:hideMark/>
          </w:tcPr>
          <w:p w14:paraId="261ECED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14,160</w:t>
            </w:r>
          </w:p>
        </w:tc>
        <w:tc>
          <w:tcPr>
            <w:tcW w:w="595" w:type="pct"/>
            <w:tcBorders>
              <w:top w:val="nil"/>
              <w:left w:val="nil"/>
              <w:bottom w:val="nil"/>
              <w:right w:val="nil"/>
            </w:tcBorders>
            <w:shd w:val="clear" w:color="000000" w:fill="FFFFFF"/>
            <w:noWrap/>
            <w:vAlign w:val="center"/>
            <w:hideMark/>
          </w:tcPr>
          <w:p w14:paraId="06F1952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14,958</w:t>
            </w:r>
          </w:p>
        </w:tc>
      </w:tr>
      <w:tr w:rsidR="00B01968" w:rsidRPr="00B01968" w14:paraId="3007ED18"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2BA042B3"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Parents income support</w:t>
            </w:r>
          </w:p>
        </w:tc>
        <w:tc>
          <w:tcPr>
            <w:tcW w:w="596" w:type="pct"/>
            <w:tcBorders>
              <w:top w:val="nil"/>
              <w:left w:val="nil"/>
              <w:bottom w:val="nil"/>
              <w:right w:val="nil"/>
            </w:tcBorders>
            <w:shd w:val="clear" w:color="000000" w:fill="FFFFFF"/>
            <w:noWrap/>
            <w:vAlign w:val="center"/>
            <w:hideMark/>
          </w:tcPr>
          <w:p w14:paraId="3E2BA34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5,918</w:t>
            </w:r>
          </w:p>
        </w:tc>
        <w:tc>
          <w:tcPr>
            <w:tcW w:w="596" w:type="pct"/>
            <w:tcBorders>
              <w:top w:val="nil"/>
              <w:left w:val="nil"/>
              <w:bottom w:val="nil"/>
              <w:right w:val="nil"/>
            </w:tcBorders>
            <w:shd w:val="clear" w:color="000000" w:fill="E6F2FF"/>
            <w:noWrap/>
            <w:vAlign w:val="center"/>
            <w:hideMark/>
          </w:tcPr>
          <w:p w14:paraId="2B236A8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7,501</w:t>
            </w:r>
          </w:p>
        </w:tc>
        <w:tc>
          <w:tcPr>
            <w:tcW w:w="596" w:type="pct"/>
            <w:tcBorders>
              <w:top w:val="nil"/>
              <w:left w:val="nil"/>
              <w:bottom w:val="nil"/>
              <w:right w:val="nil"/>
            </w:tcBorders>
            <w:shd w:val="clear" w:color="000000" w:fill="FFFFFF"/>
            <w:noWrap/>
            <w:vAlign w:val="center"/>
            <w:hideMark/>
          </w:tcPr>
          <w:p w14:paraId="08BA9C6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8,200</w:t>
            </w:r>
          </w:p>
        </w:tc>
        <w:tc>
          <w:tcPr>
            <w:tcW w:w="596" w:type="pct"/>
            <w:tcBorders>
              <w:top w:val="nil"/>
              <w:left w:val="nil"/>
              <w:bottom w:val="nil"/>
              <w:right w:val="nil"/>
            </w:tcBorders>
            <w:shd w:val="clear" w:color="000000" w:fill="FFFFFF"/>
            <w:noWrap/>
            <w:vAlign w:val="center"/>
            <w:hideMark/>
          </w:tcPr>
          <w:p w14:paraId="7A0FE43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8,503</w:t>
            </w:r>
          </w:p>
        </w:tc>
        <w:tc>
          <w:tcPr>
            <w:tcW w:w="595" w:type="pct"/>
            <w:tcBorders>
              <w:top w:val="nil"/>
              <w:left w:val="nil"/>
              <w:bottom w:val="nil"/>
              <w:right w:val="nil"/>
            </w:tcBorders>
            <w:shd w:val="clear" w:color="000000" w:fill="FFFFFF"/>
            <w:noWrap/>
            <w:vAlign w:val="center"/>
            <w:hideMark/>
          </w:tcPr>
          <w:p w14:paraId="4EB27A3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8,942</w:t>
            </w:r>
          </w:p>
        </w:tc>
      </w:tr>
      <w:tr w:rsidR="00B01968" w:rsidRPr="00B01968" w14:paraId="527B31E8"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3B1F8C62"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Child Support</w:t>
            </w:r>
          </w:p>
        </w:tc>
        <w:tc>
          <w:tcPr>
            <w:tcW w:w="596" w:type="pct"/>
            <w:tcBorders>
              <w:top w:val="nil"/>
              <w:left w:val="nil"/>
              <w:bottom w:val="nil"/>
              <w:right w:val="nil"/>
            </w:tcBorders>
            <w:shd w:val="clear" w:color="000000" w:fill="FFFFFF"/>
            <w:noWrap/>
            <w:vAlign w:val="center"/>
            <w:hideMark/>
          </w:tcPr>
          <w:p w14:paraId="44595D3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1,834</w:t>
            </w:r>
          </w:p>
        </w:tc>
        <w:tc>
          <w:tcPr>
            <w:tcW w:w="596" w:type="pct"/>
            <w:tcBorders>
              <w:top w:val="nil"/>
              <w:left w:val="nil"/>
              <w:bottom w:val="nil"/>
              <w:right w:val="nil"/>
            </w:tcBorders>
            <w:shd w:val="clear" w:color="000000" w:fill="E6F2FF"/>
            <w:noWrap/>
            <w:vAlign w:val="center"/>
            <w:hideMark/>
          </w:tcPr>
          <w:p w14:paraId="33593FF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1,886</w:t>
            </w:r>
          </w:p>
        </w:tc>
        <w:tc>
          <w:tcPr>
            <w:tcW w:w="596" w:type="pct"/>
            <w:tcBorders>
              <w:top w:val="nil"/>
              <w:left w:val="nil"/>
              <w:bottom w:val="nil"/>
              <w:right w:val="nil"/>
            </w:tcBorders>
            <w:shd w:val="clear" w:color="000000" w:fill="FFFFFF"/>
            <w:noWrap/>
            <w:vAlign w:val="center"/>
            <w:hideMark/>
          </w:tcPr>
          <w:p w14:paraId="01F71FA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1,923</w:t>
            </w:r>
          </w:p>
        </w:tc>
        <w:tc>
          <w:tcPr>
            <w:tcW w:w="596" w:type="pct"/>
            <w:tcBorders>
              <w:top w:val="nil"/>
              <w:left w:val="nil"/>
              <w:bottom w:val="nil"/>
              <w:right w:val="nil"/>
            </w:tcBorders>
            <w:shd w:val="clear" w:color="000000" w:fill="FFFFFF"/>
            <w:noWrap/>
            <w:vAlign w:val="center"/>
            <w:hideMark/>
          </w:tcPr>
          <w:p w14:paraId="0085088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1,954</w:t>
            </w:r>
          </w:p>
        </w:tc>
        <w:tc>
          <w:tcPr>
            <w:tcW w:w="595" w:type="pct"/>
            <w:tcBorders>
              <w:top w:val="nil"/>
              <w:left w:val="nil"/>
              <w:bottom w:val="nil"/>
              <w:right w:val="nil"/>
            </w:tcBorders>
            <w:shd w:val="clear" w:color="000000" w:fill="FFFFFF"/>
            <w:noWrap/>
            <w:vAlign w:val="center"/>
            <w:hideMark/>
          </w:tcPr>
          <w:p w14:paraId="0AA40C5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1,982</w:t>
            </w:r>
          </w:p>
        </w:tc>
      </w:tr>
      <w:tr w:rsidR="00B01968" w:rsidRPr="00B01968" w14:paraId="14DA1524"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5B366E19"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Support for the child care system</w:t>
            </w:r>
          </w:p>
        </w:tc>
        <w:tc>
          <w:tcPr>
            <w:tcW w:w="596" w:type="pct"/>
            <w:tcBorders>
              <w:top w:val="nil"/>
              <w:left w:val="nil"/>
              <w:bottom w:val="nil"/>
              <w:right w:val="nil"/>
            </w:tcBorders>
            <w:shd w:val="clear" w:color="000000" w:fill="FFFFFF"/>
            <w:noWrap/>
            <w:vAlign w:val="center"/>
            <w:hideMark/>
          </w:tcPr>
          <w:p w14:paraId="522A98D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355</w:t>
            </w:r>
          </w:p>
        </w:tc>
        <w:tc>
          <w:tcPr>
            <w:tcW w:w="596" w:type="pct"/>
            <w:tcBorders>
              <w:top w:val="nil"/>
              <w:left w:val="nil"/>
              <w:bottom w:val="nil"/>
              <w:right w:val="nil"/>
            </w:tcBorders>
            <w:shd w:val="clear" w:color="000000" w:fill="E6F2FF"/>
            <w:noWrap/>
            <w:vAlign w:val="center"/>
            <w:hideMark/>
          </w:tcPr>
          <w:p w14:paraId="4735345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348</w:t>
            </w:r>
          </w:p>
        </w:tc>
        <w:tc>
          <w:tcPr>
            <w:tcW w:w="596" w:type="pct"/>
            <w:tcBorders>
              <w:top w:val="nil"/>
              <w:left w:val="nil"/>
              <w:bottom w:val="nil"/>
              <w:right w:val="nil"/>
            </w:tcBorders>
            <w:shd w:val="clear" w:color="000000" w:fill="FFFFFF"/>
            <w:noWrap/>
            <w:vAlign w:val="center"/>
            <w:hideMark/>
          </w:tcPr>
          <w:p w14:paraId="5F2599B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344</w:t>
            </w:r>
          </w:p>
        </w:tc>
        <w:tc>
          <w:tcPr>
            <w:tcW w:w="596" w:type="pct"/>
            <w:tcBorders>
              <w:top w:val="nil"/>
              <w:left w:val="nil"/>
              <w:bottom w:val="nil"/>
              <w:right w:val="nil"/>
            </w:tcBorders>
            <w:shd w:val="clear" w:color="000000" w:fill="FFFFFF"/>
            <w:noWrap/>
            <w:vAlign w:val="center"/>
            <w:hideMark/>
          </w:tcPr>
          <w:p w14:paraId="4087C0F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322</w:t>
            </w:r>
          </w:p>
        </w:tc>
        <w:tc>
          <w:tcPr>
            <w:tcW w:w="595" w:type="pct"/>
            <w:tcBorders>
              <w:top w:val="nil"/>
              <w:left w:val="nil"/>
              <w:bottom w:val="nil"/>
              <w:right w:val="nil"/>
            </w:tcBorders>
            <w:shd w:val="clear" w:color="000000" w:fill="FFFFFF"/>
            <w:noWrap/>
            <w:vAlign w:val="center"/>
            <w:hideMark/>
          </w:tcPr>
          <w:p w14:paraId="3302FE1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322</w:t>
            </w:r>
          </w:p>
        </w:tc>
      </w:tr>
      <w:tr w:rsidR="00B01968" w:rsidRPr="00B01968" w14:paraId="40CC18B8"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0D69D1AF"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Families and Children</w:t>
            </w:r>
          </w:p>
        </w:tc>
        <w:tc>
          <w:tcPr>
            <w:tcW w:w="596" w:type="pct"/>
            <w:tcBorders>
              <w:top w:val="nil"/>
              <w:left w:val="nil"/>
              <w:bottom w:val="nil"/>
              <w:right w:val="nil"/>
            </w:tcBorders>
            <w:shd w:val="clear" w:color="000000" w:fill="FFFFFF"/>
            <w:noWrap/>
            <w:vAlign w:val="center"/>
            <w:hideMark/>
          </w:tcPr>
          <w:p w14:paraId="2F9DE49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746</w:t>
            </w:r>
          </w:p>
        </w:tc>
        <w:tc>
          <w:tcPr>
            <w:tcW w:w="596" w:type="pct"/>
            <w:tcBorders>
              <w:top w:val="nil"/>
              <w:left w:val="nil"/>
              <w:bottom w:val="nil"/>
              <w:right w:val="nil"/>
            </w:tcBorders>
            <w:shd w:val="clear" w:color="000000" w:fill="E6F2FF"/>
            <w:noWrap/>
            <w:vAlign w:val="center"/>
            <w:hideMark/>
          </w:tcPr>
          <w:p w14:paraId="5758442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926</w:t>
            </w:r>
          </w:p>
        </w:tc>
        <w:tc>
          <w:tcPr>
            <w:tcW w:w="596" w:type="pct"/>
            <w:tcBorders>
              <w:top w:val="nil"/>
              <w:left w:val="nil"/>
              <w:bottom w:val="nil"/>
              <w:right w:val="nil"/>
            </w:tcBorders>
            <w:shd w:val="clear" w:color="000000" w:fill="FFFFFF"/>
            <w:noWrap/>
            <w:vAlign w:val="center"/>
            <w:hideMark/>
          </w:tcPr>
          <w:p w14:paraId="703BACA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907</w:t>
            </w:r>
          </w:p>
        </w:tc>
        <w:tc>
          <w:tcPr>
            <w:tcW w:w="596" w:type="pct"/>
            <w:tcBorders>
              <w:top w:val="nil"/>
              <w:left w:val="nil"/>
              <w:bottom w:val="nil"/>
              <w:right w:val="nil"/>
            </w:tcBorders>
            <w:shd w:val="clear" w:color="000000" w:fill="FFFFFF"/>
            <w:noWrap/>
            <w:vAlign w:val="center"/>
            <w:hideMark/>
          </w:tcPr>
          <w:p w14:paraId="3C5BD27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877</w:t>
            </w:r>
          </w:p>
        </w:tc>
        <w:tc>
          <w:tcPr>
            <w:tcW w:w="595" w:type="pct"/>
            <w:tcBorders>
              <w:top w:val="nil"/>
              <w:left w:val="nil"/>
              <w:bottom w:val="nil"/>
              <w:right w:val="nil"/>
            </w:tcBorders>
            <w:shd w:val="clear" w:color="000000" w:fill="FFFFFF"/>
            <w:noWrap/>
            <w:vAlign w:val="center"/>
            <w:hideMark/>
          </w:tcPr>
          <w:p w14:paraId="29A52D6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842</w:t>
            </w:r>
          </w:p>
        </w:tc>
      </w:tr>
      <w:tr w:rsidR="00B01968" w:rsidRPr="00B01968" w14:paraId="55198901" w14:textId="77777777" w:rsidTr="00B01968">
        <w:trPr>
          <w:divId w:val="1761102023"/>
          <w:trHeight w:hRule="exact" w:val="225"/>
        </w:trPr>
        <w:tc>
          <w:tcPr>
            <w:tcW w:w="2021" w:type="pct"/>
            <w:tcBorders>
              <w:top w:val="nil"/>
              <w:left w:val="nil"/>
              <w:bottom w:val="nil"/>
              <w:right w:val="nil"/>
            </w:tcBorders>
            <w:shd w:val="clear" w:color="000000" w:fill="FFFFFF"/>
            <w:noWrap/>
            <w:vAlign w:val="center"/>
            <w:hideMark/>
          </w:tcPr>
          <w:p w14:paraId="70DD232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Family relationship services</w:t>
            </w:r>
          </w:p>
        </w:tc>
        <w:tc>
          <w:tcPr>
            <w:tcW w:w="596" w:type="pct"/>
            <w:tcBorders>
              <w:top w:val="nil"/>
              <w:left w:val="nil"/>
              <w:bottom w:val="nil"/>
              <w:right w:val="nil"/>
            </w:tcBorders>
            <w:shd w:val="clear" w:color="000000" w:fill="FFFFFF"/>
            <w:noWrap/>
            <w:vAlign w:val="center"/>
            <w:hideMark/>
          </w:tcPr>
          <w:p w14:paraId="6E9BA1D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252</w:t>
            </w:r>
          </w:p>
        </w:tc>
        <w:tc>
          <w:tcPr>
            <w:tcW w:w="596" w:type="pct"/>
            <w:tcBorders>
              <w:top w:val="nil"/>
              <w:left w:val="nil"/>
              <w:bottom w:val="nil"/>
              <w:right w:val="nil"/>
            </w:tcBorders>
            <w:shd w:val="clear" w:color="000000" w:fill="E6F2FF"/>
            <w:noWrap/>
            <w:vAlign w:val="center"/>
            <w:hideMark/>
          </w:tcPr>
          <w:p w14:paraId="639C479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267</w:t>
            </w:r>
          </w:p>
        </w:tc>
        <w:tc>
          <w:tcPr>
            <w:tcW w:w="596" w:type="pct"/>
            <w:tcBorders>
              <w:top w:val="nil"/>
              <w:left w:val="nil"/>
              <w:bottom w:val="nil"/>
              <w:right w:val="nil"/>
            </w:tcBorders>
            <w:shd w:val="clear" w:color="000000" w:fill="FFFFFF"/>
            <w:noWrap/>
            <w:vAlign w:val="center"/>
            <w:hideMark/>
          </w:tcPr>
          <w:p w14:paraId="7D7426C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270</w:t>
            </w:r>
          </w:p>
        </w:tc>
        <w:tc>
          <w:tcPr>
            <w:tcW w:w="596" w:type="pct"/>
            <w:tcBorders>
              <w:top w:val="nil"/>
              <w:left w:val="nil"/>
              <w:bottom w:val="nil"/>
              <w:right w:val="nil"/>
            </w:tcBorders>
            <w:shd w:val="clear" w:color="000000" w:fill="FFFFFF"/>
            <w:noWrap/>
            <w:vAlign w:val="center"/>
            <w:hideMark/>
          </w:tcPr>
          <w:p w14:paraId="6C008AD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276</w:t>
            </w:r>
          </w:p>
        </w:tc>
        <w:tc>
          <w:tcPr>
            <w:tcW w:w="595" w:type="pct"/>
            <w:tcBorders>
              <w:top w:val="nil"/>
              <w:left w:val="nil"/>
              <w:bottom w:val="nil"/>
              <w:right w:val="nil"/>
            </w:tcBorders>
            <w:shd w:val="clear" w:color="000000" w:fill="FFFFFF"/>
            <w:noWrap/>
            <w:vAlign w:val="center"/>
            <w:hideMark/>
          </w:tcPr>
          <w:p w14:paraId="6BDB3F5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281</w:t>
            </w:r>
          </w:p>
        </w:tc>
      </w:tr>
      <w:tr w:rsidR="00B01968" w:rsidRPr="00B01968" w14:paraId="512C5DD6" w14:textId="77777777" w:rsidTr="000D3856">
        <w:trPr>
          <w:divId w:val="1761102023"/>
          <w:trHeight w:hRule="exact" w:val="225"/>
        </w:trPr>
        <w:tc>
          <w:tcPr>
            <w:tcW w:w="2021" w:type="pct"/>
            <w:tcBorders>
              <w:top w:val="nil"/>
              <w:left w:val="nil"/>
              <w:bottom w:val="nil"/>
              <w:right w:val="nil"/>
            </w:tcBorders>
            <w:shd w:val="clear" w:color="000000" w:fill="FFFFFF"/>
            <w:noWrap/>
            <w:vAlign w:val="center"/>
            <w:hideMark/>
          </w:tcPr>
          <w:p w14:paraId="4FA9BF35"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Other</w:t>
            </w:r>
          </w:p>
        </w:tc>
        <w:tc>
          <w:tcPr>
            <w:tcW w:w="596" w:type="pct"/>
            <w:tcBorders>
              <w:top w:val="nil"/>
              <w:left w:val="nil"/>
              <w:bottom w:val="single" w:sz="4" w:space="0" w:color="002A54" w:themeColor="text2"/>
              <w:right w:val="nil"/>
            </w:tcBorders>
            <w:shd w:val="clear" w:color="000000" w:fill="FFFFFF"/>
            <w:noWrap/>
            <w:vAlign w:val="center"/>
            <w:hideMark/>
          </w:tcPr>
          <w:p w14:paraId="3E1937E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w:t>
            </w:r>
          </w:p>
        </w:tc>
        <w:tc>
          <w:tcPr>
            <w:tcW w:w="596" w:type="pct"/>
            <w:tcBorders>
              <w:top w:val="nil"/>
              <w:left w:val="nil"/>
              <w:bottom w:val="single" w:sz="4" w:space="0" w:color="002A54" w:themeColor="text2"/>
              <w:right w:val="nil"/>
            </w:tcBorders>
            <w:shd w:val="clear" w:color="000000" w:fill="E6F2FF"/>
            <w:noWrap/>
            <w:vAlign w:val="center"/>
            <w:hideMark/>
          </w:tcPr>
          <w:p w14:paraId="6882AF7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w:t>
            </w:r>
          </w:p>
        </w:tc>
        <w:tc>
          <w:tcPr>
            <w:tcW w:w="596" w:type="pct"/>
            <w:tcBorders>
              <w:top w:val="nil"/>
              <w:left w:val="nil"/>
              <w:bottom w:val="single" w:sz="4" w:space="0" w:color="002A54" w:themeColor="text2"/>
              <w:right w:val="nil"/>
            </w:tcBorders>
            <w:shd w:val="clear" w:color="000000" w:fill="FFFFFF"/>
            <w:noWrap/>
            <w:vAlign w:val="center"/>
            <w:hideMark/>
          </w:tcPr>
          <w:p w14:paraId="7891A56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w:t>
            </w:r>
          </w:p>
        </w:tc>
        <w:tc>
          <w:tcPr>
            <w:tcW w:w="596" w:type="pct"/>
            <w:tcBorders>
              <w:top w:val="nil"/>
              <w:left w:val="nil"/>
              <w:bottom w:val="single" w:sz="4" w:space="0" w:color="002A54" w:themeColor="text2"/>
              <w:right w:val="nil"/>
            </w:tcBorders>
            <w:shd w:val="clear" w:color="000000" w:fill="FFFFFF"/>
            <w:noWrap/>
            <w:vAlign w:val="center"/>
            <w:hideMark/>
          </w:tcPr>
          <w:p w14:paraId="0682ECA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w:t>
            </w:r>
          </w:p>
        </w:tc>
        <w:tc>
          <w:tcPr>
            <w:tcW w:w="595" w:type="pct"/>
            <w:tcBorders>
              <w:top w:val="nil"/>
              <w:left w:val="nil"/>
              <w:bottom w:val="single" w:sz="4" w:space="0" w:color="002A54" w:themeColor="text2"/>
              <w:right w:val="nil"/>
            </w:tcBorders>
            <w:shd w:val="clear" w:color="000000" w:fill="FFFFFF"/>
            <w:noWrap/>
            <w:vAlign w:val="center"/>
            <w:hideMark/>
          </w:tcPr>
          <w:p w14:paraId="67BCCD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w:t>
            </w:r>
          </w:p>
        </w:tc>
      </w:tr>
      <w:tr w:rsidR="00B01968" w:rsidRPr="00B01968" w14:paraId="25FF400C" w14:textId="77777777" w:rsidTr="000D3856">
        <w:trPr>
          <w:divId w:val="1761102023"/>
          <w:trHeight w:hRule="exact" w:val="225"/>
        </w:trPr>
        <w:tc>
          <w:tcPr>
            <w:tcW w:w="2021" w:type="pct"/>
            <w:tcBorders>
              <w:top w:val="nil"/>
              <w:left w:val="nil"/>
              <w:bottom w:val="single" w:sz="4" w:space="0" w:color="293F5B"/>
              <w:right w:val="nil"/>
            </w:tcBorders>
            <w:shd w:val="clear" w:color="000000" w:fill="FFFFFF"/>
            <w:noWrap/>
            <w:vAlign w:val="center"/>
            <w:hideMark/>
          </w:tcPr>
          <w:p w14:paraId="2E18C6B7"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078C2A8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39,622</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27477068"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45,123</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7AAFFB94"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47,904</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C5346A4"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50,020</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1C9CE61"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52,174</w:t>
            </w:r>
          </w:p>
        </w:tc>
      </w:tr>
    </w:tbl>
    <w:p w14:paraId="53A7382D" w14:textId="63E932B3" w:rsidR="00C855DF" w:rsidRPr="000177D7" w:rsidRDefault="00C855DF" w:rsidP="00173739">
      <w:pPr>
        <w:pStyle w:val="ChartandTableFootnoteAlpha"/>
        <w:numPr>
          <w:ilvl w:val="0"/>
          <w:numId w:val="15"/>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5122FB93" w14:textId="77777777" w:rsidR="00C855DF" w:rsidRPr="000177D7" w:rsidRDefault="00C855DF" w:rsidP="00C855DF">
      <w:pPr>
        <w:pStyle w:val="TableLine"/>
      </w:pPr>
    </w:p>
    <w:p w14:paraId="778F07D3" w14:textId="5A8D8712" w:rsidR="0050166A" w:rsidRDefault="0050166A" w:rsidP="0050166A">
      <w:pPr>
        <w:rPr>
          <w:rFonts w:eastAsia="Book Antiqua" w:cs="Book Antiqua"/>
        </w:rPr>
      </w:pPr>
      <w:bookmarkStart w:id="85" w:name="_Toc99203685"/>
      <w:bookmarkStart w:id="86" w:name="_Toc117358178"/>
      <w:r w:rsidRPr="000177D7">
        <w:t xml:space="preserve">Expenses for the </w:t>
      </w:r>
      <w:r w:rsidRPr="000177D7">
        <w:rPr>
          <w:b/>
          <w:bCs/>
        </w:rPr>
        <w:t xml:space="preserve">assistance to the unemployed and the sick </w:t>
      </w:r>
      <w:r w:rsidRPr="000177D7">
        <w:t>sub</w:t>
      </w:r>
      <w:r w:rsidR="00D34B95">
        <w:noBreakHyphen/>
      </w:r>
      <w:r w:rsidRPr="000177D7">
        <w:t xml:space="preserve">function are estimated to </w:t>
      </w:r>
      <w:r>
        <w:t xml:space="preserve">increase </w:t>
      </w:r>
      <w:r w:rsidRPr="0021687D">
        <w:t>by 1</w:t>
      </w:r>
      <w:r w:rsidR="009310E8" w:rsidRPr="0021687D">
        <w:t>5.1</w:t>
      </w:r>
      <w:r w:rsidR="00893776">
        <w:t> per </w:t>
      </w:r>
      <w:r w:rsidRPr="0021687D">
        <w:t>cent in nominal terms and increase by 6.</w:t>
      </w:r>
      <w:r w:rsidR="009310E8" w:rsidRPr="0021687D">
        <w:t>3</w:t>
      </w:r>
      <w:r w:rsidR="00893776">
        <w:t> per </w:t>
      </w:r>
      <w:r w:rsidRPr="0021687D">
        <w:t>cent in real terms over the period 2023</w:t>
      </w:r>
      <w:r w:rsidR="00CA3FDE">
        <w:t>–</w:t>
      </w:r>
      <w:r w:rsidRPr="0021687D">
        <w:t>24 to 2026</w:t>
      </w:r>
      <w:r w:rsidR="00CA3FDE">
        <w:t>–</w:t>
      </w:r>
      <w:r w:rsidRPr="0021687D">
        <w:t>27</w:t>
      </w:r>
      <w:r w:rsidR="003F7CEB">
        <w:rPr>
          <w:rFonts w:eastAsia="Book Antiqua" w:cs="Book Antiqua"/>
        </w:rPr>
        <w:t>. This is</w:t>
      </w:r>
      <w:r w:rsidRPr="0021687D">
        <w:rPr>
          <w:rFonts w:eastAsia="Book Antiqua" w:cs="Book Antiqua"/>
        </w:rPr>
        <w:t xml:space="preserve"> </w:t>
      </w:r>
      <w:r w:rsidRPr="0021687D">
        <w:rPr>
          <w:rFonts w:eastAsia="Book Antiqua" w:cs="Book Antiqua"/>
          <w:szCs w:val="19"/>
        </w:rPr>
        <w:t>due to the 2023</w:t>
      </w:r>
      <w:r w:rsidR="00CA3FDE">
        <w:rPr>
          <w:rFonts w:eastAsia="Book Antiqua" w:cs="Book Antiqua"/>
          <w:szCs w:val="19"/>
        </w:rPr>
        <w:t>–</w:t>
      </w:r>
      <w:r w:rsidRPr="0021687D">
        <w:rPr>
          <w:rFonts w:eastAsia="Book Antiqua" w:cs="Book Antiqua"/>
          <w:szCs w:val="19"/>
        </w:rPr>
        <w:t xml:space="preserve">24 Budget measure </w:t>
      </w:r>
      <w:r w:rsidRPr="0021687D">
        <w:rPr>
          <w:rFonts w:eastAsia="Book Antiqua" w:cs="Book Antiqua"/>
          <w:i/>
          <w:iCs/>
          <w:szCs w:val="19"/>
        </w:rPr>
        <w:t>Increase</w:t>
      </w:r>
      <w:r w:rsidR="00136E6F">
        <w:rPr>
          <w:rFonts w:eastAsia="Book Antiqua" w:cs="Book Antiqua"/>
          <w:i/>
          <w:iCs/>
          <w:szCs w:val="19"/>
        </w:rPr>
        <w:t xml:space="preserve"> </w:t>
      </w:r>
      <w:r w:rsidRPr="0021687D">
        <w:rPr>
          <w:rFonts w:eastAsia="Book Antiqua" w:cs="Book Antiqua"/>
          <w:i/>
          <w:iCs/>
          <w:szCs w:val="19"/>
        </w:rPr>
        <w:t>to</w:t>
      </w:r>
      <w:r w:rsidR="00136E6F">
        <w:rPr>
          <w:rFonts w:eastAsia="Book Antiqua" w:cs="Book Antiqua"/>
          <w:i/>
          <w:iCs/>
          <w:szCs w:val="19"/>
        </w:rPr>
        <w:t xml:space="preserve"> </w:t>
      </w:r>
      <w:r w:rsidRPr="0021687D">
        <w:rPr>
          <w:rFonts w:eastAsia="Book Antiqua" w:cs="Book Antiqua"/>
          <w:i/>
          <w:iCs/>
          <w:szCs w:val="19"/>
        </w:rPr>
        <w:t>Working Age Payments</w:t>
      </w:r>
      <w:r w:rsidRPr="0021687D">
        <w:rPr>
          <w:rFonts w:eastAsia="Book Antiqua" w:cs="Book Antiqua"/>
          <w:szCs w:val="19"/>
        </w:rPr>
        <w:t xml:space="preserve"> which</w:t>
      </w:r>
      <w:r>
        <w:rPr>
          <w:rFonts w:eastAsia="Book Antiqua" w:cs="Book Antiqua"/>
          <w:szCs w:val="19"/>
        </w:rPr>
        <w:t xml:space="preserve"> will increase the base rate of working age payments by $40</w:t>
      </w:r>
      <w:r w:rsidR="00893776">
        <w:rPr>
          <w:rFonts w:eastAsia="Book Antiqua" w:cs="Book Antiqua"/>
          <w:szCs w:val="19"/>
        </w:rPr>
        <w:t> per </w:t>
      </w:r>
      <w:r>
        <w:rPr>
          <w:rFonts w:eastAsia="Book Antiqua" w:cs="Book Antiqua"/>
          <w:szCs w:val="19"/>
        </w:rPr>
        <w:t>fortnight from 20 September 2023 and extend eligibility for the existing higher single JobSeeker Payment rate for recipients aged over 60 years to recipients aged 55 years and over who are on the payment for 9 or more continuous months. The increase is also driven by an increase in the expect</w:t>
      </w:r>
      <w:r w:rsidRPr="1523E21E">
        <w:rPr>
          <w:rFonts w:eastAsia="Book Antiqua" w:cs="Book Antiqua"/>
          <w:szCs w:val="19"/>
        </w:rPr>
        <w:t xml:space="preserve">ed </w:t>
      </w:r>
      <w:r>
        <w:rPr>
          <w:rFonts w:eastAsia="Book Antiqua" w:cs="Book Antiqua"/>
          <w:szCs w:val="19"/>
        </w:rPr>
        <w:t>number</w:t>
      </w:r>
      <w:r w:rsidRPr="1523E21E">
        <w:rPr>
          <w:rFonts w:eastAsia="Book Antiqua" w:cs="Book Antiqua"/>
          <w:szCs w:val="19"/>
        </w:rPr>
        <w:t xml:space="preserve"> of recipients </w:t>
      </w:r>
      <w:r>
        <w:rPr>
          <w:rFonts w:eastAsia="Book Antiqua" w:cs="Book Antiqua"/>
          <w:szCs w:val="19"/>
        </w:rPr>
        <w:t xml:space="preserve">as a result of higher anticipated unemployment. </w:t>
      </w:r>
    </w:p>
    <w:p w14:paraId="452C225D" w14:textId="7FF441F9" w:rsidR="0050166A" w:rsidRPr="000177D7" w:rsidRDefault="0050166A" w:rsidP="0050166A">
      <w:bookmarkStart w:id="87" w:name="_Hlk133864723"/>
      <w:bookmarkStart w:id="88" w:name="_Hlk133868144"/>
      <w:r w:rsidRPr="000177D7">
        <w:t>Expenses for</w:t>
      </w:r>
      <w:r>
        <w:t xml:space="preserve"> the </w:t>
      </w:r>
      <w:r w:rsidRPr="000177D7">
        <w:rPr>
          <w:b/>
          <w:bCs/>
        </w:rPr>
        <w:t>other welfare programs</w:t>
      </w:r>
      <w:r w:rsidRPr="000177D7">
        <w:t xml:space="preserve"> sub</w:t>
      </w:r>
      <w:r w:rsidR="00D34B95">
        <w:noBreakHyphen/>
      </w:r>
      <w:r w:rsidRPr="000177D7">
        <w:t xml:space="preserve">function are expected to </w:t>
      </w:r>
      <w:r>
        <w:t xml:space="preserve">decrease </w:t>
      </w:r>
      <w:bookmarkEnd w:id="87"/>
      <w:r>
        <w:t xml:space="preserve">as a result of the termination of the extended support for the </w:t>
      </w:r>
      <w:r>
        <w:rPr>
          <w:i/>
          <w:iCs/>
        </w:rPr>
        <w:t xml:space="preserve">Family and Domestic and Sexual Violence Responses National Partnership Agreement </w:t>
      </w:r>
      <w:r>
        <w:t>on 30 June 2025</w:t>
      </w:r>
      <w:r w:rsidRPr="000177D7">
        <w:t>.</w:t>
      </w:r>
    </w:p>
    <w:bookmarkEnd w:id="88"/>
    <w:p w14:paraId="1310C610" w14:textId="77777777" w:rsidR="00136E6F" w:rsidRDefault="0050166A" w:rsidP="0050166A">
      <w:pPr>
        <w:rPr>
          <w:iCs/>
        </w:rPr>
      </w:pPr>
      <w:r w:rsidRPr="003B50FE">
        <w:t>Expenditure to support First Nations people</w:t>
      </w:r>
      <w:r>
        <w:t xml:space="preserve"> is reported across several functions. </w:t>
      </w:r>
      <w:r w:rsidRPr="003B50FE">
        <w:t>In this Budget, the Government is investing $1.9</w:t>
      </w:r>
      <w:r w:rsidR="00C15DD5">
        <w:t> </w:t>
      </w:r>
      <w:r w:rsidRPr="003B50FE">
        <w:t>billion over the period 2022</w:t>
      </w:r>
      <w:r w:rsidR="00CA3FDE">
        <w:t>–</w:t>
      </w:r>
      <w:r w:rsidRPr="003B50FE">
        <w:t xml:space="preserve">23 to </w:t>
      </w:r>
      <w:r w:rsidR="00CA3FDE">
        <w:t>2026–</w:t>
      </w:r>
      <w:r w:rsidRPr="003B50FE">
        <w:t>27 in measures that provide critical investment in key areas of health, aged care, infrastructure, employment, justice, women</w:t>
      </w:r>
      <w:r w:rsidR="00D34B95">
        <w:t>’</w:t>
      </w:r>
      <w:r w:rsidRPr="003B50FE">
        <w:t xml:space="preserve">s safety and housing initiatives for First Nations people. </w:t>
      </w:r>
      <w:r>
        <w:t xml:space="preserve">While the Government is increasing expenditure across a range of functions to support First Nations people and drive progress against targets and priority reforms under the </w:t>
      </w:r>
      <w:r>
        <w:rPr>
          <w:i/>
          <w:iCs/>
        </w:rPr>
        <w:t>National Agreement on Closing the Gap</w:t>
      </w:r>
      <w:r>
        <w:t>, e</w:t>
      </w:r>
      <w:r w:rsidRPr="000177D7">
        <w:t xml:space="preserve">xpenses for the </w:t>
      </w:r>
      <w:r w:rsidRPr="000177D7">
        <w:rPr>
          <w:b/>
        </w:rPr>
        <w:t xml:space="preserve">assistance for Indigenous Australians not elsewhere classified (nec) </w:t>
      </w:r>
      <w:r w:rsidRPr="000177D7">
        <w:t>sub</w:t>
      </w:r>
      <w:r w:rsidR="00D34B95">
        <w:noBreakHyphen/>
      </w:r>
      <w:r w:rsidRPr="000177D7">
        <w:t xml:space="preserve">function are estimated to </w:t>
      </w:r>
      <w:r>
        <w:t xml:space="preserve">decrease. This is </w:t>
      </w:r>
      <w:r w:rsidRPr="000177D7">
        <w:t>due to the cessation of payments from the Commonwealth to the Northern Territory under the National Partnership on Northern Territory Remote Aboriginal Investment</w:t>
      </w:r>
      <w:r w:rsidRPr="000177D7">
        <w:rPr>
          <w:i/>
        </w:rPr>
        <w:t xml:space="preserve"> </w:t>
      </w:r>
      <w:r w:rsidRPr="000177D7">
        <w:t>which terminates 30 June 2024</w:t>
      </w:r>
      <w:r>
        <w:t xml:space="preserve"> </w:t>
      </w:r>
      <w:r w:rsidRPr="000177D7">
        <w:t xml:space="preserve">and </w:t>
      </w:r>
      <w:r>
        <w:t>terminating</w:t>
      </w:r>
      <w:r w:rsidRPr="000177D7">
        <w:t xml:space="preserve"> initiatives under the Indigenous Advancement Strategy</w:t>
      </w:r>
      <w:r w:rsidRPr="000177D7">
        <w:rPr>
          <w:i/>
        </w:rPr>
        <w:t>.</w:t>
      </w:r>
      <w:r>
        <w:rPr>
          <w:i/>
        </w:rPr>
        <w:t xml:space="preserve"> </w:t>
      </w:r>
      <w:r>
        <w:rPr>
          <w:iCs/>
        </w:rPr>
        <w:t xml:space="preserve">The Government is currently working in partnership with the Aboriginal Peak Organisations Northern Territory and the Northern Territory Government to design options for future investment in remote Aboriginal communities. </w:t>
      </w:r>
    </w:p>
    <w:p w14:paraId="492F153D" w14:textId="6ED5970D" w:rsidR="0050166A" w:rsidRPr="000177D7" w:rsidRDefault="00012D16" w:rsidP="0050166A">
      <w:r>
        <w:rPr>
          <w:iCs/>
        </w:rPr>
        <w:br w:type="page"/>
      </w:r>
    </w:p>
    <w:p w14:paraId="1C0192FC" w14:textId="0DEF250F" w:rsidR="004A5EC1" w:rsidRPr="000177D7" w:rsidRDefault="0050166A" w:rsidP="0050166A">
      <w:r w:rsidRPr="000177D7">
        <w:lastRenderedPageBreak/>
        <w:t xml:space="preserve">Expenses for the </w:t>
      </w:r>
      <w:r w:rsidRPr="000177D7">
        <w:rPr>
          <w:b/>
          <w:bCs/>
        </w:rPr>
        <w:t xml:space="preserve">general administration </w:t>
      </w:r>
      <w:r w:rsidRPr="000177D7">
        <w:t>sub</w:t>
      </w:r>
      <w:r w:rsidR="00D34B95">
        <w:noBreakHyphen/>
      </w:r>
      <w:r w:rsidRPr="000177D7">
        <w:t xml:space="preserve">function are estimated to </w:t>
      </w:r>
      <w:r>
        <w:t>decrease over the period 2023</w:t>
      </w:r>
      <w:r w:rsidR="00CA3FDE">
        <w:t>–</w:t>
      </w:r>
      <w:r>
        <w:t>24 to 2026</w:t>
      </w:r>
      <w:r w:rsidR="00CA3FDE">
        <w:t>–</w:t>
      </w:r>
      <w:r>
        <w:t>27 reflecting the cessation of additional funding to respond to the COVID</w:t>
      </w:r>
      <w:r w:rsidR="00D34B95">
        <w:noBreakHyphen/>
      </w:r>
      <w:r>
        <w:t>19 pandemic as well as the implementation of measures by Services Australia that involve higher upfront service delivery and ICT costs.</w:t>
      </w:r>
      <w:r w:rsidR="004A5EC1">
        <w:t xml:space="preserve"> </w:t>
      </w:r>
    </w:p>
    <w:p w14:paraId="79FD95F8" w14:textId="77777777" w:rsidR="00C855DF" w:rsidRPr="000177D7" w:rsidRDefault="00C855DF" w:rsidP="00C855DF">
      <w:pPr>
        <w:pStyle w:val="Heading3"/>
      </w:pPr>
      <w:bookmarkStart w:id="89" w:name="_Toc134169619"/>
      <w:r w:rsidRPr="000177D7">
        <w:t xml:space="preserve">Housing and community </w:t>
      </w:r>
      <w:bookmarkEnd w:id="85"/>
      <w:r w:rsidRPr="000177D7">
        <w:t>amenities</w:t>
      </w:r>
      <w:bookmarkEnd w:id="86"/>
      <w:bookmarkEnd w:id="89"/>
    </w:p>
    <w:p w14:paraId="1948ACDE" w14:textId="32FEF0F4" w:rsidR="004A5EC1" w:rsidRPr="004B5DD9" w:rsidRDefault="004A5EC1" w:rsidP="004B5DD9">
      <w:bookmarkStart w:id="90" w:name="_Toc4577276"/>
      <w:bookmarkStart w:id="91" w:name="_Toc4689188"/>
      <w:r w:rsidRPr="004B5DD9">
        <w:t>The housing and community amenities function includes expenses for the Government</w:t>
      </w:r>
      <w:r w:rsidR="00D34B95" w:rsidRPr="004B5DD9">
        <w:t>’</w:t>
      </w:r>
      <w:r w:rsidRPr="004B5DD9">
        <w:t>s contribution to the National Housing and Homelessness Agreement, other Australian Government housing programs, the expenses of Defence Housing Australia (DHA), urban and regional development programs and environmental protection initiatives.</w:t>
      </w:r>
    </w:p>
    <w:p w14:paraId="486CA40C" w14:textId="75A55CE2" w:rsidR="00B01968" w:rsidRDefault="00C855DF" w:rsidP="00B01968">
      <w:pPr>
        <w:pStyle w:val="TableHeading"/>
        <w:rPr>
          <w:rFonts w:asciiTheme="minorHAnsi" w:eastAsiaTheme="minorHAnsi" w:hAnsiTheme="minorHAnsi" w:cstheme="minorBidi"/>
          <w:sz w:val="22"/>
          <w:szCs w:val="22"/>
          <w:lang w:eastAsia="en-US"/>
        </w:rPr>
      </w:pPr>
      <w:r w:rsidRPr="000177D7">
        <w:t>Table 6.10: Summary of expenses – housing and community amenities</w:t>
      </w:r>
      <w:bookmarkStart w:id="92" w:name="_1555615971"/>
      <w:bookmarkStart w:id="93" w:name="_1727774323"/>
      <w:bookmarkEnd w:id="92"/>
      <w:bookmarkEnd w:id="93"/>
    </w:p>
    <w:tbl>
      <w:tblPr>
        <w:tblW w:w="5000" w:type="pct"/>
        <w:tblCellMar>
          <w:left w:w="0" w:type="dxa"/>
          <w:right w:w="28" w:type="dxa"/>
        </w:tblCellMar>
        <w:tblLook w:val="04A0" w:firstRow="1" w:lastRow="0" w:firstColumn="1" w:lastColumn="0" w:noHBand="0" w:noVBand="1"/>
      </w:tblPr>
      <w:tblGrid>
        <w:gridCol w:w="3638"/>
        <w:gridCol w:w="816"/>
        <w:gridCol w:w="814"/>
        <w:gridCol w:w="814"/>
        <w:gridCol w:w="814"/>
        <w:gridCol w:w="814"/>
      </w:tblGrid>
      <w:tr w:rsidR="00B01968" w:rsidRPr="00B01968" w14:paraId="36BFD29A" w14:textId="77777777" w:rsidTr="000D3856">
        <w:trPr>
          <w:divId w:val="1688945257"/>
          <w:trHeight w:hRule="exact" w:val="225"/>
        </w:trPr>
        <w:tc>
          <w:tcPr>
            <w:tcW w:w="2359" w:type="pct"/>
            <w:tcBorders>
              <w:top w:val="single" w:sz="4" w:space="0" w:color="002A54" w:themeColor="text2"/>
              <w:left w:val="nil"/>
              <w:right w:val="nil"/>
            </w:tcBorders>
            <w:shd w:val="clear" w:color="000000" w:fill="FFFFFF"/>
            <w:noWrap/>
            <w:vAlign w:val="center"/>
            <w:hideMark/>
          </w:tcPr>
          <w:p w14:paraId="58A6659F" w14:textId="3C9DF551"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41"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02955A8F"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58744623" w14:textId="77777777" w:rsidTr="000D3856">
        <w:trPr>
          <w:divId w:val="1688945257"/>
          <w:trHeight w:hRule="exact" w:val="225"/>
        </w:trPr>
        <w:tc>
          <w:tcPr>
            <w:tcW w:w="2359" w:type="pct"/>
            <w:tcBorders>
              <w:left w:val="nil"/>
              <w:bottom w:val="nil"/>
              <w:right w:val="nil"/>
            </w:tcBorders>
            <w:shd w:val="clear" w:color="000000" w:fill="FFFFFF"/>
            <w:noWrap/>
            <w:vAlign w:val="bottom"/>
            <w:hideMark/>
          </w:tcPr>
          <w:p w14:paraId="77FF2FB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single" w:sz="4" w:space="0" w:color="002A54" w:themeColor="text2"/>
              <w:left w:val="nil"/>
              <w:right w:val="nil"/>
            </w:tcBorders>
            <w:shd w:val="clear" w:color="000000" w:fill="FFFFFF"/>
            <w:noWrap/>
            <w:vAlign w:val="center"/>
            <w:hideMark/>
          </w:tcPr>
          <w:p w14:paraId="13D590AA"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2022–23</w:t>
            </w:r>
          </w:p>
        </w:tc>
        <w:tc>
          <w:tcPr>
            <w:tcW w:w="528" w:type="pct"/>
            <w:tcBorders>
              <w:top w:val="single" w:sz="4" w:space="0" w:color="002A54" w:themeColor="text2"/>
              <w:left w:val="nil"/>
              <w:right w:val="nil"/>
            </w:tcBorders>
            <w:shd w:val="clear" w:color="000000" w:fill="E6F2FF"/>
            <w:noWrap/>
            <w:vAlign w:val="center"/>
            <w:hideMark/>
          </w:tcPr>
          <w:p w14:paraId="031B8AE0"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8" w:type="pct"/>
            <w:tcBorders>
              <w:top w:val="single" w:sz="4" w:space="0" w:color="002A54" w:themeColor="text2"/>
              <w:left w:val="nil"/>
              <w:right w:val="nil"/>
            </w:tcBorders>
            <w:shd w:val="clear" w:color="000000" w:fill="FFFFFF"/>
            <w:noWrap/>
            <w:vAlign w:val="center"/>
            <w:hideMark/>
          </w:tcPr>
          <w:p w14:paraId="52AB60EE"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8" w:type="pct"/>
            <w:tcBorders>
              <w:top w:val="single" w:sz="4" w:space="0" w:color="002A54" w:themeColor="text2"/>
              <w:left w:val="nil"/>
              <w:right w:val="nil"/>
            </w:tcBorders>
            <w:shd w:val="clear" w:color="000000" w:fill="FFFFFF"/>
            <w:noWrap/>
            <w:vAlign w:val="center"/>
            <w:hideMark/>
          </w:tcPr>
          <w:p w14:paraId="13B27517"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8" w:type="pct"/>
            <w:tcBorders>
              <w:top w:val="single" w:sz="4" w:space="0" w:color="002A54" w:themeColor="text2"/>
              <w:left w:val="nil"/>
              <w:right w:val="nil"/>
            </w:tcBorders>
            <w:shd w:val="clear" w:color="000000" w:fill="FFFFFF"/>
            <w:noWrap/>
            <w:vAlign w:val="center"/>
            <w:hideMark/>
          </w:tcPr>
          <w:p w14:paraId="4042A9A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0AD23371" w14:textId="77777777" w:rsidTr="000D3856">
        <w:trPr>
          <w:divId w:val="1688945257"/>
          <w:trHeight w:hRule="exact" w:val="225"/>
        </w:trPr>
        <w:tc>
          <w:tcPr>
            <w:tcW w:w="2359" w:type="pct"/>
            <w:tcBorders>
              <w:top w:val="nil"/>
              <w:left w:val="nil"/>
              <w:bottom w:val="nil"/>
              <w:right w:val="nil"/>
            </w:tcBorders>
            <w:shd w:val="clear" w:color="000000" w:fill="FFFFFF"/>
            <w:noWrap/>
            <w:vAlign w:val="center"/>
            <w:hideMark/>
          </w:tcPr>
          <w:p w14:paraId="7FB382F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nil"/>
              <w:left w:val="nil"/>
              <w:bottom w:val="single" w:sz="4" w:space="0" w:color="002A54" w:themeColor="text2"/>
              <w:right w:val="nil"/>
            </w:tcBorders>
            <w:shd w:val="clear" w:color="000000" w:fill="FFFFFF"/>
            <w:noWrap/>
            <w:vAlign w:val="center"/>
            <w:hideMark/>
          </w:tcPr>
          <w:p w14:paraId="24B3CD7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E6F2FF"/>
            <w:noWrap/>
            <w:vAlign w:val="center"/>
            <w:hideMark/>
          </w:tcPr>
          <w:p w14:paraId="20DE2DC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068E826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242CBCB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634FE35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7459F810" w14:textId="77777777" w:rsidTr="000D3856">
        <w:trPr>
          <w:divId w:val="1688945257"/>
          <w:trHeight w:hRule="exact" w:val="225"/>
        </w:trPr>
        <w:tc>
          <w:tcPr>
            <w:tcW w:w="2359" w:type="pct"/>
            <w:tcBorders>
              <w:top w:val="nil"/>
              <w:left w:val="nil"/>
              <w:bottom w:val="nil"/>
              <w:right w:val="nil"/>
            </w:tcBorders>
            <w:shd w:val="clear" w:color="000000" w:fill="FFFFFF"/>
            <w:noWrap/>
            <w:vAlign w:val="center"/>
            <w:hideMark/>
          </w:tcPr>
          <w:p w14:paraId="3D0C228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Housing</w:t>
            </w:r>
          </w:p>
        </w:tc>
        <w:tc>
          <w:tcPr>
            <w:tcW w:w="529" w:type="pct"/>
            <w:tcBorders>
              <w:top w:val="single" w:sz="4" w:space="0" w:color="002A54" w:themeColor="text2"/>
              <w:left w:val="nil"/>
              <w:bottom w:val="nil"/>
              <w:right w:val="nil"/>
            </w:tcBorders>
            <w:shd w:val="clear" w:color="000000" w:fill="FFFFFF"/>
            <w:noWrap/>
            <w:vAlign w:val="center"/>
            <w:hideMark/>
          </w:tcPr>
          <w:p w14:paraId="15969DB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3,460</w:t>
            </w:r>
          </w:p>
        </w:tc>
        <w:tc>
          <w:tcPr>
            <w:tcW w:w="528" w:type="pct"/>
            <w:tcBorders>
              <w:top w:val="single" w:sz="4" w:space="0" w:color="002A54" w:themeColor="text2"/>
              <w:left w:val="nil"/>
              <w:bottom w:val="nil"/>
              <w:right w:val="nil"/>
            </w:tcBorders>
            <w:shd w:val="clear" w:color="000000" w:fill="E6F2FF"/>
            <w:noWrap/>
            <w:vAlign w:val="center"/>
            <w:hideMark/>
          </w:tcPr>
          <w:p w14:paraId="4E2E5B0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3,466</w:t>
            </w:r>
          </w:p>
        </w:tc>
        <w:tc>
          <w:tcPr>
            <w:tcW w:w="528" w:type="pct"/>
            <w:tcBorders>
              <w:top w:val="single" w:sz="4" w:space="0" w:color="002A54" w:themeColor="text2"/>
              <w:left w:val="nil"/>
              <w:bottom w:val="nil"/>
              <w:right w:val="nil"/>
            </w:tcBorders>
            <w:shd w:val="clear" w:color="000000" w:fill="FFFFFF"/>
            <w:noWrap/>
            <w:vAlign w:val="center"/>
            <w:hideMark/>
          </w:tcPr>
          <w:p w14:paraId="6367606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3,474</w:t>
            </w:r>
          </w:p>
        </w:tc>
        <w:tc>
          <w:tcPr>
            <w:tcW w:w="528" w:type="pct"/>
            <w:tcBorders>
              <w:top w:val="single" w:sz="4" w:space="0" w:color="002A54" w:themeColor="text2"/>
              <w:left w:val="nil"/>
              <w:bottom w:val="nil"/>
              <w:right w:val="nil"/>
            </w:tcBorders>
            <w:shd w:val="clear" w:color="000000" w:fill="FFFFFF"/>
            <w:noWrap/>
            <w:vAlign w:val="center"/>
            <w:hideMark/>
          </w:tcPr>
          <w:p w14:paraId="0FE9499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3,364</w:t>
            </w:r>
          </w:p>
        </w:tc>
        <w:tc>
          <w:tcPr>
            <w:tcW w:w="528" w:type="pct"/>
            <w:tcBorders>
              <w:top w:val="single" w:sz="4" w:space="0" w:color="002A54" w:themeColor="text2"/>
              <w:left w:val="nil"/>
              <w:bottom w:val="nil"/>
              <w:right w:val="nil"/>
            </w:tcBorders>
            <w:shd w:val="clear" w:color="000000" w:fill="FFFFFF"/>
            <w:noWrap/>
            <w:vAlign w:val="center"/>
            <w:hideMark/>
          </w:tcPr>
          <w:p w14:paraId="03B93CB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3,397</w:t>
            </w:r>
          </w:p>
        </w:tc>
      </w:tr>
      <w:tr w:rsidR="00B01968" w:rsidRPr="00B01968" w14:paraId="0FCCB5B6" w14:textId="77777777" w:rsidTr="000D3856">
        <w:trPr>
          <w:divId w:val="1688945257"/>
          <w:trHeight w:hRule="exact" w:val="225"/>
        </w:trPr>
        <w:tc>
          <w:tcPr>
            <w:tcW w:w="2359" w:type="pct"/>
            <w:tcBorders>
              <w:top w:val="nil"/>
              <w:left w:val="nil"/>
              <w:bottom w:val="nil"/>
              <w:right w:val="nil"/>
            </w:tcBorders>
            <w:shd w:val="clear" w:color="000000" w:fill="FFFFFF"/>
            <w:noWrap/>
            <w:vAlign w:val="center"/>
            <w:hideMark/>
          </w:tcPr>
          <w:p w14:paraId="3A8E6CA2"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Urban and regional development</w:t>
            </w:r>
          </w:p>
        </w:tc>
        <w:tc>
          <w:tcPr>
            <w:tcW w:w="529" w:type="pct"/>
            <w:tcBorders>
              <w:top w:val="nil"/>
              <w:left w:val="nil"/>
              <w:right w:val="nil"/>
            </w:tcBorders>
            <w:shd w:val="clear" w:color="000000" w:fill="FFFFFF"/>
            <w:noWrap/>
            <w:vAlign w:val="center"/>
            <w:hideMark/>
          </w:tcPr>
          <w:p w14:paraId="04EA4F3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1,980</w:t>
            </w:r>
          </w:p>
        </w:tc>
        <w:tc>
          <w:tcPr>
            <w:tcW w:w="528" w:type="pct"/>
            <w:tcBorders>
              <w:top w:val="nil"/>
              <w:left w:val="nil"/>
              <w:right w:val="nil"/>
            </w:tcBorders>
            <w:shd w:val="clear" w:color="000000" w:fill="E6F2FF"/>
            <w:noWrap/>
            <w:vAlign w:val="center"/>
            <w:hideMark/>
          </w:tcPr>
          <w:p w14:paraId="2BED5B4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2,104</w:t>
            </w:r>
          </w:p>
        </w:tc>
        <w:tc>
          <w:tcPr>
            <w:tcW w:w="528" w:type="pct"/>
            <w:tcBorders>
              <w:top w:val="nil"/>
              <w:left w:val="nil"/>
              <w:right w:val="nil"/>
            </w:tcBorders>
            <w:shd w:val="clear" w:color="000000" w:fill="FFFFFF"/>
            <w:noWrap/>
            <w:vAlign w:val="center"/>
            <w:hideMark/>
          </w:tcPr>
          <w:p w14:paraId="4BD28C8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2,265</w:t>
            </w:r>
          </w:p>
        </w:tc>
        <w:tc>
          <w:tcPr>
            <w:tcW w:w="528" w:type="pct"/>
            <w:tcBorders>
              <w:top w:val="nil"/>
              <w:left w:val="nil"/>
              <w:right w:val="nil"/>
            </w:tcBorders>
            <w:shd w:val="clear" w:color="000000" w:fill="FFFFFF"/>
            <w:noWrap/>
            <w:vAlign w:val="center"/>
            <w:hideMark/>
          </w:tcPr>
          <w:p w14:paraId="6765EE8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2,069</w:t>
            </w:r>
          </w:p>
        </w:tc>
        <w:tc>
          <w:tcPr>
            <w:tcW w:w="528" w:type="pct"/>
            <w:tcBorders>
              <w:top w:val="nil"/>
              <w:left w:val="nil"/>
              <w:right w:val="nil"/>
            </w:tcBorders>
            <w:shd w:val="clear" w:color="000000" w:fill="FFFFFF"/>
            <w:noWrap/>
            <w:vAlign w:val="center"/>
            <w:hideMark/>
          </w:tcPr>
          <w:p w14:paraId="4C7DC3C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717</w:t>
            </w:r>
          </w:p>
        </w:tc>
      </w:tr>
      <w:tr w:rsidR="00B01968" w:rsidRPr="00B01968" w14:paraId="32D5703C" w14:textId="77777777" w:rsidTr="000D3856">
        <w:trPr>
          <w:divId w:val="1688945257"/>
          <w:trHeight w:hRule="exact" w:val="225"/>
        </w:trPr>
        <w:tc>
          <w:tcPr>
            <w:tcW w:w="2359" w:type="pct"/>
            <w:tcBorders>
              <w:top w:val="nil"/>
              <w:left w:val="nil"/>
              <w:bottom w:val="nil"/>
              <w:right w:val="nil"/>
            </w:tcBorders>
            <w:shd w:val="clear" w:color="000000" w:fill="FFFFFF"/>
            <w:noWrap/>
            <w:vAlign w:val="center"/>
            <w:hideMark/>
          </w:tcPr>
          <w:p w14:paraId="3B63C9B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Environment protection</w:t>
            </w:r>
          </w:p>
        </w:tc>
        <w:tc>
          <w:tcPr>
            <w:tcW w:w="529" w:type="pct"/>
            <w:tcBorders>
              <w:top w:val="nil"/>
              <w:left w:val="nil"/>
              <w:bottom w:val="single" w:sz="4" w:space="0" w:color="002A54" w:themeColor="text2"/>
              <w:right w:val="nil"/>
            </w:tcBorders>
            <w:shd w:val="clear" w:color="000000" w:fill="FFFFFF"/>
            <w:noWrap/>
            <w:vAlign w:val="center"/>
            <w:hideMark/>
          </w:tcPr>
          <w:p w14:paraId="7E3ED0C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1,696</w:t>
            </w:r>
          </w:p>
        </w:tc>
        <w:tc>
          <w:tcPr>
            <w:tcW w:w="528" w:type="pct"/>
            <w:tcBorders>
              <w:top w:val="nil"/>
              <w:left w:val="nil"/>
              <w:bottom w:val="single" w:sz="4" w:space="0" w:color="002A54" w:themeColor="text2"/>
              <w:right w:val="nil"/>
            </w:tcBorders>
            <w:shd w:val="clear" w:color="000000" w:fill="E6F2FF"/>
            <w:noWrap/>
            <w:vAlign w:val="center"/>
            <w:hideMark/>
          </w:tcPr>
          <w:p w14:paraId="4ADBD42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2,369</w:t>
            </w:r>
          </w:p>
        </w:tc>
        <w:tc>
          <w:tcPr>
            <w:tcW w:w="528" w:type="pct"/>
            <w:tcBorders>
              <w:top w:val="nil"/>
              <w:left w:val="nil"/>
              <w:bottom w:val="single" w:sz="4" w:space="0" w:color="002A54" w:themeColor="text2"/>
              <w:right w:val="nil"/>
            </w:tcBorders>
            <w:shd w:val="clear" w:color="000000" w:fill="FFFFFF"/>
            <w:noWrap/>
            <w:vAlign w:val="center"/>
            <w:hideMark/>
          </w:tcPr>
          <w:p w14:paraId="6E65E99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2,335</w:t>
            </w:r>
          </w:p>
        </w:tc>
        <w:tc>
          <w:tcPr>
            <w:tcW w:w="528" w:type="pct"/>
            <w:tcBorders>
              <w:top w:val="nil"/>
              <w:left w:val="nil"/>
              <w:bottom w:val="single" w:sz="4" w:space="0" w:color="002A54" w:themeColor="text2"/>
              <w:right w:val="nil"/>
            </w:tcBorders>
            <w:shd w:val="clear" w:color="000000" w:fill="FFFFFF"/>
            <w:noWrap/>
            <w:vAlign w:val="center"/>
            <w:hideMark/>
          </w:tcPr>
          <w:p w14:paraId="56BF9D3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2,334</w:t>
            </w:r>
          </w:p>
        </w:tc>
        <w:tc>
          <w:tcPr>
            <w:tcW w:w="528" w:type="pct"/>
            <w:tcBorders>
              <w:top w:val="nil"/>
              <w:left w:val="nil"/>
              <w:bottom w:val="single" w:sz="4" w:space="0" w:color="002A54" w:themeColor="text2"/>
              <w:right w:val="nil"/>
            </w:tcBorders>
            <w:shd w:val="clear" w:color="000000" w:fill="FFFFFF"/>
            <w:noWrap/>
            <w:vAlign w:val="center"/>
            <w:hideMark/>
          </w:tcPr>
          <w:p w14:paraId="0FFE88D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1,750</w:t>
            </w:r>
          </w:p>
        </w:tc>
      </w:tr>
      <w:tr w:rsidR="00B01968" w:rsidRPr="00B01968" w14:paraId="18452A80" w14:textId="77777777" w:rsidTr="000D3856">
        <w:trPr>
          <w:divId w:val="1688945257"/>
          <w:trHeight w:hRule="exact" w:val="225"/>
        </w:trPr>
        <w:tc>
          <w:tcPr>
            <w:tcW w:w="2359" w:type="pct"/>
            <w:tcBorders>
              <w:top w:val="nil"/>
              <w:left w:val="nil"/>
              <w:bottom w:val="single" w:sz="4" w:space="0" w:color="002A54" w:themeColor="text2"/>
              <w:right w:val="nil"/>
            </w:tcBorders>
            <w:shd w:val="clear" w:color="000000" w:fill="FFFFFF"/>
            <w:noWrap/>
            <w:vAlign w:val="center"/>
            <w:hideMark/>
          </w:tcPr>
          <w:p w14:paraId="413F817E"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 housing and community amenities</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3C57947E"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7,135</w:t>
            </w:r>
          </w:p>
        </w:tc>
        <w:tc>
          <w:tcPr>
            <w:tcW w:w="528" w:type="pct"/>
            <w:tcBorders>
              <w:top w:val="single" w:sz="4" w:space="0" w:color="002A54" w:themeColor="text2"/>
              <w:left w:val="nil"/>
              <w:bottom w:val="single" w:sz="4" w:space="0" w:color="002A54" w:themeColor="text2"/>
              <w:right w:val="nil"/>
            </w:tcBorders>
            <w:shd w:val="clear" w:color="000000" w:fill="E6F2FF"/>
            <w:noWrap/>
            <w:vAlign w:val="center"/>
            <w:hideMark/>
          </w:tcPr>
          <w:p w14:paraId="06E877D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7,940</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1F49892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8,074</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631FA38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7,767</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4FD0CC94"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5,864</w:t>
            </w:r>
          </w:p>
        </w:tc>
      </w:tr>
    </w:tbl>
    <w:p w14:paraId="6253A20D" w14:textId="22E2E62F" w:rsidR="0050166A" w:rsidRDefault="0050166A" w:rsidP="0050166A">
      <w:bookmarkStart w:id="94" w:name="_Hlk133659064"/>
      <w:bookmarkStart w:id="95" w:name="_Toc99203686"/>
      <w:bookmarkStart w:id="96" w:name="_Toc117358179"/>
      <w:r w:rsidRPr="000177D7">
        <w:t xml:space="preserve">Total </w:t>
      </w:r>
      <w:r w:rsidRPr="0021687D">
        <w:t>expenses under the housing and community amenities function are expected to decrease by 26.1</w:t>
      </w:r>
      <w:r w:rsidR="00893776">
        <w:t> per </w:t>
      </w:r>
      <w:r w:rsidRPr="0021687D">
        <w:t xml:space="preserve">cent in nominal </w:t>
      </w:r>
      <w:r w:rsidR="007E2B7A">
        <w:t xml:space="preserve">terms </w:t>
      </w:r>
      <w:r w:rsidRPr="0021687D">
        <w:t>and by 31.</w:t>
      </w:r>
      <w:r w:rsidR="009310E8" w:rsidRPr="0021687D">
        <w:t>8</w:t>
      </w:r>
      <w:r w:rsidR="00893776">
        <w:t> per </w:t>
      </w:r>
      <w:r w:rsidRPr="0021687D">
        <w:t>cent in real terms over the period 2023</w:t>
      </w:r>
      <w:r w:rsidR="00CA3FDE">
        <w:t>–</w:t>
      </w:r>
      <w:r w:rsidRPr="0021687D">
        <w:t>24 to 2026</w:t>
      </w:r>
      <w:r w:rsidR="00CA3FDE">
        <w:t>–</w:t>
      </w:r>
      <w:r w:rsidRPr="0021687D">
        <w:t>27.</w:t>
      </w:r>
    </w:p>
    <w:p w14:paraId="3D7CB818" w14:textId="1C2B7250" w:rsidR="0050166A" w:rsidRPr="00205C70" w:rsidRDefault="0050166A" w:rsidP="0050166A">
      <w:r>
        <w:t xml:space="preserve">The Government </w:t>
      </w:r>
      <w:r w:rsidRPr="0021687D">
        <w:t xml:space="preserve">is addressing concerns about rental affordability through the </w:t>
      </w:r>
      <w:r w:rsidR="00257A7A">
        <w:br/>
      </w:r>
      <w:r w:rsidRPr="0021687D">
        <w:t>2023</w:t>
      </w:r>
      <w:r w:rsidR="00E1627B">
        <w:t>–</w:t>
      </w:r>
      <w:r w:rsidRPr="0021687D">
        <w:t>24</w:t>
      </w:r>
      <w:r w:rsidR="00E1627B">
        <w:t xml:space="preserve"> </w:t>
      </w:r>
      <w:r w:rsidRPr="0021687D">
        <w:t xml:space="preserve">Budget measure </w:t>
      </w:r>
      <w:r w:rsidR="0021687D" w:rsidRPr="0021687D">
        <w:rPr>
          <w:i/>
          <w:iCs/>
        </w:rPr>
        <w:t>Increased Support for Commonwealth Rent Assistance Recipients</w:t>
      </w:r>
      <w:r>
        <w:t xml:space="preserve">. This additional support </w:t>
      </w:r>
      <w:r w:rsidRPr="0021687D">
        <w:t>of $2.7 billion over the five years to 2026</w:t>
      </w:r>
      <w:r w:rsidR="00CA3FDE">
        <w:t>–</w:t>
      </w:r>
      <w:r w:rsidRPr="0021687D">
        <w:t>27 is reported in a range of sub</w:t>
      </w:r>
      <w:r w:rsidR="00D34B95">
        <w:noBreakHyphen/>
      </w:r>
      <w:r w:rsidRPr="0021687D">
        <w:t>functions in the social security</w:t>
      </w:r>
      <w:r>
        <w:t xml:space="preserve"> and welfare function.</w:t>
      </w:r>
    </w:p>
    <w:p w14:paraId="74AF55B8" w14:textId="7091D88A" w:rsidR="0050166A" w:rsidRDefault="0050166A" w:rsidP="00025345">
      <w:bookmarkStart w:id="97" w:name="_Hlk133858277"/>
      <w:r w:rsidRPr="000177D7">
        <w:t xml:space="preserve">The </w:t>
      </w:r>
      <w:r w:rsidRPr="000177D7">
        <w:rPr>
          <w:b/>
        </w:rPr>
        <w:t xml:space="preserve">housing </w:t>
      </w:r>
      <w:r w:rsidRPr="000177D7">
        <w:t>sub</w:t>
      </w:r>
      <w:r w:rsidR="00D34B95">
        <w:noBreakHyphen/>
      </w:r>
      <w:r w:rsidRPr="000177D7">
        <w:t>function includes the Government</w:t>
      </w:r>
      <w:r w:rsidR="00D34B95">
        <w:t>’</w:t>
      </w:r>
      <w:r w:rsidRPr="000177D7">
        <w:t>s contribution to the National Housing and Homelessness Agreement, the provision of housing for the general</w:t>
      </w:r>
      <w:r>
        <w:t xml:space="preserve"> </w:t>
      </w:r>
      <w:r w:rsidRPr="000177D7">
        <w:t>public and people with special needs, and DHA expenses. Expenses for this sub</w:t>
      </w:r>
      <w:r w:rsidR="00D34B95">
        <w:noBreakHyphen/>
      </w:r>
      <w:r w:rsidRPr="000177D7">
        <w:t xml:space="preserve">function are estimated to </w:t>
      </w:r>
      <w:r>
        <w:t>decrease driven by fewer payments under the National</w:t>
      </w:r>
      <w:r w:rsidR="00E1627B">
        <w:t xml:space="preserve"> </w:t>
      </w:r>
      <w:r>
        <w:t>Rental</w:t>
      </w:r>
      <w:r w:rsidR="00E1627B">
        <w:t xml:space="preserve"> </w:t>
      </w:r>
      <w:r>
        <w:t>Affordability</w:t>
      </w:r>
      <w:r w:rsidR="00E1627B">
        <w:t xml:space="preserve"> </w:t>
      </w:r>
      <w:r>
        <w:t>Scheme which is now closed to new applicants</w:t>
      </w:r>
      <w:r w:rsidRPr="000177D7">
        <w:t xml:space="preserve">. These impacts are partially offset by </w:t>
      </w:r>
      <w:r>
        <w:t xml:space="preserve">additional </w:t>
      </w:r>
      <w:r w:rsidRPr="000177D7">
        <w:t>expenses related to the Housing</w:t>
      </w:r>
      <w:r w:rsidR="00E11FC2">
        <w:t> </w:t>
      </w:r>
      <w:r w:rsidRPr="000177D7">
        <w:t>Australia</w:t>
      </w:r>
      <w:r w:rsidR="00E11FC2">
        <w:t> </w:t>
      </w:r>
      <w:r w:rsidRPr="000177D7">
        <w:t>Future</w:t>
      </w:r>
      <w:r w:rsidR="00E11FC2">
        <w:t> </w:t>
      </w:r>
      <w:r w:rsidRPr="000177D7">
        <w:t>Fund</w:t>
      </w:r>
      <w:r>
        <w:t xml:space="preserve"> and DHA</w:t>
      </w:r>
      <w:r w:rsidRPr="000177D7">
        <w:t xml:space="preserve">. </w:t>
      </w:r>
    </w:p>
    <w:bookmarkEnd w:id="97"/>
    <w:p w14:paraId="34E9F551" w14:textId="77777777" w:rsidR="00E1627B" w:rsidRDefault="0050166A" w:rsidP="0050166A">
      <w:r w:rsidRPr="000177D7">
        <w:t xml:space="preserve">The </w:t>
      </w:r>
      <w:r w:rsidRPr="76D50AB1">
        <w:rPr>
          <w:b/>
          <w:bCs/>
        </w:rPr>
        <w:t xml:space="preserve">urban and regional development </w:t>
      </w:r>
      <w:r w:rsidRPr="000177D7">
        <w:t>sub</w:t>
      </w:r>
      <w:r w:rsidR="00D34B95">
        <w:noBreakHyphen/>
      </w:r>
      <w:r w:rsidRPr="000177D7">
        <w:t xml:space="preserve">function comprises </w:t>
      </w:r>
      <w:r>
        <w:t>urban development</w:t>
      </w:r>
      <w:r w:rsidRPr="000177D7">
        <w:t xml:space="preserve">, services to territories, and regional development programs. Expenses </w:t>
      </w:r>
      <w:r w:rsidR="007E2B7A">
        <w:t>for this sub</w:t>
      </w:r>
      <w:r w:rsidR="00D34B95">
        <w:noBreakHyphen/>
      </w:r>
      <w:r w:rsidR="007E2B7A">
        <w:t>function</w:t>
      </w:r>
      <w:r w:rsidRPr="000177D7">
        <w:t xml:space="preserve"> are estimated to </w:t>
      </w:r>
      <w:r>
        <w:t>decrease over the period 2023</w:t>
      </w:r>
      <w:r w:rsidR="00CA3FDE">
        <w:t>–</w:t>
      </w:r>
      <w:r>
        <w:t>24 to 2026</w:t>
      </w:r>
      <w:r w:rsidR="00CA3FDE">
        <w:t>–</w:t>
      </w:r>
      <w:r>
        <w:t>27</w:t>
      </w:r>
      <w:r w:rsidRPr="00797433">
        <w:t xml:space="preserve"> primarily reflect</w:t>
      </w:r>
      <w:r>
        <w:t>ing</w:t>
      </w:r>
      <w:r w:rsidRPr="00797433">
        <w:t xml:space="preserve"> </w:t>
      </w:r>
      <w:r w:rsidRPr="000177D7">
        <w:t xml:space="preserve">the </w:t>
      </w:r>
      <w:r>
        <w:t xml:space="preserve">profile of funding for </w:t>
      </w:r>
      <w:r w:rsidRPr="000177D7">
        <w:t>regional</w:t>
      </w:r>
      <w:r w:rsidRPr="00797433">
        <w:t xml:space="preserve"> development programs </w:t>
      </w:r>
      <w:r>
        <w:t xml:space="preserve">included in </w:t>
      </w:r>
      <w:r w:rsidRPr="00797433">
        <w:t xml:space="preserve">the </w:t>
      </w:r>
      <w:r>
        <w:t xml:space="preserve">October Budget measure </w:t>
      </w:r>
      <w:r w:rsidRPr="76D50AB1">
        <w:rPr>
          <w:i/>
          <w:iCs/>
        </w:rPr>
        <w:t>Responsible Investment to Grow Our Regions</w:t>
      </w:r>
      <w:r>
        <w:t xml:space="preserve"> and the conclusion of the </w:t>
      </w:r>
      <w:r w:rsidRPr="00797433">
        <w:t>Regional Growth Fun</w:t>
      </w:r>
      <w:r>
        <w:t xml:space="preserve">d and </w:t>
      </w:r>
      <w:r w:rsidRPr="00797433">
        <w:t>Building Better Regions Fund</w:t>
      </w:r>
      <w:r>
        <w:t>.</w:t>
      </w:r>
    </w:p>
    <w:p w14:paraId="05786E5B" w14:textId="74607EB6" w:rsidR="00A32E2C" w:rsidRDefault="00A32E2C" w:rsidP="0050166A">
      <w:r>
        <w:br w:type="page"/>
      </w:r>
    </w:p>
    <w:p w14:paraId="5B637498" w14:textId="6EBB155C" w:rsidR="004A5EC1" w:rsidRPr="000177D7" w:rsidRDefault="0050166A" w:rsidP="0050166A">
      <w:r w:rsidRPr="000177D7">
        <w:lastRenderedPageBreak/>
        <w:t xml:space="preserve">The </w:t>
      </w:r>
      <w:r w:rsidRPr="000177D7">
        <w:rPr>
          <w:b/>
          <w:bCs/>
        </w:rPr>
        <w:t xml:space="preserve">environment protection </w:t>
      </w:r>
      <w:r w:rsidRPr="000177D7">
        <w:t>sub</w:t>
      </w:r>
      <w:r w:rsidR="00D34B95">
        <w:noBreakHyphen/>
      </w:r>
      <w:r w:rsidRPr="000177D7">
        <w:t>function includes expenses for a variety of initiatives, including the protection and conservation of the environment, water and waste management, pollution abatement and environmental research. Expenses</w:t>
      </w:r>
      <w:r w:rsidR="007E2B7A">
        <w:t xml:space="preserve"> for this sub</w:t>
      </w:r>
      <w:r w:rsidR="00D34B95">
        <w:noBreakHyphen/>
      </w:r>
      <w:r w:rsidR="007E2B7A">
        <w:t>function</w:t>
      </w:r>
      <w:r w:rsidRPr="000177D7">
        <w:t xml:space="preserve"> are estimated to </w:t>
      </w:r>
      <w:r>
        <w:t>decrease over the period 2023</w:t>
      </w:r>
      <w:r w:rsidR="00CA3FDE">
        <w:t>–</w:t>
      </w:r>
      <w:r>
        <w:t>24 to 2026</w:t>
      </w:r>
      <w:r w:rsidR="00CA3FDE">
        <w:t>–</w:t>
      </w:r>
      <w:r>
        <w:t>27</w:t>
      </w:r>
      <w:r w:rsidRPr="000177D7">
        <w:t xml:space="preserve"> primarily due to the re</w:t>
      </w:r>
      <w:r w:rsidR="00D34B95">
        <w:noBreakHyphen/>
      </w:r>
      <w:r w:rsidRPr="000177D7">
        <w:t>profiling of project funding under the National Water Grid Fund</w:t>
      </w:r>
      <w:r>
        <w:t>, t</w:t>
      </w:r>
      <w:r>
        <w:rPr>
          <w:rStyle w:val="ui-provider"/>
        </w:rPr>
        <w:t xml:space="preserve">he expected profile of grant payments through the Regional Hydrogen Hubs Program, </w:t>
      </w:r>
      <w:r w:rsidRPr="000177D7">
        <w:t>and</w:t>
      </w:r>
      <w:r>
        <w:t xml:space="preserve"> the cessation of temporary investment in environmental assessments in the </w:t>
      </w:r>
      <w:r w:rsidRPr="000177D7">
        <w:t>October Budget measure</w:t>
      </w:r>
      <w:r>
        <w:t xml:space="preserve"> </w:t>
      </w:r>
      <w:r w:rsidRPr="2D02EC3E">
        <w:rPr>
          <w:i/>
          <w:iCs/>
        </w:rPr>
        <w:t>Sustaining Environmental Assessments</w:t>
      </w:r>
      <w:r>
        <w:t>,</w:t>
      </w:r>
      <w:r w:rsidRPr="2D02EC3E">
        <w:rPr>
          <w:i/>
          <w:iCs/>
        </w:rPr>
        <w:t xml:space="preserve"> </w:t>
      </w:r>
      <w:r>
        <w:t xml:space="preserve">prior to the establishment </w:t>
      </w:r>
      <w:r w:rsidRPr="0021687D">
        <w:t>of Environment Protection Australia, as part of the Government</w:t>
      </w:r>
      <w:r w:rsidR="00D34B95">
        <w:t>’</w:t>
      </w:r>
      <w:r w:rsidRPr="0021687D">
        <w:t>s 2023</w:t>
      </w:r>
      <w:r w:rsidR="00CA3FDE">
        <w:t>–</w:t>
      </w:r>
      <w:r w:rsidRPr="0021687D">
        <w:t xml:space="preserve">24 Budget measure </w:t>
      </w:r>
      <w:r w:rsidR="0021687D" w:rsidRPr="0021687D">
        <w:rPr>
          <w:i/>
          <w:iCs/>
        </w:rPr>
        <w:t>Nature</w:t>
      </w:r>
      <w:r w:rsidR="00E1627B">
        <w:rPr>
          <w:i/>
          <w:iCs/>
        </w:rPr>
        <w:t xml:space="preserve"> </w:t>
      </w:r>
      <w:r w:rsidR="0021687D" w:rsidRPr="0021687D">
        <w:rPr>
          <w:i/>
          <w:iCs/>
        </w:rPr>
        <w:t>Positive</w:t>
      </w:r>
      <w:r w:rsidR="00E1627B">
        <w:rPr>
          <w:i/>
          <w:iCs/>
        </w:rPr>
        <w:t xml:space="preserve"> </w:t>
      </w:r>
      <w:r w:rsidR="0021687D" w:rsidRPr="0021687D">
        <w:rPr>
          <w:i/>
          <w:iCs/>
        </w:rPr>
        <w:t xml:space="preserve">Plan </w:t>
      </w:r>
      <w:r w:rsidR="00CA3FDE">
        <w:rPr>
          <w:i/>
          <w:iCs/>
        </w:rPr>
        <w:t>–</w:t>
      </w:r>
      <w:r w:rsidR="0021687D" w:rsidRPr="0021687D">
        <w:rPr>
          <w:i/>
          <w:iCs/>
        </w:rPr>
        <w:t xml:space="preserve"> better for the environment, better for business</w:t>
      </w:r>
      <w:r w:rsidR="00D34B95">
        <w:t xml:space="preserve">. </w:t>
      </w:r>
      <w:bookmarkEnd w:id="94"/>
    </w:p>
    <w:p w14:paraId="076A360F" w14:textId="77777777" w:rsidR="00C855DF" w:rsidRPr="000177D7" w:rsidRDefault="00C855DF" w:rsidP="00C855DF">
      <w:pPr>
        <w:pStyle w:val="Heading3"/>
      </w:pPr>
      <w:bookmarkStart w:id="98" w:name="_Toc134169620"/>
      <w:r w:rsidRPr="000177D7">
        <w:t>Recreation and culture</w:t>
      </w:r>
      <w:bookmarkEnd w:id="90"/>
      <w:bookmarkEnd w:id="91"/>
      <w:bookmarkEnd w:id="95"/>
      <w:bookmarkEnd w:id="96"/>
      <w:bookmarkEnd w:id="98"/>
    </w:p>
    <w:p w14:paraId="4B77E6D9" w14:textId="77777777" w:rsidR="004A5EC1" w:rsidRPr="000177D7" w:rsidRDefault="004A5EC1" w:rsidP="004A5EC1">
      <w:bookmarkStart w:id="99" w:name="_Toc4577277"/>
      <w:bookmarkStart w:id="100" w:name="_Toc4689189"/>
      <w:r w:rsidRPr="000177D7">
        <w:t>The recreation and culture function includes expenses to support public broadcasting and cultural institutions</w:t>
      </w:r>
      <w:r>
        <w:t>,</w:t>
      </w:r>
      <w:r w:rsidRPr="000177D7">
        <w:t xml:space="preserve"> funding for the arts and the film industry</w:t>
      </w:r>
      <w:r>
        <w:t>,</w:t>
      </w:r>
      <w:r w:rsidRPr="000177D7">
        <w:t xml:space="preserve"> assistance to sport and recreation activities</w:t>
      </w:r>
      <w:r>
        <w:t>,</w:t>
      </w:r>
      <w:r w:rsidRPr="000177D7">
        <w:t xml:space="preserve"> as well as the management and protection of national parks and other world heritage areas. This function also includes expenses relating to the protection and preservation of historic sites and buildings, including war graves.</w:t>
      </w:r>
    </w:p>
    <w:p w14:paraId="4673F62A" w14:textId="408AAB85" w:rsidR="00B01968" w:rsidRDefault="00C855DF" w:rsidP="00B01968">
      <w:pPr>
        <w:pStyle w:val="TableHeading"/>
        <w:rPr>
          <w:rFonts w:asciiTheme="minorHAnsi" w:eastAsiaTheme="minorHAnsi" w:hAnsiTheme="minorHAnsi" w:cstheme="minorBidi"/>
          <w:sz w:val="22"/>
          <w:szCs w:val="22"/>
          <w:lang w:eastAsia="en-US"/>
        </w:rPr>
      </w:pPr>
      <w:r w:rsidRPr="000177D7">
        <w:t>Table 6.11: Summary of expenses – recreation and culture</w:t>
      </w:r>
      <w:bookmarkStart w:id="101" w:name="_1555616007"/>
      <w:bookmarkStart w:id="102" w:name="_1727774331"/>
      <w:bookmarkEnd w:id="101"/>
      <w:bookmarkEnd w:id="102"/>
    </w:p>
    <w:tbl>
      <w:tblPr>
        <w:tblW w:w="5000" w:type="pct"/>
        <w:tblCellMar>
          <w:left w:w="0" w:type="dxa"/>
          <w:right w:w="28" w:type="dxa"/>
        </w:tblCellMar>
        <w:tblLook w:val="04A0" w:firstRow="1" w:lastRow="0" w:firstColumn="1" w:lastColumn="0" w:noHBand="0" w:noVBand="1"/>
      </w:tblPr>
      <w:tblGrid>
        <w:gridCol w:w="3643"/>
        <w:gridCol w:w="812"/>
        <w:gridCol w:w="813"/>
        <w:gridCol w:w="813"/>
        <w:gridCol w:w="813"/>
        <w:gridCol w:w="816"/>
      </w:tblGrid>
      <w:tr w:rsidR="00B01968" w:rsidRPr="00B01968" w14:paraId="7FF52804" w14:textId="77777777" w:rsidTr="000D3856">
        <w:trPr>
          <w:divId w:val="55275667"/>
          <w:trHeight w:hRule="exact" w:val="225"/>
        </w:trPr>
        <w:tc>
          <w:tcPr>
            <w:tcW w:w="2363" w:type="pct"/>
            <w:tcBorders>
              <w:top w:val="single" w:sz="4" w:space="0" w:color="002A54" w:themeColor="text2"/>
              <w:left w:val="nil"/>
              <w:bottom w:val="nil"/>
              <w:right w:val="nil"/>
            </w:tcBorders>
            <w:shd w:val="clear" w:color="000000" w:fill="FFFFFF"/>
            <w:noWrap/>
            <w:vAlign w:val="center"/>
            <w:hideMark/>
          </w:tcPr>
          <w:p w14:paraId="64CDE306" w14:textId="03AE23BB"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37"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98B4C26"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061DD3D6" w14:textId="77777777" w:rsidTr="000D3856">
        <w:trPr>
          <w:divId w:val="55275667"/>
          <w:trHeight w:hRule="exact" w:val="225"/>
        </w:trPr>
        <w:tc>
          <w:tcPr>
            <w:tcW w:w="2363" w:type="pct"/>
            <w:tcBorders>
              <w:top w:val="nil"/>
              <w:left w:val="nil"/>
              <w:bottom w:val="nil"/>
              <w:right w:val="nil"/>
            </w:tcBorders>
            <w:shd w:val="clear" w:color="000000" w:fill="FFFFFF"/>
            <w:noWrap/>
            <w:vAlign w:val="bottom"/>
            <w:hideMark/>
          </w:tcPr>
          <w:p w14:paraId="7B0D15F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7" w:type="pct"/>
            <w:tcBorders>
              <w:top w:val="single" w:sz="4" w:space="0" w:color="002A54" w:themeColor="text2"/>
              <w:left w:val="nil"/>
              <w:right w:val="nil"/>
            </w:tcBorders>
            <w:shd w:val="clear" w:color="000000" w:fill="FFFFFF"/>
            <w:noWrap/>
            <w:vAlign w:val="center"/>
            <w:hideMark/>
          </w:tcPr>
          <w:p w14:paraId="40108FF4"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2022–23</w:t>
            </w:r>
          </w:p>
        </w:tc>
        <w:tc>
          <w:tcPr>
            <w:tcW w:w="527" w:type="pct"/>
            <w:tcBorders>
              <w:top w:val="single" w:sz="4" w:space="0" w:color="002A54" w:themeColor="text2"/>
              <w:left w:val="nil"/>
              <w:right w:val="nil"/>
            </w:tcBorders>
            <w:shd w:val="clear" w:color="000000" w:fill="E6F2FF"/>
            <w:noWrap/>
            <w:vAlign w:val="center"/>
            <w:hideMark/>
          </w:tcPr>
          <w:p w14:paraId="566F5AC8"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7" w:type="pct"/>
            <w:tcBorders>
              <w:top w:val="single" w:sz="4" w:space="0" w:color="002A54" w:themeColor="text2"/>
              <w:left w:val="nil"/>
              <w:right w:val="nil"/>
            </w:tcBorders>
            <w:shd w:val="clear" w:color="000000" w:fill="FFFFFF"/>
            <w:noWrap/>
            <w:vAlign w:val="center"/>
            <w:hideMark/>
          </w:tcPr>
          <w:p w14:paraId="08FA8E04"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7" w:type="pct"/>
            <w:tcBorders>
              <w:top w:val="single" w:sz="4" w:space="0" w:color="002A54" w:themeColor="text2"/>
              <w:left w:val="nil"/>
              <w:right w:val="nil"/>
            </w:tcBorders>
            <w:shd w:val="clear" w:color="000000" w:fill="FFFFFF"/>
            <w:noWrap/>
            <w:vAlign w:val="center"/>
            <w:hideMark/>
          </w:tcPr>
          <w:p w14:paraId="0F26DD63"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9" w:type="pct"/>
            <w:tcBorders>
              <w:top w:val="single" w:sz="4" w:space="0" w:color="002A54" w:themeColor="text2"/>
              <w:left w:val="nil"/>
              <w:right w:val="nil"/>
            </w:tcBorders>
            <w:shd w:val="clear" w:color="000000" w:fill="FFFFFF"/>
            <w:noWrap/>
            <w:vAlign w:val="center"/>
            <w:hideMark/>
          </w:tcPr>
          <w:p w14:paraId="6107DF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3E0957C8" w14:textId="77777777" w:rsidTr="000D3856">
        <w:trPr>
          <w:divId w:val="55275667"/>
          <w:trHeight w:hRule="exact" w:val="225"/>
        </w:trPr>
        <w:tc>
          <w:tcPr>
            <w:tcW w:w="2363" w:type="pct"/>
            <w:tcBorders>
              <w:top w:val="nil"/>
              <w:left w:val="nil"/>
              <w:bottom w:val="nil"/>
              <w:right w:val="nil"/>
            </w:tcBorders>
            <w:shd w:val="clear" w:color="000000" w:fill="FFFFFF"/>
            <w:noWrap/>
            <w:vAlign w:val="center"/>
            <w:hideMark/>
          </w:tcPr>
          <w:p w14:paraId="41546B3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7" w:type="pct"/>
            <w:tcBorders>
              <w:top w:val="nil"/>
              <w:left w:val="nil"/>
              <w:bottom w:val="single" w:sz="4" w:space="0" w:color="002A54" w:themeColor="text2"/>
              <w:right w:val="nil"/>
            </w:tcBorders>
            <w:shd w:val="clear" w:color="000000" w:fill="FFFFFF"/>
            <w:noWrap/>
            <w:vAlign w:val="center"/>
            <w:hideMark/>
          </w:tcPr>
          <w:p w14:paraId="5EA313B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E6F2FF"/>
            <w:noWrap/>
            <w:vAlign w:val="center"/>
            <w:hideMark/>
          </w:tcPr>
          <w:p w14:paraId="31377C4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FFFFFF"/>
            <w:noWrap/>
            <w:vAlign w:val="center"/>
            <w:hideMark/>
          </w:tcPr>
          <w:p w14:paraId="38A7060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FFFFFF"/>
            <w:noWrap/>
            <w:vAlign w:val="center"/>
            <w:hideMark/>
          </w:tcPr>
          <w:p w14:paraId="7AA0409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9" w:type="pct"/>
            <w:tcBorders>
              <w:top w:val="nil"/>
              <w:left w:val="nil"/>
              <w:bottom w:val="single" w:sz="4" w:space="0" w:color="002A54" w:themeColor="text2"/>
              <w:right w:val="nil"/>
            </w:tcBorders>
            <w:shd w:val="clear" w:color="000000" w:fill="FFFFFF"/>
            <w:noWrap/>
            <w:vAlign w:val="center"/>
            <w:hideMark/>
          </w:tcPr>
          <w:p w14:paraId="70DBDF1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091D6A94" w14:textId="77777777" w:rsidTr="000D3856">
        <w:trPr>
          <w:divId w:val="55275667"/>
          <w:trHeight w:hRule="exact" w:val="225"/>
        </w:trPr>
        <w:tc>
          <w:tcPr>
            <w:tcW w:w="2363" w:type="pct"/>
            <w:tcBorders>
              <w:top w:val="nil"/>
              <w:left w:val="nil"/>
              <w:bottom w:val="nil"/>
              <w:right w:val="nil"/>
            </w:tcBorders>
            <w:shd w:val="clear" w:color="000000" w:fill="FFFFFF"/>
            <w:noWrap/>
            <w:vAlign w:val="center"/>
            <w:hideMark/>
          </w:tcPr>
          <w:p w14:paraId="07796DF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Broadcasting</w:t>
            </w:r>
          </w:p>
        </w:tc>
        <w:tc>
          <w:tcPr>
            <w:tcW w:w="527" w:type="pct"/>
            <w:tcBorders>
              <w:top w:val="single" w:sz="4" w:space="0" w:color="002A54" w:themeColor="text2"/>
              <w:left w:val="nil"/>
              <w:bottom w:val="nil"/>
              <w:right w:val="nil"/>
            </w:tcBorders>
            <w:shd w:val="clear" w:color="000000" w:fill="FFFFFF"/>
            <w:noWrap/>
            <w:vAlign w:val="center"/>
            <w:hideMark/>
          </w:tcPr>
          <w:p w14:paraId="587BB20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1,680</w:t>
            </w:r>
          </w:p>
        </w:tc>
        <w:tc>
          <w:tcPr>
            <w:tcW w:w="527" w:type="pct"/>
            <w:tcBorders>
              <w:top w:val="single" w:sz="4" w:space="0" w:color="002A54" w:themeColor="text2"/>
              <w:left w:val="nil"/>
              <w:bottom w:val="nil"/>
              <w:right w:val="nil"/>
            </w:tcBorders>
            <w:shd w:val="clear" w:color="000000" w:fill="E6F2FF"/>
            <w:noWrap/>
            <w:vAlign w:val="center"/>
            <w:hideMark/>
          </w:tcPr>
          <w:p w14:paraId="1C69C3E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1,671</w:t>
            </w:r>
          </w:p>
        </w:tc>
        <w:tc>
          <w:tcPr>
            <w:tcW w:w="527" w:type="pct"/>
            <w:tcBorders>
              <w:top w:val="single" w:sz="4" w:space="0" w:color="002A54" w:themeColor="text2"/>
              <w:left w:val="nil"/>
              <w:bottom w:val="nil"/>
              <w:right w:val="nil"/>
            </w:tcBorders>
            <w:shd w:val="clear" w:color="000000" w:fill="FFFFFF"/>
            <w:noWrap/>
            <w:vAlign w:val="center"/>
            <w:hideMark/>
          </w:tcPr>
          <w:p w14:paraId="208E784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1,745</w:t>
            </w:r>
          </w:p>
        </w:tc>
        <w:tc>
          <w:tcPr>
            <w:tcW w:w="527" w:type="pct"/>
            <w:tcBorders>
              <w:top w:val="single" w:sz="4" w:space="0" w:color="002A54" w:themeColor="text2"/>
              <w:left w:val="nil"/>
              <w:bottom w:val="nil"/>
              <w:right w:val="nil"/>
            </w:tcBorders>
            <w:shd w:val="clear" w:color="000000" w:fill="FFFFFF"/>
            <w:noWrap/>
            <w:vAlign w:val="center"/>
            <w:hideMark/>
          </w:tcPr>
          <w:p w14:paraId="14A9D89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1,794</w:t>
            </w:r>
          </w:p>
        </w:tc>
        <w:tc>
          <w:tcPr>
            <w:tcW w:w="529" w:type="pct"/>
            <w:tcBorders>
              <w:top w:val="single" w:sz="4" w:space="0" w:color="002A54" w:themeColor="text2"/>
              <w:left w:val="nil"/>
              <w:bottom w:val="nil"/>
              <w:right w:val="nil"/>
            </w:tcBorders>
            <w:shd w:val="clear" w:color="000000" w:fill="FFFFFF"/>
            <w:noWrap/>
            <w:vAlign w:val="center"/>
            <w:hideMark/>
          </w:tcPr>
          <w:p w14:paraId="52E7290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1,798</w:t>
            </w:r>
          </w:p>
        </w:tc>
      </w:tr>
      <w:tr w:rsidR="00B01968" w:rsidRPr="00B01968" w14:paraId="5B0861CB" w14:textId="77777777" w:rsidTr="00B01968">
        <w:trPr>
          <w:divId w:val="55275667"/>
          <w:trHeight w:hRule="exact" w:val="225"/>
        </w:trPr>
        <w:tc>
          <w:tcPr>
            <w:tcW w:w="2363" w:type="pct"/>
            <w:tcBorders>
              <w:top w:val="nil"/>
              <w:left w:val="nil"/>
              <w:bottom w:val="nil"/>
              <w:right w:val="nil"/>
            </w:tcBorders>
            <w:shd w:val="clear" w:color="000000" w:fill="FFFFFF"/>
            <w:noWrap/>
            <w:vAlign w:val="center"/>
            <w:hideMark/>
          </w:tcPr>
          <w:p w14:paraId="488E675D"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Arts and cultural heritage</w:t>
            </w:r>
          </w:p>
        </w:tc>
        <w:tc>
          <w:tcPr>
            <w:tcW w:w="527" w:type="pct"/>
            <w:tcBorders>
              <w:top w:val="nil"/>
              <w:left w:val="nil"/>
              <w:bottom w:val="nil"/>
              <w:right w:val="nil"/>
            </w:tcBorders>
            <w:shd w:val="clear" w:color="000000" w:fill="FFFFFF"/>
            <w:noWrap/>
            <w:vAlign w:val="center"/>
            <w:hideMark/>
          </w:tcPr>
          <w:p w14:paraId="1A202C1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1,835</w:t>
            </w:r>
          </w:p>
        </w:tc>
        <w:tc>
          <w:tcPr>
            <w:tcW w:w="527" w:type="pct"/>
            <w:tcBorders>
              <w:top w:val="nil"/>
              <w:left w:val="nil"/>
              <w:bottom w:val="nil"/>
              <w:right w:val="nil"/>
            </w:tcBorders>
            <w:shd w:val="clear" w:color="000000" w:fill="E6F2FF"/>
            <w:noWrap/>
            <w:vAlign w:val="center"/>
            <w:hideMark/>
          </w:tcPr>
          <w:p w14:paraId="5F47FE8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1,869</w:t>
            </w:r>
          </w:p>
        </w:tc>
        <w:tc>
          <w:tcPr>
            <w:tcW w:w="527" w:type="pct"/>
            <w:tcBorders>
              <w:top w:val="nil"/>
              <w:left w:val="nil"/>
              <w:bottom w:val="nil"/>
              <w:right w:val="nil"/>
            </w:tcBorders>
            <w:shd w:val="clear" w:color="000000" w:fill="FFFFFF"/>
            <w:noWrap/>
            <w:vAlign w:val="center"/>
            <w:hideMark/>
          </w:tcPr>
          <w:p w14:paraId="67FCD6F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1,822</w:t>
            </w:r>
          </w:p>
        </w:tc>
        <w:tc>
          <w:tcPr>
            <w:tcW w:w="527" w:type="pct"/>
            <w:tcBorders>
              <w:top w:val="nil"/>
              <w:left w:val="nil"/>
              <w:bottom w:val="nil"/>
              <w:right w:val="nil"/>
            </w:tcBorders>
            <w:shd w:val="clear" w:color="000000" w:fill="FFFFFF"/>
            <w:noWrap/>
            <w:vAlign w:val="center"/>
            <w:hideMark/>
          </w:tcPr>
          <w:p w14:paraId="69CF8B9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1,860</w:t>
            </w:r>
          </w:p>
        </w:tc>
        <w:tc>
          <w:tcPr>
            <w:tcW w:w="529" w:type="pct"/>
            <w:tcBorders>
              <w:top w:val="nil"/>
              <w:left w:val="nil"/>
              <w:bottom w:val="nil"/>
              <w:right w:val="nil"/>
            </w:tcBorders>
            <w:shd w:val="clear" w:color="000000" w:fill="FFFFFF"/>
            <w:noWrap/>
            <w:vAlign w:val="center"/>
            <w:hideMark/>
          </w:tcPr>
          <w:p w14:paraId="5A2BBD4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1,811</w:t>
            </w:r>
          </w:p>
        </w:tc>
      </w:tr>
      <w:tr w:rsidR="00B01968" w:rsidRPr="00B01968" w14:paraId="36549863" w14:textId="77777777" w:rsidTr="000D3856">
        <w:trPr>
          <w:divId w:val="55275667"/>
          <w:trHeight w:hRule="exact" w:val="225"/>
        </w:trPr>
        <w:tc>
          <w:tcPr>
            <w:tcW w:w="2363" w:type="pct"/>
            <w:tcBorders>
              <w:top w:val="nil"/>
              <w:left w:val="nil"/>
              <w:bottom w:val="nil"/>
              <w:right w:val="nil"/>
            </w:tcBorders>
            <w:shd w:val="clear" w:color="000000" w:fill="FFFFFF"/>
            <w:noWrap/>
            <w:vAlign w:val="center"/>
            <w:hideMark/>
          </w:tcPr>
          <w:p w14:paraId="6B9C9A4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Sport and recreation</w:t>
            </w:r>
          </w:p>
        </w:tc>
        <w:tc>
          <w:tcPr>
            <w:tcW w:w="527" w:type="pct"/>
            <w:tcBorders>
              <w:top w:val="nil"/>
              <w:left w:val="nil"/>
              <w:right w:val="nil"/>
            </w:tcBorders>
            <w:shd w:val="clear" w:color="000000" w:fill="FFFFFF"/>
            <w:noWrap/>
            <w:vAlign w:val="center"/>
            <w:hideMark/>
          </w:tcPr>
          <w:p w14:paraId="71D6DD4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638</w:t>
            </w:r>
          </w:p>
        </w:tc>
        <w:tc>
          <w:tcPr>
            <w:tcW w:w="527" w:type="pct"/>
            <w:tcBorders>
              <w:top w:val="nil"/>
              <w:left w:val="nil"/>
              <w:right w:val="nil"/>
            </w:tcBorders>
            <w:shd w:val="clear" w:color="000000" w:fill="E6F2FF"/>
            <w:noWrap/>
            <w:vAlign w:val="center"/>
            <w:hideMark/>
          </w:tcPr>
          <w:p w14:paraId="5AF4883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556</w:t>
            </w:r>
          </w:p>
        </w:tc>
        <w:tc>
          <w:tcPr>
            <w:tcW w:w="527" w:type="pct"/>
            <w:tcBorders>
              <w:top w:val="nil"/>
              <w:left w:val="nil"/>
              <w:right w:val="nil"/>
            </w:tcBorders>
            <w:shd w:val="clear" w:color="000000" w:fill="FFFFFF"/>
            <w:noWrap/>
            <w:vAlign w:val="center"/>
            <w:hideMark/>
          </w:tcPr>
          <w:p w14:paraId="721BB86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551</w:t>
            </w:r>
          </w:p>
        </w:tc>
        <w:tc>
          <w:tcPr>
            <w:tcW w:w="527" w:type="pct"/>
            <w:tcBorders>
              <w:top w:val="nil"/>
              <w:left w:val="nil"/>
              <w:right w:val="nil"/>
            </w:tcBorders>
            <w:shd w:val="clear" w:color="000000" w:fill="FFFFFF"/>
            <w:noWrap/>
            <w:vAlign w:val="center"/>
            <w:hideMark/>
          </w:tcPr>
          <w:p w14:paraId="2C7ED16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800</w:t>
            </w:r>
          </w:p>
        </w:tc>
        <w:tc>
          <w:tcPr>
            <w:tcW w:w="529" w:type="pct"/>
            <w:tcBorders>
              <w:top w:val="nil"/>
              <w:left w:val="nil"/>
              <w:right w:val="nil"/>
            </w:tcBorders>
            <w:shd w:val="clear" w:color="000000" w:fill="FFFFFF"/>
            <w:noWrap/>
            <w:vAlign w:val="center"/>
            <w:hideMark/>
          </w:tcPr>
          <w:p w14:paraId="1834A2C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1,066</w:t>
            </w:r>
          </w:p>
        </w:tc>
      </w:tr>
      <w:tr w:rsidR="00B01968" w:rsidRPr="00B01968" w14:paraId="399B32F8" w14:textId="77777777" w:rsidTr="000D3856">
        <w:trPr>
          <w:divId w:val="55275667"/>
          <w:trHeight w:hRule="exact" w:val="225"/>
        </w:trPr>
        <w:tc>
          <w:tcPr>
            <w:tcW w:w="2363" w:type="pct"/>
            <w:tcBorders>
              <w:top w:val="nil"/>
              <w:left w:val="nil"/>
              <w:bottom w:val="nil"/>
              <w:right w:val="nil"/>
            </w:tcBorders>
            <w:shd w:val="clear" w:color="000000" w:fill="FFFFFF"/>
            <w:noWrap/>
            <w:vAlign w:val="center"/>
            <w:hideMark/>
          </w:tcPr>
          <w:p w14:paraId="6666D25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National estate and parks</w:t>
            </w:r>
          </w:p>
        </w:tc>
        <w:tc>
          <w:tcPr>
            <w:tcW w:w="527" w:type="pct"/>
            <w:tcBorders>
              <w:top w:val="nil"/>
              <w:left w:val="nil"/>
              <w:bottom w:val="single" w:sz="4" w:space="0" w:color="002A54" w:themeColor="text2"/>
              <w:right w:val="nil"/>
            </w:tcBorders>
            <w:shd w:val="clear" w:color="000000" w:fill="FFFFFF"/>
            <w:noWrap/>
            <w:vAlign w:val="center"/>
            <w:hideMark/>
          </w:tcPr>
          <w:p w14:paraId="11A1808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686</w:t>
            </w:r>
          </w:p>
        </w:tc>
        <w:tc>
          <w:tcPr>
            <w:tcW w:w="527" w:type="pct"/>
            <w:tcBorders>
              <w:top w:val="nil"/>
              <w:left w:val="nil"/>
              <w:bottom w:val="single" w:sz="4" w:space="0" w:color="002A54" w:themeColor="text2"/>
              <w:right w:val="nil"/>
            </w:tcBorders>
            <w:shd w:val="clear" w:color="000000" w:fill="E6F2FF"/>
            <w:noWrap/>
            <w:vAlign w:val="center"/>
            <w:hideMark/>
          </w:tcPr>
          <w:p w14:paraId="7BCB56E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680</w:t>
            </w:r>
          </w:p>
        </w:tc>
        <w:tc>
          <w:tcPr>
            <w:tcW w:w="527" w:type="pct"/>
            <w:tcBorders>
              <w:top w:val="nil"/>
              <w:left w:val="nil"/>
              <w:bottom w:val="single" w:sz="4" w:space="0" w:color="002A54" w:themeColor="text2"/>
              <w:right w:val="nil"/>
            </w:tcBorders>
            <w:shd w:val="clear" w:color="000000" w:fill="FFFFFF"/>
            <w:noWrap/>
            <w:vAlign w:val="center"/>
            <w:hideMark/>
          </w:tcPr>
          <w:p w14:paraId="42D118A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692</w:t>
            </w:r>
          </w:p>
        </w:tc>
        <w:tc>
          <w:tcPr>
            <w:tcW w:w="527" w:type="pct"/>
            <w:tcBorders>
              <w:top w:val="nil"/>
              <w:left w:val="nil"/>
              <w:bottom w:val="single" w:sz="4" w:space="0" w:color="002A54" w:themeColor="text2"/>
              <w:right w:val="nil"/>
            </w:tcBorders>
            <w:shd w:val="clear" w:color="000000" w:fill="FFFFFF"/>
            <w:noWrap/>
            <w:vAlign w:val="center"/>
            <w:hideMark/>
          </w:tcPr>
          <w:p w14:paraId="6AAAD47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679</w:t>
            </w:r>
          </w:p>
        </w:tc>
        <w:tc>
          <w:tcPr>
            <w:tcW w:w="529" w:type="pct"/>
            <w:tcBorders>
              <w:top w:val="nil"/>
              <w:left w:val="nil"/>
              <w:bottom w:val="single" w:sz="4" w:space="0" w:color="002A54" w:themeColor="text2"/>
              <w:right w:val="nil"/>
            </w:tcBorders>
            <w:shd w:val="clear" w:color="000000" w:fill="FFFFFF"/>
            <w:noWrap/>
            <w:vAlign w:val="center"/>
            <w:hideMark/>
          </w:tcPr>
          <w:p w14:paraId="36A6D73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688</w:t>
            </w:r>
          </w:p>
        </w:tc>
      </w:tr>
      <w:tr w:rsidR="00B01968" w:rsidRPr="00B01968" w14:paraId="07BFEA5F" w14:textId="77777777" w:rsidTr="000D3856">
        <w:trPr>
          <w:divId w:val="55275667"/>
          <w:trHeight w:hRule="exact" w:val="225"/>
        </w:trPr>
        <w:tc>
          <w:tcPr>
            <w:tcW w:w="2363" w:type="pct"/>
            <w:tcBorders>
              <w:top w:val="nil"/>
              <w:left w:val="nil"/>
              <w:bottom w:val="single" w:sz="4" w:space="0" w:color="002A54" w:themeColor="text2"/>
              <w:right w:val="nil"/>
            </w:tcBorders>
            <w:shd w:val="clear" w:color="000000" w:fill="FFFFFF"/>
            <w:noWrap/>
            <w:vAlign w:val="center"/>
            <w:hideMark/>
          </w:tcPr>
          <w:p w14:paraId="11FF33B5"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 recreation and culture</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066F518B"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4,840</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7797EA1B"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4,776</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19FCF8E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4,809</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18E4BF4F"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5,133</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1A8BFEF0"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5,363</w:t>
            </w:r>
          </w:p>
        </w:tc>
      </w:tr>
    </w:tbl>
    <w:p w14:paraId="6FF01449" w14:textId="63153B23" w:rsidR="0050166A" w:rsidRPr="000177D7" w:rsidRDefault="0050166A" w:rsidP="0050166A">
      <w:r w:rsidRPr="000177D7">
        <w:t xml:space="preserve">Total </w:t>
      </w:r>
      <w:r w:rsidRPr="0021687D">
        <w:t>expenses under the recreation and culture function are estimated to increase by 12.3</w:t>
      </w:r>
      <w:r w:rsidR="00893776">
        <w:t> per </w:t>
      </w:r>
      <w:r w:rsidRPr="0021687D">
        <w:t>cent in nominal terms and by 3.7</w:t>
      </w:r>
      <w:r w:rsidR="00893776">
        <w:t> per </w:t>
      </w:r>
      <w:r w:rsidRPr="0021687D">
        <w:t>cent in real terms over</w:t>
      </w:r>
      <w:r>
        <w:t xml:space="preserve"> the period 2023</w:t>
      </w:r>
      <w:r w:rsidR="00CA3FDE">
        <w:t>–</w:t>
      </w:r>
      <w:r>
        <w:t>24 to 2026</w:t>
      </w:r>
      <w:r w:rsidR="00CA3FDE">
        <w:t>–</w:t>
      </w:r>
      <w:r>
        <w:t>27</w:t>
      </w:r>
      <w:r w:rsidR="0090041A">
        <w:t>,</w:t>
      </w:r>
      <w:r>
        <w:t xml:space="preserve"> predominantly driven by the Government</w:t>
      </w:r>
      <w:r w:rsidR="00D34B95">
        <w:t>’</w:t>
      </w:r>
      <w:r>
        <w:t xml:space="preserve">s investment in the </w:t>
      </w:r>
      <w:r>
        <w:rPr>
          <w:b/>
          <w:bCs/>
        </w:rPr>
        <w:t>sport and recreation</w:t>
      </w:r>
      <w:r>
        <w:t xml:space="preserve"> sub</w:t>
      </w:r>
      <w:r w:rsidR="00D34B95">
        <w:noBreakHyphen/>
      </w:r>
      <w:r>
        <w:t>function</w:t>
      </w:r>
      <w:r w:rsidRPr="009A4AFF">
        <w:t xml:space="preserve"> </w:t>
      </w:r>
      <w:r>
        <w:t>through the 2023</w:t>
      </w:r>
      <w:r w:rsidR="00CA3FDE">
        <w:t>–</w:t>
      </w:r>
      <w:r>
        <w:t xml:space="preserve">24 Budget. </w:t>
      </w:r>
    </w:p>
    <w:p w14:paraId="68473372" w14:textId="2EEBA276" w:rsidR="0050166A" w:rsidRPr="000177D7" w:rsidRDefault="0050166A" w:rsidP="0050166A">
      <w:pPr>
        <w:widowControl w:val="0"/>
        <w:tabs>
          <w:tab w:val="left" w:pos="815"/>
        </w:tabs>
        <w:autoSpaceDE w:val="0"/>
        <w:autoSpaceDN w:val="0"/>
        <w:adjustRightInd w:val="0"/>
        <w:spacing w:line="230" w:lineRule="exact"/>
        <w:rPr>
          <w:lang w:val="en-US"/>
        </w:rPr>
      </w:pPr>
      <w:r w:rsidRPr="000177D7">
        <w:rPr>
          <w:lang w:val="en-US"/>
        </w:rPr>
        <w:t xml:space="preserve">Expenses under the </w:t>
      </w:r>
      <w:r w:rsidRPr="000177D7">
        <w:rPr>
          <w:b/>
          <w:lang w:val="en-US"/>
        </w:rPr>
        <w:t xml:space="preserve">broadcasting </w:t>
      </w:r>
      <w:r w:rsidRPr="000177D7">
        <w:rPr>
          <w:lang w:val="en-US"/>
        </w:rPr>
        <w:t>sub</w:t>
      </w:r>
      <w:r w:rsidR="00D34B95">
        <w:rPr>
          <w:lang w:val="en-US"/>
        </w:rPr>
        <w:noBreakHyphen/>
      </w:r>
      <w:r w:rsidRPr="000177D7">
        <w:rPr>
          <w:lang w:val="en-US"/>
        </w:rPr>
        <w:t xml:space="preserve">function </w:t>
      </w:r>
      <w:r>
        <w:rPr>
          <w:lang w:val="en-US"/>
        </w:rPr>
        <w:t>reflect</w:t>
      </w:r>
      <w:r w:rsidRPr="000177D7">
        <w:rPr>
          <w:lang w:val="en-US"/>
        </w:rPr>
        <w:t xml:space="preserve"> the </w:t>
      </w:r>
      <w:r>
        <w:rPr>
          <w:lang w:val="en-US"/>
        </w:rPr>
        <w:t>5</w:t>
      </w:r>
      <w:r w:rsidR="00D34B95">
        <w:rPr>
          <w:lang w:val="en-US"/>
        </w:rPr>
        <w:noBreakHyphen/>
      </w:r>
      <w:r w:rsidRPr="000177D7">
        <w:rPr>
          <w:lang w:val="en-US"/>
        </w:rPr>
        <w:t xml:space="preserve">year funding </w:t>
      </w:r>
      <w:r>
        <w:rPr>
          <w:lang w:val="en-US"/>
        </w:rPr>
        <w:t>terms for</w:t>
      </w:r>
      <w:r w:rsidRPr="000177D7">
        <w:rPr>
          <w:lang w:val="en-US"/>
        </w:rPr>
        <w:t xml:space="preserve"> the Australian Broadcasting Corporation (ABC) and Special Broadcasting Service Corporation (SBS) from 1 July 2023.</w:t>
      </w:r>
    </w:p>
    <w:p w14:paraId="25686CE9" w14:textId="77777777" w:rsidR="00E1627B" w:rsidRDefault="0050166A" w:rsidP="004A5EC1">
      <w:r w:rsidRPr="000177D7">
        <w:t xml:space="preserve">Table 6.11.1 sets out the major components of the </w:t>
      </w:r>
      <w:r w:rsidRPr="000177D7">
        <w:rPr>
          <w:b/>
        </w:rPr>
        <w:t>broadcasting</w:t>
      </w:r>
      <w:r w:rsidRPr="000177D7">
        <w:t xml:space="preserve"> sub</w:t>
      </w:r>
      <w:r w:rsidR="00D34B95">
        <w:noBreakHyphen/>
      </w:r>
      <w:r w:rsidRPr="000177D7">
        <w:t>function.</w:t>
      </w:r>
    </w:p>
    <w:p w14:paraId="283DB6E8" w14:textId="1A2F58A5" w:rsidR="00513F16" w:rsidRPr="000177D7" w:rsidRDefault="001652E8" w:rsidP="004A5EC1">
      <w:r>
        <w:br w:type="page"/>
      </w:r>
    </w:p>
    <w:p w14:paraId="68EC33DF" w14:textId="3B4F0F93" w:rsidR="00B01968" w:rsidRPr="00B01968" w:rsidRDefault="00C855DF" w:rsidP="00B01968">
      <w:pPr>
        <w:pStyle w:val="TableHeading"/>
        <w:rPr>
          <w:rFonts w:asciiTheme="minorHAnsi" w:eastAsiaTheme="minorHAnsi" w:hAnsiTheme="minorHAnsi" w:cstheme="minorBidi"/>
          <w:b w:val="0"/>
          <w:sz w:val="22"/>
          <w:szCs w:val="22"/>
          <w:lang w:eastAsia="en-US"/>
        </w:rPr>
      </w:pPr>
      <w:r w:rsidRPr="000177D7">
        <w:lastRenderedPageBreak/>
        <w:t>Table 6.11.1: Trends in the major components of broadcasting sub</w:t>
      </w:r>
      <w:r w:rsidR="00D34B95">
        <w:noBreakHyphen/>
      </w:r>
      <w:r w:rsidRPr="000177D7">
        <w:t>function expens</w:t>
      </w:r>
      <w:bookmarkStart w:id="103" w:name="_1555616046"/>
      <w:bookmarkStart w:id="104" w:name="_1727953902"/>
      <w:bookmarkStart w:id="105" w:name="_1727955079"/>
      <w:bookmarkEnd w:id="103"/>
      <w:bookmarkEnd w:id="104"/>
      <w:bookmarkEnd w:id="105"/>
      <w:r w:rsidR="00EC087D">
        <w:t>e</w:t>
      </w:r>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B01968" w:rsidRPr="00B01968" w14:paraId="1B6CCEC5" w14:textId="77777777" w:rsidTr="000D3856">
        <w:trPr>
          <w:divId w:val="2054428973"/>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51F80A7E" w14:textId="1320B5D4"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33B7560C"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1D477296" w14:textId="77777777" w:rsidTr="000D3856">
        <w:trPr>
          <w:divId w:val="2054428973"/>
          <w:trHeight w:hRule="exact" w:val="225"/>
        </w:trPr>
        <w:tc>
          <w:tcPr>
            <w:tcW w:w="2021" w:type="pct"/>
            <w:tcBorders>
              <w:top w:val="nil"/>
              <w:left w:val="nil"/>
              <w:bottom w:val="nil"/>
              <w:right w:val="nil"/>
            </w:tcBorders>
            <w:shd w:val="clear" w:color="000000" w:fill="FFFFFF"/>
            <w:noWrap/>
            <w:vAlign w:val="bottom"/>
            <w:hideMark/>
          </w:tcPr>
          <w:p w14:paraId="38452F3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51301330" w14:textId="5EBF4C9F"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CA3FDE">
              <w:rPr>
                <w:rFonts w:ascii="Arial" w:hAnsi="Arial" w:cs="Arial"/>
                <w:sz w:val="16"/>
                <w:szCs w:val="16"/>
              </w:rPr>
              <w:t>–</w:t>
            </w:r>
            <w:r w:rsidRPr="00B01968">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3C5CEE9B" w14:textId="3C50EC2B"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CA3FDE">
              <w:rPr>
                <w:rFonts w:ascii="Arial" w:hAnsi="Arial" w:cs="Arial"/>
                <w:sz w:val="16"/>
                <w:szCs w:val="16"/>
              </w:rPr>
              <w:t>–</w:t>
            </w:r>
            <w:r w:rsidRPr="00B01968">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543A85CD" w14:textId="7DA5F8EA"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CA3FDE">
              <w:rPr>
                <w:rFonts w:ascii="Arial" w:hAnsi="Arial" w:cs="Arial"/>
                <w:sz w:val="16"/>
                <w:szCs w:val="16"/>
              </w:rPr>
              <w:t>–</w:t>
            </w:r>
            <w:r w:rsidRPr="00B01968">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642BECFA" w14:textId="52B5AE2D"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CA3FDE">
              <w:rPr>
                <w:rFonts w:ascii="Arial" w:hAnsi="Arial" w:cs="Arial"/>
                <w:sz w:val="16"/>
                <w:szCs w:val="16"/>
              </w:rPr>
              <w:t>–</w:t>
            </w:r>
            <w:r w:rsidRPr="00B01968">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042F150E" w14:textId="414A91AA"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CA3FDE">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4C07EC03" w14:textId="77777777" w:rsidTr="000D3856">
        <w:trPr>
          <w:divId w:val="2054428973"/>
          <w:trHeight w:hRule="exact" w:val="225"/>
        </w:trPr>
        <w:tc>
          <w:tcPr>
            <w:tcW w:w="2021" w:type="pct"/>
            <w:tcBorders>
              <w:top w:val="nil"/>
              <w:left w:val="nil"/>
              <w:bottom w:val="nil"/>
              <w:right w:val="nil"/>
            </w:tcBorders>
            <w:shd w:val="clear" w:color="000000" w:fill="FFFFFF"/>
            <w:noWrap/>
            <w:vAlign w:val="center"/>
            <w:hideMark/>
          </w:tcPr>
          <w:p w14:paraId="5903965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79AA999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20D3DD0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7AD20F0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679885E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61566FB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34E07FED" w14:textId="77777777" w:rsidTr="000D3856">
        <w:trPr>
          <w:divId w:val="2054428973"/>
          <w:trHeight w:hRule="exact" w:val="225"/>
        </w:trPr>
        <w:tc>
          <w:tcPr>
            <w:tcW w:w="2021" w:type="pct"/>
            <w:tcBorders>
              <w:top w:val="nil"/>
              <w:left w:val="nil"/>
              <w:bottom w:val="nil"/>
              <w:right w:val="nil"/>
            </w:tcBorders>
            <w:shd w:val="clear" w:color="000000" w:fill="FFFFFF"/>
            <w:noWrap/>
            <w:vAlign w:val="center"/>
            <w:hideMark/>
          </w:tcPr>
          <w:p w14:paraId="66F5FB97"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ABC general operational activities</w:t>
            </w:r>
          </w:p>
        </w:tc>
        <w:tc>
          <w:tcPr>
            <w:tcW w:w="596" w:type="pct"/>
            <w:tcBorders>
              <w:top w:val="single" w:sz="4" w:space="0" w:color="002A54" w:themeColor="text2"/>
              <w:left w:val="nil"/>
              <w:bottom w:val="nil"/>
              <w:right w:val="nil"/>
            </w:tcBorders>
            <w:shd w:val="clear" w:color="000000" w:fill="FFFFFF"/>
            <w:noWrap/>
            <w:vAlign w:val="center"/>
            <w:hideMark/>
          </w:tcPr>
          <w:p w14:paraId="05C1BB2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976</w:t>
            </w:r>
          </w:p>
        </w:tc>
        <w:tc>
          <w:tcPr>
            <w:tcW w:w="596" w:type="pct"/>
            <w:tcBorders>
              <w:top w:val="single" w:sz="4" w:space="0" w:color="002A54" w:themeColor="text2"/>
              <w:left w:val="nil"/>
              <w:bottom w:val="nil"/>
              <w:right w:val="nil"/>
            </w:tcBorders>
            <w:shd w:val="clear" w:color="000000" w:fill="E6F2FF"/>
            <w:noWrap/>
            <w:vAlign w:val="center"/>
            <w:hideMark/>
          </w:tcPr>
          <w:p w14:paraId="7435A53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989</w:t>
            </w:r>
          </w:p>
        </w:tc>
        <w:tc>
          <w:tcPr>
            <w:tcW w:w="596" w:type="pct"/>
            <w:tcBorders>
              <w:top w:val="single" w:sz="4" w:space="0" w:color="002A54" w:themeColor="text2"/>
              <w:left w:val="nil"/>
              <w:bottom w:val="nil"/>
              <w:right w:val="nil"/>
            </w:tcBorders>
            <w:shd w:val="clear" w:color="000000" w:fill="FFFFFF"/>
            <w:noWrap/>
            <w:vAlign w:val="center"/>
            <w:hideMark/>
          </w:tcPr>
          <w:p w14:paraId="490F942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1,039</w:t>
            </w:r>
          </w:p>
        </w:tc>
        <w:tc>
          <w:tcPr>
            <w:tcW w:w="596" w:type="pct"/>
            <w:tcBorders>
              <w:top w:val="single" w:sz="4" w:space="0" w:color="002A54" w:themeColor="text2"/>
              <w:left w:val="nil"/>
              <w:bottom w:val="nil"/>
              <w:right w:val="nil"/>
            </w:tcBorders>
            <w:shd w:val="clear" w:color="000000" w:fill="FFFFFF"/>
            <w:noWrap/>
            <w:vAlign w:val="center"/>
            <w:hideMark/>
          </w:tcPr>
          <w:p w14:paraId="75B39B7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1,065</w:t>
            </w:r>
          </w:p>
        </w:tc>
        <w:tc>
          <w:tcPr>
            <w:tcW w:w="595" w:type="pct"/>
            <w:tcBorders>
              <w:top w:val="single" w:sz="4" w:space="0" w:color="002A54" w:themeColor="text2"/>
              <w:left w:val="nil"/>
              <w:bottom w:val="nil"/>
              <w:right w:val="nil"/>
            </w:tcBorders>
            <w:shd w:val="clear" w:color="000000" w:fill="FFFFFF"/>
            <w:noWrap/>
            <w:vAlign w:val="center"/>
            <w:hideMark/>
          </w:tcPr>
          <w:p w14:paraId="06603BB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1,053</w:t>
            </w:r>
          </w:p>
        </w:tc>
      </w:tr>
      <w:tr w:rsidR="00B01968" w:rsidRPr="00B01968" w14:paraId="59D0DB34" w14:textId="77777777" w:rsidTr="00B01968">
        <w:trPr>
          <w:divId w:val="2054428973"/>
          <w:trHeight w:hRule="exact" w:val="225"/>
        </w:trPr>
        <w:tc>
          <w:tcPr>
            <w:tcW w:w="2021" w:type="pct"/>
            <w:tcBorders>
              <w:top w:val="nil"/>
              <w:left w:val="nil"/>
              <w:bottom w:val="nil"/>
              <w:right w:val="nil"/>
            </w:tcBorders>
            <w:shd w:val="clear" w:color="000000" w:fill="FFFFFF"/>
            <w:noWrap/>
            <w:vAlign w:val="center"/>
            <w:hideMark/>
          </w:tcPr>
          <w:p w14:paraId="23987EC4"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SBS general operational activities</w:t>
            </w:r>
          </w:p>
        </w:tc>
        <w:tc>
          <w:tcPr>
            <w:tcW w:w="596" w:type="pct"/>
            <w:tcBorders>
              <w:top w:val="nil"/>
              <w:left w:val="nil"/>
              <w:bottom w:val="nil"/>
              <w:right w:val="nil"/>
            </w:tcBorders>
            <w:shd w:val="clear" w:color="000000" w:fill="FFFFFF"/>
            <w:noWrap/>
            <w:vAlign w:val="center"/>
            <w:hideMark/>
          </w:tcPr>
          <w:p w14:paraId="2C43EC9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437</w:t>
            </w:r>
          </w:p>
        </w:tc>
        <w:tc>
          <w:tcPr>
            <w:tcW w:w="596" w:type="pct"/>
            <w:tcBorders>
              <w:top w:val="nil"/>
              <w:left w:val="nil"/>
              <w:bottom w:val="nil"/>
              <w:right w:val="nil"/>
            </w:tcBorders>
            <w:shd w:val="clear" w:color="000000" w:fill="E6F2FF"/>
            <w:noWrap/>
            <w:vAlign w:val="center"/>
            <w:hideMark/>
          </w:tcPr>
          <w:p w14:paraId="44D8FA7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402</w:t>
            </w:r>
          </w:p>
        </w:tc>
        <w:tc>
          <w:tcPr>
            <w:tcW w:w="596" w:type="pct"/>
            <w:tcBorders>
              <w:top w:val="nil"/>
              <w:left w:val="nil"/>
              <w:bottom w:val="nil"/>
              <w:right w:val="nil"/>
            </w:tcBorders>
            <w:shd w:val="clear" w:color="000000" w:fill="FFFFFF"/>
            <w:noWrap/>
            <w:vAlign w:val="center"/>
            <w:hideMark/>
          </w:tcPr>
          <w:p w14:paraId="530E2A6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419</w:t>
            </w:r>
          </w:p>
        </w:tc>
        <w:tc>
          <w:tcPr>
            <w:tcW w:w="596" w:type="pct"/>
            <w:tcBorders>
              <w:top w:val="nil"/>
              <w:left w:val="nil"/>
              <w:bottom w:val="nil"/>
              <w:right w:val="nil"/>
            </w:tcBorders>
            <w:shd w:val="clear" w:color="000000" w:fill="FFFFFF"/>
            <w:noWrap/>
            <w:vAlign w:val="center"/>
            <w:hideMark/>
          </w:tcPr>
          <w:p w14:paraId="617DBCE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433</w:t>
            </w:r>
          </w:p>
        </w:tc>
        <w:tc>
          <w:tcPr>
            <w:tcW w:w="595" w:type="pct"/>
            <w:tcBorders>
              <w:top w:val="nil"/>
              <w:left w:val="nil"/>
              <w:bottom w:val="nil"/>
              <w:right w:val="nil"/>
            </w:tcBorders>
            <w:shd w:val="clear" w:color="000000" w:fill="FFFFFF"/>
            <w:noWrap/>
            <w:vAlign w:val="center"/>
            <w:hideMark/>
          </w:tcPr>
          <w:p w14:paraId="2FC5FEE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442</w:t>
            </w:r>
          </w:p>
        </w:tc>
      </w:tr>
      <w:tr w:rsidR="00B01968" w:rsidRPr="00B01968" w14:paraId="50AF1319" w14:textId="77777777" w:rsidTr="00B01968">
        <w:trPr>
          <w:divId w:val="2054428973"/>
          <w:trHeight w:hRule="exact" w:val="225"/>
        </w:trPr>
        <w:tc>
          <w:tcPr>
            <w:tcW w:w="2021" w:type="pct"/>
            <w:tcBorders>
              <w:top w:val="nil"/>
              <w:left w:val="nil"/>
              <w:bottom w:val="nil"/>
              <w:right w:val="nil"/>
            </w:tcBorders>
            <w:shd w:val="clear" w:color="000000" w:fill="FFFFFF"/>
            <w:noWrap/>
            <w:vAlign w:val="center"/>
            <w:hideMark/>
          </w:tcPr>
          <w:p w14:paraId="3C763A53"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ABC transmission and distribution</w:t>
            </w:r>
          </w:p>
        </w:tc>
        <w:tc>
          <w:tcPr>
            <w:tcW w:w="596" w:type="pct"/>
            <w:tcBorders>
              <w:top w:val="nil"/>
              <w:left w:val="nil"/>
              <w:bottom w:val="nil"/>
              <w:right w:val="nil"/>
            </w:tcBorders>
            <w:shd w:val="clear" w:color="000000" w:fill="FFFFFF"/>
            <w:noWrap/>
            <w:vAlign w:val="center"/>
            <w:hideMark/>
          </w:tcPr>
          <w:p w14:paraId="1EA8533A"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nil"/>
              <w:right w:val="nil"/>
            </w:tcBorders>
            <w:shd w:val="clear" w:color="000000" w:fill="E6F2FF"/>
            <w:noWrap/>
            <w:vAlign w:val="center"/>
            <w:hideMark/>
          </w:tcPr>
          <w:p w14:paraId="3A8DA01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6642E81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nil"/>
              <w:right w:val="nil"/>
            </w:tcBorders>
            <w:shd w:val="clear" w:color="000000" w:fill="FFFFFF"/>
            <w:noWrap/>
            <w:vAlign w:val="center"/>
            <w:hideMark/>
          </w:tcPr>
          <w:p w14:paraId="2FCECFD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5" w:type="pct"/>
            <w:tcBorders>
              <w:top w:val="nil"/>
              <w:left w:val="nil"/>
              <w:bottom w:val="nil"/>
              <w:right w:val="nil"/>
            </w:tcBorders>
            <w:shd w:val="clear" w:color="000000" w:fill="FFFFFF"/>
            <w:noWrap/>
            <w:vAlign w:val="center"/>
            <w:hideMark/>
          </w:tcPr>
          <w:p w14:paraId="2C082CE5"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53102B84" w14:textId="77777777" w:rsidTr="00B01968">
        <w:trPr>
          <w:divId w:val="2054428973"/>
          <w:trHeight w:hRule="exact" w:val="225"/>
        </w:trPr>
        <w:tc>
          <w:tcPr>
            <w:tcW w:w="2021" w:type="pct"/>
            <w:tcBorders>
              <w:top w:val="nil"/>
              <w:left w:val="nil"/>
              <w:bottom w:val="nil"/>
              <w:right w:val="nil"/>
            </w:tcBorders>
            <w:shd w:val="clear" w:color="000000" w:fill="FFFFFF"/>
            <w:noWrap/>
            <w:vAlign w:val="center"/>
            <w:hideMark/>
          </w:tcPr>
          <w:p w14:paraId="677C91FA"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services</w:t>
            </w:r>
          </w:p>
        </w:tc>
        <w:tc>
          <w:tcPr>
            <w:tcW w:w="596" w:type="pct"/>
            <w:tcBorders>
              <w:top w:val="nil"/>
              <w:left w:val="nil"/>
              <w:bottom w:val="nil"/>
              <w:right w:val="nil"/>
            </w:tcBorders>
            <w:shd w:val="clear" w:color="000000" w:fill="FFFFFF"/>
            <w:noWrap/>
            <w:vAlign w:val="center"/>
            <w:hideMark/>
          </w:tcPr>
          <w:p w14:paraId="30F9133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194</w:t>
            </w:r>
          </w:p>
        </w:tc>
        <w:tc>
          <w:tcPr>
            <w:tcW w:w="596" w:type="pct"/>
            <w:tcBorders>
              <w:top w:val="nil"/>
              <w:left w:val="nil"/>
              <w:bottom w:val="nil"/>
              <w:right w:val="nil"/>
            </w:tcBorders>
            <w:shd w:val="clear" w:color="000000" w:fill="E6F2FF"/>
            <w:noWrap/>
            <w:vAlign w:val="center"/>
            <w:hideMark/>
          </w:tcPr>
          <w:p w14:paraId="5E63E8D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w:t>
            </w:r>
          </w:p>
        </w:tc>
        <w:tc>
          <w:tcPr>
            <w:tcW w:w="596" w:type="pct"/>
            <w:tcBorders>
              <w:top w:val="nil"/>
              <w:left w:val="nil"/>
              <w:bottom w:val="nil"/>
              <w:right w:val="nil"/>
            </w:tcBorders>
            <w:shd w:val="clear" w:color="000000" w:fill="FFFFFF"/>
            <w:noWrap/>
            <w:vAlign w:val="center"/>
            <w:hideMark/>
          </w:tcPr>
          <w:p w14:paraId="39E79C1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208</w:t>
            </w:r>
          </w:p>
        </w:tc>
        <w:tc>
          <w:tcPr>
            <w:tcW w:w="596" w:type="pct"/>
            <w:tcBorders>
              <w:top w:val="nil"/>
              <w:left w:val="nil"/>
              <w:bottom w:val="nil"/>
              <w:right w:val="nil"/>
            </w:tcBorders>
            <w:shd w:val="clear" w:color="000000" w:fill="FFFFFF"/>
            <w:noWrap/>
            <w:vAlign w:val="center"/>
            <w:hideMark/>
          </w:tcPr>
          <w:p w14:paraId="055B724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214</w:t>
            </w:r>
          </w:p>
        </w:tc>
        <w:tc>
          <w:tcPr>
            <w:tcW w:w="595" w:type="pct"/>
            <w:tcBorders>
              <w:top w:val="nil"/>
              <w:left w:val="nil"/>
              <w:bottom w:val="nil"/>
              <w:right w:val="nil"/>
            </w:tcBorders>
            <w:shd w:val="clear" w:color="000000" w:fill="FFFFFF"/>
            <w:noWrap/>
            <w:vAlign w:val="center"/>
            <w:hideMark/>
          </w:tcPr>
          <w:p w14:paraId="203CAEF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218</w:t>
            </w:r>
          </w:p>
        </w:tc>
      </w:tr>
      <w:tr w:rsidR="00B01968" w:rsidRPr="00B01968" w14:paraId="09BDDF89" w14:textId="77777777" w:rsidTr="000D3856">
        <w:trPr>
          <w:divId w:val="2054428973"/>
          <w:trHeight w:hRule="exact" w:val="225"/>
        </w:trPr>
        <w:tc>
          <w:tcPr>
            <w:tcW w:w="2021" w:type="pct"/>
            <w:tcBorders>
              <w:top w:val="nil"/>
              <w:left w:val="nil"/>
              <w:bottom w:val="nil"/>
              <w:right w:val="nil"/>
            </w:tcBorders>
            <w:shd w:val="clear" w:color="000000" w:fill="FFFFFF"/>
            <w:noWrap/>
            <w:vAlign w:val="center"/>
            <w:hideMark/>
          </w:tcPr>
          <w:p w14:paraId="2E624A3C"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SBS transmission and distribution</w:t>
            </w:r>
          </w:p>
        </w:tc>
        <w:tc>
          <w:tcPr>
            <w:tcW w:w="596" w:type="pct"/>
            <w:tcBorders>
              <w:top w:val="nil"/>
              <w:left w:val="nil"/>
              <w:right w:val="nil"/>
            </w:tcBorders>
            <w:shd w:val="clear" w:color="000000" w:fill="FFFFFF"/>
            <w:noWrap/>
            <w:vAlign w:val="center"/>
            <w:hideMark/>
          </w:tcPr>
          <w:p w14:paraId="0BC6AD2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right w:val="nil"/>
            </w:tcBorders>
            <w:shd w:val="clear" w:color="000000" w:fill="E6F2FF"/>
            <w:noWrap/>
            <w:vAlign w:val="center"/>
            <w:hideMark/>
          </w:tcPr>
          <w:p w14:paraId="5FEC697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right w:val="nil"/>
            </w:tcBorders>
            <w:shd w:val="clear" w:color="000000" w:fill="FFFFFF"/>
            <w:noWrap/>
            <w:vAlign w:val="center"/>
            <w:hideMark/>
          </w:tcPr>
          <w:p w14:paraId="0B97911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right w:val="nil"/>
            </w:tcBorders>
            <w:shd w:val="clear" w:color="000000" w:fill="FFFFFF"/>
            <w:noWrap/>
            <w:vAlign w:val="center"/>
            <w:hideMark/>
          </w:tcPr>
          <w:p w14:paraId="50A6E1E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5" w:type="pct"/>
            <w:tcBorders>
              <w:top w:val="nil"/>
              <w:left w:val="nil"/>
              <w:right w:val="nil"/>
            </w:tcBorders>
            <w:shd w:val="clear" w:color="000000" w:fill="FFFFFF"/>
            <w:noWrap/>
            <w:vAlign w:val="center"/>
            <w:hideMark/>
          </w:tcPr>
          <w:p w14:paraId="2D35F32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688B8ECA" w14:textId="77777777" w:rsidTr="000D3856">
        <w:trPr>
          <w:divId w:val="2054428973"/>
          <w:trHeight w:hRule="exact" w:val="225"/>
        </w:trPr>
        <w:tc>
          <w:tcPr>
            <w:tcW w:w="2021" w:type="pct"/>
            <w:tcBorders>
              <w:top w:val="nil"/>
              <w:left w:val="nil"/>
              <w:bottom w:val="nil"/>
              <w:right w:val="nil"/>
            </w:tcBorders>
            <w:shd w:val="clear" w:color="000000" w:fill="FFFFFF"/>
            <w:noWrap/>
            <w:vAlign w:val="center"/>
            <w:hideMark/>
          </w:tcPr>
          <w:p w14:paraId="54353F5E"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services</w:t>
            </w:r>
          </w:p>
        </w:tc>
        <w:tc>
          <w:tcPr>
            <w:tcW w:w="596" w:type="pct"/>
            <w:tcBorders>
              <w:top w:val="nil"/>
              <w:left w:val="nil"/>
              <w:bottom w:val="single" w:sz="4" w:space="0" w:color="002A54" w:themeColor="text2"/>
              <w:right w:val="nil"/>
            </w:tcBorders>
            <w:shd w:val="clear" w:color="000000" w:fill="FFFFFF"/>
            <w:noWrap/>
            <w:vAlign w:val="center"/>
            <w:hideMark/>
          </w:tcPr>
          <w:p w14:paraId="19CCE69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74</w:t>
            </w:r>
          </w:p>
        </w:tc>
        <w:tc>
          <w:tcPr>
            <w:tcW w:w="596" w:type="pct"/>
            <w:tcBorders>
              <w:top w:val="nil"/>
              <w:left w:val="nil"/>
              <w:bottom w:val="single" w:sz="4" w:space="0" w:color="002A54" w:themeColor="text2"/>
              <w:right w:val="nil"/>
            </w:tcBorders>
            <w:shd w:val="clear" w:color="000000" w:fill="E6F2FF"/>
            <w:noWrap/>
            <w:vAlign w:val="center"/>
            <w:hideMark/>
          </w:tcPr>
          <w:p w14:paraId="64B823B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78</w:t>
            </w:r>
          </w:p>
        </w:tc>
        <w:tc>
          <w:tcPr>
            <w:tcW w:w="596" w:type="pct"/>
            <w:tcBorders>
              <w:top w:val="nil"/>
              <w:left w:val="nil"/>
              <w:bottom w:val="single" w:sz="4" w:space="0" w:color="002A54" w:themeColor="text2"/>
              <w:right w:val="nil"/>
            </w:tcBorders>
            <w:shd w:val="clear" w:color="000000" w:fill="FFFFFF"/>
            <w:noWrap/>
            <w:vAlign w:val="center"/>
            <w:hideMark/>
          </w:tcPr>
          <w:p w14:paraId="073E5DE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79</w:t>
            </w:r>
          </w:p>
        </w:tc>
        <w:tc>
          <w:tcPr>
            <w:tcW w:w="596" w:type="pct"/>
            <w:tcBorders>
              <w:top w:val="nil"/>
              <w:left w:val="nil"/>
              <w:bottom w:val="single" w:sz="4" w:space="0" w:color="002A54" w:themeColor="text2"/>
              <w:right w:val="nil"/>
            </w:tcBorders>
            <w:shd w:val="clear" w:color="000000" w:fill="FFFFFF"/>
            <w:noWrap/>
            <w:vAlign w:val="center"/>
            <w:hideMark/>
          </w:tcPr>
          <w:p w14:paraId="7EA417A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82</w:t>
            </w:r>
          </w:p>
        </w:tc>
        <w:tc>
          <w:tcPr>
            <w:tcW w:w="595" w:type="pct"/>
            <w:tcBorders>
              <w:top w:val="nil"/>
              <w:left w:val="nil"/>
              <w:bottom w:val="single" w:sz="4" w:space="0" w:color="002A54" w:themeColor="text2"/>
              <w:right w:val="nil"/>
            </w:tcBorders>
            <w:shd w:val="clear" w:color="000000" w:fill="FFFFFF"/>
            <w:noWrap/>
            <w:vAlign w:val="center"/>
            <w:hideMark/>
          </w:tcPr>
          <w:p w14:paraId="782CC4E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85</w:t>
            </w:r>
          </w:p>
        </w:tc>
      </w:tr>
      <w:tr w:rsidR="00B01968" w:rsidRPr="00B01968" w14:paraId="153AE7C2" w14:textId="77777777" w:rsidTr="000D3856">
        <w:trPr>
          <w:divId w:val="2054428973"/>
          <w:trHeight w:hRule="exact" w:val="225"/>
        </w:trPr>
        <w:tc>
          <w:tcPr>
            <w:tcW w:w="2021" w:type="pct"/>
            <w:tcBorders>
              <w:top w:val="nil"/>
              <w:left w:val="nil"/>
              <w:bottom w:val="single" w:sz="4" w:space="0" w:color="002A54" w:themeColor="text2"/>
              <w:right w:val="nil"/>
            </w:tcBorders>
            <w:shd w:val="clear" w:color="000000" w:fill="FFFFFF"/>
            <w:noWrap/>
            <w:vAlign w:val="center"/>
            <w:hideMark/>
          </w:tcPr>
          <w:p w14:paraId="4CF1BB5E"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70ADD2C6"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1,680</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577BD6A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1,671</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44E6FE6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1,745</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6CBB0D5C"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1,794</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5EFC6EFE"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1,798</w:t>
            </w:r>
          </w:p>
        </w:tc>
      </w:tr>
    </w:tbl>
    <w:p w14:paraId="7FF79189" w14:textId="2AF605F3" w:rsidR="00C855DF" w:rsidRPr="000177D7" w:rsidRDefault="00C855DF" w:rsidP="00173739">
      <w:pPr>
        <w:pStyle w:val="ChartandTableFootnoteAlpha"/>
        <w:numPr>
          <w:ilvl w:val="0"/>
          <w:numId w:val="16"/>
        </w:numPr>
        <w:rPr>
          <w:color w:val="auto"/>
        </w:rPr>
      </w:pPr>
      <w:bookmarkStart w:id="106" w:name="_Toc99203687"/>
      <w:r w:rsidRPr="000177D7">
        <w:rPr>
          <w:color w:val="auto"/>
        </w:rPr>
        <w:t xml:space="preserve"> The entry for each component includes eliminations for inter</w:t>
      </w:r>
      <w:r w:rsidR="00D34B95">
        <w:rPr>
          <w:color w:val="auto"/>
        </w:rPr>
        <w:noBreakHyphen/>
      </w:r>
      <w:r w:rsidRPr="000177D7">
        <w:rPr>
          <w:color w:val="auto"/>
        </w:rPr>
        <w:t>agency transactions within that component.</w:t>
      </w:r>
    </w:p>
    <w:p w14:paraId="579742FB" w14:textId="77777777" w:rsidR="00C855DF" w:rsidRPr="000177D7" w:rsidRDefault="00C855DF" w:rsidP="00C855DF">
      <w:pPr>
        <w:pStyle w:val="TableLine"/>
      </w:pPr>
    </w:p>
    <w:p w14:paraId="44C33643" w14:textId="40468538" w:rsidR="0050166A" w:rsidRPr="000177D7" w:rsidRDefault="0050166A" w:rsidP="0050166A">
      <w:pPr>
        <w:rPr>
          <w:lang w:val="en-US"/>
        </w:rPr>
      </w:pPr>
      <w:bookmarkStart w:id="107" w:name="_Toc117358180"/>
      <w:r>
        <w:rPr>
          <w:lang w:val="en-US"/>
        </w:rPr>
        <w:t xml:space="preserve">The Government is investing in the </w:t>
      </w:r>
      <w:r w:rsidRPr="00E72FA2">
        <w:rPr>
          <w:b/>
          <w:lang w:val="en-US"/>
        </w:rPr>
        <w:t>arts and cultural heritage</w:t>
      </w:r>
      <w:r w:rsidRPr="00E72FA2">
        <w:rPr>
          <w:lang w:val="en-US"/>
        </w:rPr>
        <w:t xml:space="preserve"> </w:t>
      </w:r>
      <w:r>
        <w:rPr>
          <w:lang w:val="en-US"/>
        </w:rPr>
        <w:t>sub</w:t>
      </w:r>
      <w:r w:rsidR="00D34B95">
        <w:rPr>
          <w:lang w:val="en-US"/>
        </w:rPr>
        <w:noBreakHyphen/>
      </w:r>
      <w:r>
        <w:rPr>
          <w:lang w:val="en-US"/>
        </w:rPr>
        <w:t xml:space="preserve">function through the </w:t>
      </w:r>
      <w:r w:rsidRPr="0060142E">
        <w:rPr>
          <w:lang w:val="en-US"/>
        </w:rPr>
        <w:t>2023</w:t>
      </w:r>
      <w:r w:rsidR="00D34B95">
        <w:rPr>
          <w:lang w:val="en-US"/>
        </w:rPr>
        <w:noBreakHyphen/>
      </w:r>
      <w:r w:rsidRPr="0060142E">
        <w:rPr>
          <w:lang w:val="en-US"/>
        </w:rPr>
        <w:t xml:space="preserve">24 Budget </w:t>
      </w:r>
      <w:r w:rsidRPr="0021687D">
        <w:rPr>
          <w:lang w:val="en-US"/>
        </w:rPr>
        <w:t xml:space="preserve">measures </w:t>
      </w:r>
      <w:r w:rsidR="0021687D" w:rsidRPr="0021687D">
        <w:rPr>
          <w:i/>
          <w:iCs/>
          <w:lang w:val="en-US"/>
        </w:rPr>
        <w:t xml:space="preserve">Revive </w:t>
      </w:r>
      <w:r w:rsidR="00CA3FDE">
        <w:rPr>
          <w:i/>
          <w:iCs/>
          <w:lang w:val="en-US"/>
        </w:rPr>
        <w:t>–</w:t>
      </w:r>
      <w:r w:rsidR="0021687D" w:rsidRPr="0021687D">
        <w:rPr>
          <w:i/>
          <w:iCs/>
          <w:lang w:val="en-US"/>
        </w:rPr>
        <w:t xml:space="preserve"> National Cultural Policy and Location Incentive </w:t>
      </w:r>
      <w:r w:rsidR="0021687D" w:rsidRPr="0021687D">
        <w:rPr>
          <w:lang w:val="en-US"/>
        </w:rPr>
        <w:t>and</w:t>
      </w:r>
      <w:r w:rsidR="0021687D" w:rsidRPr="0021687D">
        <w:rPr>
          <w:i/>
          <w:iCs/>
          <w:lang w:val="en-US"/>
        </w:rPr>
        <w:t xml:space="preserve"> National Cultural Policy </w:t>
      </w:r>
      <w:r w:rsidR="00CA3FDE">
        <w:rPr>
          <w:i/>
          <w:iCs/>
          <w:lang w:val="en-US"/>
        </w:rPr>
        <w:t>–</w:t>
      </w:r>
      <w:r w:rsidR="0021687D" w:rsidRPr="0021687D">
        <w:rPr>
          <w:i/>
          <w:iCs/>
          <w:lang w:val="en-US"/>
        </w:rPr>
        <w:t xml:space="preserve"> National Collecting Institutions </w:t>
      </w:r>
      <w:r w:rsidR="00CA3FDE">
        <w:rPr>
          <w:i/>
          <w:iCs/>
          <w:lang w:val="en-US"/>
        </w:rPr>
        <w:t>–</w:t>
      </w:r>
      <w:r w:rsidR="0021687D" w:rsidRPr="0021687D">
        <w:rPr>
          <w:i/>
          <w:iCs/>
          <w:lang w:val="en-US"/>
        </w:rPr>
        <w:t xml:space="preserve"> sustainability</w:t>
      </w:r>
      <w:r w:rsidRPr="0021687D">
        <w:rPr>
          <w:lang w:val="en-US"/>
        </w:rPr>
        <w:t>. Although this investment increases funding in the arts sector, expenses in this sub</w:t>
      </w:r>
      <w:r w:rsidR="00D34B95">
        <w:rPr>
          <w:lang w:val="en-US"/>
        </w:rPr>
        <w:noBreakHyphen/>
      </w:r>
      <w:r w:rsidRPr="0021687D">
        <w:rPr>
          <w:lang w:val="en-US"/>
        </w:rPr>
        <w:t>function</w:t>
      </w:r>
      <w:r>
        <w:rPr>
          <w:lang w:val="en-US"/>
        </w:rPr>
        <w:t xml:space="preserve"> </w:t>
      </w:r>
      <w:r w:rsidRPr="00E72FA2">
        <w:rPr>
          <w:lang w:val="en-US"/>
        </w:rPr>
        <w:t xml:space="preserve">are estimated to </w:t>
      </w:r>
      <w:bookmarkStart w:id="108" w:name="_Hlk133333727"/>
      <w:r w:rsidRPr="00E72FA2">
        <w:rPr>
          <w:lang w:val="en-US"/>
        </w:rPr>
        <w:t xml:space="preserve">decrease </w:t>
      </w:r>
      <w:r>
        <w:rPr>
          <w:lang w:val="en-US"/>
        </w:rPr>
        <w:t xml:space="preserve">largely </w:t>
      </w:r>
      <w:r w:rsidR="007E2B7A">
        <w:rPr>
          <w:lang w:val="en-US"/>
        </w:rPr>
        <w:t>resulting from</w:t>
      </w:r>
      <w:r>
        <w:rPr>
          <w:lang w:val="en-US"/>
        </w:rPr>
        <w:t xml:space="preserve"> lower expenses </w:t>
      </w:r>
      <w:bookmarkEnd w:id="108"/>
      <w:r>
        <w:rPr>
          <w:lang w:val="en-US"/>
        </w:rPr>
        <w:t xml:space="preserve">for the </w:t>
      </w:r>
      <w:r w:rsidRPr="00E72FA2">
        <w:rPr>
          <w:lang w:val="en-US"/>
        </w:rPr>
        <w:t>Australian Screen Production Incentive</w:t>
      </w:r>
      <w:r>
        <w:rPr>
          <w:lang w:val="en-US"/>
        </w:rPr>
        <w:t xml:space="preserve"> after a </w:t>
      </w:r>
      <w:r w:rsidRPr="00E72FA2">
        <w:rPr>
          <w:lang w:val="en-US"/>
        </w:rPr>
        <w:t>one</w:t>
      </w:r>
      <w:r w:rsidR="00D34B95">
        <w:rPr>
          <w:lang w:val="en-US"/>
        </w:rPr>
        <w:noBreakHyphen/>
      </w:r>
      <w:r w:rsidRPr="00E72FA2">
        <w:rPr>
          <w:lang w:val="en-US"/>
        </w:rPr>
        <w:t xml:space="preserve">off </w:t>
      </w:r>
      <w:r>
        <w:rPr>
          <w:lang w:val="en-US"/>
        </w:rPr>
        <w:t>increase in 2023</w:t>
      </w:r>
      <w:r w:rsidR="00CA3FDE">
        <w:rPr>
          <w:lang w:val="en-US"/>
        </w:rPr>
        <w:t>–</w:t>
      </w:r>
      <w:r>
        <w:rPr>
          <w:lang w:val="en-US"/>
        </w:rPr>
        <w:t>24 due to</w:t>
      </w:r>
      <w:r w:rsidRPr="00E72FA2">
        <w:rPr>
          <w:lang w:val="en-US"/>
        </w:rPr>
        <w:t xml:space="preserve"> the impact of COVID</w:t>
      </w:r>
      <w:r w:rsidR="00D34B95">
        <w:rPr>
          <w:lang w:val="en-US"/>
        </w:rPr>
        <w:noBreakHyphen/>
      </w:r>
      <w:r w:rsidRPr="00E72FA2">
        <w:rPr>
          <w:lang w:val="en-US"/>
        </w:rPr>
        <w:t>19 on eligible activities</w:t>
      </w:r>
      <w:r>
        <w:rPr>
          <w:lang w:val="en-US"/>
        </w:rPr>
        <w:t>.</w:t>
      </w:r>
    </w:p>
    <w:p w14:paraId="1005815C" w14:textId="16BEF59E" w:rsidR="0050166A" w:rsidRPr="0021687D" w:rsidRDefault="0050166A" w:rsidP="0050166A">
      <w:pPr>
        <w:rPr>
          <w:lang w:val="en-US"/>
        </w:rPr>
      </w:pPr>
      <w:r w:rsidRPr="000177D7">
        <w:rPr>
          <w:lang w:val="en-US"/>
        </w:rPr>
        <w:t xml:space="preserve">Expenses under the </w:t>
      </w:r>
      <w:r w:rsidRPr="000177D7">
        <w:rPr>
          <w:b/>
          <w:bCs/>
          <w:lang w:val="en-US"/>
        </w:rPr>
        <w:t>sport and recreation</w:t>
      </w:r>
      <w:r w:rsidRPr="000177D7">
        <w:rPr>
          <w:lang w:val="en-US"/>
        </w:rPr>
        <w:t xml:space="preserve"> sub</w:t>
      </w:r>
      <w:r w:rsidR="00D34B95">
        <w:rPr>
          <w:lang w:val="en-US"/>
        </w:rPr>
        <w:noBreakHyphen/>
      </w:r>
      <w:r w:rsidRPr="000177D7">
        <w:rPr>
          <w:lang w:val="en-US"/>
        </w:rPr>
        <w:t>function are estimated to</w:t>
      </w:r>
      <w:r>
        <w:rPr>
          <w:lang w:val="en-US"/>
        </w:rPr>
        <w:t xml:space="preserve"> increase</w:t>
      </w:r>
      <w:r w:rsidRPr="00954C3B">
        <w:rPr>
          <w:lang w:val="en-US"/>
        </w:rPr>
        <w:t xml:space="preserve"> </w:t>
      </w:r>
      <w:r>
        <w:rPr>
          <w:lang w:val="en-US"/>
        </w:rPr>
        <w:t>significantly</w:t>
      </w:r>
      <w:r w:rsidR="004762A3">
        <w:rPr>
          <w:lang w:val="en-US"/>
        </w:rPr>
        <w:t xml:space="preserve"> </w:t>
      </w:r>
      <w:r w:rsidRPr="00954C3B">
        <w:rPr>
          <w:lang w:val="en-US"/>
        </w:rPr>
        <w:t>over the period 2023</w:t>
      </w:r>
      <w:r w:rsidR="00CA3FDE">
        <w:rPr>
          <w:lang w:val="en-US"/>
        </w:rPr>
        <w:t>–</w:t>
      </w:r>
      <w:r w:rsidRPr="00954C3B">
        <w:rPr>
          <w:lang w:val="en-US"/>
        </w:rPr>
        <w:t>24 to 2026</w:t>
      </w:r>
      <w:r w:rsidR="00CA3FDE">
        <w:rPr>
          <w:lang w:val="en-US"/>
        </w:rPr>
        <w:t>–</w:t>
      </w:r>
      <w:r w:rsidRPr="00954C3B">
        <w:rPr>
          <w:lang w:val="en-US"/>
        </w:rPr>
        <w:t>27</w:t>
      </w:r>
      <w:r w:rsidR="0090041A">
        <w:rPr>
          <w:lang w:val="en-US"/>
        </w:rPr>
        <w:t>,</w:t>
      </w:r>
      <w:r w:rsidRPr="000177D7">
        <w:rPr>
          <w:lang w:val="en-US"/>
        </w:rPr>
        <w:t xml:space="preserve"> reflect</w:t>
      </w:r>
      <w:r>
        <w:rPr>
          <w:lang w:val="en-US"/>
        </w:rPr>
        <w:t>ing</w:t>
      </w:r>
      <w:r w:rsidRPr="000177D7">
        <w:rPr>
          <w:lang w:val="en-US"/>
        </w:rPr>
        <w:t xml:space="preserve"> </w:t>
      </w:r>
      <w:r>
        <w:rPr>
          <w:lang w:val="en-US"/>
        </w:rPr>
        <w:t>contributions for venue infrastructure</w:t>
      </w:r>
      <w:r w:rsidR="004762A3">
        <w:rPr>
          <w:lang w:val="en-US"/>
        </w:rPr>
        <w:t xml:space="preserve"> </w:t>
      </w:r>
      <w:r>
        <w:rPr>
          <w:lang w:val="en-US"/>
        </w:rPr>
        <w:t xml:space="preserve">for </w:t>
      </w:r>
      <w:r w:rsidRPr="0021687D">
        <w:rPr>
          <w:lang w:val="en-US"/>
        </w:rPr>
        <w:t>the 2032 Brisbane Olympic and Paralympic Games provided through the 2023</w:t>
      </w:r>
      <w:r w:rsidR="00D34B95">
        <w:rPr>
          <w:lang w:val="en-US"/>
        </w:rPr>
        <w:noBreakHyphen/>
      </w:r>
      <w:r w:rsidRPr="0021687D">
        <w:rPr>
          <w:lang w:val="en-US"/>
        </w:rPr>
        <w:t xml:space="preserve">24 Budget measure </w:t>
      </w:r>
      <w:r w:rsidR="0021687D" w:rsidRPr="0021687D">
        <w:rPr>
          <w:i/>
          <w:iCs/>
        </w:rPr>
        <w:t xml:space="preserve">2032 Brisbane Olympic and Paralympic Games </w:t>
      </w:r>
      <w:r w:rsidR="00CA3FDE">
        <w:rPr>
          <w:i/>
          <w:iCs/>
        </w:rPr>
        <w:t>–</w:t>
      </w:r>
      <w:r w:rsidR="0021687D" w:rsidRPr="0021687D">
        <w:rPr>
          <w:i/>
          <w:iCs/>
        </w:rPr>
        <w:t xml:space="preserve"> venue infrastructure</w:t>
      </w:r>
      <w:r w:rsidRPr="0021687D">
        <w:rPr>
          <w:lang w:val="en-US"/>
        </w:rPr>
        <w:t>, as well as funding for the Macquarie Point Precinct and the University of Tasmania stadium in Launceston provided through the 2023</w:t>
      </w:r>
      <w:r w:rsidR="00CA3FDE">
        <w:rPr>
          <w:lang w:val="en-US"/>
        </w:rPr>
        <w:t>–</w:t>
      </w:r>
      <w:r w:rsidRPr="0021687D">
        <w:rPr>
          <w:lang w:val="en-US"/>
        </w:rPr>
        <w:t>24 Budget measure</w:t>
      </w:r>
      <w:r w:rsidRPr="0021687D">
        <w:rPr>
          <w:i/>
          <w:iCs/>
          <w:lang w:val="en-US"/>
        </w:rPr>
        <w:t xml:space="preserve"> </w:t>
      </w:r>
      <w:r w:rsidR="0021687D" w:rsidRPr="0021687D">
        <w:rPr>
          <w:i/>
          <w:iCs/>
          <w:lang w:val="en-US"/>
        </w:rPr>
        <w:t>National Approach for Sustainable Urban Development.</w:t>
      </w:r>
    </w:p>
    <w:p w14:paraId="7D97FCAA" w14:textId="6E495E13" w:rsidR="004A5EC1" w:rsidRPr="00E15C0B" w:rsidRDefault="0050166A" w:rsidP="0050166A">
      <w:pPr>
        <w:rPr>
          <w:lang w:val="en-US"/>
        </w:rPr>
      </w:pPr>
      <w:r w:rsidRPr="0021687D">
        <w:rPr>
          <w:lang w:val="en-US"/>
        </w:rPr>
        <w:t>Expenses under the </w:t>
      </w:r>
      <w:r w:rsidRPr="0021687D">
        <w:rPr>
          <w:b/>
          <w:bCs/>
          <w:lang w:val="en-US"/>
        </w:rPr>
        <w:t>national estate and parks</w:t>
      </w:r>
      <w:r w:rsidRPr="0021687D">
        <w:rPr>
          <w:lang w:val="en-US"/>
        </w:rPr>
        <w:t> sub</w:t>
      </w:r>
      <w:r w:rsidR="00D34B95">
        <w:rPr>
          <w:lang w:val="en-US"/>
        </w:rPr>
        <w:noBreakHyphen/>
      </w:r>
      <w:r w:rsidRPr="0021687D">
        <w:rPr>
          <w:lang w:val="en-US"/>
        </w:rPr>
        <w:t>function are estimated to increase by 1.</w:t>
      </w:r>
      <w:r w:rsidR="009310E8" w:rsidRPr="0021687D">
        <w:rPr>
          <w:lang w:val="en-US"/>
        </w:rPr>
        <w:t>2</w:t>
      </w:r>
      <w:r w:rsidR="00893776">
        <w:rPr>
          <w:lang w:val="en-US"/>
        </w:rPr>
        <w:t> per </w:t>
      </w:r>
      <w:r w:rsidRPr="0021687D">
        <w:rPr>
          <w:lang w:val="en-US"/>
        </w:rPr>
        <w:t>cent in nominal terms and decrease by 6.</w:t>
      </w:r>
      <w:r w:rsidR="009310E8" w:rsidRPr="0021687D">
        <w:rPr>
          <w:lang w:val="en-US"/>
        </w:rPr>
        <w:t>5</w:t>
      </w:r>
      <w:r w:rsidR="00893776">
        <w:rPr>
          <w:lang w:val="en-US"/>
        </w:rPr>
        <w:t> per </w:t>
      </w:r>
      <w:r w:rsidRPr="0021687D">
        <w:rPr>
          <w:lang w:val="en-US"/>
        </w:rPr>
        <w:t>cent in real terms over the period 2023</w:t>
      </w:r>
      <w:r w:rsidR="00CA3FDE">
        <w:rPr>
          <w:lang w:val="en-US"/>
        </w:rPr>
        <w:t>–</w:t>
      </w:r>
      <w:r w:rsidRPr="0021687D">
        <w:rPr>
          <w:lang w:val="en-US"/>
        </w:rPr>
        <w:t>24 to 2026</w:t>
      </w:r>
      <w:r w:rsidR="00CA3FDE">
        <w:rPr>
          <w:lang w:val="en-US"/>
        </w:rPr>
        <w:t>–</w:t>
      </w:r>
      <w:r w:rsidRPr="0021687D">
        <w:rPr>
          <w:lang w:val="en-US"/>
        </w:rPr>
        <w:t>27, largely due to investment in the renewal and repair of heritage</w:t>
      </w:r>
      <w:r w:rsidR="00D34B95">
        <w:rPr>
          <w:lang w:val="en-US"/>
        </w:rPr>
        <w:noBreakHyphen/>
      </w:r>
      <w:r w:rsidRPr="0021687D">
        <w:rPr>
          <w:lang w:val="en-US"/>
        </w:rPr>
        <w:t>listed infrastructure across sites managed by the Sydney Harbour Federation Trust in 2023</w:t>
      </w:r>
      <w:r w:rsidR="00CA3FDE">
        <w:rPr>
          <w:lang w:val="en-US"/>
        </w:rPr>
        <w:t>–</w:t>
      </w:r>
      <w:r w:rsidRPr="0021687D">
        <w:rPr>
          <w:lang w:val="en-US"/>
        </w:rPr>
        <w:t>24 and 2024</w:t>
      </w:r>
      <w:r w:rsidR="00CA3FDE">
        <w:rPr>
          <w:lang w:val="en-US"/>
        </w:rPr>
        <w:t>–</w:t>
      </w:r>
      <w:r w:rsidRPr="0021687D">
        <w:rPr>
          <w:lang w:val="en-US"/>
        </w:rPr>
        <w:t>25 through the 2023</w:t>
      </w:r>
      <w:r w:rsidR="00CA3FDE">
        <w:rPr>
          <w:lang w:val="en-US"/>
        </w:rPr>
        <w:t>–</w:t>
      </w:r>
      <w:r w:rsidRPr="0021687D">
        <w:rPr>
          <w:lang w:val="en-US"/>
        </w:rPr>
        <w:t>24 Budget measure</w:t>
      </w:r>
      <w:r w:rsidR="00963468">
        <w:rPr>
          <w:lang w:val="en-US"/>
        </w:rPr>
        <w:t xml:space="preserve"> </w:t>
      </w:r>
      <w:r w:rsidR="0021687D" w:rsidRPr="0021687D">
        <w:rPr>
          <w:i/>
          <w:iCs/>
          <w:lang w:val="en-US"/>
        </w:rPr>
        <w:t>Sydney</w:t>
      </w:r>
      <w:r w:rsidR="005316E1">
        <w:rPr>
          <w:i/>
          <w:iCs/>
          <w:lang w:val="en-US"/>
        </w:rPr>
        <w:t xml:space="preserve"> </w:t>
      </w:r>
      <w:r w:rsidR="0021687D" w:rsidRPr="0021687D">
        <w:rPr>
          <w:i/>
          <w:iCs/>
          <w:lang w:val="en-US"/>
        </w:rPr>
        <w:t>Harbour</w:t>
      </w:r>
      <w:r w:rsidR="005316E1">
        <w:rPr>
          <w:i/>
          <w:iCs/>
          <w:lang w:val="en-US"/>
        </w:rPr>
        <w:t xml:space="preserve"> </w:t>
      </w:r>
      <w:r w:rsidR="0021687D" w:rsidRPr="0021687D">
        <w:rPr>
          <w:i/>
          <w:iCs/>
          <w:lang w:val="en-US"/>
        </w:rPr>
        <w:t>Federation</w:t>
      </w:r>
      <w:r w:rsidR="005316E1">
        <w:rPr>
          <w:i/>
          <w:iCs/>
          <w:lang w:val="en-US"/>
        </w:rPr>
        <w:t xml:space="preserve"> </w:t>
      </w:r>
      <w:r w:rsidR="0021687D" w:rsidRPr="0021687D">
        <w:rPr>
          <w:i/>
          <w:iCs/>
          <w:lang w:val="en-US"/>
        </w:rPr>
        <w:t>Trust</w:t>
      </w:r>
      <w:r w:rsidR="00376656">
        <w:rPr>
          <w:i/>
          <w:iCs/>
          <w:lang w:val="en-US"/>
        </w:rPr>
        <w:t xml:space="preserve"> </w:t>
      </w:r>
      <w:r w:rsidR="00CA3FDE">
        <w:rPr>
          <w:i/>
          <w:iCs/>
          <w:lang w:val="en-US"/>
        </w:rPr>
        <w:t>–</w:t>
      </w:r>
      <w:r w:rsidR="000177F1">
        <w:rPr>
          <w:i/>
          <w:iCs/>
          <w:lang w:val="en-US"/>
        </w:rPr>
        <w:t xml:space="preserve"> </w:t>
      </w:r>
      <w:r w:rsidR="0021687D" w:rsidRPr="0021687D">
        <w:rPr>
          <w:i/>
          <w:iCs/>
          <w:lang w:val="en-US"/>
        </w:rPr>
        <w:t>infrastructure improvements</w:t>
      </w:r>
      <w:r w:rsidRPr="0021687D">
        <w:rPr>
          <w:i/>
          <w:iCs/>
          <w:lang w:val="en-US"/>
        </w:rPr>
        <w:t>.</w:t>
      </w:r>
      <w:r w:rsidRPr="0021687D">
        <w:rPr>
          <w:lang w:val="en-US"/>
        </w:rPr>
        <w:t xml:space="preserve"> Additional support is also being provided for the management of Australia</w:t>
      </w:r>
      <w:r w:rsidR="00D34B95">
        <w:rPr>
          <w:lang w:val="en-US"/>
        </w:rPr>
        <w:t>’</w:t>
      </w:r>
      <w:r w:rsidRPr="0021687D">
        <w:rPr>
          <w:lang w:val="en-US"/>
        </w:rPr>
        <w:t>s terrestrial and marine Commonwealth parks through the 2023</w:t>
      </w:r>
      <w:r w:rsidR="00CA3FDE">
        <w:rPr>
          <w:lang w:val="en-US"/>
        </w:rPr>
        <w:t>–</w:t>
      </w:r>
      <w:r w:rsidRPr="0021687D">
        <w:rPr>
          <w:lang w:val="en-US"/>
        </w:rPr>
        <w:t xml:space="preserve">24 Budget </w:t>
      </w:r>
      <w:r w:rsidR="0021687D" w:rsidRPr="0021687D">
        <w:rPr>
          <w:i/>
          <w:iCs/>
          <w:lang w:val="en-US"/>
        </w:rPr>
        <w:t>Protecting Australia</w:t>
      </w:r>
      <w:r w:rsidR="00D34B95">
        <w:rPr>
          <w:i/>
          <w:iCs/>
          <w:lang w:val="en-US"/>
        </w:rPr>
        <w:t>’</w:t>
      </w:r>
      <w:r w:rsidR="0021687D" w:rsidRPr="0021687D">
        <w:rPr>
          <w:i/>
          <w:iCs/>
          <w:lang w:val="en-US"/>
        </w:rPr>
        <w:t>s Iconic National Parks</w:t>
      </w:r>
      <w:r w:rsidR="0021687D">
        <w:rPr>
          <w:i/>
          <w:iCs/>
          <w:lang w:val="en-US"/>
        </w:rPr>
        <w:t>.</w:t>
      </w:r>
      <w:r w:rsidR="004A5EC1" w:rsidRPr="40F17EF4">
        <w:rPr>
          <w:lang w:val="en-US"/>
        </w:rPr>
        <w:t xml:space="preserve"> </w:t>
      </w:r>
    </w:p>
    <w:p w14:paraId="4ACCAF64" w14:textId="77777777" w:rsidR="00C855DF" w:rsidRPr="000177D7" w:rsidRDefault="00C855DF" w:rsidP="00C855DF">
      <w:pPr>
        <w:pStyle w:val="Heading3"/>
      </w:pPr>
      <w:bookmarkStart w:id="109" w:name="_Toc134169621"/>
      <w:r w:rsidRPr="000177D7">
        <w:t>Fuel and energy</w:t>
      </w:r>
      <w:bookmarkEnd w:id="99"/>
      <w:bookmarkEnd w:id="100"/>
      <w:bookmarkEnd w:id="106"/>
      <w:bookmarkEnd w:id="107"/>
      <w:bookmarkEnd w:id="109"/>
    </w:p>
    <w:p w14:paraId="40D30670" w14:textId="77777777" w:rsidR="00ED4E4C" w:rsidRDefault="004A5EC1" w:rsidP="004A5EC1">
      <w:bookmarkStart w:id="110" w:name="_Toc4577278"/>
      <w:bookmarkStart w:id="111" w:name="_Toc4689190"/>
      <w:r w:rsidRPr="000177D7">
        <w:t>The fuel and energy function includes expenses for the Fuel Tax Credits and Product Stewardship Waste (Oil) schemes administered by the Australian Taxation Office. It also includes expenses related to improving Australia</w:t>
      </w:r>
      <w:r w:rsidR="00D34B95">
        <w:t>’</w:t>
      </w:r>
      <w:r w:rsidRPr="000177D7">
        <w:t>s energy efficiency, resource related initiatives, and programs to support the production and use of renewable energy.</w:t>
      </w:r>
    </w:p>
    <w:p w14:paraId="4A54CAE5" w14:textId="11212D49" w:rsidR="004A5EC1" w:rsidRPr="000177D7" w:rsidRDefault="00012D16" w:rsidP="004A5EC1">
      <w:r>
        <w:br w:type="page"/>
      </w:r>
    </w:p>
    <w:p w14:paraId="59B7CB61" w14:textId="2C935379" w:rsidR="00B01968" w:rsidRDefault="00C855DF" w:rsidP="00B01968">
      <w:pPr>
        <w:pStyle w:val="TableHeading"/>
        <w:rPr>
          <w:rFonts w:asciiTheme="minorHAnsi" w:eastAsiaTheme="minorHAnsi" w:hAnsiTheme="minorHAnsi" w:cstheme="minorBidi"/>
          <w:sz w:val="22"/>
          <w:szCs w:val="22"/>
          <w:lang w:eastAsia="en-US"/>
        </w:rPr>
      </w:pPr>
      <w:r w:rsidRPr="000177D7">
        <w:lastRenderedPageBreak/>
        <w:t>Table 6.12: Summary of expenses – fuel and energy</w:t>
      </w:r>
      <w:bookmarkStart w:id="112" w:name="_1586323063"/>
      <w:bookmarkStart w:id="113" w:name="_1727774340"/>
      <w:bookmarkEnd w:id="112"/>
      <w:bookmarkEnd w:id="113"/>
    </w:p>
    <w:tbl>
      <w:tblPr>
        <w:tblW w:w="5000" w:type="pct"/>
        <w:tblCellMar>
          <w:left w:w="0" w:type="dxa"/>
          <w:right w:w="28" w:type="dxa"/>
        </w:tblCellMar>
        <w:tblLook w:val="04A0" w:firstRow="1" w:lastRow="0" w:firstColumn="1" w:lastColumn="0" w:noHBand="0" w:noVBand="1"/>
      </w:tblPr>
      <w:tblGrid>
        <w:gridCol w:w="3643"/>
        <w:gridCol w:w="812"/>
        <w:gridCol w:w="813"/>
        <w:gridCol w:w="813"/>
        <w:gridCol w:w="813"/>
        <w:gridCol w:w="816"/>
      </w:tblGrid>
      <w:tr w:rsidR="00B01968" w:rsidRPr="00B01968" w14:paraId="72467B60" w14:textId="77777777" w:rsidTr="000D3856">
        <w:trPr>
          <w:divId w:val="2110733099"/>
          <w:trHeight w:hRule="exact" w:val="225"/>
        </w:trPr>
        <w:tc>
          <w:tcPr>
            <w:tcW w:w="2363" w:type="pct"/>
            <w:tcBorders>
              <w:top w:val="single" w:sz="4" w:space="0" w:color="002A54" w:themeColor="text2"/>
              <w:left w:val="nil"/>
              <w:bottom w:val="nil"/>
              <w:right w:val="nil"/>
            </w:tcBorders>
            <w:shd w:val="clear" w:color="000000" w:fill="FFFFFF"/>
            <w:noWrap/>
            <w:vAlign w:val="center"/>
            <w:hideMark/>
          </w:tcPr>
          <w:p w14:paraId="6BB6ED33" w14:textId="2CDA066D"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37"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63B6AE38"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4CBF94C4" w14:textId="77777777" w:rsidTr="000D3856">
        <w:trPr>
          <w:divId w:val="2110733099"/>
          <w:trHeight w:hRule="exact" w:val="225"/>
        </w:trPr>
        <w:tc>
          <w:tcPr>
            <w:tcW w:w="2363" w:type="pct"/>
            <w:tcBorders>
              <w:top w:val="nil"/>
              <w:left w:val="nil"/>
              <w:bottom w:val="nil"/>
              <w:right w:val="nil"/>
            </w:tcBorders>
            <w:shd w:val="clear" w:color="000000" w:fill="FFFFFF"/>
            <w:noWrap/>
            <w:vAlign w:val="bottom"/>
            <w:hideMark/>
          </w:tcPr>
          <w:p w14:paraId="14F7F455"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7" w:type="pct"/>
            <w:tcBorders>
              <w:top w:val="single" w:sz="4" w:space="0" w:color="002A54" w:themeColor="text2"/>
              <w:left w:val="nil"/>
              <w:bottom w:val="nil"/>
              <w:right w:val="nil"/>
            </w:tcBorders>
            <w:shd w:val="clear" w:color="000000" w:fill="FFFFFF"/>
            <w:noWrap/>
            <w:vAlign w:val="center"/>
            <w:hideMark/>
          </w:tcPr>
          <w:p w14:paraId="07652E6F" w14:textId="01CC7935"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CA3FDE">
              <w:rPr>
                <w:rFonts w:ascii="Arial" w:hAnsi="Arial" w:cs="Arial"/>
                <w:sz w:val="16"/>
                <w:szCs w:val="16"/>
              </w:rPr>
              <w:t>–</w:t>
            </w:r>
            <w:r w:rsidRPr="00B01968">
              <w:rPr>
                <w:rFonts w:ascii="Arial" w:hAnsi="Arial" w:cs="Arial"/>
                <w:sz w:val="16"/>
                <w:szCs w:val="16"/>
              </w:rPr>
              <w:t>23</w:t>
            </w:r>
          </w:p>
        </w:tc>
        <w:tc>
          <w:tcPr>
            <w:tcW w:w="527" w:type="pct"/>
            <w:tcBorders>
              <w:top w:val="single" w:sz="4" w:space="0" w:color="002A54" w:themeColor="text2"/>
              <w:left w:val="nil"/>
              <w:bottom w:val="nil"/>
              <w:right w:val="nil"/>
            </w:tcBorders>
            <w:shd w:val="clear" w:color="000000" w:fill="E6F2FF"/>
            <w:noWrap/>
            <w:vAlign w:val="center"/>
            <w:hideMark/>
          </w:tcPr>
          <w:p w14:paraId="4FB30BB9"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7" w:type="pct"/>
            <w:tcBorders>
              <w:top w:val="single" w:sz="4" w:space="0" w:color="002A54" w:themeColor="text2"/>
              <w:left w:val="nil"/>
              <w:bottom w:val="nil"/>
              <w:right w:val="nil"/>
            </w:tcBorders>
            <w:shd w:val="clear" w:color="000000" w:fill="FFFFFF"/>
            <w:noWrap/>
            <w:vAlign w:val="center"/>
            <w:hideMark/>
          </w:tcPr>
          <w:p w14:paraId="22D5A947"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7" w:type="pct"/>
            <w:tcBorders>
              <w:top w:val="single" w:sz="4" w:space="0" w:color="002A54" w:themeColor="text2"/>
              <w:left w:val="nil"/>
              <w:bottom w:val="nil"/>
              <w:right w:val="nil"/>
            </w:tcBorders>
            <w:shd w:val="clear" w:color="000000" w:fill="FFFFFF"/>
            <w:noWrap/>
            <w:vAlign w:val="center"/>
            <w:hideMark/>
          </w:tcPr>
          <w:p w14:paraId="79CBBFF0"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9" w:type="pct"/>
            <w:tcBorders>
              <w:top w:val="single" w:sz="4" w:space="0" w:color="002A54" w:themeColor="text2"/>
              <w:left w:val="nil"/>
              <w:bottom w:val="nil"/>
              <w:right w:val="nil"/>
            </w:tcBorders>
            <w:shd w:val="clear" w:color="000000" w:fill="FFFFFF"/>
            <w:noWrap/>
            <w:vAlign w:val="center"/>
            <w:hideMark/>
          </w:tcPr>
          <w:p w14:paraId="188F4E6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74DEC1E6" w14:textId="77777777" w:rsidTr="000D3856">
        <w:trPr>
          <w:divId w:val="2110733099"/>
          <w:trHeight w:hRule="exact" w:val="225"/>
        </w:trPr>
        <w:tc>
          <w:tcPr>
            <w:tcW w:w="2363" w:type="pct"/>
            <w:tcBorders>
              <w:top w:val="nil"/>
              <w:left w:val="nil"/>
              <w:bottom w:val="nil"/>
              <w:right w:val="nil"/>
            </w:tcBorders>
            <w:shd w:val="clear" w:color="000000" w:fill="FFFFFF"/>
            <w:noWrap/>
            <w:vAlign w:val="bottom"/>
            <w:hideMark/>
          </w:tcPr>
          <w:p w14:paraId="6CBB0AC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7" w:type="pct"/>
            <w:tcBorders>
              <w:top w:val="nil"/>
              <w:left w:val="nil"/>
              <w:bottom w:val="single" w:sz="4" w:space="0" w:color="002A54" w:themeColor="text2"/>
              <w:right w:val="nil"/>
            </w:tcBorders>
            <w:shd w:val="clear" w:color="000000" w:fill="FFFFFF"/>
            <w:noWrap/>
            <w:vAlign w:val="bottom"/>
            <w:hideMark/>
          </w:tcPr>
          <w:p w14:paraId="5E98690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E6F2FF"/>
            <w:noWrap/>
            <w:vAlign w:val="bottom"/>
            <w:hideMark/>
          </w:tcPr>
          <w:p w14:paraId="18010B9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FFFFFF"/>
            <w:noWrap/>
            <w:vAlign w:val="bottom"/>
            <w:hideMark/>
          </w:tcPr>
          <w:p w14:paraId="7B25F9C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7" w:type="pct"/>
            <w:tcBorders>
              <w:top w:val="nil"/>
              <w:left w:val="nil"/>
              <w:bottom w:val="single" w:sz="4" w:space="0" w:color="002A54" w:themeColor="text2"/>
              <w:right w:val="nil"/>
            </w:tcBorders>
            <w:shd w:val="clear" w:color="000000" w:fill="FFFFFF"/>
            <w:noWrap/>
            <w:vAlign w:val="bottom"/>
            <w:hideMark/>
          </w:tcPr>
          <w:p w14:paraId="7AECB01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9" w:type="pct"/>
            <w:tcBorders>
              <w:top w:val="nil"/>
              <w:left w:val="nil"/>
              <w:bottom w:val="single" w:sz="4" w:space="0" w:color="002A54" w:themeColor="text2"/>
              <w:right w:val="nil"/>
            </w:tcBorders>
            <w:shd w:val="clear" w:color="000000" w:fill="FFFFFF"/>
            <w:noWrap/>
            <w:vAlign w:val="bottom"/>
            <w:hideMark/>
          </w:tcPr>
          <w:p w14:paraId="652C705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7575C5E4" w14:textId="77777777" w:rsidTr="000D3856">
        <w:trPr>
          <w:divId w:val="2110733099"/>
          <w:trHeight w:hRule="exact" w:val="225"/>
        </w:trPr>
        <w:tc>
          <w:tcPr>
            <w:tcW w:w="2363" w:type="pct"/>
            <w:tcBorders>
              <w:top w:val="nil"/>
              <w:left w:val="nil"/>
              <w:bottom w:val="nil"/>
              <w:right w:val="nil"/>
            </w:tcBorders>
            <w:shd w:val="clear" w:color="000000" w:fill="FFFFFF"/>
            <w:noWrap/>
            <w:vAlign w:val="bottom"/>
            <w:hideMark/>
          </w:tcPr>
          <w:p w14:paraId="20C17DE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Fuel and energy</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3A07EFB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8,953</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5D852A4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13,006</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58B3F95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16,521</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0B70D7F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12,107</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03191CE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13,962</w:t>
            </w:r>
          </w:p>
        </w:tc>
      </w:tr>
      <w:tr w:rsidR="00B01968" w:rsidRPr="00B01968" w14:paraId="2E879D4A" w14:textId="77777777" w:rsidTr="000D3856">
        <w:trPr>
          <w:divId w:val="2110733099"/>
          <w:trHeight w:hRule="exact" w:val="225"/>
        </w:trPr>
        <w:tc>
          <w:tcPr>
            <w:tcW w:w="2363" w:type="pct"/>
            <w:tcBorders>
              <w:top w:val="nil"/>
              <w:left w:val="nil"/>
              <w:bottom w:val="single" w:sz="4" w:space="0" w:color="002A54" w:themeColor="text2"/>
              <w:right w:val="nil"/>
            </w:tcBorders>
            <w:shd w:val="clear" w:color="000000" w:fill="FFFFFF"/>
            <w:noWrap/>
            <w:vAlign w:val="center"/>
            <w:hideMark/>
          </w:tcPr>
          <w:p w14:paraId="4235BA16"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 fuel and energy</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2230AAF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8,953</w:t>
            </w:r>
          </w:p>
        </w:tc>
        <w:tc>
          <w:tcPr>
            <w:tcW w:w="527" w:type="pct"/>
            <w:tcBorders>
              <w:top w:val="single" w:sz="4" w:space="0" w:color="002A54" w:themeColor="text2"/>
              <w:left w:val="nil"/>
              <w:bottom w:val="single" w:sz="4" w:space="0" w:color="002A54" w:themeColor="text2"/>
              <w:right w:val="nil"/>
            </w:tcBorders>
            <w:shd w:val="clear" w:color="000000" w:fill="E6F2FF"/>
            <w:noWrap/>
            <w:vAlign w:val="center"/>
            <w:hideMark/>
          </w:tcPr>
          <w:p w14:paraId="401ACE4C"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13,006</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5F68FEEB"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16,521</w:t>
            </w:r>
          </w:p>
        </w:tc>
        <w:tc>
          <w:tcPr>
            <w:tcW w:w="527" w:type="pct"/>
            <w:tcBorders>
              <w:top w:val="single" w:sz="4" w:space="0" w:color="002A54" w:themeColor="text2"/>
              <w:left w:val="nil"/>
              <w:bottom w:val="single" w:sz="4" w:space="0" w:color="002A54" w:themeColor="text2"/>
              <w:right w:val="nil"/>
            </w:tcBorders>
            <w:shd w:val="clear" w:color="000000" w:fill="FFFFFF"/>
            <w:noWrap/>
            <w:vAlign w:val="center"/>
            <w:hideMark/>
          </w:tcPr>
          <w:p w14:paraId="5A0857E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12,107</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0D206321"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13,962</w:t>
            </w:r>
          </w:p>
        </w:tc>
      </w:tr>
    </w:tbl>
    <w:p w14:paraId="3781BB2F" w14:textId="60DD8064" w:rsidR="0050166A" w:rsidRPr="000177D7" w:rsidRDefault="0050166A" w:rsidP="0050166A">
      <w:r>
        <w:t>In the 2023</w:t>
      </w:r>
      <w:r w:rsidR="00CA3FDE">
        <w:t>–</w:t>
      </w:r>
      <w:r>
        <w:t xml:space="preserve">24 Budget the </w:t>
      </w:r>
      <w:r w:rsidRPr="000D4ACA">
        <w:rPr>
          <w:i/>
          <w:iCs/>
        </w:rPr>
        <w:t>Energy Price Relief Plan</w:t>
      </w:r>
      <w:r>
        <w:t xml:space="preserve"> </w:t>
      </w:r>
      <w:r w:rsidR="00635DED">
        <w:t xml:space="preserve">measure </w:t>
      </w:r>
      <w:r>
        <w:t>will reduce the impact of rising energy prices through targeted energy bill relief, progressing gas market reforms and limiting the price of coal. This investment in f</w:t>
      </w:r>
      <w:r w:rsidRPr="000177D7">
        <w:t xml:space="preserve">uel and energy </w:t>
      </w:r>
      <w:r>
        <w:t xml:space="preserve">is </w:t>
      </w:r>
      <w:r w:rsidR="003F7CEB">
        <w:t>a part of</w:t>
      </w:r>
      <w:r>
        <w:t xml:space="preserve"> an expected </w:t>
      </w:r>
      <w:r w:rsidR="007E2B7A">
        <w:t xml:space="preserve">nominal </w:t>
      </w:r>
      <w:r>
        <w:t xml:space="preserve">increase </w:t>
      </w:r>
      <w:r w:rsidR="007E2B7A">
        <w:t>of</w:t>
      </w:r>
      <w:r>
        <w:t xml:space="preserve"> </w:t>
      </w:r>
      <w:r w:rsidR="009310E8">
        <w:t>7.4</w:t>
      </w:r>
      <w:r w:rsidR="00893776">
        <w:t> per </w:t>
      </w:r>
      <w:r>
        <w:rPr>
          <w:lang w:val="en-US"/>
        </w:rPr>
        <w:t xml:space="preserve">cent </w:t>
      </w:r>
      <w:r w:rsidRPr="00954C3B">
        <w:rPr>
          <w:lang w:val="en-US"/>
        </w:rPr>
        <w:t>over the period 2023</w:t>
      </w:r>
      <w:r w:rsidR="00CA3FDE">
        <w:rPr>
          <w:lang w:val="en-US"/>
        </w:rPr>
        <w:t>–</w:t>
      </w:r>
      <w:r w:rsidRPr="00954C3B">
        <w:rPr>
          <w:lang w:val="en-US"/>
        </w:rPr>
        <w:t>24 to 2026</w:t>
      </w:r>
      <w:r w:rsidR="00CA3FDE">
        <w:rPr>
          <w:lang w:val="en-US"/>
        </w:rPr>
        <w:t>–</w:t>
      </w:r>
      <w:r w:rsidRPr="00954C3B">
        <w:rPr>
          <w:lang w:val="en-US"/>
        </w:rPr>
        <w:t>27</w:t>
      </w:r>
      <w:r>
        <w:rPr>
          <w:lang w:val="en-US"/>
        </w:rPr>
        <w:t>.</w:t>
      </w:r>
    </w:p>
    <w:p w14:paraId="06F6DCAF" w14:textId="6DBC4C7C" w:rsidR="0050166A" w:rsidRPr="00996312" w:rsidRDefault="0050166A" w:rsidP="0050166A">
      <w:pPr>
        <w:rPr>
          <w:lang w:val="en-US"/>
        </w:rPr>
      </w:pPr>
      <w:r w:rsidRPr="000177D7">
        <w:t>The major program within this sub</w:t>
      </w:r>
      <w:r w:rsidR="00D34B95">
        <w:noBreakHyphen/>
      </w:r>
      <w:r w:rsidRPr="000177D7">
        <w:t>function is the Fuel Tax Credits Scheme which is e</w:t>
      </w:r>
      <w:r>
        <w:t xml:space="preserve">xpected </w:t>
      </w:r>
      <w:r w:rsidRPr="000177D7">
        <w:t xml:space="preserve">to </w:t>
      </w:r>
      <w:r w:rsidRPr="00954C3B">
        <w:rPr>
          <w:lang w:val="en-US"/>
        </w:rPr>
        <w:t>increase</w:t>
      </w:r>
      <w:r>
        <w:rPr>
          <w:lang w:val="en-US"/>
        </w:rPr>
        <w:t xml:space="preserve"> because of an </w:t>
      </w:r>
      <w:r w:rsidRPr="000177D7">
        <w:t>expected increase in the use of fuels that are eligible for the Fuel Tax Credits Scheme</w:t>
      </w:r>
      <w:r>
        <w:t xml:space="preserve">. </w:t>
      </w:r>
    </w:p>
    <w:p w14:paraId="477CDA8C" w14:textId="688D7528" w:rsidR="0050166A" w:rsidRDefault="0050166A" w:rsidP="0050166A">
      <w:r w:rsidRPr="000177D7">
        <w:t xml:space="preserve">Expenses under the Resources and Energy </w:t>
      </w:r>
      <w:r w:rsidRPr="0021687D">
        <w:t xml:space="preserve">component are expected to </w:t>
      </w:r>
      <w:r w:rsidRPr="0021687D">
        <w:rPr>
          <w:lang w:val="en-US"/>
        </w:rPr>
        <w:t>decrease expenses over the period 2023</w:t>
      </w:r>
      <w:r w:rsidR="00D25E5B">
        <w:rPr>
          <w:lang w:val="en-US"/>
        </w:rPr>
        <w:t>–</w:t>
      </w:r>
      <w:r w:rsidRPr="0021687D">
        <w:rPr>
          <w:lang w:val="en-US"/>
        </w:rPr>
        <w:t>24 to 2026</w:t>
      </w:r>
      <w:r w:rsidR="00D25E5B">
        <w:rPr>
          <w:lang w:val="en-US"/>
        </w:rPr>
        <w:t>–</w:t>
      </w:r>
      <w:r w:rsidRPr="0021687D">
        <w:rPr>
          <w:lang w:val="en-US"/>
        </w:rPr>
        <w:t>27</w:t>
      </w:r>
      <w:r w:rsidRPr="0021687D">
        <w:t>, as the temporary assistance for the cost of energy price relief provided through the 2023</w:t>
      </w:r>
      <w:r w:rsidR="00D25E5B">
        <w:t>–</w:t>
      </w:r>
      <w:r w:rsidRPr="0021687D">
        <w:t xml:space="preserve">24 Budget </w:t>
      </w:r>
      <w:r w:rsidR="003F7CEB">
        <w:t xml:space="preserve">measure </w:t>
      </w:r>
      <w:r w:rsidRPr="0021687D">
        <w:rPr>
          <w:i/>
          <w:iCs/>
        </w:rPr>
        <w:t>Energy Price Relief Plan</w:t>
      </w:r>
      <w:r w:rsidRPr="0021687D">
        <w:t xml:space="preserve"> is phased out. The decline also reflects the funding profile associated with programs such as the Northern Endeavour Decommissioning Program and the Critical Minerals Development</w:t>
      </w:r>
      <w:r w:rsidRPr="000177D7">
        <w:t xml:space="preserve"> Program</w:t>
      </w:r>
      <w:r>
        <w:t>.</w:t>
      </w:r>
    </w:p>
    <w:p w14:paraId="1BD916CF" w14:textId="765BF5D8" w:rsidR="0050166A" w:rsidRPr="000177D7" w:rsidRDefault="0050166A" w:rsidP="0050166A">
      <w:r w:rsidRPr="000177D7">
        <w:t xml:space="preserve">Expenses under the Renewable Energy component </w:t>
      </w:r>
      <w:r>
        <w:t xml:space="preserve">reflect the profile of expenses for the </w:t>
      </w:r>
      <w:r w:rsidRPr="000177D7">
        <w:t xml:space="preserve">concessional component of concessional loans made by the Clean Energy Finance Corporation, primarily those expected to be made </w:t>
      </w:r>
      <w:r w:rsidR="007A5877">
        <w:t>in</w:t>
      </w:r>
      <w:r w:rsidRPr="000177D7">
        <w:t xml:space="preserve"> the October Budget measure </w:t>
      </w:r>
      <w:r w:rsidRPr="000177D7">
        <w:rPr>
          <w:i/>
        </w:rPr>
        <w:t>Powering</w:t>
      </w:r>
      <w:r w:rsidR="00376656">
        <w:rPr>
          <w:i/>
        </w:rPr>
        <w:t xml:space="preserve"> </w:t>
      </w:r>
      <w:r w:rsidRPr="000177D7">
        <w:rPr>
          <w:i/>
        </w:rPr>
        <w:t xml:space="preserve">Australia </w:t>
      </w:r>
      <w:r w:rsidR="00D25E5B">
        <w:rPr>
          <w:i/>
        </w:rPr>
        <w:t>–</w:t>
      </w:r>
      <w:r w:rsidRPr="000177D7">
        <w:rPr>
          <w:i/>
        </w:rPr>
        <w:t xml:space="preserve"> Rewiring the Nation</w:t>
      </w:r>
      <w:r w:rsidRPr="000177D7">
        <w:t>.</w:t>
      </w:r>
      <w:r>
        <w:t xml:space="preserve"> </w:t>
      </w:r>
      <w:r w:rsidRPr="000177D7">
        <w:t>The variation in expenses over the forward estimates reflects the expected timing of loans made under this measure.</w:t>
      </w:r>
    </w:p>
    <w:p w14:paraId="4DBB808E" w14:textId="01BBEE63" w:rsidR="004A5EC1" w:rsidRPr="000177D7" w:rsidRDefault="0050166A" w:rsidP="0050166A">
      <w:r w:rsidRPr="000177D7">
        <w:t xml:space="preserve">Table 6.12.1 sets out the major components of the </w:t>
      </w:r>
      <w:r w:rsidRPr="000177D7">
        <w:rPr>
          <w:b/>
        </w:rPr>
        <w:t>fuel and energy</w:t>
      </w:r>
      <w:r w:rsidRPr="000177D7">
        <w:t xml:space="preserve"> sub</w:t>
      </w:r>
      <w:r w:rsidR="00D34B95">
        <w:noBreakHyphen/>
      </w:r>
      <w:r w:rsidRPr="000177D7">
        <w:t>function.</w:t>
      </w:r>
    </w:p>
    <w:p w14:paraId="05AAF1DC" w14:textId="1059D217" w:rsidR="00B01968" w:rsidRDefault="00C855DF" w:rsidP="00B01968">
      <w:pPr>
        <w:pStyle w:val="TableHeading"/>
        <w:rPr>
          <w:rFonts w:asciiTheme="minorHAnsi" w:eastAsiaTheme="minorHAnsi" w:hAnsiTheme="minorHAnsi" w:cstheme="minorBidi"/>
          <w:sz w:val="22"/>
          <w:szCs w:val="22"/>
          <w:lang w:eastAsia="en-US"/>
        </w:rPr>
      </w:pPr>
      <w:r w:rsidRPr="000177D7">
        <w:t>Table 6.12.1: Trends in the major components of fuel and energy sub</w:t>
      </w:r>
      <w:r w:rsidR="00D34B95">
        <w:noBreakHyphen/>
      </w:r>
      <w:r w:rsidRPr="000177D7">
        <w:t>function expense</w:t>
      </w:r>
      <w:bookmarkStart w:id="114" w:name="_1586322956"/>
      <w:bookmarkStart w:id="115" w:name="_1727953905"/>
      <w:bookmarkStart w:id="116" w:name="_1727955082"/>
      <w:bookmarkEnd w:id="114"/>
      <w:bookmarkEnd w:id="115"/>
      <w:bookmarkEnd w:id="116"/>
    </w:p>
    <w:tbl>
      <w:tblPr>
        <w:tblW w:w="5000" w:type="pct"/>
        <w:tblCellMar>
          <w:left w:w="0" w:type="dxa"/>
          <w:right w:w="28" w:type="dxa"/>
        </w:tblCellMar>
        <w:tblLook w:val="04A0" w:firstRow="1" w:lastRow="0" w:firstColumn="1" w:lastColumn="0" w:noHBand="0" w:noVBand="1"/>
      </w:tblPr>
      <w:tblGrid>
        <w:gridCol w:w="3117"/>
        <w:gridCol w:w="919"/>
        <w:gridCol w:w="919"/>
        <w:gridCol w:w="919"/>
        <w:gridCol w:w="919"/>
        <w:gridCol w:w="917"/>
      </w:tblGrid>
      <w:tr w:rsidR="00B01968" w:rsidRPr="00B01968" w14:paraId="7FC25EF9" w14:textId="77777777" w:rsidTr="000D3856">
        <w:trPr>
          <w:divId w:val="1827895546"/>
          <w:trHeight w:hRule="exact" w:val="225"/>
        </w:trPr>
        <w:tc>
          <w:tcPr>
            <w:tcW w:w="2021" w:type="pct"/>
            <w:tcBorders>
              <w:top w:val="single" w:sz="4" w:space="0" w:color="002A54" w:themeColor="text2"/>
              <w:left w:val="nil"/>
              <w:bottom w:val="nil"/>
              <w:right w:val="nil"/>
            </w:tcBorders>
            <w:shd w:val="clear" w:color="000000" w:fill="FFFFFF"/>
            <w:noWrap/>
            <w:vAlign w:val="center"/>
            <w:hideMark/>
          </w:tcPr>
          <w:p w14:paraId="3FE717BC" w14:textId="49D4D98E"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979"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1F8656F3"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7CBA91D6" w14:textId="77777777" w:rsidTr="000D3856">
        <w:trPr>
          <w:divId w:val="1827895546"/>
          <w:trHeight w:hRule="exact" w:val="225"/>
        </w:trPr>
        <w:tc>
          <w:tcPr>
            <w:tcW w:w="2021" w:type="pct"/>
            <w:tcBorders>
              <w:top w:val="nil"/>
              <w:left w:val="nil"/>
              <w:bottom w:val="nil"/>
              <w:right w:val="nil"/>
            </w:tcBorders>
            <w:shd w:val="clear" w:color="000000" w:fill="FFFFFF"/>
            <w:noWrap/>
            <w:vAlign w:val="bottom"/>
            <w:hideMark/>
          </w:tcPr>
          <w:p w14:paraId="5EC26739"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single" w:sz="4" w:space="0" w:color="002A54" w:themeColor="text2"/>
              <w:left w:val="nil"/>
              <w:right w:val="nil"/>
            </w:tcBorders>
            <w:shd w:val="clear" w:color="000000" w:fill="FFFFFF"/>
            <w:noWrap/>
            <w:vAlign w:val="center"/>
            <w:hideMark/>
          </w:tcPr>
          <w:p w14:paraId="62FEDDC8" w14:textId="2392A95B"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D25E5B">
              <w:rPr>
                <w:rFonts w:ascii="Arial" w:hAnsi="Arial" w:cs="Arial"/>
                <w:sz w:val="16"/>
                <w:szCs w:val="16"/>
              </w:rPr>
              <w:t>–</w:t>
            </w:r>
            <w:r w:rsidRPr="00B01968">
              <w:rPr>
                <w:rFonts w:ascii="Arial" w:hAnsi="Arial" w:cs="Arial"/>
                <w:sz w:val="16"/>
                <w:szCs w:val="16"/>
              </w:rPr>
              <w:t>23</w:t>
            </w:r>
          </w:p>
        </w:tc>
        <w:tc>
          <w:tcPr>
            <w:tcW w:w="596" w:type="pct"/>
            <w:tcBorders>
              <w:top w:val="single" w:sz="4" w:space="0" w:color="002A54" w:themeColor="text2"/>
              <w:left w:val="nil"/>
              <w:right w:val="nil"/>
            </w:tcBorders>
            <w:shd w:val="clear" w:color="000000" w:fill="E6F2FF"/>
            <w:noWrap/>
            <w:vAlign w:val="center"/>
            <w:hideMark/>
          </w:tcPr>
          <w:p w14:paraId="668F26F5" w14:textId="284B497A"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D25E5B">
              <w:rPr>
                <w:rFonts w:ascii="Arial" w:hAnsi="Arial" w:cs="Arial"/>
                <w:sz w:val="16"/>
                <w:szCs w:val="16"/>
              </w:rPr>
              <w:t>–</w:t>
            </w:r>
            <w:r w:rsidRPr="00B01968">
              <w:rPr>
                <w:rFonts w:ascii="Arial" w:hAnsi="Arial" w:cs="Arial"/>
                <w:sz w:val="16"/>
                <w:szCs w:val="16"/>
              </w:rPr>
              <w:t>24</w:t>
            </w:r>
          </w:p>
        </w:tc>
        <w:tc>
          <w:tcPr>
            <w:tcW w:w="596" w:type="pct"/>
            <w:tcBorders>
              <w:top w:val="single" w:sz="4" w:space="0" w:color="002A54" w:themeColor="text2"/>
              <w:left w:val="nil"/>
              <w:right w:val="nil"/>
            </w:tcBorders>
            <w:shd w:val="clear" w:color="000000" w:fill="FFFFFF"/>
            <w:noWrap/>
            <w:vAlign w:val="center"/>
            <w:hideMark/>
          </w:tcPr>
          <w:p w14:paraId="1CD67506" w14:textId="428F6BA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D25E5B">
              <w:rPr>
                <w:rFonts w:ascii="Arial" w:hAnsi="Arial" w:cs="Arial"/>
                <w:sz w:val="16"/>
                <w:szCs w:val="16"/>
              </w:rPr>
              <w:t>–</w:t>
            </w:r>
            <w:r w:rsidRPr="00B01968">
              <w:rPr>
                <w:rFonts w:ascii="Arial" w:hAnsi="Arial" w:cs="Arial"/>
                <w:sz w:val="16"/>
                <w:szCs w:val="16"/>
              </w:rPr>
              <w:t>25</w:t>
            </w:r>
          </w:p>
        </w:tc>
        <w:tc>
          <w:tcPr>
            <w:tcW w:w="596" w:type="pct"/>
            <w:tcBorders>
              <w:top w:val="single" w:sz="4" w:space="0" w:color="002A54" w:themeColor="text2"/>
              <w:left w:val="nil"/>
              <w:right w:val="nil"/>
            </w:tcBorders>
            <w:shd w:val="clear" w:color="000000" w:fill="FFFFFF"/>
            <w:noWrap/>
            <w:vAlign w:val="center"/>
            <w:hideMark/>
          </w:tcPr>
          <w:p w14:paraId="6A542FDC" w14:textId="12D9179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D25E5B">
              <w:rPr>
                <w:rFonts w:ascii="Arial" w:hAnsi="Arial" w:cs="Arial"/>
                <w:sz w:val="16"/>
                <w:szCs w:val="16"/>
              </w:rPr>
              <w:t>–</w:t>
            </w:r>
            <w:r w:rsidRPr="00B01968">
              <w:rPr>
                <w:rFonts w:ascii="Arial" w:hAnsi="Arial" w:cs="Arial"/>
                <w:sz w:val="16"/>
                <w:szCs w:val="16"/>
              </w:rPr>
              <w:t>26</w:t>
            </w:r>
          </w:p>
        </w:tc>
        <w:tc>
          <w:tcPr>
            <w:tcW w:w="595" w:type="pct"/>
            <w:tcBorders>
              <w:top w:val="single" w:sz="4" w:space="0" w:color="002A54" w:themeColor="text2"/>
              <w:left w:val="nil"/>
              <w:right w:val="nil"/>
            </w:tcBorders>
            <w:shd w:val="clear" w:color="000000" w:fill="FFFFFF"/>
            <w:noWrap/>
            <w:vAlign w:val="center"/>
            <w:hideMark/>
          </w:tcPr>
          <w:p w14:paraId="3ABCEC1B" w14:textId="6FA46F42"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D25E5B">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3F0D6297" w14:textId="77777777" w:rsidTr="000D3856">
        <w:trPr>
          <w:divId w:val="1827895546"/>
          <w:trHeight w:hRule="exact" w:val="225"/>
        </w:trPr>
        <w:tc>
          <w:tcPr>
            <w:tcW w:w="2021" w:type="pct"/>
            <w:tcBorders>
              <w:top w:val="nil"/>
              <w:left w:val="nil"/>
              <w:bottom w:val="nil"/>
              <w:right w:val="nil"/>
            </w:tcBorders>
            <w:shd w:val="clear" w:color="000000" w:fill="FFFFFF"/>
            <w:noWrap/>
            <w:vAlign w:val="center"/>
            <w:hideMark/>
          </w:tcPr>
          <w:p w14:paraId="1C79AA4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6" w:type="pct"/>
            <w:tcBorders>
              <w:top w:val="nil"/>
              <w:left w:val="nil"/>
              <w:bottom w:val="single" w:sz="4" w:space="0" w:color="002A54" w:themeColor="text2"/>
              <w:right w:val="nil"/>
            </w:tcBorders>
            <w:shd w:val="clear" w:color="000000" w:fill="FFFFFF"/>
            <w:noWrap/>
            <w:vAlign w:val="center"/>
            <w:hideMark/>
          </w:tcPr>
          <w:p w14:paraId="0285BF5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E6F2FF"/>
            <w:noWrap/>
            <w:vAlign w:val="center"/>
            <w:hideMark/>
          </w:tcPr>
          <w:p w14:paraId="600AD8E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1B30F84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6" w:type="pct"/>
            <w:tcBorders>
              <w:top w:val="nil"/>
              <w:left w:val="nil"/>
              <w:bottom w:val="single" w:sz="4" w:space="0" w:color="002A54" w:themeColor="text2"/>
              <w:right w:val="nil"/>
            </w:tcBorders>
            <w:shd w:val="clear" w:color="000000" w:fill="FFFFFF"/>
            <w:noWrap/>
            <w:vAlign w:val="center"/>
            <w:hideMark/>
          </w:tcPr>
          <w:p w14:paraId="40B0C5A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5" w:type="pct"/>
            <w:tcBorders>
              <w:top w:val="nil"/>
              <w:left w:val="nil"/>
              <w:bottom w:val="single" w:sz="4" w:space="0" w:color="002A54" w:themeColor="text2"/>
              <w:right w:val="nil"/>
            </w:tcBorders>
            <w:shd w:val="clear" w:color="000000" w:fill="FFFFFF"/>
            <w:noWrap/>
            <w:vAlign w:val="center"/>
            <w:hideMark/>
          </w:tcPr>
          <w:p w14:paraId="589AA08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7AE1D80E" w14:textId="77777777" w:rsidTr="000D3856">
        <w:trPr>
          <w:divId w:val="1827895546"/>
          <w:trHeight w:hRule="exact" w:val="225"/>
        </w:trPr>
        <w:tc>
          <w:tcPr>
            <w:tcW w:w="2021" w:type="pct"/>
            <w:tcBorders>
              <w:top w:val="nil"/>
              <w:left w:val="nil"/>
              <w:bottom w:val="nil"/>
              <w:right w:val="nil"/>
            </w:tcBorders>
            <w:shd w:val="clear" w:color="000000" w:fill="FFFFFF"/>
            <w:noWrap/>
            <w:vAlign w:val="center"/>
            <w:hideMark/>
          </w:tcPr>
          <w:p w14:paraId="7F8C04E2"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Fuel Tax Credits Scheme</w:t>
            </w:r>
          </w:p>
        </w:tc>
        <w:tc>
          <w:tcPr>
            <w:tcW w:w="596" w:type="pct"/>
            <w:tcBorders>
              <w:top w:val="single" w:sz="4" w:space="0" w:color="002A54" w:themeColor="text2"/>
              <w:left w:val="nil"/>
              <w:bottom w:val="nil"/>
              <w:right w:val="nil"/>
            </w:tcBorders>
            <w:shd w:val="clear" w:color="000000" w:fill="FFFFFF"/>
            <w:noWrap/>
            <w:vAlign w:val="center"/>
            <w:hideMark/>
          </w:tcPr>
          <w:p w14:paraId="39A43DA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7,466</w:t>
            </w:r>
          </w:p>
        </w:tc>
        <w:tc>
          <w:tcPr>
            <w:tcW w:w="596" w:type="pct"/>
            <w:tcBorders>
              <w:top w:val="single" w:sz="4" w:space="0" w:color="002A54" w:themeColor="text2"/>
              <w:left w:val="nil"/>
              <w:bottom w:val="nil"/>
              <w:right w:val="nil"/>
            </w:tcBorders>
            <w:shd w:val="clear" w:color="000000" w:fill="E6F2FF"/>
            <w:noWrap/>
            <w:vAlign w:val="center"/>
            <w:hideMark/>
          </w:tcPr>
          <w:p w14:paraId="6CDCEFC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9,583</w:t>
            </w:r>
          </w:p>
        </w:tc>
        <w:tc>
          <w:tcPr>
            <w:tcW w:w="596" w:type="pct"/>
            <w:tcBorders>
              <w:top w:val="single" w:sz="4" w:space="0" w:color="002A54" w:themeColor="text2"/>
              <w:left w:val="nil"/>
              <w:bottom w:val="nil"/>
              <w:right w:val="nil"/>
            </w:tcBorders>
            <w:shd w:val="clear" w:color="000000" w:fill="FFFFFF"/>
            <w:noWrap/>
            <w:vAlign w:val="center"/>
            <w:hideMark/>
          </w:tcPr>
          <w:p w14:paraId="72E7782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9,874</w:t>
            </w:r>
          </w:p>
        </w:tc>
        <w:tc>
          <w:tcPr>
            <w:tcW w:w="596" w:type="pct"/>
            <w:tcBorders>
              <w:top w:val="single" w:sz="4" w:space="0" w:color="002A54" w:themeColor="text2"/>
              <w:left w:val="nil"/>
              <w:bottom w:val="nil"/>
              <w:right w:val="nil"/>
            </w:tcBorders>
            <w:shd w:val="clear" w:color="000000" w:fill="FFFFFF"/>
            <w:noWrap/>
            <w:vAlign w:val="center"/>
            <w:hideMark/>
          </w:tcPr>
          <w:p w14:paraId="34F9B93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10,473</w:t>
            </w:r>
          </w:p>
        </w:tc>
        <w:tc>
          <w:tcPr>
            <w:tcW w:w="595" w:type="pct"/>
            <w:tcBorders>
              <w:top w:val="single" w:sz="4" w:space="0" w:color="002A54" w:themeColor="text2"/>
              <w:left w:val="nil"/>
              <w:bottom w:val="nil"/>
              <w:right w:val="nil"/>
            </w:tcBorders>
            <w:shd w:val="clear" w:color="000000" w:fill="FFFFFF"/>
            <w:noWrap/>
            <w:vAlign w:val="center"/>
            <w:hideMark/>
          </w:tcPr>
          <w:p w14:paraId="6B42C08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11,218</w:t>
            </w:r>
          </w:p>
        </w:tc>
      </w:tr>
      <w:tr w:rsidR="00B01968" w:rsidRPr="00B01968" w14:paraId="6670A22C" w14:textId="77777777" w:rsidTr="00B01968">
        <w:trPr>
          <w:divId w:val="1827895546"/>
          <w:trHeight w:hRule="exact" w:val="225"/>
        </w:trPr>
        <w:tc>
          <w:tcPr>
            <w:tcW w:w="2021" w:type="pct"/>
            <w:tcBorders>
              <w:top w:val="nil"/>
              <w:left w:val="nil"/>
              <w:bottom w:val="nil"/>
              <w:right w:val="nil"/>
            </w:tcBorders>
            <w:shd w:val="clear" w:color="000000" w:fill="FFFFFF"/>
            <w:noWrap/>
            <w:vAlign w:val="center"/>
            <w:hideMark/>
          </w:tcPr>
          <w:p w14:paraId="452A9496" w14:textId="229F4F52"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Resources and Energy</w:t>
            </w:r>
            <w:r w:rsidR="00DD6538">
              <w:rPr>
                <w:rFonts w:ascii="Arial" w:hAnsi="Arial" w:cs="Arial"/>
                <w:sz w:val="16"/>
                <w:szCs w:val="16"/>
              </w:rPr>
              <w:t>(b)</w:t>
            </w:r>
          </w:p>
        </w:tc>
        <w:tc>
          <w:tcPr>
            <w:tcW w:w="596" w:type="pct"/>
            <w:tcBorders>
              <w:top w:val="nil"/>
              <w:left w:val="nil"/>
              <w:bottom w:val="nil"/>
              <w:right w:val="nil"/>
            </w:tcBorders>
            <w:shd w:val="clear" w:color="000000" w:fill="FFFFFF"/>
            <w:noWrap/>
            <w:vAlign w:val="center"/>
            <w:hideMark/>
          </w:tcPr>
          <w:p w14:paraId="0D930FF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805</w:t>
            </w:r>
          </w:p>
        </w:tc>
        <w:tc>
          <w:tcPr>
            <w:tcW w:w="596" w:type="pct"/>
            <w:tcBorders>
              <w:top w:val="nil"/>
              <w:left w:val="nil"/>
              <w:bottom w:val="nil"/>
              <w:right w:val="nil"/>
            </w:tcBorders>
            <w:shd w:val="clear" w:color="000000" w:fill="E6F2FF"/>
            <w:noWrap/>
            <w:vAlign w:val="center"/>
            <w:hideMark/>
          </w:tcPr>
          <w:p w14:paraId="5DD7550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2,005</w:t>
            </w:r>
          </w:p>
        </w:tc>
        <w:tc>
          <w:tcPr>
            <w:tcW w:w="596" w:type="pct"/>
            <w:tcBorders>
              <w:top w:val="nil"/>
              <w:left w:val="nil"/>
              <w:bottom w:val="nil"/>
              <w:right w:val="nil"/>
            </w:tcBorders>
            <w:shd w:val="clear" w:color="000000" w:fill="FFFFFF"/>
            <w:noWrap/>
            <w:vAlign w:val="center"/>
            <w:hideMark/>
          </w:tcPr>
          <w:p w14:paraId="28E614D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1,236</w:t>
            </w:r>
          </w:p>
        </w:tc>
        <w:tc>
          <w:tcPr>
            <w:tcW w:w="596" w:type="pct"/>
            <w:tcBorders>
              <w:top w:val="nil"/>
              <w:left w:val="nil"/>
              <w:bottom w:val="nil"/>
              <w:right w:val="nil"/>
            </w:tcBorders>
            <w:shd w:val="clear" w:color="000000" w:fill="FFFFFF"/>
            <w:noWrap/>
            <w:vAlign w:val="center"/>
            <w:hideMark/>
          </w:tcPr>
          <w:p w14:paraId="1DBB068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153</w:t>
            </w:r>
          </w:p>
        </w:tc>
        <w:tc>
          <w:tcPr>
            <w:tcW w:w="595" w:type="pct"/>
            <w:tcBorders>
              <w:top w:val="nil"/>
              <w:left w:val="nil"/>
              <w:bottom w:val="nil"/>
              <w:right w:val="nil"/>
            </w:tcBorders>
            <w:shd w:val="clear" w:color="000000" w:fill="FFFFFF"/>
            <w:noWrap/>
            <w:vAlign w:val="center"/>
            <w:hideMark/>
          </w:tcPr>
          <w:p w14:paraId="2AF725C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114</w:t>
            </w:r>
          </w:p>
        </w:tc>
      </w:tr>
      <w:tr w:rsidR="00B01968" w:rsidRPr="00B01968" w14:paraId="04B99863" w14:textId="77777777" w:rsidTr="00B01968">
        <w:trPr>
          <w:divId w:val="1827895546"/>
          <w:trHeight w:hRule="exact" w:val="225"/>
        </w:trPr>
        <w:tc>
          <w:tcPr>
            <w:tcW w:w="2021" w:type="pct"/>
            <w:tcBorders>
              <w:top w:val="nil"/>
              <w:left w:val="nil"/>
              <w:bottom w:val="nil"/>
              <w:right w:val="nil"/>
            </w:tcBorders>
            <w:shd w:val="clear" w:color="000000" w:fill="FFFFFF"/>
            <w:noWrap/>
            <w:vAlign w:val="center"/>
            <w:hideMark/>
          </w:tcPr>
          <w:p w14:paraId="0A0A6740" w14:textId="7705551E"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Renewable Energy</w:t>
            </w:r>
          </w:p>
        </w:tc>
        <w:tc>
          <w:tcPr>
            <w:tcW w:w="596" w:type="pct"/>
            <w:tcBorders>
              <w:top w:val="nil"/>
              <w:left w:val="nil"/>
              <w:bottom w:val="nil"/>
              <w:right w:val="nil"/>
            </w:tcBorders>
            <w:shd w:val="clear" w:color="000000" w:fill="FFFFFF"/>
            <w:noWrap/>
            <w:vAlign w:val="center"/>
            <w:hideMark/>
          </w:tcPr>
          <w:p w14:paraId="4C27BFF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421</w:t>
            </w:r>
          </w:p>
        </w:tc>
        <w:tc>
          <w:tcPr>
            <w:tcW w:w="596" w:type="pct"/>
            <w:tcBorders>
              <w:top w:val="nil"/>
              <w:left w:val="nil"/>
              <w:bottom w:val="nil"/>
              <w:right w:val="nil"/>
            </w:tcBorders>
            <w:shd w:val="clear" w:color="000000" w:fill="E6F2FF"/>
            <w:noWrap/>
            <w:vAlign w:val="center"/>
            <w:hideMark/>
          </w:tcPr>
          <w:p w14:paraId="2BFD408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1,101</w:t>
            </w:r>
          </w:p>
        </w:tc>
        <w:tc>
          <w:tcPr>
            <w:tcW w:w="596" w:type="pct"/>
            <w:tcBorders>
              <w:top w:val="nil"/>
              <w:left w:val="nil"/>
              <w:bottom w:val="nil"/>
              <w:right w:val="nil"/>
            </w:tcBorders>
            <w:shd w:val="clear" w:color="000000" w:fill="FFFFFF"/>
            <w:noWrap/>
            <w:vAlign w:val="center"/>
            <w:hideMark/>
          </w:tcPr>
          <w:p w14:paraId="2DA138E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5,128</w:t>
            </w:r>
          </w:p>
        </w:tc>
        <w:tc>
          <w:tcPr>
            <w:tcW w:w="596" w:type="pct"/>
            <w:tcBorders>
              <w:top w:val="nil"/>
              <w:left w:val="nil"/>
              <w:bottom w:val="nil"/>
              <w:right w:val="nil"/>
            </w:tcBorders>
            <w:shd w:val="clear" w:color="000000" w:fill="FFFFFF"/>
            <w:noWrap/>
            <w:vAlign w:val="center"/>
            <w:hideMark/>
          </w:tcPr>
          <w:p w14:paraId="1D12040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1,223</w:t>
            </w:r>
          </w:p>
        </w:tc>
        <w:tc>
          <w:tcPr>
            <w:tcW w:w="595" w:type="pct"/>
            <w:tcBorders>
              <w:top w:val="nil"/>
              <w:left w:val="nil"/>
              <w:bottom w:val="nil"/>
              <w:right w:val="nil"/>
            </w:tcBorders>
            <w:shd w:val="clear" w:color="000000" w:fill="FFFFFF"/>
            <w:noWrap/>
            <w:vAlign w:val="center"/>
            <w:hideMark/>
          </w:tcPr>
          <w:p w14:paraId="5730C31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2,391</w:t>
            </w:r>
          </w:p>
        </w:tc>
      </w:tr>
      <w:tr w:rsidR="00B01968" w:rsidRPr="00B01968" w14:paraId="0DC0F23F" w14:textId="77777777" w:rsidTr="000D3856">
        <w:trPr>
          <w:divId w:val="1827895546"/>
          <w:trHeight w:hRule="exact" w:val="225"/>
        </w:trPr>
        <w:tc>
          <w:tcPr>
            <w:tcW w:w="2021" w:type="pct"/>
            <w:tcBorders>
              <w:top w:val="nil"/>
              <w:left w:val="nil"/>
              <w:right w:val="nil"/>
            </w:tcBorders>
            <w:shd w:val="clear" w:color="000000" w:fill="FFFFFF"/>
            <w:noWrap/>
            <w:vAlign w:val="center"/>
            <w:hideMark/>
          </w:tcPr>
          <w:p w14:paraId="5F17BC92"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Other</w:t>
            </w:r>
          </w:p>
        </w:tc>
        <w:tc>
          <w:tcPr>
            <w:tcW w:w="596" w:type="pct"/>
            <w:tcBorders>
              <w:top w:val="nil"/>
              <w:left w:val="nil"/>
              <w:right w:val="nil"/>
            </w:tcBorders>
            <w:shd w:val="clear" w:color="000000" w:fill="FFFFFF"/>
            <w:noWrap/>
            <w:vAlign w:val="center"/>
            <w:hideMark/>
          </w:tcPr>
          <w:p w14:paraId="2CAA062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261</w:t>
            </w:r>
          </w:p>
        </w:tc>
        <w:tc>
          <w:tcPr>
            <w:tcW w:w="596" w:type="pct"/>
            <w:tcBorders>
              <w:top w:val="nil"/>
              <w:left w:val="nil"/>
              <w:bottom w:val="single" w:sz="4" w:space="0" w:color="002A54" w:themeColor="text2"/>
              <w:right w:val="nil"/>
            </w:tcBorders>
            <w:shd w:val="clear" w:color="000000" w:fill="E6F2FF"/>
            <w:noWrap/>
            <w:vAlign w:val="center"/>
            <w:hideMark/>
          </w:tcPr>
          <w:p w14:paraId="11B9F8B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317</w:t>
            </w:r>
          </w:p>
        </w:tc>
        <w:tc>
          <w:tcPr>
            <w:tcW w:w="596" w:type="pct"/>
            <w:tcBorders>
              <w:top w:val="nil"/>
              <w:left w:val="nil"/>
              <w:bottom w:val="single" w:sz="4" w:space="0" w:color="002A54" w:themeColor="text2"/>
              <w:right w:val="nil"/>
            </w:tcBorders>
            <w:shd w:val="clear" w:color="000000" w:fill="FFFFFF"/>
            <w:noWrap/>
            <w:vAlign w:val="center"/>
            <w:hideMark/>
          </w:tcPr>
          <w:p w14:paraId="2686EDA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283</w:t>
            </w:r>
          </w:p>
        </w:tc>
        <w:tc>
          <w:tcPr>
            <w:tcW w:w="596" w:type="pct"/>
            <w:tcBorders>
              <w:top w:val="nil"/>
              <w:left w:val="nil"/>
              <w:bottom w:val="single" w:sz="4" w:space="0" w:color="002A54" w:themeColor="text2"/>
              <w:right w:val="nil"/>
            </w:tcBorders>
            <w:shd w:val="clear" w:color="000000" w:fill="FFFFFF"/>
            <w:noWrap/>
            <w:vAlign w:val="center"/>
            <w:hideMark/>
          </w:tcPr>
          <w:p w14:paraId="215703F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257</w:t>
            </w:r>
          </w:p>
        </w:tc>
        <w:tc>
          <w:tcPr>
            <w:tcW w:w="595" w:type="pct"/>
            <w:tcBorders>
              <w:top w:val="nil"/>
              <w:left w:val="nil"/>
              <w:bottom w:val="single" w:sz="4" w:space="0" w:color="002A54" w:themeColor="text2"/>
              <w:right w:val="nil"/>
            </w:tcBorders>
            <w:shd w:val="clear" w:color="000000" w:fill="FFFFFF"/>
            <w:noWrap/>
            <w:vAlign w:val="center"/>
            <w:hideMark/>
          </w:tcPr>
          <w:p w14:paraId="224009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240</w:t>
            </w:r>
          </w:p>
        </w:tc>
      </w:tr>
      <w:tr w:rsidR="00B01968" w:rsidRPr="00B01968" w14:paraId="79B5E761" w14:textId="77777777" w:rsidTr="000D3856">
        <w:trPr>
          <w:divId w:val="1827895546"/>
          <w:trHeight w:hRule="exact" w:val="225"/>
        </w:trPr>
        <w:tc>
          <w:tcPr>
            <w:tcW w:w="2021" w:type="pct"/>
            <w:tcBorders>
              <w:left w:val="nil"/>
              <w:bottom w:val="single" w:sz="4" w:space="0" w:color="002A54" w:themeColor="text2"/>
              <w:right w:val="nil"/>
            </w:tcBorders>
            <w:shd w:val="clear" w:color="000000" w:fill="FFFFFF"/>
            <w:noWrap/>
            <w:vAlign w:val="center"/>
            <w:hideMark/>
          </w:tcPr>
          <w:p w14:paraId="3E1A02AD"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96" w:type="pct"/>
            <w:tcBorders>
              <w:left w:val="nil"/>
              <w:bottom w:val="single" w:sz="4" w:space="0" w:color="002A54" w:themeColor="text2"/>
              <w:right w:val="nil"/>
            </w:tcBorders>
            <w:shd w:val="clear" w:color="000000" w:fill="FFFFFF"/>
            <w:noWrap/>
            <w:vAlign w:val="center"/>
            <w:hideMark/>
          </w:tcPr>
          <w:p w14:paraId="06E56BA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8,953</w:t>
            </w:r>
          </w:p>
        </w:tc>
        <w:tc>
          <w:tcPr>
            <w:tcW w:w="596" w:type="pct"/>
            <w:tcBorders>
              <w:top w:val="single" w:sz="4" w:space="0" w:color="002A54" w:themeColor="text2"/>
              <w:left w:val="nil"/>
              <w:bottom w:val="single" w:sz="4" w:space="0" w:color="002A54" w:themeColor="text2"/>
              <w:right w:val="nil"/>
            </w:tcBorders>
            <w:shd w:val="clear" w:color="000000" w:fill="E6F2FF"/>
            <w:noWrap/>
            <w:vAlign w:val="center"/>
            <w:hideMark/>
          </w:tcPr>
          <w:p w14:paraId="2A5EF5F4"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13,006</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180E4BC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16,521</w:t>
            </w:r>
          </w:p>
        </w:tc>
        <w:tc>
          <w:tcPr>
            <w:tcW w:w="596" w:type="pct"/>
            <w:tcBorders>
              <w:top w:val="single" w:sz="4" w:space="0" w:color="002A54" w:themeColor="text2"/>
              <w:left w:val="nil"/>
              <w:bottom w:val="single" w:sz="4" w:space="0" w:color="002A54" w:themeColor="text2"/>
              <w:right w:val="nil"/>
            </w:tcBorders>
            <w:shd w:val="clear" w:color="000000" w:fill="FFFFFF"/>
            <w:noWrap/>
            <w:vAlign w:val="center"/>
            <w:hideMark/>
          </w:tcPr>
          <w:p w14:paraId="777E360F"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12,107</w:t>
            </w:r>
          </w:p>
        </w:tc>
        <w:tc>
          <w:tcPr>
            <w:tcW w:w="595" w:type="pct"/>
            <w:tcBorders>
              <w:top w:val="single" w:sz="4" w:space="0" w:color="002A54" w:themeColor="text2"/>
              <w:left w:val="nil"/>
              <w:bottom w:val="single" w:sz="4" w:space="0" w:color="002A54" w:themeColor="text2"/>
              <w:right w:val="nil"/>
            </w:tcBorders>
            <w:shd w:val="clear" w:color="000000" w:fill="FFFFFF"/>
            <w:noWrap/>
            <w:vAlign w:val="center"/>
            <w:hideMark/>
          </w:tcPr>
          <w:p w14:paraId="3FECC7B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13,962</w:t>
            </w:r>
          </w:p>
        </w:tc>
      </w:tr>
    </w:tbl>
    <w:p w14:paraId="0D7AECD2" w14:textId="25678B5A" w:rsidR="00C855DF" w:rsidRPr="000177D7" w:rsidRDefault="00C855DF" w:rsidP="00173739">
      <w:pPr>
        <w:pStyle w:val="ChartandTableFootnoteAlpha"/>
        <w:numPr>
          <w:ilvl w:val="0"/>
          <w:numId w:val="17"/>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3C22E17F" w14:textId="1CEB4C2E" w:rsidR="006F1439" w:rsidRPr="006F1439" w:rsidRDefault="006F1439" w:rsidP="00173739">
      <w:pPr>
        <w:pStyle w:val="ChartandTableFootnoteAlpha"/>
        <w:numPr>
          <w:ilvl w:val="0"/>
          <w:numId w:val="23"/>
        </w:numPr>
      </w:pPr>
      <w:r>
        <w:t>Part of this component relating to payments made to states and territories was previously reported under 'Other' and has been moved to Resources and Energy to better reflect the purpose of the expenses</w:t>
      </w:r>
    </w:p>
    <w:p w14:paraId="3FDBFEB1" w14:textId="77777777" w:rsidR="00C855DF" w:rsidRPr="000177D7" w:rsidRDefault="00C855DF" w:rsidP="00C855DF">
      <w:pPr>
        <w:pStyle w:val="TableLine"/>
      </w:pPr>
    </w:p>
    <w:p w14:paraId="75C6B44C" w14:textId="77777777" w:rsidR="00C855DF" w:rsidRPr="000177D7" w:rsidRDefault="00C855DF" w:rsidP="00C855DF">
      <w:pPr>
        <w:pStyle w:val="Heading3"/>
      </w:pPr>
      <w:bookmarkStart w:id="117" w:name="_Toc99203688"/>
      <w:bookmarkStart w:id="118" w:name="_Toc117358181"/>
      <w:bookmarkStart w:id="119" w:name="_Toc134169622"/>
      <w:r w:rsidRPr="000177D7">
        <w:lastRenderedPageBreak/>
        <w:t>Agriculture, forestry and fishing</w:t>
      </w:r>
      <w:bookmarkEnd w:id="110"/>
      <w:bookmarkEnd w:id="111"/>
      <w:bookmarkEnd w:id="117"/>
      <w:bookmarkEnd w:id="118"/>
      <w:bookmarkEnd w:id="119"/>
    </w:p>
    <w:p w14:paraId="68CD1597" w14:textId="10AD6F81" w:rsidR="006003C0" w:rsidRDefault="004A5EC1" w:rsidP="004A5EC1">
      <w:bookmarkStart w:id="120" w:name="_Toc4577279"/>
      <w:bookmarkStart w:id="121" w:name="_Toc4689191"/>
      <w:r w:rsidRPr="000177D7">
        <w:t>The agriculture, forestry and fishing function include expenses to support assistance to primary producers</w:t>
      </w:r>
      <w:r>
        <w:t>,</w:t>
      </w:r>
      <w:r w:rsidRPr="000177D7">
        <w:t xml:space="preserve"> forestry, fishing, land and water resources management</w:t>
      </w:r>
      <w:r>
        <w:t>,</w:t>
      </w:r>
      <w:r w:rsidRPr="000177D7" w:rsidDel="007947B8">
        <w:t xml:space="preserve"> quarantine services</w:t>
      </w:r>
      <w:r>
        <w:t>,</w:t>
      </w:r>
      <w:r w:rsidRPr="000177D7">
        <w:t xml:space="preserve"> and contributions to research and development.</w:t>
      </w:r>
    </w:p>
    <w:p w14:paraId="39D10800" w14:textId="587F442E" w:rsidR="00B01968" w:rsidRDefault="00C855DF" w:rsidP="00B01968">
      <w:pPr>
        <w:pStyle w:val="TableHeading"/>
        <w:rPr>
          <w:rFonts w:asciiTheme="minorHAnsi" w:eastAsiaTheme="minorHAnsi" w:hAnsiTheme="minorHAnsi" w:cstheme="minorBidi"/>
          <w:sz w:val="22"/>
          <w:szCs w:val="22"/>
          <w:lang w:eastAsia="en-US"/>
        </w:rPr>
      </w:pPr>
      <w:r w:rsidRPr="000177D7">
        <w:t xml:space="preserve">Table 6.13: Summary of expenses </w:t>
      </w:r>
      <w:r w:rsidR="00DA63A8">
        <w:t>–</w:t>
      </w:r>
      <w:r w:rsidRPr="000177D7">
        <w:t xml:space="preserve"> agriculture, forestry and fishing</w:t>
      </w:r>
      <w:bookmarkStart w:id="122" w:name="_1586074659"/>
      <w:bookmarkStart w:id="123" w:name="_1727774349"/>
      <w:bookmarkEnd w:id="122"/>
      <w:bookmarkEnd w:id="123"/>
    </w:p>
    <w:tbl>
      <w:tblPr>
        <w:tblW w:w="5000" w:type="pct"/>
        <w:tblCellMar>
          <w:left w:w="0" w:type="dxa"/>
          <w:right w:w="28" w:type="dxa"/>
        </w:tblCellMar>
        <w:tblLook w:val="04A0" w:firstRow="1" w:lastRow="0" w:firstColumn="1" w:lastColumn="0" w:noHBand="0" w:noVBand="1"/>
      </w:tblPr>
      <w:tblGrid>
        <w:gridCol w:w="3638"/>
        <w:gridCol w:w="816"/>
        <w:gridCol w:w="814"/>
        <w:gridCol w:w="814"/>
        <w:gridCol w:w="814"/>
        <w:gridCol w:w="814"/>
      </w:tblGrid>
      <w:tr w:rsidR="00B01968" w:rsidRPr="00B01968" w14:paraId="11264637" w14:textId="77777777" w:rsidTr="000D3856">
        <w:trPr>
          <w:divId w:val="1474374418"/>
          <w:trHeight w:hRule="exact" w:val="225"/>
        </w:trPr>
        <w:tc>
          <w:tcPr>
            <w:tcW w:w="2359" w:type="pct"/>
            <w:tcBorders>
              <w:top w:val="single" w:sz="4" w:space="0" w:color="002A54" w:themeColor="text2"/>
              <w:left w:val="nil"/>
              <w:bottom w:val="nil"/>
              <w:right w:val="nil"/>
            </w:tcBorders>
            <w:shd w:val="clear" w:color="000000" w:fill="FFFFFF"/>
            <w:noWrap/>
            <w:vAlign w:val="center"/>
            <w:hideMark/>
          </w:tcPr>
          <w:p w14:paraId="77FDCF77" w14:textId="5F5039D3"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41"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5F0D0283"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4DB7D81A" w14:textId="77777777" w:rsidTr="000D3856">
        <w:trPr>
          <w:divId w:val="1474374418"/>
          <w:trHeight w:hRule="exact" w:val="225"/>
        </w:trPr>
        <w:tc>
          <w:tcPr>
            <w:tcW w:w="2359" w:type="pct"/>
            <w:tcBorders>
              <w:top w:val="nil"/>
              <w:left w:val="nil"/>
              <w:bottom w:val="nil"/>
              <w:right w:val="nil"/>
            </w:tcBorders>
            <w:shd w:val="clear" w:color="000000" w:fill="FFFFFF"/>
            <w:noWrap/>
            <w:vAlign w:val="bottom"/>
            <w:hideMark/>
          </w:tcPr>
          <w:p w14:paraId="046071A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single" w:sz="4" w:space="0" w:color="002A54" w:themeColor="text2"/>
              <w:left w:val="nil"/>
              <w:right w:val="nil"/>
            </w:tcBorders>
            <w:shd w:val="clear" w:color="000000" w:fill="FFFFFF"/>
            <w:noWrap/>
            <w:vAlign w:val="center"/>
            <w:hideMark/>
          </w:tcPr>
          <w:p w14:paraId="02F55DC1"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2022–23</w:t>
            </w:r>
          </w:p>
        </w:tc>
        <w:tc>
          <w:tcPr>
            <w:tcW w:w="528" w:type="pct"/>
            <w:tcBorders>
              <w:top w:val="single" w:sz="4" w:space="0" w:color="002A54" w:themeColor="text2"/>
              <w:left w:val="nil"/>
              <w:right w:val="nil"/>
            </w:tcBorders>
            <w:shd w:val="clear" w:color="000000" w:fill="E6F2FF"/>
            <w:noWrap/>
            <w:vAlign w:val="center"/>
            <w:hideMark/>
          </w:tcPr>
          <w:p w14:paraId="1A1A642C"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8" w:type="pct"/>
            <w:tcBorders>
              <w:top w:val="single" w:sz="4" w:space="0" w:color="002A54" w:themeColor="text2"/>
              <w:left w:val="nil"/>
              <w:right w:val="nil"/>
            </w:tcBorders>
            <w:shd w:val="clear" w:color="000000" w:fill="FFFFFF"/>
            <w:noWrap/>
            <w:vAlign w:val="center"/>
            <w:hideMark/>
          </w:tcPr>
          <w:p w14:paraId="0181A22A"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8" w:type="pct"/>
            <w:tcBorders>
              <w:top w:val="single" w:sz="4" w:space="0" w:color="002A54" w:themeColor="text2"/>
              <w:left w:val="nil"/>
              <w:right w:val="nil"/>
            </w:tcBorders>
            <w:shd w:val="clear" w:color="000000" w:fill="FFFFFF"/>
            <w:noWrap/>
            <w:vAlign w:val="center"/>
            <w:hideMark/>
          </w:tcPr>
          <w:p w14:paraId="6536D5E2"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8" w:type="pct"/>
            <w:tcBorders>
              <w:top w:val="single" w:sz="4" w:space="0" w:color="002A54" w:themeColor="text2"/>
              <w:left w:val="nil"/>
              <w:right w:val="nil"/>
            </w:tcBorders>
            <w:shd w:val="clear" w:color="000000" w:fill="FFFFFF"/>
            <w:noWrap/>
            <w:vAlign w:val="center"/>
            <w:hideMark/>
          </w:tcPr>
          <w:p w14:paraId="03B83AE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6D67C7A4" w14:textId="77777777" w:rsidTr="000D3856">
        <w:trPr>
          <w:divId w:val="1474374418"/>
          <w:trHeight w:hRule="exact" w:val="225"/>
        </w:trPr>
        <w:tc>
          <w:tcPr>
            <w:tcW w:w="2359" w:type="pct"/>
            <w:tcBorders>
              <w:top w:val="nil"/>
              <w:left w:val="nil"/>
              <w:bottom w:val="nil"/>
              <w:right w:val="nil"/>
            </w:tcBorders>
            <w:shd w:val="clear" w:color="000000" w:fill="FFFFFF"/>
            <w:noWrap/>
            <w:vAlign w:val="center"/>
            <w:hideMark/>
          </w:tcPr>
          <w:p w14:paraId="20EA3BC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nil"/>
              <w:left w:val="nil"/>
              <w:bottom w:val="single" w:sz="4" w:space="0" w:color="002A54" w:themeColor="text2"/>
              <w:right w:val="nil"/>
            </w:tcBorders>
            <w:shd w:val="clear" w:color="000000" w:fill="FFFFFF"/>
            <w:noWrap/>
            <w:vAlign w:val="center"/>
            <w:hideMark/>
          </w:tcPr>
          <w:p w14:paraId="5504356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E6F2FF"/>
            <w:noWrap/>
            <w:vAlign w:val="center"/>
            <w:hideMark/>
          </w:tcPr>
          <w:p w14:paraId="1D82ABA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38FF243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2F1C4A7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6B606DF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6FBFD73D" w14:textId="77777777" w:rsidTr="000D3856">
        <w:trPr>
          <w:divId w:val="1474374418"/>
          <w:trHeight w:hRule="exact" w:val="225"/>
        </w:trPr>
        <w:tc>
          <w:tcPr>
            <w:tcW w:w="2359" w:type="pct"/>
            <w:tcBorders>
              <w:top w:val="nil"/>
              <w:left w:val="nil"/>
              <w:bottom w:val="nil"/>
              <w:right w:val="nil"/>
            </w:tcBorders>
            <w:shd w:val="clear" w:color="000000" w:fill="FFFFFF"/>
            <w:noWrap/>
            <w:vAlign w:val="center"/>
            <w:hideMark/>
          </w:tcPr>
          <w:p w14:paraId="4162C4D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Wool industry</w:t>
            </w:r>
          </w:p>
        </w:tc>
        <w:tc>
          <w:tcPr>
            <w:tcW w:w="529" w:type="pct"/>
            <w:tcBorders>
              <w:top w:val="single" w:sz="4" w:space="0" w:color="002A54" w:themeColor="text2"/>
              <w:left w:val="nil"/>
              <w:bottom w:val="nil"/>
              <w:right w:val="nil"/>
            </w:tcBorders>
            <w:shd w:val="clear" w:color="000000" w:fill="FFFFFF"/>
            <w:noWrap/>
            <w:vAlign w:val="center"/>
            <w:hideMark/>
          </w:tcPr>
          <w:p w14:paraId="0526DD2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67</w:t>
            </w:r>
          </w:p>
        </w:tc>
        <w:tc>
          <w:tcPr>
            <w:tcW w:w="528" w:type="pct"/>
            <w:tcBorders>
              <w:top w:val="single" w:sz="4" w:space="0" w:color="002A54" w:themeColor="text2"/>
              <w:left w:val="nil"/>
              <w:bottom w:val="nil"/>
              <w:right w:val="nil"/>
            </w:tcBorders>
            <w:shd w:val="clear" w:color="000000" w:fill="E6F2FF"/>
            <w:noWrap/>
            <w:vAlign w:val="center"/>
            <w:hideMark/>
          </w:tcPr>
          <w:p w14:paraId="3EFEE19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74</w:t>
            </w:r>
          </w:p>
        </w:tc>
        <w:tc>
          <w:tcPr>
            <w:tcW w:w="528" w:type="pct"/>
            <w:tcBorders>
              <w:top w:val="single" w:sz="4" w:space="0" w:color="002A54" w:themeColor="text2"/>
              <w:left w:val="nil"/>
              <w:bottom w:val="nil"/>
              <w:right w:val="nil"/>
            </w:tcBorders>
            <w:shd w:val="clear" w:color="000000" w:fill="FFFFFF"/>
            <w:noWrap/>
            <w:vAlign w:val="center"/>
            <w:hideMark/>
          </w:tcPr>
          <w:p w14:paraId="5321D93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84</w:t>
            </w:r>
          </w:p>
        </w:tc>
        <w:tc>
          <w:tcPr>
            <w:tcW w:w="528" w:type="pct"/>
            <w:tcBorders>
              <w:top w:val="single" w:sz="4" w:space="0" w:color="002A54" w:themeColor="text2"/>
              <w:left w:val="nil"/>
              <w:bottom w:val="nil"/>
              <w:right w:val="nil"/>
            </w:tcBorders>
            <w:shd w:val="clear" w:color="000000" w:fill="FFFFFF"/>
            <w:noWrap/>
            <w:vAlign w:val="center"/>
            <w:hideMark/>
          </w:tcPr>
          <w:p w14:paraId="5497E28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95</w:t>
            </w:r>
          </w:p>
        </w:tc>
        <w:tc>
          <w:tcPr>
            <w:tcW w:w="528" w:type="pct"/>
            <w:tcBorders>
              <w:top w:val="single" w:sz="4" w:space="0" w:color="002A54" w:themeColor="text2"/>
              <w:left w:val="nil"/>
              <w:bottom w:val="nil"/>
              <w:right w:val="nil"/>
            </w:tcBorders>
            <w:shd w:val="clear" w:color="000000" w:fill="FFFFFF"/>
            <w:noWrap/>
            <w:vAlign w:val="center"/>
            <w:hideMark/>
          </w:tcPr>
          <w:p w14:paraId="61D97DE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95</w:t>
            </w:r>
          </w:p>
        </w:tc>
      </w:tr>
      <w:tr w:rsidR="00B01968" w:rsidRPr="00B01968" w14:paraId="7819F16C" w14:textId="77777777" w:rsidTr="00B01968">
        <w:trPr>
          <w:divId w:val="1474374418"/>
          <w:trHeight w:hRule="exact" w:val="225"/>
        </w:trPr>
        <w:tc>
          <w:tcPr>
            <w:tcW w:w="2359" w:type="pct"/>
            <w:tcBorders>
              <w:top w:val="nil"/>
              <w:left w:val="nil"/>
              <w:bottom w:val="nil"/>
              <w:right w:val="nil"/>
            </w:tcBorders>
            <w:shd w:val="clear" w:color="000000" w:fill="FFFFFF"/>
            <w:noWrap/>
            <w:vAlign w:val="bottom"/>
            <w:hideMark/>
          </w:tcPr>
          <w:p w14:paraId="2DB1349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Grains industry</w:t>
            </w:r>
          </w:p>
        </w:tc>
        <w:tc>
          <w:tcPr>
            <w:tcW w:w="529" w:type="pct"/>
            <w:tcBorders>
              <w:top w:val="nil"/>
              <w:left w:val="nil"/>
              <w:bottom w:val="nil"/>
              <w:right w:val="nil"/>
            </w:tcBorders>
            <w:shd w:val="clear" w:color="000000" w:fill="FFFFFF"/>
            <w:noWrap/>
            <w:vAlign w:val="center"/>
            <w:hideMark/>
          </w:tcPr>
          <w:p w14:paraId="023AB72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224</w:t>
            </w:r>
          </w:p>
        </w:tc>
        <w:tc>
          <w:tcPr>
            <w:tcW w:w="528" w:type="pct"/>
            <w:tcBorders>
              <w:top w:val="nil"/>
              <w:left w:val="nil"/>
              <w:bottom w:val="nil"/>
              <w:right w:val="nil"/>
            </w:tcBorders>
            <w:shd w:val="clear" w:color="000000" w:fill="E6F2FF"/>
            <w:noWrap/>
            <w:vAlign w:val="center"/>
            <w:hideMark/>
          </w:tcPr>
          <w:p w14:paraId="2191458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266</w:t>
            </w:r>
          </w:p>
        </w:tc>
        <w:tc>
          <w:tcPr>
            <w:tcW w:w="528" w:type="pct"/>
            <w:tcBorders>
              <w:top w:val="nil"/>
              <w:left w:val="nil"/>
              <w:bottom w:val="nil"/>
              <w:right w:val="nil"/>
            </w:tcBorders>
            <w:shd w:val="clear" w:color="000000" w:fill="FFFFFF"/>
            <w:noWrap/>
            <w:vAlign w:val="center"/>
            <w:hideMark/>
          </w:tcPr>
          <w:p w14:paraId="5D246D1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266</w:t>
            </w:r>
          </w:p>
        </w:tc>
        <w:tc>
          <w:tcPr>
            <w:tcW w:w="528" w:type="pct"/>
            <w:tcBorders>
              <w:top w:val="nil"/>
              <w:left w:val="nil"/>
              <w:bottom w:val="nil"/>
              <w:right w:val="nil"/>
            </w:tcBorders>
            <w:shd w:val="clear" w:color="000000" w:fill="FFFFFF"/>
            <w:noWrap/>
            <w:vAlign w:val="center"/>
            <w:hideMark/>
          </w:tcPr>
          <w:p w14:paraId="597AB6B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268</w:t>
            </w:r>
          </w:p>
        </w:tc>
        <w:tc>
          <w:tcPr>
            <w:tcW w:w="528" w:type="pct"/>
            <w:tcBorders>
              <w:top w:val="nil"/>
              <w:left w:val="nil"/>
              <w:bottom w:val="nil"/>
              <w:right w:val="nil"/>
            </w:tcBorders>
            <w:shd w:val="clear" w:color="000000" w:fill="FFFFFF"/>
            <w:noWrap/>
            <w:vAlign w:val="center"/>
            <w:hideMark/>
          </w:tcPr>
          <w:p w14:paraId="53BF973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269</w:t>
            </w:r>
          </w:p>
        </w:tc>
      </w:tr>
      <w:tr w:rsidR="00B01968" w:rsidRPr="00B01968" w14:paraId="3242993B"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164FBC8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Dairy industry</w:t>
            </w:r>
          </w:p>
        </w:tc>
        <w:tc>
          <w:tcPr>
            <w:tcW w:w="529" w:type="pct"/>
            <w:tcBorders>
              <w:top w:val="nil"/>
              <w:left w:val="nil"/>
              <w:bottom w:val="nil"/>
              <w:right w:val="nil"/>
            </w:tcBorders>
            <w:shd w:val="clear" w:color="000000" w:fill="FFFFFF"/>
            <w:noWrap/>
            <w:vAlign w:val="center"/>
            <w:hideMark/>
          </w:tcPr>
          <w:p w14:paraId="0BFFC63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55</w:t>
            </w:r>
          </w:p>
        </w:tc>
        <w:tc>
          <w:tcPr>
            <w:tcW w:w="528" w:type="pct"/>
            <w:tcBorders>
              <w:top w:val="nil"/>
              <w:left w:val="nil"/>
              <w:bottom w:val="nil"/>
              <w:right w:val="nil"/>
            </w:tcBorders>
            <w:shd w:val="clear" w:color="000000" w:fill="E6F2FF"/>
            <w:noWrap/>
            <w:vAlign w:val="center"/>
            <w:hideMark/>
          </w:tcPr>
          <w:p w14:paraId="6E649AB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52</w:t>
            </w:r>
          </w:p>
        </w:tc>
        <w:tc>
          <w:tcPr>
            <w:tcW w:w="528" w:type="pct"/>
            <w:tcBorders>
              <w:top w:val="nil"/>
              <w:left w:val="nil"/>
              <w:bottom w:val="nil"/>
              <w:right w:val="nil"/>
            </w:tcBorders>
            <w:shd w:val="clear" w:color="000000" w:fill="FFFFFF"/>
            <w:noWrap/>
            <w:vAlign w:val="center"/>
            <w:hideMark/>
          </w:tcPr>
          <w:p w14:paraId="248FB9F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50</w:t>
            </w:r>
          </w:p>
        </w:tc>
        <w:tc>
          <w:tcPr>
            <w:tcW w:w="528" w:type="pct"/>
            <w:tcBorders>
              <w:top w:val="nil"/>
              <w:left w:val="nil"/>
              <w:bottom w:val="nil"/>
              <w:right w:val="nil"/>
            </w:tcBorders>
            <w:shd w:val="clear" w:color="000000" w:fill="FFFFFF"/>
            <w:noWrap/>
            <w:vAlign w:val="center"/>
            <w:hideMark/>
          </w:tcPr>
          <w:p w14:paraId="38DF0D9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50</w:t>
            </w:r>
          </w:p>
        </w:tc>
        <w:tc>
          <w:tcPr>
            <w:tcW w:w="528" w:type="pct"/>
            <w:tcBorders>
              <w:top w:val="nil"/>
              <w:left w:val="nil"/>
              <w:bottom w:val="nil"/>
              <w:right w:val="nil"/>
            </w:tcBorders>
            <w:shd w:val="clear" w:color="000000" w:fill="FFFFFF"/>
            <w:noWrap/>
            <w:vAlign w:val="center"/>
            <w:hideMark/>
          </w:tcPr>
          <w:p w14:paraId="6018CB7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49</w:t>
            </w:r>
          </w:p>
        </w:tc>
      </w:tr>
      <w:tr w:rsidR="00B01968" w:rsidRPr="00B01968" w14:paraId="479FD6AA"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3FFD2FB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Cattle, sheep and pig industry</w:t>
            </w:r>
          </w:p>
        </w:tc>
        <w:tc>
          <w:tcPr>
            <w:tcW w:w="529" w:type="pct"/>
            <w:tcBorders>
              <w:top w:val="nil"/>
              <w:left w:val="nil"/>
              <w:bottom w:val="nil"/>
              <w:right w:val="nil"/>
            </w:tcBorders>
            <w:shd w:val="clear" w:color="000000" w:fill="FFFFFF"/>
            <w:noWrap/>
            <w:vAlign w:val="center"/>
            <w:hideMark/>
          </w:tcPr>
          <w:p w14:paraId="6F1C840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252</w:t>
            </w:r>
          </w:p>
        </w:tc>
        <w:tc>
          <w:tcPr>
            <w:tcW w:w="528" w:type="pct"/>
            <w:tcBorders>
              <w:top w:val="nil"/>
              <w:left w:val="nil"/>
              <w:bottom w:val="nil"/>
              <w:right w:val="nil"/>
            </w:tcBorders>
            <w:shd w:val="clear" w:color="000000" w:fill="E6F2FF"/>
            <w:noWrap/>
            <w:vAlign w:val="center"/>
            <w:hideMark/>
          </w:tcPr>
          <w:p w14:paraId="3401E6B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266</w:t>
            </w:r>
          </w:p>
        </w:tc>
        <w:tc>
          <w:tcPr>
            <w:tcW w:w="528" w:type="pct"/>
            <w:tcBorders>
              <w:top w:val="nil"/>
              <w:left w:val="nil"/>
              <w:bottom w:val="nil"/>
              <w:right w:val="nil"/>
            </w:tcBorders>
            <w:shd w:val="clear" w:color="000000" w:fill="FFFFFF"/>
            <w:noWrap/>
            <w:vAlign w:val="center"/>
            <w:hideMark/>
          </w:tcPr>
          <w:p w14:paraId="47FDFDE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276</w:t>
            </w:r>
          </w:p>
        </w:tc>
        <w:tc>
          <w:tcPr>
            <w:tcW w:w="528" w:type="pct"/>
            <w:tcBorders>
              <w:top w:val="nil"/>
              <w:left w:val="nil"/>
              <w:bottom w:val="nil"/>
              <w:right w:val="nil"/>
            </w:tcBorders>
            <w:shd w:val="clear" w:color="000000" w:fill="FFFFFF"/>
            <w:noWrap/>
            <w:vAlign w:val="center"/>
            <w:hideMark/>
          </w:tcPr>
          <w:p w14:paraId="76039DC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285</w:t>
            </w:r>
          </w:p>
        </w:tc>
        <w:tc>
          <w:tcPr>
            <w:tcW w:w="528" w:type="pct"/>
            <w:tcBorders>
              <w:top w:val="nil"/>
              <w:left w:val="nil"/>
              <w:bottom w:val="nil"/>
              <w:right w:val="nil"/>
            </w:tcBorders>
            <w:shd w:val="clear" w:color="000000" w:fill="FFFFFF"/>
            <w:noWrap/>
            <w:vAlign w:val="center"/>
            <w:hideMark/>
          </w:tcPr>
          <w:p w14:paraId="03C8C0F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288</w:t>
            </w:r>
          </w:p>
        </w:tc>
      </w:tr>
      <w:tr w:rsidR="00B01968" w:rsidRPr="00B01968" w14:paraId="019749AF"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59FB192A"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Fishing, horticulture and other agriculture</w:t>
            </w:r>
          </w:p>
        </w:tc>
        <w:tc>
          <w:tcPr>
            <w:tcW w:w="529" w:type="pct"/>
            <w:tcBorders>
              <w:top w:val="nil"/>
              <w:left w:val="nil"/>
              <w:bottom w:val="nil"/>
              <w:right w:val="nil"/>
            </w:tcBorders>
            <w:shd w:val="clear" w:color="000000" w:fill="FFFFFF"/>
            <w:noWrap/>
            <w:vAlign w:val="center"/>
            <w:hideMark/>
          </w:tcPr>
          <w:p w14:paraId="11013F3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553</w:t>
            </w:r>
          </w:p>
        </w:tc>
        <w:tc>
          <w:tcPr>
            <w:tcW w:w="528" w:type="pct"/>
            <w:tcBorders>
              <w:top w:val="nil"/>
              <w:left w:val="nil"/>
              <w:bottom w:val="nil"/>
              <w:right w:val="nil"/>
            </w:tcBorders>
            <w:shd w:val="clear" w:color="000000" w:fill="E6F2FF"/>
            <w:noWrap/>
            <w:vAlign w:val="center"/>
            <w:hideMark/>
          </w:tcPr>
          <w:p w14:paraId="77E219F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460</w:t>
            </w:r>
          </w:p>
        </w:tc>
        <w:tc>
          <w:tcPr>
            <w:tcW w:w="528" w:type="pct"/>
            <w:tcBorders>
              <w:top w:val="nil"/>
              <w:left w:val="nil"/>
              <w:bottom w:val="nil"/>
              <w:right w:val="nil"/>
            </w:tcBorders>
            <w:shd w:val="clear" w:color="000000" w:fill="FFFFFF"/>
            <w:noWrap/>
            <w:vAlign w:val="center"/>
            <w:hideMark/>
          </w:tcPr>
          <w:p w14:paraId="380AC01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376</w:t>
            </w:r>
          </w:p>
        </w:tc>
        <w:tc>
          <w:tcPr>
            <w:tcW w:w="528" w:type="pct"/>
            <w:tcBorders>
              <w:top w:val="nil"/>
              <w:left w:val="nil"/>
              <w:bottom w:val="nil"/>
              <w:right w:val="nil"/>
            </w:tcBorders>
            <w:shd w:val="clear" w:color="000000" w:fill="FFFFFF"/>
            <w:noWrap/>
            <w:vAlign w:val="center"/>
            <w:hideMark/>
          </w:tcPr>
          <w:p w14:paraId="0F7733F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358</w:t>
            </w:r>
          </w:p>
        </w:tc>
        <w:tc>
          <w:tcPr>
            <w:tcW w:w="528" w:type="pct"/>
            <w:tcBorders>
              <w:top w:val="nil"/>
              <w:left w:val="nil"/>
              <w:bottom w:val="nil"/>
              <w:right w:val="nil"/>
            </w:tcBorders>
            <w:shd w:val="clear" w:color="000000" w:fill="FFFFFF"/>
            <w:noWrap/>
            <w:vAlign w:val="center"/>
            <w:hideMark/>
          </w:tcPr>
          <w:p w14:paraId="6B10E11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388</w:t>
            </w:r>
          </w:p>
        </w:tc>
      </w:tr>
      <w:tr w:rsidR="00B01968" w:rsidRPr="00B01968" w14:paraId="0544284A"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23F25F7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General assistance not allocated to</w:t>
            </w:r>
          </w:p>
        </w:tc>
        <w:tc>
          <w:tcPr>
            <w:tcW w:w="529" w:type="pct"/>
            <w:tcBorders>
              <w:top w:val="nil"/>
              <w:left w:val="nil"/>
              <w:bottom w:val="nil"/>
              <w:right w:val="nil"/>
            </w:tcBorders>
            <w:shd w:val="clear" w:color="000000" w:fill="FFFFFF"/>
            <w:noWrap/>
            <w:vAlign w:val="center"/>
            <w:hideMark/>
          </w:tcPr>
          <w:p w14:paraId="24454E7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nil"/>
              <w:left w:val="nil"/>
              <w:bottom w:val="nil"/>
              <w:right w:val="nil"/>
            </w:tcBorders>
            <w:shd w:val="clear" w:color="000000" w:fill="E6F2FF"/>
            <w:noWrap/>
            <w:vAlign w:val="center"/>
            <w:hideMark/>
          </w:tcPr>
          <w:p w14:paraId="11E028B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nil"/>
              <w:left w:val="nil"/>
              <w:bottom w:val="nil"/>
              <w:right w:val="nil"/>
            </w:tcBorders>
            <w:shd w:val="clear" w:color="000000" w:fill="FFFFFF"/>
            <w:noWrap/>
            <w:vAlign w:val="center"/>
            <w:hideMark/>
          </w:tcPr>
          <w:p w14:paraId="5F8627B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nil"/>
              <w:left w:val="nil"/>
              <w:bottom w:val="nil"/>
              <w:right w:val="nil"/>
            </w:tcBorders>
            <w:shd w:val="clear" w:color="000000" w:fill="FFFFFF"/>
            <w:noWrap/>
            <w:vAlign w:val="center"/>
            <w:hideMark/>
          </w:tcPr>
          <w:p w14:paraId="38AE8105"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nil"/>
              <w:left w:val="nil"/>
              <w:bottom w:val="nil"/>
              <w:right w:val="nil"/>
            </w:tcBorders>
            <w:shd w:val="clear" w:color="000000" w:fill="FFFFFF"/>
            <w:noWrap/>
            <w:vAlign w:val="center"/>
            <w:hideMark/>
          </w:tcPr>
          <w:p w14:paraId="19985D68"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3128A237"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22CA59A1"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specific industries</w:t>
            </w:r>
          </w:p>
        </w:tc>
        <w:tc>
          <w:tcPr>
            <w:tcW w:w="529" w:type="pct"/>
            <w:tcBorders>
              <w:top w:val="nil"/>
              <w:left w:val="nil"/>
              <w:bottom w:val="nil"/>
              <w:right w:val="nil"/>
            </w:tcBorders>
            <w:shd w:val="clear" w:color="000000" w:fill="FFFFFF"/>
            <w:noWrap/>
            <w:vAlign w:val="center"/>
            <w:hideMark/>
          </w:tcPr>
          <w:p w14:paraId="47DD388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44</w:t>
            </w:r>
          </w:p>
        </w:tc>
        <w:tc>
          <w:tcPr>
            <w:tcW w:w="528" w:type="pct"/>
            <w:tcBorders>
              <w:top w:val="nil"/>
              <w:left w:val="nil"/>
              <w:bottom w:val="nil"/>
              <w:right w:val="nil"/>
            </w:tcBorders>
            <w:shd w:val="clear" w:color="000000" w:fill="E6F2FF"/>
            <w:noWrap/>
            <w:vAlign w:val="center"/>
            <w:hideMark/>
          </w:tcPr>
          <w:p w14:paraId="0CCF428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44</w:t>
            </w:r>
          </w:p>
        </w:tc>
        <w:tc>
          <w:tcPr>
            <w:tcW w:w="528" w:type="pct"/>
            <w:tcBorders>
              <w:top w:val="nil"/>
              <w:left w:val="nil"/>
              <w:bottom w:val="nil"/>
              <w:right w:val="nil"/>
            </w:tcBorders>
            <w:shd w:val="clear" w:color="000000" w:fill="FFFFFF"/>
            <w:noWrap/>
            <w:vAlign w:val="center"/>
            <w:hideMark/>
          </w:tcPr>
          <w:p w14:paraId="06371B1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45</w:t>
            </w:r>
          </w:p>
        </w:tc>
        <w:tc>
          <w:tcPr>
            <w:tcW w:w="528" w:type="pct"/>
            <w:tcBorders>
              <w:top w:val="nil"/>
              <w:left w:val="nil"/>
              <w:bottom w:val="nil"/>
              <w:right w:val="nil"/>
            </w:tcBorders>
            <w:shd w:val="clear" w:color="000000" w:fill="FFFFFF"/>
            <w:noWrap/>
            <w:vAlign w:val="center"/>
            <w:hideMark/>
          </w:tcPr>
          <w:p w14:paraId="0B162A9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45</w:t>
            </w:r>
          </w:p>
        </w:tc>
        <w:tc>
          <w:tcPr>
            <w:tcW w:w="528" w:type="pct"/>
            <w:tcBorders>
              <w:top w:val="nil"/>
              <w:left w:val="nil"/>
              <w:bottom w:val="nil"/>
              <w:right w:val="nil"/>
            </w:tcBorders>
            <w:shd w:val="clear" w:color="000000" w:fill="FFFFFF"/>
            <w:noWrap/>
            <w:vAlign w:val="center"/>
            <w:hideMark/>
          </w:tcPr>
          <w:p w14:paraId="6C6D1E1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45</w:t>
            </w:r>
          </w:p>
        </w:tc>
      </w:tr>
      <w:tr w:rsidR="00B01968" w:rsidRPr="00B01968" w14:paraId="40AFC098" w14:textId="77777777" w:rsidTr="00B01968">
        <w:trPr>
          <w:divId w:val="1474374418"/>
          <w:trHeight w:hRule="exact" w:val="225"/>
        </w:trPr>
        <w:tc>
          <w:tcPr>
            <w:tcW w:w="2359" w:type="pct"/>
            <w:tcBorders>
              <w:top w:val="nil"/>
              <w:left w:val="nil"/>
              <w:bottom w:val="nil"/>
              <w:right w:val="nil"/>
            </w:tcBorders>
            <w:shd w:val="clear" w:color="000000" w:fill="FFFFFF"/>
            <w:noWrap/>
            <w:vAlign w:val="center"/>
            <w:hideMark/>
          </w:tcPr>
          <w:p w14:paraId="7EE3D8A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Rural assistance</w:t>
            </w:r>
          </w:p>
        </w:tc>
        <w:tc>
          <w:tcPr>
            <w:tcW w:w="529" w:type="pct"/>
            <w:tcBorders>
              <w:top w:val="nil"/>
              <w:left w:val="nil"/>
              <w:bottom w:val="nil"/>
              <w:right w:val="nil"/>
            </w:tcBorders>
            <w:shd w:val="clear" w:color="000000" w:fill="FFFFFF"/>
            <w:noWrap/>
            <w:vAlign w:val="center"/>
            <w:hideMark/>
          </w:tcPr>
          <w:p w14:paraId="05FB026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433</w:t>
            </w:r>
          </w:p>
        </w:tc>
        <w:tc>
          <w:tcPr>
            <w:tcW w:w="528" w:type="pct"/>
            <w:tcBorders>
              <w:top w:val="nil"/>
              <w:left w:val="nil"/>
              <w:bottom w:val="nil"/>
              <w:right w:val="nil"/>
            </w:tcBorders>
            <w:shd w:val="clear" w:color="000000" w:fill="E6F2FF"/>
            <w:noWrap/>
            <w:vAlign w:val="center"/>
            <w:hideMark/>
          </w:tcPr>
          <w:p w14:paraId="099879A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303</w:t>
            </w:r>
          </w:p>
        </w:tc>
        <w:tc>
          <w:tcPr>
            <w:tcW w:w="528" w:type="pct"/>
            <w:tcBorders>
              <w:top w:val="nil"/>
              <w:left w:val="nil"/>
              <w:bottom w:val="nil"/>
              <w:right w:val="nil"/>
            </w:tcBorders>
            <w:shd w:val="clear" w:color="000000" w:fill="FFFFFF"/>
            <w:noWrap/>
            <w:vAlign w:val="center"/>
            <w:hideMark/>
          </w:tcPr>
          <w:p w14:paraId="397F805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301</w:t>
            </w:r>
          </w:p>
        </w:tc>
        <w:tc>
          <w:tcPr>
            <w:tcW w:w="528" w:type="pct"/>
            <w:tcBorders>
              <w:top w:val="nil"/>
              <w:left w:val="nil"/>
              <w:bottom w:val="nil"/>
              <w:right w:val="nil"/>
            </w:tcBorders>
            <w:shd w:val="clear" w:color="000000" w:fill="FFFFFF"/>
            <w:noWrap/>
            <w:vAlign w:val="center"/>
            <w:hideMark/>
          </w:tcPr>
          <w:p w14:paraId="6B6A60F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353</w:t>
            </w:r>
          </w:p>
        </w:tc>
        <w:tc>
          <w:tcPr>
            <w:tcW w:w="528" w:type="pct"/>
            <w:tcBorders>
              <w:top w:val="nil"/>
              <w:left w:val="nil"/>
              <w:bottom w:val="nil"/>
              <w:right w:val="nil"/>
            </w:tcBorders>
            <w:shd w:val="clear" w:color="000000" w:fill="FFFFFF"/>
            <w:noWrap/>
            <w:vAlign w:val="center"/>
            <w:hideMark/>
          </w:tcPr>
          <w:p w14:paraId="6B15DC4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373</w:t>
            </w:r>
          </w:p>
        </w:tc>
      </w:tr>
      <w:tr w:rsidR="00B01968" w:rsidRPr="00B01968" w14:paraId="5CF2B354" w14:textId="77777777" w:rsidTr="000D3856">
        <w:trPr>
          <w:divId w:val="1474374418"/>
          <w:trHeight w:hRule="exact" w:val="225"/>
        </w:trPr>
        <w:tc>
          <w:tcPr>
            <w:tcW w:w="2359" w:type="pct"/>
            <w:tcBorders>
              <w:top w:val="nil"/>
              <w:left w:val="nil"/>
              <w:bottom w:val="nil"/>
              <w:right w:val="nil"/>
            </w:tcBorders>
            <w:shd w:val="clear" w:color="000000" w:fill="FFFFFF"/>
            <w:noWrap/>
            <w:vAlign w:val="center"/>
            <w:hideMark/>
          </w:tcPr>
          <w:p w14:paraId="317C615C"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Natural resources development</w:t>
            </w:r>
          </w:p>
        </w:tc>
        <w:tc>
          <w:tcPr>
            <w:tcW w:w="529" w:type="pct"/>
            <w:tcBorders>
              <w:top w:val="nil"/>
              <w:left w:val="nil"/>
              <w:right w:val="nil"/>
            </w:tcBorders>
            <w:shd w:val="clear" w:color="000000" w:fill="FFFFFF"/>
            <w:noWrap/>
            <w:vAlign w:val="center"/>
            <w:hideMark/>
          </w:tcPr>
          <w:p w14:paraId="0BAFCD9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1,793</w:t>
            </w:r>
          </w:p>
        </w:tc>
        <w:tc>
          <w:tcPr>
            <w:tcW w:w="528" w:type="pct"/>
            <w:tcBorders>
              <w:top w:val="nil"/>
              <w:left w:val="nil"/>
              <w:right w:val="nil"/>
            </w:tcBorders>
            <w:shd w:val="clear" w:color="000000" w:fill="E6F2FF"/>
            <w:noWrap/>
            <w:vAlign w:val="center"/>
            <w:hideMark/>
          </w:tcPr>
          <w:p w14:paraId="726F7C36"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2,453</w:t>
            </w:r>
          </w:p>
        </w:tc>
        <w:tc>
          <w:tcPr>
            <w:tcW w:w="528" w:type="pct"/>
            <w:tcBorders>
              <w:top w:val="nil"/>
              <w:left w:val="nil"/>
              <w:right w:val="nil"/>
            </w:tcBorders>
            <w:shd w:val="clear" w:color="000000" w:fill="FFFFFF"/>
            <w:noWrap/>
            <w:vAlign w:val="center"/>
            <w:hideMark/>
          </w:tcPr>
          <w:p w14:paraId="39FD19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614</w:t>
            </w:r>
          </w:p>
        </w:tc>
        <w:tc>
          <w:tcPr>
            <w:tcW w:w="528" w:type="pct"/>
            <w:tcBorders>
              <w:top w:val="nil"/>
              <w:left w:val="nil"/>
              <w:right w:val="nil"/>
            </w:tcBorders>
            <w:shd w:val="clear" w:color="000000" w:fill="FFFFFF"/>
            <w:noWrap/>
            <w:vAlign w:val="center"/>
            <w:hideMark/>
          </w:tcPr>
          <w:p w14:paraId="3DCFF26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425</w:t>
            </w:r>
          </w:p>
        </w:tc>
        <w:tc>
          <w:tcPr>
            <w:tcW w:w="528" w:type="pct"/>
            <w:tcBorders>
              <w:top w:val="nil"/>
              <w:left w:val="nil"/>
              <w:right w:val="nil"/>
            </w:tcBorders>
            <w:shd w:val="clear" w:color="000000" w:fill="FFFFFF"/>
            <w:noWrap/>
            <w:vAlign w:val="center"/>
            <w:hideMark/>
          </w:tcPr>
          <w:p w14:paraId="6D93DF8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344</w:t>
            </w:r>
          </w:p>
        </w:tc>
      </w:tr>
      <w:tr w:rsidR="00B01968" w:rsidRPr="00B01968" w14:paraId="11BADC64" w14:textId="77777777" w:rsidTr="000D3856">
        <w:trPr>
          <w:divId w:val="1474374418"/>
          <w:trHeight w:hRule="exact" w:val="225"/>
        </w:trPr>
        <w:tc>
          <w:tcPr>
            <w:tcW w:w="2359" w:type="pct"/>
            <w:tcBorders>
              <w:top w:val="nil"/>
              <w:left w:val="nil"/>
              <w:bottom w:val="nil"/>
              <w:right w:val="nil"/>
            </w:tcBorders>
            <w:shd w:val="clear" w:color="000000" w:fill="FFFFFF"/>
            <w:noWrap/>
            <w:vAlign w:val="center"/>
            <w:hideMark/>
          </w:tcPr>
          <w:p w14:paraId="65D67867"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General administration</w:t>
            </w:r>
          </w:p>
        </w:tc>
        <w:tc>
          <w:tcPr>
            <w:tcW w:w="529" w:type="pct"/>
            <w:tcBorders>
              <w:top w:val="nil"/>
              <w:left w:val="nil"/>
              <w:bottom w:val="single" w:sz="4" w:space="0" w:color="002A54" w:themeColor="text2"/>
              <w:right w:val="nil"/>
            </w:tcBorders>
            <w:shd w:val="clear" w:color="000000" w:fill="FFFFFF"/>
            <w:noWrap/>
            <w:vAlign w:val="center"/>
            <w:hideMark/>
          </w:tcPr>
          <w:p w14:paraId="6FD5EDE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1,317</w:t>
            </w:r>
          </w:p>
        </w:tc>
        <w:tc>
          <w:tcPr>
            <w:tcW w:w="528" w:type="pct"/>
            <w:tcBorders>
              <w:top w:val="nil"/>
              <w:left w:val="nil"/>
              <w:bottom w:val="single" w:sz="4" w:space="0" w:color="002A54" w:themeColor="text2"/>
              <w:right w:val="nil"/>
            </w:tcBorders>
            <w:shd w:val="clear" w:color="000000" w:fill="E6F2FF"/>
            <w:noWrap/>
            <w:vAlign w:val="center"/>
            <w:hideMark/>
          </w:tcPr>
          <w:p w14:paraId="7D153CC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1,239</w:t>
            </w:r>
          </w:p>
        </w:tc>
        <w:tc>
          <w:tcPr>
            <w:tcW w:w="528" w:type="pct"/>
            <w:tcBorders>
              <w:top w:val="nil"/>
              <w:left w:val="nil"/>
              <w:bottom w:val="single" w:sz="4" w:space="0" w:color="002A54" w:themeColor="text2"/>
              <w:right w:val="nil"/>
            </w:tcBorders>
            <w:shd w:val="clear" w:color="000000" w:fill="FFFFFF"/>
            <w:noWrap/>
            <w:vAlign w:val="center"/>
            <w:hideMark/>
          </w:tcPr>
          <w:p w14:paraId="32CA0B4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1,215</w:t>
            </w:r>
          </w:p>
        </w:tc>
        <w:tc>
          <w:tcPr>
            <w:tcW w:w="528" w:type="pct"/>
            <w:tcBorders>
              <w:top w:val="nil"/>
              <w:left w:val="nil"/>
              <w:bottom w:val="single" w:sz="4" w:space="0" w:color="002A54" w:themeColor="text2"/>
              <w:right w:val="nil"/>
            </w:tcBorders>
            <w:shd w:val="clear" w:color="000000" w:fill="FFFFFF"/>
            <w:noWrap/>
            <w:vAlign w:val="center"/>
            <w:hideMark/>
          </w:tcPr>
          <w:p w14:paraId="0C20041B"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1,167</w:t>
            </w:r>
          </w:p>
        </w:tc>
        <w:tc>
          <w:tcPr>
            <w:tcW w:w="528" w:type="pct"/>
            <w:tcBorders>
              <w:top w:val="nil"/>
              <w:left w:val="nil"/>
              <w:bottom w:val="single" w:sz="4" w:space="0" w:color="002A54" w:themeColor="text2"/>
              <w:right w:val="nil"/>
            </w:tcBorders>
            <w:shd w:val="clear" w:color="000000" w:fill="FFFFFF"/>
            <w:noWrap/>
            <w:vAlign w:val="center"/>
            <w:hideMark/>
          </w:tcPr>
          <w:p w14:paraId="434A3A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1,148</w:t>
            </w:r>
          </w:p>
        </w:tc>
      </w:tr>
      <w:tr w:rsidR="00B01968" w:rsidRPr="00B01968" w14:paraId="72487B64" w14:textId="77777777" w:rsidTr="000D3856">
        <w:trPr>
          <w:divId w:val="1474374418"/>
          <w:trHeight w:hRule="exact" w:val="225"/>
        </w:trPr>
        <w:tc>
          <w:tcPr>
            <w:tcW w:w="2359" w:type="pct"/>
            <w:tcBorders>
              <w:top w:val="nil"/>
              <w:left w:val="nil"/>
              <w:bottom w:val="single" w:sz="4" w:space="0" w:color="002A54" w:themeColor="text2"/>
              <w:right w:val="nil"/>
            </w:tcBorders>
            <w:shd w:val="clear" w:color="000000" w:fill="FFFFFF"/>
            <w:noWrap/>
            <w:vAlign w:val="center"/>
            <w:hideMark/>
          </w:tcPr>
          <w:p w14:paraId="48A5A95E"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 agriculture, forestry and fishing</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165F481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4,737</w:t>
            </w:r>
          </w:p>
        </w:tc>
        <w:tc>
          <w:tcPr>
            <w:tcW w:w="528" w:type="pct"/>
            <w:tcBorders>
              <w:top w:val="single" w:sz="4" w:space="0" w:color="002A54" w:themeColor="text2"/>
              <w:left w:val="nil"/>
              <w:bottom w:val="single" w:sz="4" w:space="0" w:color="002A54" w:themeColor="text2"/>
              <w:right w:val="nil"/>
            </w:tcBorders>
            <w:shd w:val="clear" w:color="000000" w:fill="E6F2FF"/>
            <w:noWrap/>
            <w:vAlign w:val="center"/>
            <w:hideMark/>
          </w:tcPr>
          <w:p w14:paraId="605DD5D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5,156</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0AE0EB54"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3,227</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71B0A9A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3,045</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2169C8C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2,999</w:t>
            </w:r>
          </w:p>
        </w:tc>
      </w:tr>
    </w:tbl>
    <w:p w14:paraId="691B2335" w14:textId="2FD9FB02" w:rsidR="0050166A" w:rsidRPr="00745B53" w:rsidRDefault="0050166A" w:rsidP="0050166A">
      <w:pPr>
        <w:rPr>
          <w:lang w:val="en-US"/>
        </w:rPr>
      </w:pPr>
      <w:bookmarkStart w:id="124" w:name="_Toc99203689"/>
      <w:bookmarkStart w:id="125" w:name="_Toc117358182"/>
      <w:r w:rsidRPr="000177D7">
        <w:rPr>
          <w:lang w:val="en-US"/>
        </w:rPr>
        <w:t>Total expenses under th</w:t>
      </w:r>
      <w:r>
        <w:rPr>
          <w:lang w:val="en-US"/>
        </w:rPr>
        <w:t xml:space="preserve">e agriculture, forestry and fishing </w:t>
      </w:r>
      <w:r w:rsidRPr="000177D7">
        <w:rPr>
          <w:lang w:val="en-US"/>
        </w:rPr>
        <w:t xml:space="preserve">function </w:t>
      </w:r>
      <w:r w:rsidRPr="008C7A3D">
        <w:rPr>
          <w:lang w:val="en-US"/>
        </w:rPr>
        <w:t xml:space="preserve">are estimated to </w:t>
      </w:r>
      <w:r>
        <w:rPr>
          <w:lang w:val="en-US"/>
        </w:rPr>
        <w:t>decrease</w:t>
      </w:r>
      <w:r w:rsidRPr="008C7A3D">
        <w:rPr>
          <w:lang w:val="en-US"/>
        </w:rPr>
        <w:t xml:space="preserve"> </w:t>
      </w:r>
      <w:r w:rsidRPr="000177D7">
        <w:rPr>
          <w:rFonts w:eastAsia="Book Antiqua"/>
          <w:lang w:val="en-US"/>
        </w:rPr>
        <w:t>over the period 202</w:t>
      </w:r>
      <w:r>
        <w:rPr>
          <w:rFonts w:eastAsia="Book Antiqua"/>
          <w:lang w:val="en-US"/>
        </w:rPr>
        <w:t>3</w:t>
      </w:r>
      <w:r w:rsidR="00D25E5B">
        <w:rPr>
          <w:rFonts w:eastAsia="Book Antiqua"/>
          <w:lang w:val="en-US"/>
        </w:rPr>
        <w:t>–</w:t>
      </w:r>
      <w:r w:rsidRPr="000177D7">
        <w:rPr>
          <w:rFonts w:eastAsia="Book Antiqua"/>
          <w:lang w:val="en-US"/>
        </w:rPr>
        <w:t>2</w:t>
      </w:r>
      <w:r>
        <w:rPr>
          <w:rFonts w:eastAsia="Book Antiqua"/>
          <w:lang w:val="en-US"/>
        </w:rPr>
        <w:t>4</w:t>
      </w:r>
      <w:r w:rsidRPr="000177D7">
        <w:rPr>
          <w:rFonts w:eastAsia="Book Antiqua"/>
          <w:lang w:val="en-US"/>
        </w:rPr>
        <w:t xml:space="preserve"> to 202</w:t>
      </w:r>
      <w:r>
        <w:rPr>
          <w:rFonts w:eastAsia="Book Antiqua"/>
          <w:lang w:val="en-US"/>
        </w:rPr>
        <w:t>6</w:t>
      </w:r>
      <w:r w:rsidR="00D25E5B">
        <w:rPr>
          <w:rFonts w:eastAsia="Book Antiqua"/>
          <w:lang w:val="en-US"/>
        </w:rPr>
        <w:t>–</w:t>
      </w:r>
      <w:r w:rsidRPr="000177D7">
        <w:rPr>
          <w:rFonts w:eastAsia="Book Antiqua"/>
          <w:lang w:val="en-US"/>
        </w:rPr>
        <w:t>2</w:t>
      </w:r>
      <w:r>
        <w:rPr>
          <w:rFonts w:eastAsia="Book Antiqua"/>
          <w:lang w:val="en-US"/>
        </w:rPr>
        <w:t xml:space="preserve">7. This largely reflects </w:t>
      </w:r>
      <w:r w:rsidRPr="056A0F6C">
        <w:rPr>
          <w:lang w:val="en-US"/>
        </w:rPr>
        <w:t xml:space="preserve">the scheduled completion of water reform activities under the </w:t>
      </w:r>
      <w:r w:rsidRPr="000D4ACA">
        <w:rPr>
          <w:i/>
          <w:iCs/>
          <w:lang w:val="en-US"/>
        </w:rPr>
        <w:t>Murray</w:t>
      </w:r>
      <w:r w:rsidR="00D34B95">
        <w:rPr>
          <w:i/>
          <w:iCs/>
          <w:lang w:val="en-US"/>
        </w:rPr>
        <w:noBreakHyphen/>
      </w:r>
      <w:r w:rsidRPr="000D4ACA">
        <w:rPr>
          <w:i/>
          <w:iCs/>
          <w:lang w:val="en-US"/>
        </w:rPr>
        <w:t>Darling Basin Plan</w:t>
      </w:r>
      <w:r>
        <w:rPr>
          <w:i/>
          <w:iCs/>
          <w:lang w:val="en-US"/>
        </w:rPr>
        <w:t xml:space="preserve"> 2012 (Basin Plan) </w:t>
      </w:r>
      <w:r w:rsidRPr="056A0F6C">
        <w:rPr>
          <w:lang w:val="en-US"/>
        </w:rPr>
        <w:t>in 2023–24</w:t>
      </w:r>
      <w:r>
        <w:rPr>
          <w:lang w:val="en-US"/>
        </w:rPr>
        <w:t xml:space="preserve"> and ahead of the first statutory review of the </w:t>
      </w:r>
      <w:r>
        <w:rPr>
          <w:i/>
          <w:iCs/>
          <w:lang w:val="en-US"/>
        </w:rPr>
        <w:t xml:space="preserve">Basin Plan </w:t>
      </w:r>
      <w:r>
        <w:rPr>
          <w:lang w:val="en-US"/>
        </w:rPr>
        <w:t xml:space="preserve">by 2026 within the </w:t>
      </w:r>
      <w:r>
        <w:rPr>
          <w:b/>
          <w:bCs/>
          <w:lang w:val="en-US"/>
        </w:rPr>
        <w:t>natural</w:t>
      </w:r>
      <w:r w:rsidR="00D25E5B">
        <w:rPr>
          <w:b/>
          <w:bCs/>
          <w:lang w:val="en-US"/>
        </w:rPr>
        <w:t xml:space="preserve"> </w:t>
      </w:r>
      <w:r>
        <w:rPr>
          <w:b/>
          <w:bCs/>
          <w:lang w:val="en-US"/>
        </w:rPr>
        <w:t>resources development</w:t>
      </w:r>
      <w:r>
        <w:rPr>
          <w:lang w:val="en-US"/>
        </w:rPr>
        <w:t xml:space="preserve"> sub</w:t>
      </w:r>
      <w:r w:rsidR="00D34B95">
        <w:rPr>
          <w:lang w:val="en-US"/>
        </w:rPr>
        <w:noBreakHyphen/>
      </w:r>
      <w:r>
        <w:rPr>
          <w:lang w:val="en-US"/>
        </w:rPr>
        <w:t xml:space="preserve">function. </w:t>
      </w:r>
    </w:p>
    <w:p w14:paraId="5E7508F3" w14:textId="64E66FD4" w:rsidR="004A5EC1" w:rsidRPr="000177D7" w:rsidRDefault="0050166A" w:rsidP="0050166A">
      <w:pPr>
        <w:rPr>
          <w:lang w:val="en-US"/>
        </w:rPr>
      </w:pPr>
      <w:r w:rsidRPr="008C7A3D">
        <w:rPr>
          <w:lang w:val="en-US"/>
        </w:rPr>
        <w:t>Expenses for the</w:t>
      </w:r>
      <w:r>
        <w:rPr>
          <w:lang w:val="en-US"/>
        </w:rPr>
        <w:t xml:space="preserve"> </w:t>
      </w:r>
      <w:r w:rsidRPr="00AD1B31">
        <w:rPr>
          <w:b/>
          <w:bCs/>
          <w:lang w:val="en-US"/>
        </w:rPr>
        <w:t xml:space="preserve">rural assistance </w:t>
      </w:r>
      <w:r w:rsidRPr="00745B53">
        <w:rPr>
          <w:lang w:val="en-US"/>
        </w:rPr>
        <w:t>sub</w:t>
      </w:r>
      <w:r w:rsidR="00D34B95">
        <w:rPr>
          <w:lang w:val="en-US"/>
        </w:rPr>
        <w:noBreakHyphen/>
      </w:r>
      <w:r w:rsidRPr="00745B53">
        <w:rPr>
          <w:lang w:val="en-US"/>
        </w:rPr>
        <w:t>function</w:t>
      </w:r>
      <w:r>
        <w:rPr>
          <w:lang w:val="en-US"/>
        </w:rPr>
        <w:t xml:space="preserve"> partially offset the overall decrease in the function with an </w:t>
      </w:r>
      <w:r w:rsidRPr="0021687D">
        <w:rPr>
          <w:lang w:val="en-US"/>
        </w:rPr>
        <w:t>increase of 22.</w:t>
      </w:r>
      <w:r w:rsidR="009310E8" w:rsidRPr="0021687D">
        <w:rPr>
          <w:lang w:val="en-US"/>
        </w:rPr>
        <w:t>9</w:t>
      </w:r>
      <w:r w:rsidR="00893776">
        <w:rPr>
          <w:lang w:val="en-US"/>
        </w:rPr>
        <w:t> per </w:t>
      </w:r>
      <w:r w:rsidRPr="0021687D">
        <w:rPr>
          <w:lang w:val="en-US"/>
        </w:rPr>
        <w:t xml:space="preserve">cent in nominal </w:t>
      </w:r>
      <w:r w:rsidR="007E2B7A">
        <w:rPr>
          <w:lang w:val="en-US"/>
        </w:rPr>
        <w:t xml:space="preserve">terms </w:t>
      </w:r>
      <w:r w:rsidRPr="0021687D">
        <w:rPr>
          <w:lang w:val="en-US"/>
        </w:rPr>
        <w:t xml:space="preserve">and by </w:t>
      </w:r>
      <w:r w:rsidRPr="0021687D">
        <w:rPr>
          <w:rFonts w:eastAsia="Book Antiqua" w:cs="Book Antiqua"/>
          <w:lang w:val="en-US"/>
        </w:rPr>
        <w:t>1</w:t>
      </w:r>
      <w:r w:rsidR="009310E8" w:rsidRPr="0021687D">
        <w:rPr>
          <w:rFonts w:eastAsia="Book Antiqua" w:cs="Book Antiqua"/>
          <w:lang w:val="en-US"/>
        </w:rPr>
        <w:t>3.5</w:t>
      </w:r>
      <w:r w:rsidR="00893776">
        <w:rPr>
          <w:lang w:val="en-US"/>
        </w:rPr>
        <w:t> per </w:t>
      </w:r>
      <w:r w:rsidRPr="0021687D">
        <w:rPr>
          <w:lang w:val="en-US"/>
        </w:rPr>
        <w:t xml:space="preserve">cent in real terms over the </w:t>
      </w:r>
      <w:r w:rsidRPr="0021687D">
        <w:rPr>
          <w:rFonts w:eastAsia="Book Antiqua" w:cs="Book Antiqua"/>
          <w:lang w:val="en-US"/>
        </w:rPr>
        <w:t>period 2023</w:t>
      </w:r>
      <w:r w:rsidR="00D25E5B">
        <w:rPr>
          <w:rFonts w:eastAsia="Book Antiqua" w:cs="Book Antiqua"/>
          <w:lang w:val="en-US"/>
        </w:rPr>
        <w:t>–</w:t>
      </w:r>
      <w:r w:rsidRPr="0021687D">
        <w:rPr>
          <w:rFonts w:eastAsia="Book Antiqua" w:cs="Book Antiqua"/>
          <w:lang w:val="en-US"/>
        </w:rPr>
        <w:t>24 to 2026</w:t>
      </w:r>
      <w:r w:rsidR="00D25E5B">
        <w:rPr>
          <w:rFonts w:eastAsia="Book Antiqua" w:cs="Book Antiqua"/>
          <w:lang w:val="en-US"/>
        </w:rPr>
        <w:t>–</w:t>
      </w:r>
      <w:r w:rsidRPr="0021687D">
        <w:rPr>
          <w:rFonts w:eastAsia="Book Antiqua" w:cs="Book Antiqua"/>
          <w:lang w:val="en-US"/>
        </w:rPr>
        <w:t>27</w:t>
      </w:r>
      <w:r w:rsidR="0090041A">
        <w:rPr>
          <w:rFonts w:eastAsia="Book Antiqua" w:cs="Book Antiqua"/>
          <w:lang w:val="en-US"/>
        </w:rPr>
        <w:t>,</w:t>
      </w:r>
      <w:r w:rsidRPr="0021687D">
        <w:rPr>
          <w:rFonts w:eastAsia="Book Antiqua" w:cs="Book Antiqua"/>
          <w:lang w:val="en-US"/>
        </w:rPr>
        <w:t xml:space="preserve"> due to the timing of concessional loan discount expenses on loans issued by the Regional Investment Corporation.</w:t>
      </w:r>
      <w:r w:rsidR="004A5EC1" w:rsidRPr="056A0F6C">
        <w:rPr>
          <w:lang w:val="en-US"/>
        </w:rPr>
        <w:t xml:space="preserve"> </w:t>
      </w:r>
    </w:p>
    <w:p w14:paraId="3EE43B45" w14:textId="3D717B56" w:rsidR="00C855DF" w:rsidRPr="000177D7" w:rsidRDefault="00C855DF" w:rsidP="00C855DF">
      <w:pPr>
        <w:pStyle w:val="Heading3"/>
      </w:pPr>
      <w:bookmarkStart w:id="126" w:name="_Toc134169623"/>
      <w:r w:rsidRPr="000177D7">
        <w:t>Mining, manufacturing and construction</w:t>
      </w:r>
      <w:bookmarkEnd w:id="120"/>
      <w:bookmarkEnd w:id="121"/>
      <w:bookmarkEnd w:id="124"/>
      <w:bookmarkEnd w:id="125"/>
      <w:bookmarkEnd w:id="126"/>
      <w:r w:rsidRPr="000177D7">
        <w:t xml:space="preserve"> </w:t>
      </w:r>
    </w:p>
    <w:p w14:paraId="417F925C" w14:textId="58549C8B" w:rsidR="004A5EC1" w:rsidRPr="000177D7" w:rsidRDefault="004A5EC1" w:rsidP="004A5EC1">
      <w:bookmarkStart w:id="127" w:name="_Toc512582777"/>
      <w:bookmarkStart w:id="128" w:name="_Toc4577280"/>
      <w:bookmarkStart w:id="129" w:name="_Toc4689192"/>
      <w:r w:rsidRPr="000177D7">
        <w:t>The mining, manufacturing and construction function includes expenses for programs designed to promote the efficiency and competitiveness of Australian industries. The major components include the Research and Development Tax Incentive and industry assistance</w:t>
      </w:r>
      <w:r w:rsidR="0084759D">
        <w:t xml:space="preserve"> </w:t>
      </w:r>
      <w:r w:rsidRPr="000177D7">
        <w:t>programs</w:t>
      </w:r>
      <w:r>
        <w:t>.</w:t>
      </w:r>
    </w:p>
    <w:p w14:paraId="38028639" w14:textId="30971A55" w:rsidR="00B01968" w:rsidRDefault="00C855DF" w:rsidP="00B01968">
      <w:pPr>
        <w:pStyle w:val="TableHeading"/>
        <w:rPr>
          <w:rFonts w:asciiTheme="minorHAnsi" w:eastAsiaTheme="minorHAnsi" w:hAnsiTheme="minorHAnsi" w:cstheme="minorBidi"/>
          <w:sz w:val="22"/>
          <w:szCs w:val="22"/>
          <w:lang w:eastAsia="en-US"/>
        </w:rPr>
      </w:pPr>
      <w:r w:rsidRPr="000177D7">
        <w:t xml:space="preserve">Table 6.14: Summary of expenses </w:t>
      </w:r>
      <w:r w:rsidR="00FC3A4C">
        <w:t>–</w:t>
      </w:r>
      <w:r w:rsidRPr="000177D7">
        <w:t xml:space="preserve"> mining, manufacturing and construction</w:t>
      </w:r>
      <w:bookmarkStart w:id="130" w:name="_1727774357"/>
      <w:bookmarkEnd w:id="130"/>
    </w:p>
    <w:tbl>
      <w:tblPr>
        <w:tblW w:w="5000" w:type="pct"/>
        <w:tblCellMar>
          <w:left w:w="0" w:type="dxa"/>
          <w:right w:w="28" w:type="dxa"/>
        </w:tblCellMar>
        <w:tblLook w:val="04A0" w:firstRow="1" w:lastRow="0" w:firstColumn="1" w:lastColumn="0" w:noHBand="0" w:noVBand="1"/>
      </w:tblPr>
      <w:tblGrid>
        <w:gridCol w:w="3638"/>
        <w:gridCol w:w="816"/>
        <w:gridCol w:w="814"/>
        <w:gridCol w:w="814"/>
        <w:gridCol w:w="814"/>
        <w:gridCol w:w="814"/>
      </w:tblGrid>
      <w:tr w:rsidR="00B01968" w:rsidRPr="00B01968" w14:paraId="7DEE192C" w14:textId="77777777" w:rsidTr="000D3856">
        <w:trPr>
          <w:divId w:val="1378358129"/>
          <w:trHeight w:hRule="exact" w:val="225"/>
        </w:trPr>
        <w:tc>
          <w:tcPr>
            <w:tcW w:w="2359" w:type="pct"/>
            <w:tcBorders>
              <w:top w:val="single" w:sz="4" w:space="0" w:color="002A54" w:themeColor="text2"/>
              <w:left w:val="nil"/>
              <w:bottom w:val="nil"/>
              <w:right w:val="nil"/>
            </w:tcBorders>
            <w:shd w:val="clear" w:color="000000" w:fill="FFFFFF"/>
            <w:noWrap/>
            <w:vAlign w:val="center"/>
            <w:hideMark/>
          </w:tcPr>
          <w:p w14:paraId="68109FF6" w14:textId="735CEFB0"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Sub</w:t>
            </w:r>
            <w:r w:rsidR="00D34B95">
              <w:rPr>
                <w:rFonts w:ascii="Arial" w:hAnsi="Arial" w:cs="Arial"/>
                <w:b/>
                <w:bCs/>
                <w:color w:val="000000"/>
                <w:sz w:val="16"/>
                <w:szCs w:val="16"/>
              </w:rPr>
              <w:noBreakHyphen/>
            </w:r>
            <w:r w:rsidRPr="00B01968">
              <w:rPr>
                <w:rFonts w:ascii="Arial" w:hAnsi="Arial" w:cs="Arial"/>
                <w:b/>
                <w:bCs/>
                <w:color w:val="000000"/>
                <w:sz w:val="16"/>
                <w:szCs w:val="16"/>
              </w:rPr>
              <w:t>function</w:t>
            </w:r>
          </w:p>
        </w:tc>
        <w:tc>
          <w:tcPr>
            <w:tcW w:w="2641"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60D59CD2"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1AE35156" w14:textId="77777777" w:rsidTr="000D3856">
        <w:trPr>
          <w:divId w:val="1378358129"/>
          <w:trHeight w:hRule="exact" w:val="225"/>
        </w:trPr>
        <w:tc>
          <w:tcPr>
            <w:tcW w:w="2359" w:type="pct"/>
            <w:tcBorders>
              <w:top w:val="nil"/>
              <w:left w:val="nil"/>
              <w:bottom w:val="nil"/>
              <w:right w:val="nil"/>
            </w:tcBorders>
            <w:shd w:val="clear" w:color="000000" w:fill="FFFFFF"/>
            <w:noWrap/>
            <w:vAlign w:val="bottom"/>
            <w:hideMark/>
          </w:tcPr>
          <w:p w14:paraId="3248BAFA"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single" w:sz="4" w:space="0" w:color="002A54" w:themeColor="text2"/>
              <w:left w:val="nil"/>
              <w:bottom w:val="nil"/>
              <w:right w:val="nil"/>
            </w:tcBorders>
            <w:shd w:val="clear" w:color="000000" w:fill="FFFFFF"/>
            <w:noWrap/>
            <w:vAlign w:val="center"/>
            <w:hideMark/>
          </w:tcPr>
          <w:p w14:paraId="2B39C464"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2022–23</w:t>
            </w:r>
          </w:p>
        </w:tc>
        <w:tc>
          <w:tcPr>
            <w:tcW w:w="528" w:type="pct"/>
            <w:tcBorders>
              <w:top w:val="single" w:sz="4" w:space="0" w:color="002A54" w:themeColor="text2"/>
              <w:left w:val="nil"/>
              <w:bottom w:val="nil"/>
              <w:right w:val="nil"/>
            </w:tcBorders>
            <w:shd w:val="clear" w:color="000000" w:fill="E6F2FF"/>
            <w:noWrap/>
            <w:vAlign w:val="center"/>
            <w:hideMark/>
          </w:tcPr>
          <w:p w14:paraId="622FF350"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2023–24</w:t>
            </w:r>
          </w:p>
        </w:tc>
        <w:tc>
          <w:tcPr>
            <w:tcW w:w="528" w:type="pct"/>
            <w:tcBorders>
              <w:top w:val="single" w:sz="4" w:space="0" w:color="002A54" w:themeColor="text2"/>
              <w:left w:val="nil"/>
              <w:bottom w:val="nil"/>
              <w:right w:val="nil"/>
            </w:tcBorders>
            <w:shd w:val="clear" w:color="000000" w:fill="FFFFFF"/>
            <w:noWrap/>
            <w:vAlign w:val="center"/>
            <w:hideMark/>
          </w:tcPr>
          <w:p w14:paraId="64962CBC"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2024–25</w:t>
            </w:r>
          </w:p>
        </w:tc>
        <w:tc>
          <w:tcPr>
            <w:tcW w:w="528" w:type="pct"/>
            <w:tcBorders>
              <w:top w:val="single" w:sz="4" w:space="0" w:color="002A54" w:themeColor="text2"/>
              <w:left w:val="nil"/>
              <w:bottom w:val="nil"/>
              <w:right w:val="nil"/>
            </w:tcBorders>
            <w:shd w:val="clear" w:color="000000" w:fill="FFFFFF"/>
            <w:noWrap/>
            <w:vAlign w:val="center"/>
            <w:hideMark/>
          </w:tcPr>
          <w:p w14:paraId="703F1EFB" w14:textId="77777777"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2025–26</w:t>
            </w:r>
          </w:p>
        </w:tc>
        <w:tc>
          <w:tcPr>
            <w:tcW w:w="528" w:type="pct"/>
            <w:tcBorders>
              <w:top w:val="single" w:sz="4" w:space="0" w:color="002A54" w:themeColor="text2"/>
              <w:left w:val="nil"/>
              <w:bottom w:val="nil"/>
              <w:right w:val="nil"/>
            </w:tcBorders>
            <w:shd w:val="clear" w:color="000000" w:fill="FFFFFF"/>
            <w:noWrap/>
            <w:vAlign w:val="center"/>
            <w:hideMark/>
          </w:tcPr>
          <w:p w14:paraId="40947899"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2026–27</w:t>
            </w:r>
          </w:p>
        </w:tc>
      </w:tr>
      <w:tr w:rsidR="00B01968" w:rsidRPr="00B01968" w14:paraId="1B8C1777" w14:textId="77777777" w:rsidTr="000D3856">
        <w:trPr>
          <w:divId w:val="1378358129"/>
          <w:trHeight w:hRule="exact" w:val="225"/>
        </w:trPr>
        <w:tc>
          <w:tcPr>
            <w:tcW w:w="2359" w:type="pct"/>
            <w:tcBorders>
              <w:top w:val="nil"/>
              <w:left w:val="nil"/>
              <w:bottom w:val="nil"/>
              <w:right w:val="nil"/>
            </w:tcBorders>
            <w:shd w:val="clear" w:color="000000" w:fill="FFFFFF"/>
            <w:noWrap/>
            <w:vAlign w:val="center"/>
            <w:hideMark/>
          </w:tcPr>
          <w:p w14:paraId="1DB41C39"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9" w:type="pct"/>
            <w:tcBorders>
              <w:top w:val="nil"/>
              <w:left w:val="nil"/>
              <w:bottom w:val="single" w:sz="4" w:space="0" w:color="002A54" w:themeColor="text2"/>
              <w:right w:val="nil"/>
            </w:tcBorders>
            <w:shd w:val="clear" w:color="000000" w:fill="FFFFFF"/>
            <w:noWrap/>
            <w:vAlign w:val="center"/>
            <w:hideMark/>
          </w:tcPr>
          <w:p w14:paraId="21AB713A"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E6F2FF"/>
            <w:noWrap/>
            <w:vAlign w:val="center"/>
            <w:hideMark/>
          </w:tcPr>
          <w:p w14:paraId="4923929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74BB807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583D799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28" w:type="pct"/>
            <w:tcBorders>
              <w:top w:val="nil"/>
              <w:left w:val="nil"/>
              <w:bottom w:val="single" w:sz="4" w:space="0" w:color="002A54" w:themeColor="text2"/>
              <w:right w:val="nil"/>
            </w:tcBorders>
            <w:shd w:val="clear" w:color="000000" w:fill="FFFFFF"/>
            <w:noWrap/>
            <w:vAlign w:val="center"/>
            <w:hideMark/>
          </w:tcPr>
          <w:p w14:paraId="496DFCE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61B00118" w14:textId="77777777" w:rsidTr="000D3856">
        <w:trPr>
          <w:divId w:val="1378358129"/>
          <w:trHeight w:hRule="exact" w:val="225"/>
        </w:trPr>
        <w:tc>
          <w:tcPr>
            <w:tcW w:w="2359" w:type="pct"/>
            <w:tcBorders>
              <w:top w:val="nil"/>
              <w:left w:val="nil"/>
              <w:bottom w:val="nil"/>
              <w:right w:val="nil"/>
            </w:tcBorders>
            <w:shd w:val="clear" w:color="000000" w:fill="FFFFFF"/>
            <w:noWrap/>
            <w:vAlign w:val="center"/>
            <w:hideMark/>
          </w:tcPr>
          <w:p w14:paraId="686CF922"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Mining, manufacturing and construction</w:t>
            </w:r>
          </w:p>
        </w:tc>
        <w:tc>
          <w:tcPr>
            <w:tcW w:w="529" w:type="pct"/>
            <w:tcBorders>
              <w:top w:val="single" w:sz="4" w:space="0" w:color="002A54" w:themeColor="text2"/>
              <w:left w:val="nil"/>
              <w:bottom w:val="single" w:sz="4" w:space="0" w:color="002A54" w:themeColor="text2"/>
              <w:right w:val="nil"/>
            </w:tcBorders>
            <w:shd w:val="clear" w:color="000000" w:fill="FFFFFF"/>
            <w:noWrap/>
            <w:vAlign w:val="center"/>
            <w:hideMark/>
          </w:tcPr>
          <w:p w14:paraId="379E837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4,905</w:t>
            </w:r>
          </w:p>
        </w:tc>
        <w:tc>
          <w:tcPr>
            <w:tcW w:w="528" w:type="pct"/>
            <w:tcBorders>
              <w:top w:val="single" w:sz="4" w:space="0" w:color="002A54" w:themeColor="text2"/>
              <w:left w:val="nil"/>
              <w:bottom w:val="single" w:sz="4" w:space="0" w:color="002A54" w:themeColor="text2"/>
              <w:right w:val="nil"/>
            </w:tcBorders>
            <w:shd w:val="clear" w:color="000000" w:fill="E6F2FF"/>
            <w:noWrap/>
            <w:vAlign w:val="center"/>
            <w:hideMark/>
          </w:tcPr>
          <w:p w14:paraId="572543B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5,022</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4BA3B02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4,696</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61A8A40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4,418</w:t>
            </w:r>
          </w:p>
        </w:tc>
        <w:tc>
          <w:tcPr>
            <w:tcW w:w="528" w:type="pct"/>
            <w:tcBorders>
              <w:top w:val="single" w:sz="4" w:space="0" w:color="002A54" w:themeColor="text2"/>
              <w:left w:val="nil"/>
              <w:bottom w:val="single" w:sz="4" w:space="0" w:color="002A54" w:themeColor="text2"/>
              <w:right w:val="nil"/>
            </w:tcBorders>
            <w:shd w:val="clear" w:color="000000" w:fill="FFFFFF"/>
            <w:noWrap/>
            <w:vAlign w:val="center"/>
            <w:hideMark/>
          </w:tcPr>
          <w:p w14:paraId="1DA86ED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4,444</w:t>
            </w:r>
          </w:p>
        </w:tc>
      </w:tr>
      <w:tr w:rsidR="00B01968" w:rsidRPr="00B01968" w14:paraId="2721ABC1" w14:textId="77777777" w:rsidTr="000D3856">
        <w:trPr>
          <w:divId w:val="1378358129"/>
          <w:trHeight w:hRule="exact" w:val="225"/>
        </w:trPr>
        <w:tc>
          <w:tcPr>
            <w:tcW w:w="2359" w:type="pct"/>
            <w:tcBorders>
              <w:top w:val="nil"/>
              <w:left w:val="nil"/>
              <w:right w:val="nil"/>
            </w:tcBorders>
            <w:shd w:val="clear" w:color="000000" w:fill="FFFFFF"/>
            <w:noWrap/>
            <w:vAlign w:val="center"/>
            <w:hideMark/>
          </w:tcPr>
          <w:p w14:paraId="3826E643"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 xml:space="preserve">Total mining, manufacturing </w:t>
            </w:r>
          </w:p>
        </w:tc>
        <w:tc>
          <w:tcPr>
            <w:tcW w:w="529" w:type="pct"/>
            <w:tcBorders>
              <w:top w:val="single" w:sz="4" w:space="0" w:color="002A54" w:themeColor="text2"/>
              <w:left w:val="nil"/>
              <w:right w:val="nil"/>
            </w:tcBorders>
            <w:shd w:val="clear" w:color="000000" w:fill="FFFFFF"/>
            <w:noWrap/>
            <w:vAlign w:val="center"/>
            <w:hideMark/>
          </w:tcPr>
          <w:p w14:paraId="475C6B6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single" w:sz="4" w:space="0" w:color="002A54" w:themeColor="text2"/>
              <w:left w:val="nil"/>
              <w:right w:val="nil"/>
            </w:tcBorders>
            <w:shd w:val="clear" w:color="000000" w:fill="E6F2FF"/>
            <w:noWrap/>
            <w:vAlign w:val="center"/>
            <w:hideMark/>
          </w:tcPr>
          <w:p w14:paraId="3F926C06"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single" w:sz="4" w:space="0" w:color="002A54" w:themeColor="text2"/>
              <w:left w:val="nil"/>
              <w:right w:val="nil"/>
            </w:tcBorders>
            <w:shd w:val="clear" w:color="000000" w:fill="FFFFFF"/>
            <w:noWrap/>
            <w:vAlign w:val="center"/>
            <w:hideMark/>
          </w:tcPr>
          <w:p w14:paraId="6F46EED4"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single" w:sz="4" w:space="0" w:color="002A54" w:themeColor="text2"/>
              <w:left w:val="nil"/>
              <w:right w:val="nil"/>
            </w:tcBorders>
            <w:shd w:val="clear" w:color="000000" w:fill="FFFFFF"/>
            <w:noWrap/>
            <w:vAlign w:val="center"/>
            <w:hideMark/>
          </w:tcPr>
          <w:p w14:paraId="0F45344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28" w:type="pct"/>
            <w:tcBorders>
              <w:top w:val="single" w:sz="4" w:space="0" w:color="002A54" w:themeColor="text2"/>
              <w:left w:val="nil"/>
              <w:right w:val="nil"/>
            </w:tcBorders>
            <w:shd w:val="clear" w:color="000000" w:fill="FFFFFF"/>
            <w:noWrap/>
            <w:vAlign w:val="center"/>
            <w:hideMark/>
          </w:tcPr>
          <w:p w14:paraId="6CF25131"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4B8782B6" w14:textId="77777777" w:rsidTr="000D3856">
        <w:trPr>
          <w:divId w:val="1378358129"/>
          <w:trHeight w:hRule="exact" w:val="225"/>
        </w:trPr>
        <w:tc>
          <w:tcPr>
            <w:tcW w:w="2359" w:type="pct"/>
            <w:tcBorders>
              <w:top w:val="nil"/>
              <w:left w:val="nil"/>
              <w:bottom w:val="single" w:sz="4" w:space="0" w:color="002A54" w:themeColor="text2"/>
              <w:right w:val="nil"/>
            </w:tcBorders>
            <w:shd w:val="clear" w:color="000000" w:fill="FFFFFF"/>
            <w:noWrap/>
            <w:vAlign w:val="center"/>
            <w:hideMark/>
          </w:tcPr>
          <w:p w14:paraId="51C6D4C4" w14:textId="77777777" w:rsidR="00B01968" w:rsidRPr="00B01968" w:rsidRDefault="00B01968" w:rsidP="00B01968">
            <w:pPr>
              <w:spacing w:before="0" w:after="0" w:line="240" w:lineRule="auto"/>
              <w:ind w:left="170"/>
              <w:rPr>
                <w:rFonts w:ascii="Arial" w:hAnsi="Arial" w:cs="Arial"/>
                <w:b/>
                <w:bCs/>
                <w:color w:val="000000"/>
                <w:sz w:val="16"/>
                <w:szCs w:val="16"/>
              </w:rPr>
            </w:pPr>
            <w:r w:rsidRPr="00B01968">
              <w:rPr>
                <w:rFonts w:ascii="Arial" w:hAnsi="Arial" w:cs="Arial"/>
                <w:b/>
                <w:bCs/>
                <w:color w:val="000000"/>
                <w:sz w:val="16"/>
                <w:szCs w:val="16"/>
              </w:rPr>
              <w:t>and construction</w:t>
            </w:r>
          </w:p>
        </w:tc>
        <w:tc>
          <w:tcPr>
            <w:tcW w:w="529" w:type="pct"/>
            <w:tcBorders>
              <w:top w:val="nil"/>
              <w:left w:val="nil"/>
              <w:bottom w:val="single" w:sz="4" w:space="0" w:color="002A54" w:themeColor="text2"/>
              <w:right w:val="nil"/>
            </w:tcBorders>
            <w:shd w:val="clear" w:color="000000" w:fill="FFFFFF"/>
            <w:noWrap/>
            <w:vAlign w:val="center"/>
            <w:hideMark/>
          </w:tcPr>
          <w:p w14:paraId="53DD523F"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4,905</w:t>
            </w:r>
          </w:p>
        </w:tc>
        <w:tc>
          <w:tcPr>
            <w:tcW w:w="528" w:type="pct"/>
            <w:tcBorders>
              <w:top w:val="nil"/>
              <w:left w:val="nil"/>
              <w:bottom w:val="single" w:sz="4" w:space="0" w:color="002A54" w:themeColor="text2"/>
              <w:right w:val="nil"/>
            </w:tcBorders>
            <w:shd w:val="clear" w:color="000000" w:fill="E6F2FF"/>
            <w:noWrap/>
            <w:vAlign w:val="center"/>
            <w:hideMark/>
          </w:tcPr>
          <w:p w14:paraId="6CA91C11"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5,022</w:t>
            </w:r>
          </w:p>
        </w:tc>
        <w:tc>
          <w:tcPr>
            <w:tcW w:w="528" w:type="pct"/>
            <w:tcBorders>
              <w:top w:val="nil"/>
              <w:left w:val="nil"/>
              <w:bottom w:val="single" w:sz="4" w:space="0" w:color="002A54" w:themeColor="text2"/>
              <w:right w:val="nil"/>
            </w:tcBorders>
            <w:shd w:val="clear" w:color="000000" w:fill="FFFFFF"/>
            <w:noWrap/>
            <w:vAlign w:val="center"/>
            <w:hideMark/>
          </w:tcPr>
          <w:p w14:paraId="2EA6A89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4,696</w:t>
            </w:r>
          </w:p>
        </w:tc>
        <w:tc>
          <w:tcPr>
            <w:tcW w:w="528" w:type="pct"/>
            <w:tcBorders>
              <w:top w:val="nil"/>
              <w:left w:val="nil"/>
              <w:bottom w:val="single" w:sz="4" w:space="0" w:color="002A54" w:themeColor="text2"/>
              <w:right w:val="nil"/>
            </w:tcBorders>
            <w:shd w:val="clear" w:color="000000" w:fill="FFFFFF"/>
            <w:noWrap/>
            <w:vAlign w:val="center"/>
            <w:hideMark/>
          </w:tcPr>
          <w:p w14:paraId="4A9DAE33"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4,418</w:t>
            </w:r>
          </w:p>
        </w:tc>
        <w:tc>
          <w:tcPr>
            <w:tcW w:w="528" w:type="pct"/>
            <w:tcBorders>
              <w:top w:val="nil"/>
              <w:left w:val="nil"/>
              <w:bottom w:val="single" w:sz="4" w:space="0" w:color="002A54" w:themeColor="text2"/>
              <w:right w:val="nil"/>
            </w:tcBorders>
            <w:shd w:val="clear" w:color="000000" w:fill="FFFFFF"/>
            <w:noWrap/>
            <w:vAlign w:val="center"/>
            <w:hideMark/>
          </w:tcPr>
          <w:p w14:paraId="1E30A71B"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4,444</w:t>
            </w:r>
          </w:p>
        </w:tc>
      </w:tr>
    </w:tbl>
    <w:p w14:paraId="66EF9C24" w14:textId="559AD981" w:rsidR="00A32E2C" w:rsidRDefault="0050166A" w:rsidP="0050166A">
      <w:pPr>
        <w:rPr>
          <w:lang w:val="en-US"/>
        </w:rPr>
      </w:pPr>
      <w:r w:rsidRPr="000177D7">
        <w:lastRenderedPageBreak/>
        <w:t xml:space="preserve">Total </w:t>
      </w:r>
      <w:r w:rsidRPr="0021687D">
        <w:t xml:space="preserve">expenses under the mining, manufacturing and construction function are expected to </w:t>
      </w:r>
      <w:r w:rsidRPr="0021687D">
        <w:rPr>
          <w:lang w:val="en-US"/>
        </w:rPr>
        <w:t>decrease by 11.5</w:t>
      </w:r>
      <w:r w:rsidR="00893776">
        <w:rPr>
          <w:lang w:val="en-US"/>
        </w:rPr>
        <w:t> per </w:t>
      </w:r>
      <w:r w:rsidRPr="0021687D">
        <w:rPr>
          <w:lang w:val="en-US"/>
        </w:rPr>
        <w:t>cent in nominal terms and by 18.</w:t>
      </w:r>
      <w:r w:rsidR="001C552D" w:rsidRPr="0021687D">
        <w:rPr>
          <w:lang w:val="en-US"/>
        </w:rPr>
        <w:t>3</w:t>
      </w:r>
      <w:r w:rsidR="00893776">
        <w:rPr>
          <w:lang w:val="en-US"/>
        </w:rPr>
        <w:t> per </w:t>
      </w:r>
      <w:r w:rsidRPr="0021687D">
        <w:rPr>
          <w:lang w:val="en-US"/>
        </w:rPr>
        <w:t>cent in real terms over the period 2023</w:t>
      </w:r>
      <w:r w:rsidR="00D25E5B">
        <w:rPr>
          <w:lang w:val="en-US"/>
        </w:rPr>
        <w:t>–</w:t>
      </w:r>
      <w:r w:rsidRPr="0021687D">
        <w:rPr>
          <w:lang w:val="en-US"/>
        </w:rPr>
        <w:t>24 to 2026</w:t>
      </w:r>
      <w:r w:rsidR="00D25E5B">
        <w:rPr>
          <w:lang w:val="en-US"/>
        </w:rPr>
        <w:t>–</w:t>
      </w:r>
      <w:r>
        <w:rPr>
          <w:lang w:val="en-US"/>
        </w:rPr>
        <w:t>27.</w:t>
      </w:r>
    </w:p>
    <w:p w14:paraId="1145F137" w14:textId="2B32D59A" w:rsidR="0050166A" w:rsidRPr="000177D7" w:rsidRDefault="0050166A" w:rsidP="0050166A">
      <w:pPr>
        <w:rPr>
          <w:rFonts w:ascii="Calibri" w:hAnsi="Calibri"/>
        </w:rPr>
      </w:pPr>
      <w:r w:rsidRPr="000177D7">
        <w:t>Expenses for the Research and Development Tax Incentive administered by the Australian</w:t>
      </w:r>
      <w:r w:rsidR="00B12546">
        <w:t xml:space="preserve"> </w:t>
      </w:r>
      <w:r w:rsidRPr="000177D7">
        <w:t xml:space="preserve">Taxation Office are expected to </w:t>
      </w:r>
      <w:r>
        <w:rPr>
          <w:lang w:val="en-US"/>
        </w:rPr>
        <w:t>increase over the period 2023</w:t>
      </w:r>
      <w:r w:rsidR="00D25E5B">
        <w:rPr>
          <w:lang w:val="en-US"/>
        </w:rPr>
        <w:t>–</w:t>
      </w:r>
      <w:r>
        <w:rPr>
          <w:lang w:val="en-US"/>
        </w:rPr>
        <w:t>24 to 2026</w:t>
      </w:r>
      <w:r w:rsidR="00D25E5B">
        <w:rPr>
          <w:lang w:val="en-US"/>
        </w:rPr>
        <w:t>–</w:t>
      </w:r>
      <w:r>
        <w:rPr>
          <w:lang w:val="en-US"/>
        </w:rPr>
        <w:t>27 due to the increases in number and value of expected claims following the reopening of international markets post COVID</w:t>
      </w:r>
      <w:r w:rsidR="00D34B95">
        <w:rPr>
          <w:lang w:val="en-US"/>
        </w:rPr>
        <w:noBreakHyphen/>
      </w:r>
      <w:r>
        <w:rPr>
          <w:lang w:val="en-US"/>
        </w:rPr>
        <w:t>19.</w:t>
      </w:r>
    </w:p>
    <w:p w14:paraId="4343802E" w14:textId="05226EFD" w:rsidR="0050166A" w:rsidRPr="000177D7" w:rsidRDefault="0050166A" w:rsidP="0050166A">
      <w:r w:rsidRPr="00BA3A03">
        <w:t xml:space="preserve">Expenses under the Growing Business Investment component are </w:t>
      </w:r>
      <w:r w:rsidRPr="00BA3A03">
        <w:rPr>
          <w:lang w:val="en-US"/>
        </w:rPr>
        <w:t>e</w:t>
      </w:r>
      <w:r>
        <w:rPr>
          <w:lang w:val="en-US"/>
        </w:rPr>
        <w:t xml:space="preserve">xpected </w:t>
      </w:r>
      <w:r w:rsidRPr="00BA3A03">
        <w:rPr>
          <w:lang w:val="en-US"/>
        </w:rPr>
        <w:t>to decrease</w:t>
      </w:r>
      <w:r>
        <w:rPr>
          <w:lang w:val="en-US"/>
        </w:rPr>
        <w:t xml:space="preserve"> </w:t>
      </w:r>
      <w:r w:rsidRPr="00BA3A03">
        <w:rPr>
          <w:lang w:val="en-US"/>
        </w:rPr>
        <w:t>over the period 2023</w:t>
      </w:r>
      <w:r w:rsidR="00D25E5B">
        <w:rPr>
          <w:lang w:val="en-US"/>
        </w:rPr>
        <w:t>–</w:t>
      </w:r>
      <w:r w:rsidRPr="00BA3A03">
        <w:rPr>
          <w:lang w:val="en-US"/>
        </w:rPr>
        <w:t>24 to 2026</w:t>
      </w:r>
      <w:r w:rsidR="00D25E5B">
        <w:rPr>
          <w:lang w:val="en-US"/>
        </w:rPr>
        <w:t>–</w:t>
      </w:r>
      <w:r w:rsidRPr="00BA3A03">
        <w:rPr>
          <w:lang w:val="en-US"/>
        </w:rPr>
        <w:t>27</w:t>
      </w:r>
      <w:r>
        <w:rPr>
          <w:lang w:val="en-US"/>
        </w:rPr>
        <w:t>, reflecting</w:t>
      </w:r>
      <w:r w:rsidRPr="00BA3A03">
        <w:t xml:space="preserve"> the funding profile of the Modern Manufacturing Initiative and other industry support programs, including reductions in funding for the Ent</w:t>
      </w:r>
      <w:r w:rsidRPr="0021687D">
        <w:t>repreneurs</w:t>
      </w:r>
      <w:r w:rsidR="00D34B95">
        <w:t>’</w:t>
      </w:r>
      <w:r w:rsidRPr="0021687D">
        <w:t xml:space="preserve"> Program and the reprioritisation of funding for the Manufacturing Modernisation Fund to support other measures, including the 2023</w:t>
      </w:r>
      <w:r w:rsidR="00D25E5B">
        <w:t>–</w:t>
      </w:r>
      <w:r w:rsidRPr="0021687D">
        <w:t>24</w:t>
      </w:r>
      <w:r w:rsidR="00A4172D">
        <w:t xml:space="preserve"> </w:t>
      </w:r>
      <w:r w:rsidRPr="0021687D">
        <w:t xml:space="preserve">Budget measure </w:t>
      </w:r>
      <w:r w:rsidR="0021687D" w:rsidRPr="0021687D">
        <w:rPr>
          <w:i/>
          <w:iCs/>
        </w:rPr>
        <w:t>Enhanced</w:t>
      </w:r>
      <w:r w:rsidR="00851408">
        <w:rPr>
          <w:i/>
          <w:iCs/>
        </w:rPr>
        <w:t> </w:t>
      </w:r>
      <w:r w:rsidR="0021687D" w:rsidRPr="0021687D">
        <w:rPr>
          <w:i/>
          <w:iCs/>
        </w:rPr>
        <w:t>Support</w:t>
      </w:r>
      <w:r w:rsidR="00851408">
        <w:rPr>
          <w:i/>
          <w:iCs/>
        </w:rPr>
        <w:t> </w:t>
      </w:r>
      <w:r w:rsidR="0021687D" w:rsidRPr="0021687D">
        <w:rPr>
          <w:i/>
          <w:iCs/>
        </w:rPr>
        <w:t>for</w:t>
      </w:r>
      <w:r w:rsidR="00851408">
        <w:rPr>
          <w:i/>
          <w:iCs/>
        </w:rPr>
        <w:t> </w:t>
      </w:r>
      <w:r w:rsidR="0021687D" w:rsidRPr="0021687D">
        <w:rPr>
          <w:i/>
          <w:iCs/>
        </w:rPr>
        <w:t>Small</w:t>
      </w:r>
      <w:r w:rsidR="00851408">
        <w:rPr>
          <w:i/>
          <w:iCs/>
        </w:rPr>
        <w:t> </w:t>
      </w:r>
      <w:r w:rsidR="0021687D" w:rsidRPr="0021687D">
        <w:rPr>
          <w:i/>
          <w:iCs/>
        </w:rPr>
        <w:t>and</w:t>
      </w:r>
      <w:r w:rsidR="00851408">
        <w:rPr>
          <w:i/>
          <w:iCs/>
        </w:rPr>
        <w:t> </w:t>
      </w:r>
      <w:r w:rsidR="0021687D" w:rsidRPr="0021687D">
        <w:rPr>
          <w:i/>
          <w:iCs/>
        </w:rPr>
        <w:t>Medium</w:t>
      </w:r>
      <w:r w:rsidR="00851408">
        <w:rPr>
          <w:i/>
          <w:iCs/>
        </w:rPr>
        <w:t> </w:t>
      </w:r>
      <w:r w:rsidR="0021687D" w:rsidRPr="0021687D">
        <w:rPr>
          <w:i/>
          <w:iCs/>
        </w:rPr>
        <w:t>sized</w:t>
      </w:r>
      <w:r w:rsidR="00851408">
        <w:rPr>
          <w:i/>
          <w:iCs/>
        </w:rPr>
        <w:t> </w:t>
      </w:r>
      <w:r w:rsidR="0021687D" w:rsidRPr="0021687D">
        <w:rPr>
          <w:i/>
          <w:iCs/>
        </w:rPr>
        <w:t>Businesses</w:t>
      </w:r>
      <w:r w:rsidR="00851408">
        <w:rPr>
          <w:i/>
          <w:iCs/>
        </w:rPr>
        <w:t> </w:t>
      </w:r>
      <w:r w:rsidR="0021687D" w:rsidRPr="0021687D">
        <w:rPr>
          <w:i/>
          <w:iCs/>
        </w:rPr>
        <w:t>and</w:t>
      </w:r>
      <w:r w:rsidR="004E5180">
        <w:rPr>
          <w:i/>
          <w:iCs/>
        </w:rPr>
        <w:t> </w:t>
      </w:r>
      <w:r w:rsidR="0021687D" w:rsidRPr="0021687D">
        <w:rPr>
          <w:i/>
          <w:iCs/>
        </w:rPr>
        <w:t>Startups.</w:t>
      </w:r>
    </w:p>
    <w:p w14:paraId="0F993D34" w14:textId="0F43F992" w:rsidR="0050166A" w:rsidRPr="000177D7" w:rsidRDefault="0050166A" w:rsidP="0050166A">
      <w:r w:rsidRPr="000177D7">
        <w:t xml:space="preserve">The Northern Australia Infrastructure Facility offers debt and equity finance to projects that contribute to the establishment or enhancement of economic activity in northern Australia. Expenses are </w:t>
      </w:r>
      <w:r>
        <w:rPr>
          <w:lang w:val="en-US"/>
        </w:rPr>
        <w:t>expected to decrease over the period 2023</w:t>
      </w:r>
      <w:r w:rsidR="00D25E5B">
        <w:rPr>
          <w:lang w:val="en-US"/>
        </w:rPr>
        <w:t>–</w:t>
      </w:r>
      <w:r>
        <w:rPr>
          <w:lang w:val="en-US"/>
        </w:rPr>
        <w:t>24 to 2026</w:t>
      </w:r>
      <w:r w:rsidR="00D25E5B">
        <w:rPr>
          <w:lang w:val="en-US"/>
        </w:rPr>
        <w:t>–</w:t>
      </w:r>
      <w:r>
        <w:rPr>
          <w:lang w:val="en-US"/>
        </w:rPr>
        <w:t xml:space="preserve">27, </w:t>
      </w:r>
      <w:r w:rsidRPr="000177D7">
        <w:t>due to changes in concessional loan discount expenses associated with the expected commitment of concessional loans across the forward estimates.</w:t>
      </w:r>
    </w:p>
    <w:p w14:paraId="6DC81CF4" w14:textId="5711EC0D" w:rsidR="004A5EC1" w:rsidRDefault="0050166A" w:rsidP="0050166A">
      <w:r w:rsidRPr="000177D7">
        <w:t xml:space="preserve">Table 6.14.1 sets out the major components of the </w:t>
      </w:r>
      <w:r w:rsidRPr="000177D7">
        <w:rPr>
          <w:b/>
        </w:rPr>
        <w:t>mining, manufacturing and construction</w:t>
      </w:r>
      <w:r w:rsidRPr="000177D7">
        <w:t xml:space="preserve"> sub</w:t>
      </w:r>
      <w:r w:rsidR="00D34B95">
        <w:noBreakHyphen/>
      </w:r>
      <w:r w:rsidRPr="000177D7">
        <w:t>function.</w:t>
      </w:r>
    </w:p>
    <w:p w14:paraId="660D3BC1" w14:textId="665B3F5E" w:rsidR="00B01968" w:rsidRDefault="00C855DF" w:rsidP="00B01968">
      <w:pPr>
        <w:pStyle w:val="TableHeading"/>
        <w:rPr>
          <w:rFonts w:asciiTheme="minorHAnsi" w:eastAsiaTheme="minorHAnsi" w:hAnsiTheme="minorHAnsi" w:cstheme="minorBidi"/>
          <w:sz w:val="22"/>
          <w:szCs w:val="22"/>
          <w:lang w:eastAsia="en-US"/>
        </w:rPr>
      </w:pPr>
      <w:r w:rsidRPr="000177D7">
        <w:t>Table 6.14.1: Trends in the major components of mining, manufacturing and construction sub</w:t>
      </w:r>
      <w:r w:rsidR="00D34B95">
        <w:noBreakHyphen/>
      </w:r>
      <w:r w:rsidRPr="000177D7">
        <w:t>function expense</w:t>
      </w:r>
      <w:bookmarkStart w:id="131" w:name="_1727953909"/>
      <w:bookmarkStart w:id="132" w:name="_1727955086"/>
      <w:bookmarkEnd w:id="131"/>
      <w:bookmarkEnd w:id="132"/>
    </w:p>
    <w:tbl>
      <w:tblPr>
        <w:tblW w:w="5000" w:type="pct"/>
        <w:tblCellMar>
          <w:left w:w="0" w:type="dxa"/>
          <w:right w:w="28" w:type="dxa"/>
        </w:tblCellMar>
        <w:tblLook w:val="04A0" w:firstRow="1" w:lastRow="0" w:firstColumn="1" w:lastColumn="0" w:noHBand="0" w:noVBand="1"/>
      </w:tblPr>
      <w:tblGrid>
        <w:gridCol w:w="3148"/>
        <w:gridCol w:w="913"/>
        <w:gridCol w:w="913"/>
        <w:gridCol w:w="913"/>
        <w:gridCol w:w="913"/>
        <w:gridCol w:w="910"/>
      </w:tblGrid>
      <w:tr w:rsidR="00B01968" w:rsidRPr="00B01968" w14:paraId="314EE8AD" w14:textId="77777777" w:rsidTr="000D3856">
        <w:trPr>
          <w:divId w:val="419912472"/>
          <w:trHeight w:hRule="exact" w:val="225"/>
        </w:trPr>
        <w:tc>
          <w:tcPr>
            <w:tcW w:w="2042" w:type="pct"/>
            <w:tcBorders>
              <w:top w:val="single" w:sz="4" w:space="0" w:color="002A54" w:themeColor="text2"/>
              <w:left w:val="nil"/>
              <w:bottom w:val="nil"/>
              <w:right w:val="nil"/>
            </w:tcBorders>
            <w:shd w:val="clear" w:color="000000" w:fill="FFFFFF"/>
            <w:noWrap/>
            <w:vAlign w:val="center"/>
            <w:hideMark/>
          </w:tcPr>
          <w:p w14:paraId="42E5092E" w14:textId="695E69C9"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Component(a)</w:t>
            </w:r>
          </w:p>
        </w:tc>
        <w:tc>
          <w:tcPr>
            <w:tcW w:w="2958"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679DF1B7" w14:textId="77777777" w:rsidR="00B01968" w:rsidRPr="00B01968" w:rsidRDefault="00B01968" w:rsidP="00B01968">
            <w:pPr>
              <w:spacing w:before="0" w:after="0" w:line="240" w:lineRule="auto"/>
              <w:jc w:val="center"/>
              <w:rPr>
                <w:rFonts w:ascii="Arial" w:hAnsi="Arial" w:cs="Arial"/>
                <w:color w:val="000000"/>
                <w:sz w:val="16"/>
                <w:szCs w:val="16"/>
              </w:rPr>
            </w:pPr>
            <w:r w:rsidRPr="00B01968">
              <w:rPr>
                <w:rFonts w:ascii="Arial" w:hAnsi="Arial" w:cs="Arial"/>
                <w:color w:val="000000"/>
                <w:sz w:val="16"/>
                <w:szCs w:val="16"/>
              </w:rPr>
              <w:t>Estimates</w:t>
            </w:r>
          </w:p>
        </w:tc>
      </w:tr>
      <w:tr w:rsidR="00B01968" w:rsidRPr="00B01968" w14:paraId="1411545F" w14:textId="77777777" w:rsidTr="000D3856">
        <w:trPr>
          <w:divId w:val="419912472"/>
          <w:trHeight w:hRule="exact" w:val="225"/>
        </w:trPr>
        <w:tc>
          <w:tcPr>
            <w:tcW w:w="2042" w:type="pct"/>
            <w:tcBorders>
              <w:top w:val="nil"/>
              <w:left w:val="nil"/>
              <w:bottom w:val="nil"/>
              <w:right w:val="nil"/>
            </w:tcBorders>
            <w:shd w:val="clear" w:color="000000" w:fill="FFFFFF"/>
            <w:noWrap/>
            <w:vAlign w:val="bottom"/>
            <w:hideMark/>
          </w:tcPr>
          <w:p w14:paraId="3B40FD9B"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2" w:type="pct"/>
            <w:tcBorders>
              <w:top w:val="single" w:sz="4" w:space="0" w:color="002A54" w:themeColor="text2"/>
              <w:left w:val="nil"/>
              <w:right w:val="nil"/>
            </w:tcBorders>
            <w:shd w:val="clear" w:color="000000" w:fill="FFFFFF"/>
            <w:noWrap/>
            <w:vAlign w:val="center"/>
            <w:hideMark/>
          </w:tcPr>
          <w:p w14:paraId="474DE518" w14:textId="0C31EF3D"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2022</w:t>
            </w:r>
            <w:r w:rsidR="00D25E5B">
              <w:rPr>
                <w:rFonts w:ascii="Arial" w:hAnsi="Arial" w:cs="Arial"/>
                <w:sz w:val="16"/>
                <w:szCs w:val="16"/>
              </w:rPr>
              <w:t>–</w:t>
            </w:r>
            <w:r w:rsidRPr="00B01968">
              <w:rPr>
                <w:rFonts w:ascii="Arial" w:hAnsi="Arial" w:cs="Arial"/>
                <w:sz w:val="16"/>
                <w:szCs w:val="16"/>
              </w:rPr>
              <w:t>23</w:t>
            </w:r>
          </w:p>
        </w:tc>
        <w:tc>
          <w:tcPr>
            <w:tcW w:w="592" w:type="pct"/>
            <w:tcBorders>
              <w:top w:val="single" w:sz="4" w:space="0" w:color="002A54" w:themeColor="text2"/>
              <w:left w:val="nil"/>
              <w:right w:val="nil"/>
            </w:tcBorders>
            <w:shd w:val="clear" w:color="000000" w:fill="E6F2FF"/>
            <w:noWrap/>
            <w:vAlign w:val="center"/>
            <w:hideMark/>
          </w:tcPr>
          <w:p w14:paraId="125AB5FE" w14:textId="72D3D34E"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2023</w:t>
            </w:r>
            <w:r w:rsidR="00D25E5B">
              <w:rPr>
                <w:rFonts w:ascii="Arial" w:hAnsi="Arial" w:cs="Arial"/>
                <w:sz w:val="16"/>
                <w:szCs w:val="16"/>
              </w:rPr>
              <w:t>–</w:t>
            </w:r>
            <w:r w:rsidRPr="00B01968">
              <w:rPr>
                <w:rFonts w:ascii="Arial" w:hAnsi="Arial" w:cs="Arial"/>
                <w:sz w:val="16"/>
                <w:szCs w:val="16"/>
              </w:rPr>
              <w:t>24</w:t>
            </w:r>
          </w:p>
        </w:tc>
        <w:tc>
          <w:tcPr>
            <w:tcW w:w="592" w:type="pct"/>
            <w:tcBorders>
              <w:top w:val="single" w:sz="4" w:space="0" w:color="002A54" w:themeColor="text2"/>
              <w:left w:val="nil"/>
              <w:right w:val="nil"/>
            </w:tcBorders>
            <w:shd w:val="clear" w:color="000000" w:fill="FFFFFF"/>
            <w:noWrap/>
            <w:vAlign w:val="center"/>
            <w:hideMark/>
          </w:tcPr>
          <w:p w14:paraId="3D0496CF" w14:textId="13A7AE06"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2024</w:t>
            </w:r>
            <w:r w:rsidR="00D25E5B">
              <w:rPr>
                <w:rFonts w:ascii="Arial" w:hAnsi="Arial" w:cs="Arial"/>
                <w:sz w:val="16"/>
                <w:szCs w:val="16"/>
              </w:rPr>
              <w:t>–</w:t>
            </w:r>
            <w:r w:rsidRPr="00B01968">
              <w:rPr>
                <w:rFonts w:ascii="Arial" w:hAnsi="Arial" w:cs="Arial"/>
                <w:sz w:val="16"/>
                <w:szCs w:val="16"/>
              </w:rPr>
              <w:t>25</w:t>
            </w:r>
          </w:p>
        </w:tc>
        <w:tc>
          <w:tcPr>
            <w:tcW w:w="592" w:type="pct"/>
            <w:tcBorders>
              <w:top w:val="single" w:sz="4" w:space="0" w:color="002A54" w:themeColor="text2"/>
              <w:left w:val="nil"/>
              <w:right w:val="nil"/>
            </w:tcBorders>
            <w:shd w:val="clear" w:color="000000" w:fill="FFFFFF"/>
            <w:noWrap/>
            <w:vAlign w:val="center"/>
            <w:hideMark/>
          </w:tcPr>
          <w:p w14:paraId="741A4C40" w14:textId="004ECD2E" w:rsidR="00B01968" w:rsidRPr="00B01968" w:rsidRDefault="00B01968" w:rsidP="00B01968">
            <w:pPr>
              <w:spacing w:before="0" w:after="0" w:line="240" w:lineRule="auto"/>
              <w:jc w:val="right"/>
              <w:rPr>
                <w:rFonts w:ascii="Arial" w:hAnsi="Arial" w:cs="Arial"/>
                <w:sz w:val="16"/>
                <w:szCs w:val="16"/>
              </w:rPr>
            </w:pPr>
            <w:r w:rsidRPr="00B01968">
              <w:rPr>
                <w:rFonts w:ascii="Arial" w:hAnsi="Arial" w:cs="Arial"/>
                <w:sz w:val="16"/>
                <w:szCs w:val="16"/>
              </w:rPr>
              <w:t>2025</w:t>
            </w:r>
            <w:r w:rsidR="00D25E5B">
              <w:rPr>
                <w:rFonts w:ascii="Arial" w:hAnsi="Arial" w:cs="Arial"/>
                <w:sz w:val="16"/>
                <w:szCs w:val="16"/>
              </w:rPr>
              <w:t>–</w:t>
            </w:r>
            <w:r w:rsidRPr="00B01968">
              <w:rPr>
                <w:rFonts w:ascii="Arial" w:hAnsi="Arial" w:cs="Arial"/>
                <w:sz w:val="16"/>
                <w:szCs w:val="16"/>
              </w:rPr>
              <w:t>26</w:t>
            </w:r>
          </w:p>
        </w:tc>
        <w:tc>
          <w:tcPr>
            <w:tcW w:w="590" w:type="pct"/>
            <w:tcBorders>
              <w:top w:val="single" w:sz="4" w:space="0" w:color="002A54" w:themeColor="text2"/>
              <w:left w:val="nil"/>
              <w:right w:val="nil"/>
            </w:tcBorders>
            <w:shd w:val="clear" w:color="000000" w:fill="FFFFFF"/>
            <w:noWrap/>
            <w:vAlign w:val="center"/>
            <w:hideMark/>
          </w:tcPr>
          <w:p w14:paraId="2FEC3746" w14:textId="394A80FB"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2026</w:t>
            </w:r>
            <w:r w:rsidR="00D25E5B">
              <w:rPr>
                <w:rFonts w:ascii="Arial" w:hAnsi="Arial" w:cs="Arial"/>
                <w:color w:val="000000"/>
                <w:sz w:val="16"/>
                <w:szCs w:val="16"/>
              </w:rPr>
              <w:t>–</w:t>
            </w:r>
            <w:r w:rsidRPr="00B01968">
              <w:rPr>
                <w:rFonts w:ascii="Arial" w:hAnsi="Arial" w:cs="Arial"/>
                <w:color w:val="000000"/>
                <w:sz w:val="16"/>
                <w:szCs w:val="16"/>
              </w:rPr>
              <w:t>27</w:t>
            </w:r>
          </w:p>
        </w:tc>
      </w:tr>
      <w:tr w:rsidR="00B01968" w:rsidRPr="00B01968" w14:paraId="4396F96F" w14:textId="77777777" w:rsidTr="000D3856">
        <w:trPr>
          <w:divId w:val="419912472"/>
          <w:trHeight w:hRule="exact" w:val="225"/>
        </w:trPr>
        <w:tc>
          <w:tcPr>
            <w:tcW w:w="2042" w:type="pct"/>
            <w:tcBorders>
              <w:top w:val="nil"/>
              <w:left w:val="nil"/>
              <w:bottom w:val="nil"/>
              <w:right w:val="nil"/>
            </w:tcBorders>
            <w:shd w:val="clear" w:color="000000" w:fill="FFFFFF"/>
            <w:noWrap/>
            <w:vAlign w:val="center"/>
            <w:hideMark/>
          </w:tcPr>
          <w:p w14:paraId="77DE6F1D"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2" w:type="pct"/>
            <w:tcBorders>
              <w:top w:val="nil"/>
              <w:left w:val="nil"/>
              <w:bottom w:val="single" w:sz="4" w:space="0" w:color="002A54" w:themeColor="text2"/>
              <w:right w:val="nil"/>
            </w:tcBorders>
            <w:shd w:val="clear" w:color="000000" w:fill="FFFFFF"/>
            <w:noWrap/>
            <w:vAlign w:val="center"/>
            <w:hideMark/>
          </w:tcPr>
          <w:p w14:paraId="2B59AAF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E6F2FF"/>
            <w:noWrap/>
            <w:vAlign w:val="center"/>
            <w:hideMark/>
          </w:tcPr>
          <w:p w14:paraId="2A0184B4"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FFFFFF"/>
            <w:noWrap/>
            <w:vAlign w:val="center"/>
            <w:hideMark/>
          </w:tcPr>
          <w:p w14:paraId="174CAA3C"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2" w:type="pct"/>
            <w:tcBorders>
              <w:top w:val="nil"/>
              <w:left w:val="nil"/>
              <w:bottom w:val="single" w:sz="4" w:space="0" w:color="002A54" w:themeColor="text2"/>
              <w:right w:val="nil"/>
            </w:tcBorders>
            <w:shd w:val="clear" w:color="000000" w:fill="FFFFFF"/>
            <w:noWrap/>
            <w:vAlign w:val="center"/>
            <w:hideMark/>
          </w:tcPr>
          <w:p w14:paraId="732B862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c>
          <w:tcPr>
            <w:tcW w:w="590" w:type="pct"/>
            <w:tcBorders>
              <w:top w:val="nil"/>
              <w:left w:val="nil"/>
              <w:bottom w:val="single" w:sz="4" w:space="0" w:color="002A54" w:themeColor="text2"/>
              <w:right w:val="nil"/>
            </w:tcBorders>
            <w:shd w:val="clear" w:color="000000" w:fill="FFFFFF"/>
            <w:noWrap/>
            <w:vAlign w:val="center"/>
            <w:hideMark/>
          </w:tcPr>
          <w:p w14:paraId="67C67582"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$m</w:t>
            </w:r>
          </w:p>
        </w:tc>
      </w:tr>
      <w:tr w:rsidR="00B01968" w:rsidRPr="00B01968" w14:paraId="17C5CF83" w14:textId="77777777" w:rsidTr="000D3856">
        <w:trPr>
          <w:divId w:val="419912472"/>
          <w:trHeight w:hRule="exact" w:val="225"/>
        </w:trPr>
        <w:tc>
          <w:tcPr>
            <w:tcW w:w="2042" w:type="pct"/>
            <w:tcBorders>
              <w:top w:val="nil"/>
              <w:left w:val="nil"/>
              <w:bottom w:val="nil"/>
              <w:right w:val="nil"/>
            </w:tcBorders>
            <w:shd w:val="clear" w:color="000000" w:fill="FFFFFF"/>
            <w:noWrap/>
            <w:vAlign w:val="center"/>
            <w:hideMark/>
          </w:tcPr>
          <w:p w14:paraId="11EBDECF"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Research and Development Tax</w:t>
            </w:r>
          </w:p>
        </w:tc>
        <w:tc>
          <w:tcPr>
            <w:tcW w:w="592" w:type="pct"/>
            <w:tcBorders>
              <w:top w:val="single" w:sz="4" w:space="0" w:color="002A54" w:themeColor="text2"/>
              <w:left w:val="nil"/>
              <w:bottom w:val="nil"/>
              <w:right w:val="nil"/>
            </w:tcBorders>
            <w:shd w:val="clear" w:color="000000" w:fill="FFFFFF"/>
            <w:noWrap/>
            <w:vAlign w:val="center"/>
            <w:hideMark/>
          </w:tcPr>
          <w:p w14:paraId="20CF699E"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2" w:type="pct"/>
            <w:tcBorders>
              <w:top w:val="single" w:sz="4" w:space="0" w:color="002A54" w:themeColor="text2"/>
              <w:left w:val="nil"/>
              <w:bottom w:val="nil"/>
              <w:right w:val="nil"/>
            </w:tcBorders>
            <w:shd w:val="clear" w:color="000000" w:fill="E6F2FF"/>
            <w:noWrap/>
            <w:vAlign w:val="center"/>
            <w:hideMark/>
          </w:tcPr>
          <w:p w14:paraId="501391A3"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2" w:type="pct"/>
            <w:tcBorders>
              <w:top w:val="single" w:sz="4" w:space="0" w:color="002A54" w:themeColor="text2"/>
              <w:left w:val="nil"/>
              <w:bottom w:val="nil"/>
              <w:right w:val="nil"/>
            </w:tcBorders>
            <w:shd w:val="clear" w:color="000000" w:fill="FFFFFF"/>
            <w:noWrap/>
            <w:vAlign w:val="center"/>
            <w:hideMark/>
          </w:tcPr>
          <w:p w14:paraId="19C6FFBF"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2" w:type="pct"/>
            <w:tcBorders>
              <w:top w:val="single" w:sz="4" w:space="0" w:color="002A54" w:themeColor="text2"/>
              <w:left w:val="nil"/>
              <w:bottom w:val="nil"/>
              <w:right w:val="nil"/>
            </w:tcBorders>
            <w:shd w:val="clear" w:color="000000" w:fill="FFFFFF"/>
            <w:noWrap/>
            <w:vAlign w:val="center"/>
            <w:hideMark/>
          </w:tcPr>
          <w:p w14:paraId="024DFA96"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c>
          <w:tcPr>
            <w:tcW w:w="590" w:type="pct"/>
            <w:tcBorders>
              <w:top w:val="single" w:sz="4" w:space="0" w:color="002A54" w:themeColor="text2"/>
              <w:left w:val="nil"/>
              <w:bottom w:val="nil"/>
              <w:right w:val="nil"/>
            </w:tcBorders>
            <w:shd w:val="clear" w:color="000000" w:fill="FFFFFF"/>
            <w:noWrap/>
            <w:vAlign w:val="center"/>
            <w:hideMark/>
          </w:tcPr>
          <w:p w14:paraId="049308D0" w14:textId="77777777" w:rsidR="00B01968" w:rsidRPr="00B01968" w:rsidRDefault="00B01968" w:rsidP="00B01968">
            <w:pPr>
              <w:spacing w:before="0" w:after="0" w:line="240" w:lineRule="auto"/>
              <w:rPr>
                <w:rFonts w:ascii="Arial" w:hAnsi="Arial" w:cs="Arial"/>
                <w:color w:val="000000"/>
                <w:sz w:val="16"/>
                <w:szCs w:val="16"/>
              </w:rPr>
            </w:pPr>
            <w:r w:rsidRPr="00B01968">
              <w:rPr>
                <w:rFonts w:ascii="Arial" w:hAnsi="Arial" w:cs="Arial"/>
                <w:color w:val="000000"/>
                <w:sz w:val="16"/>
                <w:szCs w:val="16"/>
              </w:rPr>
              <w:t> </w:t>
            </w:r>
          </w:p>
        </w:tc>
      </w:tr>
      <w:tr w:rsidR="00B01968" w:rsidRPr="00B01968" w14:paraId="4BB3B366" w14:textId="77777777" w:rsidTr="00B01968">
        <w:trPr>
          <w:divId w:val="419912472"/>
          <w:trHeight w:hRule="exact" w:val="225"/>
        </w:trPr>
        <w:tc>
          <w:tcPr>
            <w:tcW w:w="2042" w:type="pct"/>
            <w:tcBorders>
              <w:top w:val="nil"/>
              <w:left w:val="nil"/>
              <w:bottom w:val="nil"/>
              <w:right w:val="nil"/>
            </w:tcBorders>
            <w:shd w:val="clear" w:color="000000" w:fill="FFFFFF"/>
            <w:noWrap/>
            <w:vAlign w:val="center"/>
            <w:hideMark/>
          </w:tcPr>
          <w:p w14:paraId="1AB684B0" w14:textId="77777777" w:rsidR="00B01968" w:rsidRPr="00B01968" w:rsidRDefault="00B01968" w:rsidP="00B01968">
            <w:pPr>
              <w:spacing w:before="0" w:after="0" w:line="240" w:lineRule="auto"/>
              <w:ind w:left="170"/>
              <w:rPr>
                <w:rFonts w:ascii="Arial" w:hAnsi="Arial" w:cs="Arial"/>
                <w:color w:val="000000"/>
                <w:sz w:val="16"/>
                <w:szCs w:val="16"/>
              </w:rPr>
            </w:pPr>
            <w:r w:rsidRPr="00B01968">
              <w:rPr>
                <w:rFonts w:ascii="Arial" w:hAnsi="Arial" w:cs="Arial"/>
                <w:color w:val="000000"/>
                <w:sz w:val="16"/>
                <w:szCs w:val="16"/>
              </w:rPr>
              <w:t>Incentive</w:t>
            </w:r>
          </w:p>
        </w:tc>
        <w:tc>
          <w:tcPr>
            <w:tcW w:w="592" w:type="pct"/>
            <w:tcBorders>
              <w:top w:val="nil"/>
              <w:left w:val="nil"/>
              <w:bottom w:val="nil"/>
              <w:right w:val="nil"/>
            </w:tcBorders>
            <w:shd w:val="clear" w:color="000000" w:fill="FFFFFF"/>
            <w:noWrap/>
            <w:vAlign w:val="center"/>
            <w:hideMark/>
          </w:tcPr>
          <w:p w14:paraId="670D0FB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3,555</w:t>
            </w:r>
          </w:p>
        </w:tc>
        <w:tc>
          <w:tcPr>
            <w:tcW w:w="592" w:type="pct"/>
            <w:tcBorders>
              <w:top w:val="nil"/>
              <w:left w:val="nil"/>
              <w:bottom w:val="nil"/>
              <w:right w:val="nil"/>
            </w:tcBorders>
            <w:shd w:val="clear" w:color="000000" w:fill="E6F2FF"/>
            <w:noWrap/>
            <w:vAlign w:val="center"/>
            <w:hideMark/>
          </w:tcPr>
          <w:p w14:paraId="7B1FE0E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3,315</w:t>
            </w:r>
          </w:p>
        </w:tc>
        <w:tc>
          <w:tcPr>
            <w:tcW w:w="592" w:type="pct"/>
            <w:tcBorders>
              <w:top w:val="nil"/>
              <w:left w:val="nil"/>
              <w:bottom w:val="nil"/>
              <w:right w:val="nil"/>
            </w:tcBorders>
            <w:shd w:val="clear" w:color="000000" w:fill="FFFFFF"/>
            <w:noWrap/>
            <w:vAlign w:val="center"/>
            <w:hideMark/>
          </w:tcPr>
          <w:p w14:paraId="1103560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3,416</w:t>
            </w:r>
          </w:p>
        </w:tc>
        <w:tc>
          <w:tcPr>
            <w:tcW w:w="592" w:type="pct"/>
            <w:tcBorders>
              <w:top w:val="nil"/>
              <w:left w:val="nil"/>
              <w:bottom w:val="nil"/>
              <w:right w:val="nil"/>
            </w:tcBorders>
            <w:shd w:val="clear" w:color="000000" w:fill="FFFFFF"/>
            <w:noWrap/>
            <w:vAlign w:val="center"/>
            <w:hideMark/>
          </w:tcPr>
          <w:p w14:paraId="48093F0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3,509</w:t>
            </w:r>
          </w:p>
        </w:tc>
        <w:tc>
          <w:tcPr>
            <w:tcW w:w="590" w:type="pct"/>
            <w:tcBorders>
              <w:top w:val="nil"/>
              <w:left w:val="nil"/>
              <w:bottom w:val="nil"/>
              <w:right w:val="nil"/>
            </w:tcBorders>
            <w:shd w:val="clear" w:color="000000" w:fill="FFFFFF"/>
            <w:noWrap/>
            <w:vAlign w:val="center"/>
            <w:hideMark/>
          </w:tcPr>
          <w:p w14:paraId="25C32D7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3,617</w:t>
            </w:r>
          </w:p>
        </w:tc>
      </w:tr>
      <w:tr w:rsidR="00B01968" w:rsidRPr="00B01968" w14:paraId="360119C7" w14:textId="77777777" w:rsidTr="00B01968">
        <w:trPr>
          <w:divId w:val="419912472"/>
          <w:trHeight w:hRule="exact" w:val="225"/>
        </w:trPr>
        <w:tc>
          <w:tcPr>
            <w:tcW w:w="2042" w:type="pct"/>
            <w:tcBorders>
              <w:top w:val="nil"/>
              <w:left w:val="nil"/>
              <w:bottom w:val="nil"/>
              <w:right w:val="nil"/>
            </w:tcBorders>
            <w:shd w:val="clear" w:color="000000" w:fill="FFFFFF"/>
            <w:noWrap/>
            <w:vAlign w:val="center"/>
            <w:hideMark/>
          </w:tcPr>
          <w:p w14:paraId="47F63E59"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Growing Business Investment</w:t>
            </w:r>
          </w:p>
        </w:tc>
        <w:tc>
          <w:tcPr>
            <w:tcW w:w="592" w:type="pct"/>
            <w:tcBorders>
              <w:top w:val="nil"/>
              <w:left w:val="nil"/>
              <w:bottom w:val="nil"/>
              <w:right w:val="nil"/>
            </w:tcBorders>
            <w:shd w:val="clear" w:color="000000" w:fill="FFFFFF"/>
            <w:noWrap/>
            <w:vAlign w:val="center"/>
            <w:hideMark/>
          </w:tcPr>
          <w:p w14:paraId="4CC2C48F"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717</w:t>
            </w:r>
          </w:p>
        </w:tc>
        <w:tc>
          <w:tcPr>
            <w:tcW w:w="592" w:type="pct"/>
            <w:tcBorders>
              <w:top w:val="nil"/>
              <w:left w:val="nil"/>
              <w:bottom w:val="nil"/>
              <w:right w:val="nil"/>
            </w:tcBorders>
            <w:shd w:val="clear" w:color="000000" w:fill="E6F2FF"/>
            <w:noWrap/>
            <w:vAlign w:val="center"/>
            <w:hideMark/>
          </w:tcPr>
          <w:p w14:paraId="66FB6ED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767</w:t>
            </w:r>
          </w:p>
        </w:tc>
        <w:tc>
          <w:tcPr>
            <w:tcW w:w="592" w:type="pct"/>
            <w:tcBorders>
              <w:top w:val="nil"/>
              <w:left w:val="nil"/>
              <w:bottom w:val="nil"/>
              <w:right w:val="nil"/>
            </w:tcBorders>
            <w:shd w:val="clear" w:color="000000" w:fill="FFFFFF"/>
            <w:noWrap/>
            <w:vAlign w:val="center"/>
            <w:hideMark/>
          </w:tcPr>
          <w:p w14:paraId="56D77C6D"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644</w:t>
            </w:r>
          </w:p>
        </w:tc>
        <w:tc>
          <w:tcPr>
            <w:tcW w:w="592" w:type="pct"/>
            <w:tcBorders>
              <w:top w:val="nil"/>
              <w:left w:val="nil"/>
              <w:bottom w:val="nil"/>
              <w:right w:val="nil"/>
            </w:tcBorders>
            <w:shd w:val="clear" w:color="000000" w:fill="FFFFFF"/>
            <w:noWrap/>
            <w:vAlign w:val="center"/>
            <w:hideMark/>
          </w:tcPr>
          <w:p w14:paraId="23CD516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303</w:t>
            </w:r>
          </w:p>
        </w:tc>
        <w:tc>
          <w:tcPr>
            <w:tcW w:w="590" w:type="pct"/>
            <w:tcBorders>
              <w:top w:val="nil"/>
              <w:left w:val="nil"/>
              <w:bottom w:val="nil"/>
              <w:right w:val="nil"/>
            </w:tcBorders>
            <w:shd w:val="clear" w:color="000000" w:fill="FFFFFF"/>
            <w:noWrap/>
            <w:vAlign w:val="center"/>
            <w:hideMark/>
          </w:tcPr>
          <w:p w14:paraId="16B84378"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237</w:t>
            </w:r>
          </w:p>
        </w:tc>
      </w:tr>
      <w:tr w:rsidR="00B01968" w:rsidRPr="00B01968" w14:paraId="7D8F954F" w14:textId="77777777" w:rsidTr="000D3856">
        <w:trPr>
          <w:divId w:val="419912472"/>
          <w:trHeight w:hRule="exact" w:val="225"/>
        </w:trPr>
        <w:tc>
          <w:tcPr>
            <w:tcW w:w="2042" w:type="pct"/>
            <w:tcBorders>
              <w:top w:val="nil"/>
              <w:left w:val="nil"/>
              <w:bottom w:val="nil"/>
              <w:right w:val="nil"/>
            </w:tcBorders>
            <w:shd w:val="clear" w:color="000000" w:fill="FFFFFF"/>
            <w:noWrap/>
            <w:vAlign w:val="center"/>
            <w:hideMark/>
          </w:tcPr>
          <w:p w14:paraId="6346B032"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Northern Australia Infrastructure Facility</w:t>
            </w:r>
          </w:p>
        </w:tc>
        <w:tc>
          <w:tcPr>
            <w:tcW w:w="592" w:type="pct"/>
            <w:tcBorders>
              <w:top w:val="nil"/>
              <w:left w:val="nil"/>
              <w:right w:val="nil"/>
            </w:tcBorders>
            <w:shd w:val="clear" w:color="000000" w:fill="FFFFFF"/>
            <w:noWrap/>
            <w:vAlign w:val="center"/>
            <w:hideMark/>
          </w:tcPr>
          <w:p w14:paraId="29E2644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200</w:t>
            </w:r>
          </w:p>
        </w:tc>
        <w:tc>
          <w:tcPr>
            <w:tcW w:w="592" w:type="pct"/>
            <w:tcBorders>
              <w:top w:val="nil"/>
              <w:left w:val="nil"/>
              <w:right w:val="nil"/>
            </w:tcBorders>
            <w:shd w:val="clear" w:color="000000" w:fill="E6F2FF"/>
            <w:noWrap/>
            <w:vAlign w:val="center"/>
            <w:hideMark/>
          </w:tcPr>
          <w:p w14:paraId="6D2CCF4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492</w:t>
            </w:r>
          </w:p>
        </w:tc>
        <w:tc>
          <w:tcPr>
            <w:tcW w:w="592" w:type="pct"/>
            <w:tcBorders>
              <w:top w:val="nil"/>
              <w:left w:val="nil"/>
              <w:right w:val="nil"/>
            </w:tcBorders>
            <w:shd w:val="clear" w:color="000000" w:fill="FFFFFF"/>
            <w:noWrap/>
            <w:vAlign w:val="center"/>
            <w:hideMark/>
          </w:tcPr>
          <w:p w14:paraId="6B18C37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272</w:t>
            </w:r>
          </w:p>
        </w:tc>
        <w:tc>
          <w:tcPr>
            <w:tcW w:w="592" w:type="pct"/>
            <w:tcBorders>
              <w:top w:val="nil"/>
              <w:left w:val="nil"/>
              <w:right w:val="nil"/>
            </w:tcBorders>
            <w:shd w:val="clear" w:color="000000" w:fill="FFFFFF"/>
            <w:noWrap/>
            <w:vAlign w:val="center"/>
            <w:hideMark/>
          </w:tcPr>
          <w:p w14:paraId="300E8837"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209</w:t>
            </w:r>
          </w:p>
        </w:tc>
        <w:tc>
          <w:tcPr>
            <w:tcW w:w="590" w:type="pct"/>
            <w:tcBorders>
              <w:top w:val="nil"/>
              <w:left w:val="nil"/>
              <w:right w:val="nil"/>
            </w:tcBorders>
            <w:shd w:val="clear" w:color="000000" w:fill="FFFFFF"/>
            <w:noWrap/>
            <w:vAlign w:val="center"/>
            <w:hideMark/>
          </w:tcPr>
          <w:p w14:paraId="388C6871"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206</w:t>
            </w:r>
          </w:p>
        </w:tc>
      </w:tr>
      <w:tr w:rsidR="00B01968" w:rsidRPr="00B01968" w14:paraId="7F70897A" w14:textId="77777777" w:rsidTr="000D3856">
        <w:trPr>
          <w:divId w:val="419912472"/>
          <w:trHeight w:hRule="exact" w:val="225"/>
        </w:trPr>
        <w:tc>
          <w:tcPr>
            <w:tcW w:w="2042" w:type="pct"/>
            <w:tcBorders>
              <w:top w:val="nil"/>
              <w:left w:val="nil"/>
              <w:bottom w:val="nil"/>
              <w:right w:val="nil"/>
            </w:tcBorders>
            <w:shd w:val="clear" w:color="000000" w:fill="FFFFFF"/>
            <w:noWrap/>
            <w:vAlign w:val="center"/>
            <w:hideMark/>
          </w:tcPr>
          <w:p w14:paraId="085FE4E0" w14:textId="77777777" w:rsidR="00B01968" w:rsidRPr="00B01968" w:rsidRDefault="00B01968" w:rsidP="00B01968">
            <w:pPr>
              <w:spacing w:before="0" w:after="0" w:line="240" w:lineRule="auto"/>
              <w:rPr>
                <w:rFonts w:ascii="Arial" w:hAnsi="Arial" w:cs="Arial"/>
                <w:sz w:val="16"/>
                <w:szCs w:val="16"/>
              </w:rPr>
            </w:pPr>
            <w:r w:rsidRPr="00B01968">
              <w:rPr>
                <w:rFonts w:ascii="Arial" w:hAnsi="Arial" w:cs="Arial"/>
                <w:sz w:val="16"/>
                <w:szCs w:val="16"/>
              </w:rPr>
              <w:t>Other</w:t>
            </w:r>
          </w:p>
        </w:tc>
        <w:tc>
          <w:tcPr>
            <w:tcW w:w="592" w:type="pct"/>
            <w:tcBorders>
              <w:top w:val="nil"/>
              <w:left w:val="nil"/>
              <w:bottom w:val="single" w:sz="4" w:space="0" w:color="002A54" w:themeColor="text2"/>
              <w:right w:val="nil"/>
            </w:tcBorders>
            <w:shd w:val="clear" w:color="000000" w:fill="FFFFFF"/>
            <w:noWrap/>
            <w:vAlign w:val="center"/>
            <w:hideMark/>
          </w:tcPr>
          <w:p w14:paraId="61DC0B8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433</w:t>
            </w:r>
          </w:p>
        </w:tc>
        <w:tc>
          <w:tcPr>
            <w:tcW w:w="592" w:type="pct"/>
            <w:tcBorders>
              <w:top w:val="nil"/>
              <w:left w:val="nil"/>
              <w:bottom w:val="single" w:sz="4" w:space="0" w:color="002A54" w:themeColor="text2"/>
              <w:right w:val="nil"/>
            </w:tcBorders>
            <w:shd w:val="clear" w:color="000000" w:fill="E6F2FF"/>
            <w:noWrap/>
            <w:vAlign w:val="center"/>
            <w:hideMark/>
          </w:tcPr>
          <w:p w14:paraId="51B28BE3"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450</w:t>
            </w:r>
          </w:p>
        </w:tc>
        <w:tc>
          <w:tcPr>
            <w:tcW w:w="592" w:type="pct"/>
            <w:tcBorders>
              <w:top w:val="nil"/>
              <w:left w:val="nil"/>
              <w:bottom w:val="single" w:sz="4" w:space="0" w:color="002A54" w:themeColor="text2"/>
              <w:right w:val="nil"/>
            </w:tcBorders>
            <w:shd w:val="clear" w:color="000000" w:fill="FFFFFF"/>
            <w:noWrap/>
            <w:vAlign w:val="center"/>
            <w:hideMark/>
          </w:tcPr>
          <w:p w14:paraId="49AD6180"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365</w:t>
            </w:r>
          </w:p>
        </w:tc>
        <w:tc>
          <w:tcPr>
            <w:tcW w:w="592" w:type="pct"/>
            <w:tcBorders>
              <w:top w:val="nil"/>
              <w:left w:val="nil"/>
              <w:bottom w:val="single" w:sz="4" w:space="0" w:color="002A54" w:themeColor="text2"/>
              <w:right w:val="nil"/>
            </w:tcBorders>
            <w:shd w:val="clear" w:color="000000" w:fill="FFFFFF"/>
            <w:noWrap/>
            <w:vAlign w:val="center"/>
            <w:hideMark/>
          </w:tcPr>
          <w:p w14:paraId="1B8243C5"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397</w:t>
            </w:r>
          </w:p>
        </w:tc>
        <w:tc>
          <w:tcPr>
            <w:tcW w:w="590" w:type="pct"/>
            <w:tcBorders>
              <w:top w:val="nil"/>
              <w:left w:val="nil"/>
              <w:bottom w:val="single" w:sz="4" w:space="0" w:color="002A54" w:themeColor="text2"/>
              <w:right w:val="nil"/>
            </w:tcBorders>
            <w:shd w:val="clear" w:color="000000" w:fill="FFFFFF"/>
            <w:noWrap/>
            <w:vAlign w:val="center"/>
            <w:hideMark/>
          </w:tcPr>
          <w:p w14:paraId="6F6E8EFE" w14:textId="77777777" w:rsidR="00B01968" w:rsidRPr="00B01968" w:rsidRDefault="00B01968" w:rsidP="00B01968">
            <w:pPr>
              <w:spacing w:before="0" w:after="0" w:line="240" w:lineRule="auto"/>
              <w:jc w:val="right"/>
              <w:rPr>
                <w:rFonts w:ascii="Arial" w:hAnsi="Arial" w:cs="Arial"/>
                <w:color w:val="000000"/>
                <w:sz w:val="16"/>
                <w:szCs w:val="16"/>
              </w:rPr>
            </w:pPr>
            <w:r w:rsidRPr="00B01968">
              <w:rPr>
                <w:rFonts w:ascii="Arial" w:hAnsi="Arial" w:cs="Arial"/>
                <w:color w:val="000000"/>
                <w:sz w:val="16"/>
                <w:szCs w:val="16"/>
              </w:rPr>
              <w:t>384</w:t>
            </w:r>
          </w:p>
        </w:tc>
      </w:tr>
      <w:tr w:rsidR="00B01968" w:rsidRPr="00B01968" w14:paraId="2ED9F57C" w14:textId="77777777" w:rsidTr="000D3856">
        <w:trPr>
          <w:divId w:val="419912472"/>
          <w:trHeight w:hRule="exact" w:val="225"/>
        </w:trPr>
        <w:tc>
          <w:tcPr>
            <w:tcW w:w="2042" w:type="pct"/>
            <w:tcBorders>
              <w:top w:val="nil"/>
              <w:left w:val="nil"/>
              <w:bottom w:val="single" w:sz="4" w:space="0" w:color="002A54" w:themeColor="text2"/>
              <w:right w:val="nil"/>
            </w:tcBorders>
            <w:shd w:val="clear" w:color="000000" w:fill="FFFFFF"/>
            <w:noWrap/>
            <w:vAlign w:val="center"/>
            <w:hideMark/>
          </w:tcPr>
          <w:p w14:paraId="1B56FA0B" w14:textId="77777777" w:rsidR="00B01968" w:rsidRPr="00B01968" w:rsidRDefault="00B01968" w:rsidP="00B01968">
            <w:pPr>
              <w:spacing w:before="0" w:after="0" w:line="240" w:lineRule="auto"/>
              <w:rPr>
                <w:rFonts w:ascii="Arial" w:hAnsi="Arial" w:cs="Arial"/>
                <w:b/>
                <w:bCs/>
                <w:color w:val="000000"/>
                <w:sz w:val="16"/>
                <w:szCs w:val="16"/>
              </w:rPr>
            </w:pPr>
            <w:r w:rsidRPr="00B01968">
              <w:rPr>
                <w:rFonts w:ascii="Arial" w:hAnsi="Arial" w:cs="Arial"/>
                <w:b/>
                <w:bCs/>
                <w:color w:val="000000"/>
                <w:sz w:val="16"/>
                <w:szCs w:val="16"/>
              </w:rPr>
              <w:t>Total</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72C3410C"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4,905</w:t>
            </w:r>
          </w:p>
        </w:tc>
        <w:tc>
          <w:tcPr>
            <w:tcW w:w="592" w:type="pct"/>
            <w:tcBorders>
              <w:top w:val="single" w:sz="4" w:space="0" w:color="002A54" w:themeColor="text2"/>
              <w:left w:val="nil"/>
              <w:bottom w:val="single" w:sz="4" w:space="0" w:color="002A54" w:themeColor="text2"/>
              <w:right w:val="nil"/>
            </w:tcBorders>
            <w:shd w:val="clear" w:color="000000" w:fill="E6F2FF"/>
            <w:noWrap/>
            <w:vAlign w:val="center"/>
            <w:hideMark/>
          </w:tcPr>
          <w:p w14:paraId="47A36D62"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5,022</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63A8248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4,696</w:t>
            </w:r>
          </w:p>
        </w:tc>
        <w:tc>
          <w:tcPr>
            <w:tcW w:w="592" w:type="pct"/>
            <w:tcBorders>
              <w:top w:val="single" w:sz="4" w:space="0" w:color="002A54" w:themeColor="text2"/>
              <w:left w:val="nil"/>
              <w:bottom w:val="single" w:sz="4" w:space="0" w:color="002A54" w:themeColor="text2"/>
              <w:right w:val="nil"/>
            </w:tcBorders>
            <w:shd w:val="clear" w:color="000000" w:fill="FFFFFF"/>
            <w:noWrap/>
            <w:vAlign w:val="center"/>
            <w:hideMark/>
          </w:tcPr>
          <w:p w14:paraId="448E971A"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4,418</w:t>
            </w:r>
          </w:p>
        </w:tc>
        <w:tc>
          <w:tcPr>
            <w:tcW w:w="590" w:type="pct"/>
            <w:tcBorders>
              <w:top w:val="single" w:sz="4" w:space="0" w:color="002A54" w:themeColor="text2"/>
              <w:left w:val="nil"/>
              <w:bottom w:val="single" w:sz="4" w:space="0" w:color="002A54" w:themeColor="text2"/>
              <w:right w:val="nil"/>
            </w:tcBorders>
            <w:shd w:val="clear" w:color="000000" w:fill="FFFFFF"/>
            <w:noWrap/>
            <w:vAlign w:val="center"/>
            <w:hideMark/>
          </w:tcPr>
          <w:p w14:paraId="2D479989" w14:textId="77777777" w:rsidR="00B01968" w:rsidRPr="00B01968" w:rsidRDefault="00B01968" w:rsidP="00B01968">
            <w:pPr>
              <w:spacing w:before="0" w:after="0" w:line="240" w:lineRule="auto"/>
              <w:jc w:val="right"/>
              <w:rPr>
                <w:rFonts w:ascii="Arial" w:hAnsi="Arial" w:cs="Arial"/>
                <w:b/>
                <w:bCs/>
                <w:color w:val="000000"/>
                <w:sz w:val="16"/>
                <w:szCs w:val="16"/>
              </w:rPr>
            </w:pPr>
            <w:r w:rsidRPr="00B01968">
              <w:rPr>
                <w:rFonts w:ascii="Arial" w:hAnsi="Arial" w:cs="Arial"/>
                <w:b/>
                <w:bCs/>
                <w:color w:val="000000"/>
                <w:sz w:val="16"/>
                <w:szCs w:val="16"/>
              </w:rPr>
              <w:t>4,444</w:t>
            </w:r>
          </w:p>
        </w:tc>
      </w:tr>
    </w:tbl>
    <w:p w14:paraId="51ED523A" w14:textId="2C702C2B" w:rsidR="00C855DF" w:rsidRPr="000177D7" w:rsidRDefault="00C855DF" w:rsidP="00173739">
      <w:pPr>
        <w:pStyle w:val="ChartandTableFootnoteAlpha"/>
        <w:numPr>
          <w:ilvl w:val="0"/>
          <w:numId w:val="18"/>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18786745" w14:textId="77777777" w:rsidR="00C855DF" w:rsidRPr="000177D7" w:rsidRDefault="00C855DF" w:rsidP="00C855DF">
      <w:pPr>
        <w:pStyle w:val="TableLine"/>
      </w:pPr>
    </w:p>
    <w:p w14:paraId="5E1E80A1" w14:textId="77777777" w:rsidR="00C855DF" w:rsidRPr="000177D7" w:rsidRDefault="00C855DF" w:rsidP="00C855DF">
      <w:pPr>
        <w:pStyle w:val="Heading3"/>
      </w:pPr>
      <w:bookmarkStart w:id="133" w:name="_Toc99203690"/>
      <w:bookmarkStart w:id="134" w:name="_Toc117358183"/>
      <w:bookmarkStart w:id="135" w:name="_Toc134169624"/>
      <w:r w:rsidRPr="000177D7">
        <w:t>Transport and communication</w:t>
      </w:r>
      <w:bookmarkEnd w:id="127"/>
      <w:bookmarkEnd w:id="128"/>
      <w:bookmarkEnd w:id="129"/>
      <w:bookmarkEnd w:id="133"/>
      <w:bookmarkEnd w:id="134"/>
      <w:bookmarkEnd w:id="135"/>
    </w:p>
    <w:p w14:paraId="03A3BECE" w14:textId="77777777" w:rsidR="00A4172D" w:rsidRDefault="004A5EC1" w:rsidP="00B676A2">
      <w:bookmarkStart w:id="136" w:name="_Toc4577281"/>
      <w:bookmarkStart w:id="137" w:name="_Toc513306137"/>
      <w:bookmarkStart w:id="138" w:name="_Toc4689193"/>
      <w:r w:rsidRPr="000177D7">
        <w:t>The transport and communication function includes expenses to support the infrastructure and regulatory framework for Australia</w:t>
      </w:r>
      <w:r w:rsidR="00D34B95">
        <w:t>’</w:t>
      </w:r>
      <w:r w:rsidRPr="000177D7">
        <w:t>s transport and communication sectors.</w:t>
      </w:r>
    </w:p>
    <w:p w14:paraId="0FFED842" w14:textId="15088A06" w:rsidR="008E2B78" w:rsidRDefault="008E2B78" w:rsidP="00B676A2">
      <w:r>
        <w:br w:type="page"/>
      </w:r>
    </w:p>
    <w:p w14:paraId="4975A763" w14:textId="79F44E63" w:rsidR="00EA6CF2" w:rsidRDefault="00C855DF" w:rsidP="00EA6CF2">
      <w:pPr>
        <w:pStyle w:val="TableHeading"/>
        <w:rPr>
          <w:rFonts w:asciiTheme="minorHAnsi" w:eastAsiaTheme="minorHAnsi" w:hAnsiTheme="minorHAnsi" w:cstheme="minorBidi"/>
          <w:sz w:val="22"/>
          <w:szCs w:val="22"/>
          <w:lang w:eastAsia="en-US"/>
        </w:rPr>
      </w:pPr>
      <w:r w:rsidRPr="000177D7">
        <w:lastRenderedPageBreak/>
        <w:t xml:space="preserve">Table 6.15: Summary of expenses </w:t>
      </w:r>
      <w:r w:rsidR="007040A5">
        <w:t>–</w:t>
      </w:r>
      <w:r w:rsidRPr="000177D7">
        <w:t xml:space="preserve"> transport and communication</w:t>
      </w:r>
      <w:bookmarkStart w:id="139" w:name="_1555616312"/>
      <w:bookmarkStart w:id="140" w:name="_1727774365"/>
      <w:bookmarkEnd w:id="139"/>
      <w:bookmarkEnd w:id="140"/>
    </w:p>
    <w:tbl>
      <w:tblPr>
        <w:tblW w:w="5000" w:type="pct"/>
        <w:tblCellMar>
          <w:left w:w="0" w:type="dxa"/>
          <w:right w:w="28" w:type="dxa"/>
        </w:tblCellMar>
        <w:tblLook w:val="04A0" w:firstRow="1" w:lastRow="0" w:firstColumn="1" w:lastColumn="0" w:noHBand="0" w:noVBand="1"/>
      </w:tblPr>
      <w:tblGrid>
        <w:gridCol w:w="3647"/>
        <w:gridCol w:w="813"/>
        <w:gridCol w:w="813"/>
        <w:gridCol w:w="813"/>
        <w:gridCol w:w="813"/>
        <w:gridCol w:w="811"/>
      </w:tblGrid>
      <w:tr w:rsidR="00EA6CF2" w:rsidRPr="00EA6CF2" w14:paraId="28A5413B" w14:textId="77777777" w:rsidTr="00EA6CF2">
        <w:trPr>
          <w:divId w:val="2059552374"/>
          <w:trHeight w:hRule="exact" w:val="226"/>
        </w:trPr>
        <w:tc>
          <w:tcPr>
            <w:tcW w:w="2366" w:type="pct"/>
            <w:tcBorders>
              <w:top w:val="single" w:sz="4" w:space="0" w:color="293F5B"/>
              <w:left w:val="nil"/>
              <w:bottom w:val="nil"/>
              <w:right w:val="nil"/>
            </w:tcBorders>
            <w:shd w:val="clear" w:color="000000" w:fill="FFFFFF"/>
            <w:noWrap/>
            <w:vAlign w:val="center"/>
            <w:hideMark/>
          </w:tcPr>
          <w:p w14:paraId="31B54B2C" w14:textId="3F9B721D" w:rsidR="00EA6CF2" w:rsidRPr="00EA6CF2" w:rsidRDefault="00EA6CF2" w:rsidP="00EA6CF2">
            <w:pPr>
              <w:spacing w:before="0" w:after="0" w:line="240" w:lineRule="auto"/>
              <w:rPr>
                <w:rFonts w:ascii="Arial" w:hAnsi="Arial" w:cs="Arial"/>
                <w:b/>
                <w:bCs/>
                <w:color w:val="000000"/>
                <w:sz w:val="16"/>
                <w:szCs w:val="16"/>
              </w:rPr>
            </w:pPr>
            <w:r w:rsidRPr="00EA6CF2">
              <w:rPr>
                <w:rFonts w:ascii="Arial" w:hAnsi="Arial" w:cs="Arial"/>
                <w:b/>
                <w:bCs/>
                <w:color w:val="000000"/>
                <w:sz w:val="16"/>
                <w:szCs w:val="16"/>
              </w:rPr>
              <w:t>Sub-function</w:t>
            </w:r>
          </w:p>
        </w:tc>
        <w:tc>
          <w:tcPr>
            <w:tcW w:w="2634" w:type="pct"/>
            <w:gridSpan w:val="5"/>
            <w:tcBorders>
              <w:top w:val="single" w:sz="4" w:space="0" w:color="293F5B"/>
              <w:left w:val="nil"/>
              <w:bottom w:val="single" w:sz="4" w:space="0" w:color="293F5B"/>
              <w:right w:val="nil"/>
            </w:tcBorders>
            <w:shd w:val="clear" w:color="000000" w:fill="FFFFFF"/>
            <w:noWrap/>
            <w:vAlign w:val="center"/>
            <w:hideMark/>
          </w:tcPr>
          <w:p w14:paraId="1311B04D" w14:textId="77777777" w:rsidR="00EA6CF2" w:rsidRPr="00EA6CF2" w:rsidRDefault="00EA6CF2" w:rsidP="00EA6CF2">
            <w:pPr>
              <w:spacing w:before="0" w:after="0" w:line="240" w:lineRule="auto"/>
              <w:jc w:val="center"/>
              <w:rPr>
                <w:rFonts w:ascii="Arial" w:hAnsi="Arial" w:cs="Arial"/>
                <w:color w:val="000000"/>
                <w:sz w:val="16"/>
                <w:szCs w:val="16"/>
              </w:rPr>
            </w:pPr>
            <w:r w:rsidRPr="00EA6CF2">
              <w:rPr>
                <w:rFonts w:ascii="Arial" w:hAnsi="Arial" w:cs="Arial"/>
                <w:color w:val="000000"/>
                <w:sz w:val="16"/>
                <w:szCs w:val="16"/>
              </w:rPr>
              <w:t>Estimates</w:t>
            </w:r>
          </w:p>
        </w:tc>
      </w:tr>
      <w:tr w:rsidR="00EA6CF2" w:rsidRPr="00EA6CF2" w14:paraId="2374226E" w14:textId="77777777" w:rsidTr="00EA6CF2">
        <w:trPr>
          <w:divId w:val="2059552374"/>
          <w:trHeight w:hRule="exact" w:val="226"/>
        </w:trPr>
        <w:tc>
          <w:tcPr>
            <w:tcW w:w="2366" w:type="pct"/>
            <w:tcBorders>
              <w:top w:val="nil"/>
              <w:left w:val="nil"/>
              <w:bottom w:val="nil"/>
              <w:right w:val="nil"/>
            </w:tcBorders>
            <w:shd w:val="clear" w:color="000000" w:fill="FFFFFF"/>
            <w:noWrap/>
            <w:vAlign w:val="bottom"/>
            <w:hideMark/>
          </w:tcPr>
          <w:p w14:paraId="66C4444E"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 </w:t>
            </w:r>
          </w:p>
        </w:tc>
        <w:tc>
          <w:tcPr>
            <w:tcW w:w="527" w:type="pct"/>
            <w:tcBorders>
              <w:top w:val="single" w:sz="4" w:space="0" w:color="293F5B"/>
              <w:left w:val="nil"/>
              <w:bottom w:val="nil"/>
              <w:right w:val="nil"/>
            </w:tcBorders>
            <w:shd w:val="clear" w:color="000000" w:fill="FFFFFF"/>
            <w:noWrap/>
            <w:vAlign w:val="center"/>
            <w:hideMark/>
          </w:tcPr>
          <w:p w14:paraId="127D564E" w14:textId="77777777" w:rsidR="00EA6CF2" w:rsidRPr="00EA6CF2" w:rsidRDefault="00EA6CF2" w:rsidP="00EA6CF2">
            <w:pPr>
              <w:spacing w:before="0" w:after="0" w:line="240" w:lineRule="auto"/>
              <w:jc w:val="right"/>
              <w:rPr>
                <w:rFonts w:ascii="Arial" w:hAnsi="Arial" w:cs="Arial"/>
                <w:sz w:val="16"/>
                <w:szCs w:val="16"/>
              </w:rPr>
            </w:pPr>
            <w:r w:rsidRPr="00EA6CF2">
              <w:rPr>
                <w:rFonts w:ascii="Arial" w:hAnsi="Arial" w:cs="Arial"/>
                <w:sz w:val="16"/>
                <w:szCs w:val="16"/>
              </w:rPr>
              <w:t>2022–23</w:t>
            </w:r>
          </w:p>
        </w:tc>
        <w:tc>
          <w:tcPr>
            <w:tcW w:w="527" w:type="pct"/>
            <w:tcBorders>
              <w:top w:val="single" w:sz="4" w:space="0" w:color="293F5B"/>
              <w:left w:val="nil"/>
              <w:bottom w:val="nil"/>
              <w:right w:val="nil"/>
            </w:tcBorders>
            <w:shd w:val="clear" w:color="000000" w:fill="E6F2FF"/>
            <w:noWrap/>
            <w:vAlign w:val="center"/>
            <w:hideMark/>
          </w:tcPr>
          <w:p w14:paraId="6D64AC60" w14:textId="77777777" w:rsidR="00EA6CF2" w:rsidRPr="00EA6CF2" w:rsidRDefault="00EA6CF2" w:rsidP="00EA6CF2">
            <w:pPr>
              <w:spacing w:before="0" w:after="0" w:line="240" w:lineRule="auto"/>
              <w:jc w:val="right"/>
              <w:rPr>
                <w:rFonts w:ascii="Arial" w:hAnsi="Arial" w:cs="Arial"/>
                <w:sz w:val="16"/>
                <w:szCs w:val="16"/>
              </w:rPr>
            </w:pPr>
            <w:r w:rsidRPr="00EA6CF2">
              <w:rPr>
                <w:rFonts w:ascii="Arial" w:hAnsi="Arial" w:cs="Arial"/>
                <w:sz w:val="16"/>
                <w:szCs w:val="16"/>
              </w:rPr>
              <w:t>2023–24</w:t>
            </w:r>
          </w:p>
        </w:tc>
        <w:tc>
          <w:tcPr>
            <w:tcW w:w="527" w:type="pct"/>
            <w:tcBorders>
              <w:top w:val="single" w:sz="4" w:space="0" w:color="293F5B"/>
              <w:left w:val="nil"/>
              <w:bottom w:val="nil"/>
              <w:right w:val="nil"/>
            </w:tcBorders>
            <w:shd w:val="clear" w:color="000000" w:fill="FFFFFF"/>
            <w:noWrap/>
            <w:vAlign w:val="center"/>
            <w:hideMark/>
          </w:tcPr>
          <w:p w14:paraId="4A35C800" w14:textId="77777777" w:rsidR="00EA6CF2" w:rsidRPr="00EA6CF2" w:rsidRDefault="00EA6CF2" w:rsidP="00EA6CF2">
            <w:pPr>
              <w:spacing w:before="0" w:after="0" w:line="240" w:lineRule="auto"/>
              <w:jc w:val="right"/>
              <w:rPr>
                <w:rFonts w:ascii="Arial" w:hAnsi="Arial" w:cs="Arial"/>
                <w:sz w:val="16"/>
                <w:szCs w:val="16"/>
              </w:rPr>
            </w:pPr>
            <w:r w:rsidRPr="00EA6CF2">
              <w:rPr>
                <w:rFonts w:ascii="Arial" w:hAnsi="Arial" w:cs="Arial"/>
                <w:sz w:val="16"/>
                <w:szCs w:val="16"/>
              </w:rPr>
              <w:t>2024–25</w:t>
            </w:r>
          </w:p>
        </w:tc>
        <w:tc>
          <w:tcPr>
            <w:tcW w:w="527" w:type="pct"/>
            <w:tcBorders>
              <w:top w:val="single" w:sz="4" w:space="0" w:color="293F5B"/>
              <w:left w:val="nil"/>
              <w:bottom w:val="nil"/>
              <w:right w:val="nil"/>
            </w:tcBorders>
            <w:shd w:val="clear" w:color="000000" w:fill="FFFFFF"/>
            <w:noWrap/>
            <w:vAlign w:val="center"/>
            <w:hideMark/>
          </w:tcPr>
          <w:p w14:paraId="0C467BD9" w14:textId="77777777" w:rsidR="00EA6CF2" w:rsidRPr="00EA6CF2" w:rsidRDefault="00EA6CF2" w:rsidP="00EA6CF2">
            <w:pPr>
              <w:spacing w:before="0" w:after="0" w:line="240" w:lineRule="auto"/>
              <w:jc w:val="right"/>
              <w:rPr>
                <w:rFonts w:ascii="Arial" w:hAnsi="Arial" w:cs="Arial"/>
                <w:sz w:val="16"/>
                <w:szCs w:val="16"/>
              </w:rPr>
            </w:pPr>
            <w:r w:rsidRPr="00EA6CF2">
              <w:rPr>
                <w:rFonts w:ascii="Arial" w:hAnsi="Arial" w:cs="Arial"/>
                <w:sz w:val="16"/>
                <w:szCs w:val="16"/>
              </w:rPr>
              <w:t>2025–26</w:t>
            </w:r>
          </w:p>
        </w:tc>
        <w:tc>
          <w:tcPr>
            <w:tcW w:w="527" w:type="pct"/>
            <w:tcBorders>
              <w:top w:val="single" w:sz="4" w:space="0" w:color="293F5B"/>
              <w:left w:val="nil"/>
              <w:bottom w:val="nil"/>
              <w:right w:val="nil"/>
            </w:tcBorders>
            <w:shd w:val="clear" w:color="000000" w:fill="FFFFFF"/>
            <w:noWrap/>
            <w:vAlign w:val="center"/>
            <w:hideMark/>
          </w:tcPr>
          <w:p w14:paraId="0709F121"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2026–27</w:t>
            </w:r>
          </w:p>
        </w:tc>
      </w:tr>
      <w:tr w:rsidR="00EA6CF2" w:rsidRPr="00EA6CF2" w14:paraId="29707CA0"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3959AC94"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 </w:t>
            </w:r>
          </w:p>
        </w:tc>
        <w:tc>
          <w:tcPr>
            <w:tcW w:w="527" w:type="pct"/>
            <w:tcBorders>
              <w:top w:val="nil"/>
              <w:left w:val="nil"/>
              <w:bottom w:val="single" w:sz="4" w:space="0" w:color="293F5B"/>
              <w:right w:val="nil"/>
            </w:tcBorders>
            <w:shd w:val="clear" w:color="000000" w:fill="FFFFFF"/>
            <w:noWrap/>
            <w:vAlign w:val="center"/>
            <w:hideMark/>
          </w:tcPr>
          <w:p w14:paraId="403E82B5"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$m</w:t>
            </w:r>
          </w:p>
        </w:tc>
        <w:tc>
          <w:tcPr>
            <w:tcW w:w="527" w:type="pct"/>
            <w:tcBorders>
              <w:top w:val="nil"/>
              <w:left w:val="nil"/>
              <w:bottom w:val="single" w:sz="4" w:space="0" w:color="293F5B"/>
              <w:right w:val="nil"/>
            </w:tcBorders>
            <w:shd w:val="clear" w:color="000000" w:fill="E6F2FF"/>
            <w:noWrap/>
            <w:vAlign w:val="center"/>
            <w:hideMark/>
          </w:tcPr>
          <w:p w14:paraId="39292488"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$m</w:t>
            </w:r>
          </w:p>
        </w:tc>
        <w:tc>
          <w:tcPr>
            <w:tcW w:w="527" w:type="pct"/>
            <w:tcBorders>
              <w:top w:val="nil"/>
              <w:left w:val="nil"/>
              <w:bottom w:val="single" w:sz="4" w:space="0" w:color="293F5B"/>
              <w:right w:val="nil"/>
            </w:tcBorders>
            <w:shd w:val="clear" w:color="000000" w:fill="FFFFFF"/>
            <w:noWrap/>
            <w:vAlign w:val="center"/>
            <w:hideMark/>
          </w:tcPr>
          <w:p w14:paraId="7A6B59E2"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$m</w:t>
            </w:r>
          </w:p>
        </w:tc>
        <w:tc>
          <w:tcPr>
            <w:tcW w:w="527" w:type="pct"/>
            <w:tcBorders>
              <w:top w:val="nil"/>
              <w:left w:val="nil"/>
              <w:bottom w:val="single" w:sz="4" w:space="0" w:color="293F5B"/>
              <w:right w:val="nil"/>
            </w:tcBorders>
            <w:shd w:val="clear" w:color="000000" w:fill="FFFFFF"/>
            <w:noWrap/>
            <w:vAlign w:val="center"/>
            <w:hideMark/>
          </w:tcPr>
          <w:p w14:paraId="03642333"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$m</w:t>
            </w:r>
          </w:p>
        </w:tc>
        <w:tc>
          <w:tcPr>
            <w:tcW w:w="527" w:type="pct"/>
            <w:tcBorders>
              <w:top w:val="nil"/>
              <w:left w:val="nil"/>
              <w:bottom w:val="single" w:sz="4" w:space="0" w:color="293F5B"/>
              <w:right w:val="nil"/>
            </w:tcBorders>
            <w:shd w:val="clear" w:color="000000" w:fill="FFFFFF"/>
            <w:noWrap/>
            <w:vAlign w:val="center"/>
            <w:hideMark/>
          </w:tcPr>
          <w:p w14:paraId="33A704D0"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$m</w:t>
            </w:r>
          </w:p>
        </w:tc>
      </w:tr>
      <w:tr w:rsidR="00EA6CF2" w:rsidRPr="00EA6CF2" w14:paraId="204FCB55"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5B69D087"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Communication</w:t>
            </w:r>
          </w:p>
        </w:tc>
        <w:tc>
          <w:tcPr>
            <w:tcW w:w="527" w:type="pct"/>
            <w:tcBorders>
              <w:top w:val="nil"/>
              <w:left w:val="nil"/>
              <w:bottom w:val="nil"/>
              <w:right w:val="nil"/>
            </w:tcBorders>
            <w:shd w:val="clear" w:color="000000" w:fill="FFFFFF"/>
            <w:noWrap/>
            <w:vAlign w:val="center"/>
            <w:hideMark/>
          </w:tcPr>
          <w:p w14:paraId="0571B30C"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1,627</w:t>
            </w:r>
          </w:p>
        </w:tc>
        <w:tc>
          <w:tcPr>
            <w:tcW w:w="527" w:type="pct"/>
            <w:tcBorders>
              <w:top w:val="nil"/>
              <w:left w:val="nil"/>
              <w:bottom w:val="nil"/>
              <w:right w:val="nil"/>
            </w:tcBorders>
            <w:shd w:val="clear" w:color="000000" w:fill="E6F2FF"/>
            <w:noWrap/>
            <w:vAlign w:val="center"/>
            <w:hideMark/>
          </w:tcPr>
          <w:p w14:paraId="75EE8B54"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1,924</w:t>
            </w:r>
          </w:p>
        </w:tc>
        <w:tc>
          <w:tcPr>
            <w:tcW w:w="527" w:type="pct"/>
            <w:tcBorders>
              <w:top w:val="nil"/>
              <w:left w:val="nil"/>
              <w:bottom w:val="nil"/>
              <w:right w:val="nil"/>
            </w:tcBorders>
            <w:shd w:val="clear" w:color="000000" w:fill="FFFFFF"/>
            <w:noWrap/>
            <w:vAlign w:val="center"/>
            <w:hideMark/>
          </w:tcPr>
          <w:p w14:paraId="5B6409A7"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1,719</w:t>
            </w:r>
          </w:p>
        </w:tc>
        <w:tc>
          <w:tcPr>
            <w:tcW w:w="527" w:type="pct"/>
            <w:tcBorders>
              <w:top w:val="nil"/>
              <w:left w:val="nil"/>
              <w:bottom w:val="nil"/>
              <w:right w:val="nil"/>
            </w:tcBorders>
            <w:shd w:val="clear" w:color="000000" w:fill="FFFFFF"/>
            <w:noWrap/>
            <w:vAlign w:val="center"/>
            <w:hideMark/>
          </w:tcPr>
          <w:p w14:paraId="27D33A7D"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1,663</w:t>
            </w:r>
          </w:p>
        </w:tc>
        <w:tc>
          <w:tcPr>
            <w:tcW w:w="527" w:type="pct"/>
            <w:tcBorders>
              <w:top w:val="nil"/>
              <w:left w:val="nil"/>
              <w:bottom w:val="nil"/>
              <w:right w:val="nil"/>
            </w:tcBorders>
            <w:shd w:val="clear" w:color="000000" w:fill="FFFFFF"/>
            <w:noWrap/>
            <w:vAlign w:val="center"/>
            <w:hideMark/>
          </w:tcPr>
          <w:p w14:paraId="6D7799AF"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1,631</w:t>
            </w:r>
          </w:p>
        </w:tc>
      </w:tr>
      <w:tr w:rsidR="00EA6CF2" w:rsidRPr="00EA6CF2" w14:paraId="655B8AB3"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30383FFD"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Rail transport</w:t>
            </w:r>
          </w:p>
        </w:tc>
        <w:tc>
          <w:tcPr>
            <w:tcW w:w="527" w:type="pct"/>
            <w:tcBorders>
              <w:top w:val="nil"/>
              <w:left w:val="nil"/>
              <w:bottom w:val="nil"/>
              <w:right w:val="nil"/>
            </w:tcBorders>
            <w:shd w:val="clear" w:color="000000" w:fill="FFFFFF"/>
            <w:noWrap/>
            <w:vAlign w:val="center"/>
            <w:hideMark/>
          </w:tcPr>
          <w:p w14:paraId="78FBAB04"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3,035</w:t>
            </w:r>
          </w:p>
        </w:tc>
        <w:tc>
          <w:tcPr>
            <w:tcW w:w="527" w:type="pct"/>
            <w:tcBorders>
              <w:top w:val="nil"/>
              <w:left w:val="nil"/>
              <w:bottom w:val="nil"/>
              <w:right w:val="nil"/>
            </w:tcBorders>
            <w:shd w:val="clear" w:color="000000" w:fill="E6F2FF"/>
            <w:noWrap/>
            <w:vAlign w:val="center"/>
            <w:hideMark/>
          </w:tcPr>
          <w:p w14:paraId="69DCBE0C"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4,065</w:t>
            </w:r>
          </w:p>
        </w:tc>
        <w:tc>
          <w:tcPr>
            <w:tcW w:w="527" w:type="pct"/>
            <w:tcBorders>
              <w:top w:val="nil"/>
              <w:left w:val="nil"/>
              <w:bottom w:val="nil"/>
              <w:right w:val="nil"/>
            </w:tcBorders>
            <w:shd w:val="clear" w:color="000000" w:fill="FFFFFF"/>
            <w:noWrap/>
            <w:vAlign w:val="center"/>
            <w:hideMark/>
          </w:tcPr>
          <w:p w14:paraId="5473CD77"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4,342</w:t>
            </w:r>
          </w:p>
        </w:tc>
        <w:tc>
          <w:tcPr>
            <w:tcW w:w="527" w:type="pct"/>
            <w:tcBorders>
              <w:top w:val="nil"/>
              <w:left w:val="nil"/>
              <w:bottom w:val="nil"/>
              <w:right w:val="nil"/>
            </w:tcBorders>
            <w:shd w:val="clear" w:color="000000" w:fill="FFFFFF"/>
            <w:noWrap/>
            <w:vAlign w:val="center"/>
            <w:hideMark/>
          </w:tcPr>
          <w:p w14:paraId="799E38C6"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3,867</w:t>
            </w:r>
          </w:p>
        </w:tc>
        <w:tc>
          <w:tcPr>
            <w:tcW w:w="527" w:type="pct"/>
            <w:tcBorders>
              <w:top w:val="nil"/>
              <w:left w:val="nil"/>
              <w:bottom w:val="nil"/>
              <w:right w:val="nil"/>
            </w:tcBorders>
            <w:shd w:val="clear" w:color="000000" w:fill="FFFFFF"/>
            <w:noWrap/>
            <w:vAlign w:val="center"/>
            <w:hideMark/>
          </w:tcPr>
          <w:p w14:paraId="45F50F5F"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3,279</w:t>
            </w:r>
          </w:p>
        </w:tc>
      </w:tr>
      <w:tr w:rsidR="00EA6CF2" w:rsidRPr="00EA6CF2" w14:paraId="3CD14A92"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03E4D10B"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Air transport</w:t>
            </w:r>
          </w:p>
        </w:tc>
        <w:tc>
          <w:tcPr>
            <w:tcW w:w="527" w:type="pct"/>
            <w:tcBorders>
              <w:top w:val="nil"/>
              <w:left w:val="nil"/>
              <w:bottom w:val="nil"/>
              <w:right w:val="nil"/>
            </w:tcBorders>
            <w:shd w:val="clear" w:color="000000" w:fill="FFFFFF"/>
            <w:noWrap/>
            <w:vAlign w:val="center"/>
            <w:hideMark/>
          </w:tcPr>
          <w:p w14:paraId="7C344891"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432</w:t>
            </w:r>
          </w:p>
        </w:tc>
        <w:tc>
          <w:tcPr>
            <w:tcW w:w="527" w:type="pct"/>
            <w:tcBorders>
              <w:top w:val="nil"/>
              <w:left w:val="nil"/>
              <w:bottom w:val="nil"/>
              <w:right w:val="nil"/>
            </w:tcBorders>
            <w:shd w:val="clear" w:color="000000" w:fill="E6F2FF"/>
            <w:noWrap/>
            <w:vAlign w:val="center"/>
            <w:hideMark/>
          </w:tcPr>
          <w:p w14:paraId="7CD0DE01"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448</w:t>
            </w:r>
          </w:p>
        </w:tc>
        <w:tc>
          <w:tcPr>
            <w:tcW w:w="527" w:type="pct"/>
            <w:tcBorders>
              <w:top w:val="nil"/>
              <w:left w:val="nil"/>
              <w:bottom w:val="nil"/>
              <w:right w:val="nil"/>
            </w:tcBorders>
            <w:shd w:val="clear" w:color="000000" w:fill="FFFFFF"/>
            <w:noWrap/>
            <w:vAlign w:val="center"/>
            <w:hideMark/>
          </w:tcPr>
          <w:p w14:paraId="73E1CBF7"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347</w:t>
            </w:r>
          </w:p>
        </w:tc>
        <w:tc>
          <w:tcPr>
            <w:tcW w:w="527" w:type="pct"/>
            <w:tcBorders>
              <w:top w:val="nil"/>
              <w:left w:val="nil"/>
              <w:bottom w:val="nil"/>
              <w:right w:val="nil"/>
            </w:tcBorders>
            <w:shd w:val="clear" w:color="000000" w:fill="FFFFFF"/>
            <w:noWrap/>
            <w:vAlign w:val="center"/>
            <w:hideMark/>
          </w:tcPr>
          <w:p w14:paraId="385AA975"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400</w:t>
            </w:r>
          </w:p>
        </w:tc>
        <w:tc>
          <w:tcPr>
            <w:tcW w:w="527" w:type="pct"/>
            <w:tcBorders>
              <w:top w:val="nil"/>
              <w:left w:val="nil"/>
              <w:bottom w:val="nil"/>
              <w:right w:val="nil"/>
            </w:tcBorders>
            <w:shd w:val="clear" w:color="000000" w:fill="FFFFFF"/>
            <w:noWrap/>
            <w:vAlign w:val="center"/>
            <w:hideMark/>
          </w:tcPr>
          <w:p w14:paraId="0923C88C"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292</w:t>
            </w:r>
          </w:p>
        </w:tc>
      </w:tr>
      <w:tr w:rsidR="00EA6CF2" w:rsidRPr="00EA6CF2" w14:paraId="59269F67"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4426A738"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Road transport</w:t>
            </w:r>
          </w:p>
        </w:tc>
        <w:tc>
          <w:tcPr>
            <w:tcW w:w="527" w:type="pct"/>
            <w:tcBorders>
              <w:top w:val="nil"/>
              <w:left w:val="nil"/>
              <w:bottom w:val="nil"/>
              <w:right w:val="nil"/>
            </w:tcBorders>
            <w:shd w:val="clear" w:color="000000" w:fill="FFFFFF"/>
            <w:noWrap/>
            <w:vAlign w:val="center"/>
            <w:hideMark/>
          </w:tcPr>
          <w:p w14:paraId="19E9E391"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7,663</w:t>
            </w:r>
          </w:p>
        </w:tc>
        <w:tc>
          <w:tcPr>
            <w:tcW w:w="527" w:type="pct"/>
            <w:tcBorders>
              <w:top w:val="nil"/>
              <w:left w:val="nil"/>
              <w:bottom w:val="nil"/>
              <w:right w:val="nil"/>
            </w:tcBorders>
            <w:shd w:val="clear" w:color="000000" w:fill="E6F2FF"/>
            <w:noWrap/>
            <w:vAlign w:val="center"/>
            <w:hideMark/>
          </w:tcPr>
          <w:p w14:paraId="3CCBEB72"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10,337</w:t>
            </w:r>
          </w:p>
        </w:tc>
        <w:tc>
          <w:tcPr>
            <w:tcW w:w="527" w:type="pct"/>
            <w:tcBorders>
              <w:top w:val="nil"/>
              <w:left w:val="nil"/>
              <w:bottom w:val="nil"/>
              <w:right w:val="nil"/>
            </w:tcBorders>
            <w:shd w:val="clear" w:color="000000" w:fill="FFFFFF"/>
            <w:noWrap/>
            <w:vAlign w:val="center"/>
            <w:hideMark/>
          </w:tcPr>
          <w:p w14:paraId="76144FF9"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10,613</w:t>
            </w:r>
          </w:p>
        </w:tc>
        <w:tc>
          <w:tcPr>
            <w:tcW w:w="527" w:type="pct"/>
            <w:tcBorders>
              <w:top w:val="nil"/>
              <w:left w:val="nil"/>
              <w:bottom w:val="nil"/>
              <w:right w:val="nil"/>
            </w:tcBorders>
            <w:shd w:val="clear" w:color="000000" w:fill="FFFFFF"/>
            <w:noWrap/>
            <w:vAlign w:val="center"/>
            <w:hideMark/>
          </w:tcPr>
          <w:p w14:paraId="044D0251"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10,096</w:t>
            </w:r>
          </w:p>
        </w:tc>
        <w:tc>
          <w:tcPr>
            <w:tcW w:w="527" w:type="pct"/>
            <w:tcBorders>
              <w:top w:val="nil"/>
              <w:left w:val="nil"/>
              <w:bottom w:val="nil"/>
              <w:right w:val="nil"/>
            </w:tcBorders>
            <w:shd w:val="clear" w:color="000000" w:fill="FFFFFF"/>
            <w:noWrap/>
            <w:vAlign w:val="center"/>
            <w:hideMark/>
          </w:tcPr>
          <w:p w14:paraId="195E7E79"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9,310</w:t>
            </w:r>
          </w:p>
        </w:tc>
      </w:tr>
      <w:tr w:rsidR="00EA6CF2" w:rsidRPr="00EA6CF2" w14:paraId="1CD0FB70"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39BE1C24"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Sea transport</w:t>
            </w:r>
          </w:p>
        </w:tc>
        <w:tc>
          <w:tcPr>
            <w:tcW w:w="527" w:type="pct"/>
            <w:tcBorders>
              <w:top w:val="nil"/>
              <w:left w:val="nil"/>
              <w:bottom w:val="nil"/>
              <w:right w:val="nil"/>
            </w:tcBorders>
            <w:shd w:val="clear" w:color="000000" w:fill="FFFFFF"/>
            <w:noWrap/>
            <w:vAlign w:val="center"/>
            <w:hideMark/>
          </w:tcPr>
          <w:p w14:paraId="4D4A763B"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461</w:t>
            </w:r>
          </w:p>
        </w:tc>
        <w:tc>
          <w:tcPr>
            <w:tcW w:w="527" w:type="pct"/>
            <w:tcBorders>
              <w:top w:val="nil"/>
              <w:left w:val="nil"/>
              <w:bottom w:val="nil"/>
              <w:right w:val="nil"/>
            </w:tcBorders>
            <w:shd w:val="clear" w:color="000000" w:fill="E6F2FF"/>
            <w:noWrap/>
            <w:vAlign w:val="center"/>
            <w:hideMark/>
          </w:tcPr>
          <w:p w14:paraId="3CA69784"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473</w:t>
            </w:r>
          </w:p>
        </w:tc>
        <w:tc>
          <w:tcPr>
            <w:tcW w:w="527" w:type="pct"/>
            <w:tcBorders>
              <w:top w:val="nil"/>
              <w:left w:val="nil"/>
              <w:bottom w:val="nil"/>
              <w:right w:val="nil"/>
            </w:tcBorders>
            <w:shd w:val="clear" w:color="000000" w:fill="FFFFFF"/>
            <w:noWrap/>
            <w:vAlign w:val="center"/>
            <w:hideMark/>
          </w:tcPr>
          <w:p w14:paraId="5E0F73E0"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494</w:t>
            </w:r>
          </w:p>
        </w:tc>
        <w:tc>
          <w:tcPr>
            <w:tcW w:w="527" w:type="pct"/>
            <w:tcBorders>
              <w:top w:val="nil"/>
              <w:left w:val="nil"/>
              <w:bottom w:val="nil"/>
              <w:right w:val="nil"/>
            </w:tcBorders>
            <w:shd w:val="clear" w:color="000000" w:fill="FFFFFF"/>
            <w:noWrap/>
            <w:vAlign w:val="center"/>
            <w:hideMark/>
          </w:tcPr>
          <w:p w14:paraId="11DD38D0"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489</w:t>
            </w:r>
          </w:p>
        </w:tc>
        <w:tc>
          <w:tcPr>
            <w:tcW w:w="527" w:type="pct"/>
            <w:tcBorders>
              <w:top w:val="nil"/>
              <w:left w:val="nil"/>
              <w:bottom w:val="nil"/>
              <w:right w:val="nil"/>
            </w:tcBorders>
            <w:shd w:val="clear" w:color="000000" w:fill="FFFFFF"/>
            <w:noWrap/>
            <w:vAlign w:val="center"/>
            <w:hideMark/>
          </w:tcPr>
          <w:p w14:paraId="6ED92E45"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494</w:t>
            </w:r>
          </w:p>
        </w:tc>
      </w:tr>
      <w:tr w:rsidR="00EA6CF2" w:rsidRPr="00EA6CF2" w14:paraId="1C308B86" w14:textId="77777777" w:rsidTr="00EA6CF2">
        <w:trPr>
          <w:divId w:val="2059552374"/>
          <w:trHeight w:hRule="exact" w:val="226"/>
        </w:trPr>
        <w:tc>
          <w:tcPr>
            <w:tcW w:w="2366" w:type="pct"/>
            <w:tcBorders>
              <w:top w:val="nil"/>
              <w:left w:val="nil"/>
              <w:bottom w:val="nil"/>
              <w:right w:val="nil"/>
            </w:tcBorders>
            <w:shd w:val="clear" w:color="000000" w:fill="FFFFFF"/>
            <w:noWrap/>
            <w:vAlign w:val="center"/>
            <w:hideMark/>
          </w:tcPr>
          <w:p w14:paraId="184AC098" w14:textId="77777777" w:rsidR="00EA6CF2" w:rsidRPr="00EA6CF2" w:rsidRDefault="00EA6CF2" w:rsidP="00EA6CF2">
            <w:pPr>
              <w:spacing w:before="0" w:after="0" w:line="240" w:lineRule="auto"/>
              <w:rPr>
                <w:rFonts w:ascii="Arial" w:hAnsi="Arial" w:cs="Arial"/>
                <w:color w:val="000000"/>
                <w:sz w:val="16"/>
                <w:szCs w:val="16"/>
              </w:rPr>
            </w:pPr>
            <w:r w:rsidRPr="00EA6CF2">
              <w:rPr>
                <w:rFonts w:ascii="Arial" w:hAnsi="Arial" w:cs="Arial"/>
                <w:color w:val="000000"/>
                <w:sz w:val="16"/>
                <w:szCs w:val="16"/>
              </w:rPr>
              <w:t>Other transport and communication</w:t>
            </w:r>
          </w:p>
        </w:tc>
        <w:tc>
          <w:tcPr>
            <w:tcW w:w="527" w:type="pct"/>
            <w:tcBorders>
              <w:top w:val="nil"/>
              <w:left w:val="nil"/>
              <w:bottom w:val="single" w:sz="4" w:space="0" w:color="293F5B"/>
              <w:right w:val="nil"/>
            </w:tcBorders>
            <w:shd w:val="clear" w:color="000000" w:fill="FFFFFF"/>
            <w:noWrap/>
            <w:vAlign w:val="center"/>
            <w:hideMark/>
          </w:tcPr>
          <w:p w14:paraId="06CB56F2"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242</w:t>
            </w:r>
          </w:p>
        </w:tc>
        <w:tc>
          <w:tcPr>
            <w:tcW w:w="527" w:type="pct"/>
            <w:tcBorders>
              <w:top w:val="nil"/>
              <w:left w:val="nil"/>
              <w:bottom w:val="single" w:sz="4" w:space="0" w:color="293F5B"/>
              <w:right w:val="nil"/>
            </w:tcBorders>
            <w:shd w:val="clear" w:color="000000" w:fill="E6F2FF"/>
            <w:noWrap/>
            <w:vAlign w:val="center"/>
            <w:hideMark/>
          </w:tcPr>
          <w:p w14:paraId="41D33F95"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261</w:t>
            </w:r>
          </w:p>
        </w:tc>
        <w:tc>
          <w:tcPr>
            <w:tcW w:w="527" w:type="pct"/>
            <w:tcBorders>
              <w:top w:val="nil"/>
              <w:left w:val="nil"/>
              <w:bottom w:val="single" w:sz="4" w:space="0" w:color="293F5B"/>
              <w:right w:val="nil"/>
            </w:tcBorders>
            <w:shd w:val="clear" w:color="000000" w:fill="FFFFFF"/>
            <w:noWrap/>
            <w:vAlign w:val="center"/>
            <w:hideMark/>
          </w:tcPr>
          <w:p w14:paraId="603AFD69"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217</w:t>
            </w:r>
          </w:p>
        </w:tc>
        <w:tc>
          <w:tcPr>
            <w:tcW w:w="527" w:type="pct"/>
            <w:tcBorders>
              <w:top w:val="nil"/>
              <w:left w:val="nil"/>
              <w:bottom w:val="single" w:sz="4" w:space="0" w:color="293F5B"/>
              <w:right w:val="nil"/>
            </w:tcBorders>
            <w:shd w:val="clear" w:color="000000" w:fill="FFFFFF"/>
            <w:noWrap/>
            <w:vAlign w:val="center"/>
            <w:hideMark/>
          </w:tcPr>
          <w:p w14:paraId="52188D85"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229</w:t>
            </w:r>
          </w:p>
        </w:tc>
        <w:tc>
          <w:tcPr>
            <w:tcW w:w="527" w:type="pct"/>
            <w:tcBorders>
              <w:top w:val="nil"/>
              <w:left w:val="nil"/>
              <w:bottom w:val="single" w:sz="4" w:space="0" w:color="293F5B"/>
              <w:right w:val="nil"/>
            </w:tcBorders>
            <w:shd w:val="clear" w:color="000000" w:fill="FFFFFF"/>
            <w:noWrap/>
            <w:vAlign w:val="center"/>
            <w:hideMark/>
          </w:tcPr>
          <w:p w14:paraId="12FA0222" w14:textId="77777777" w:rsidR="00EA6CF2" w:rsidRPr="00EA6CF2" w:rsidRDefault="00EA6CF2" w:rsidP="00EA6CF2">
            <w:pPr>
              <w:spacing w:before="0" w:after="0" w:line="240" w:lineRule="auto"/>
              <w:jc w:val="right"/>
              <w:rPr>
                <w:rFonts w:ascii="Arial" w:hAnsi="Arial" w:cs="Arial"/>
                <w:color w:val="000000"/>
                <w:sz w:val="16"/>
                <w:szCs w:val="16"/>
              </w:rPr>
            </w:pPr>
            <w:r w:rsidRPr="00EA6CF2">
              <w:rPr>
                <w:rFonts w:ascii="Arial" w:hAnsi="Arial" w:cs="Arial"/>
                <w:color w:val="000000"/>
                <w:sz w:val="16"/>
                <w:szCs w:val="16"/>
              </w:rPr>
              <w:t>218</w:t>
            </w:r>
          </w:p>
        </w:tc>
      </w:tr>
      <w:tr w:rsidR="00EA6CF2" w:rsidRPr="00EA6CF2" w14:paraId="49DEE9F4" w14:textId="77777777" w:rsidTr="00EA6CF2">
        <w:trPr>
          <w:divId w:val="2059552374"/>
          <w:trHeight w:hRule="exact" w:val="226"/>
        </w:trPr>
        <w:tc>
          <w:tcPr>
            <w:tcW w:w="2366" w:type="pct"/>
            <w:tcBorders>
              <w:top w:val="nil"/>
              <w:left w:val="nil"/>
              <w:bottom w:val="single" w:sz="4" w:space="0" w:color="293F5B"/>
              <w:right w:val="nil"/>
            </w:tcBorders>
            <w:shd w:val="clear" w:color="000000" w:fill="FFFFFF"/>
            <w:noWrap/>
            <w:vAlign w:val="center"/>
            <w:hideMark/>
          </w:tcPr>
          <w:p w14:paraId="0D655DDD" w14:textId="77777777" w:rsidR="00EA6CF2" w:rsidRPr="00EA6CF2" w:rsidRDefault="00EA6CF2" w:rsidP="00EA6CF2">
            <w:pPr>
              <w:spacing w:before="0" w:after="0" w:line="240" w:lineRule="auto"/>
              <w:rPr>
                <w:rFonts w:ascii="Arial" w:hAnsi="Arial" w:cs="Arial"/>
                <w:b/>
                <w:bCs/>
                <w:color w:val="000000"/>
                <w:sz w:val="16"/>
                <w:szCs w:val="16"/>
              </w:rPr>
            </w:pPr>
            <w:r w:rsidRPr="00EA6CF2">
              <w:rPr>
                <w:rFonts w:ascii="Arial" w:hAnsi="Arial" w:cs="Arial"/>
                <w:b/>
                <w:bCs/>
                <w:color w:val="000000"/>
                <w:sz w:val="16"/>
                <w:szCs w:val="16"/>
              </w:rPr>
              <w:t>Total transport and communication</w:t>
            </w:r>
          </w:p>
        </w:tc>
        <w:tc>
          <w:tcPr>
            <w:tcW w:w="527" w:type="pct"/>
            <w:tcBorders>
              <w:top w:val="nil"/>
              <w:left w:val="nil"/>
              <w:bottom w:val="single" w:sz="4" w:space="0" w:color="293F5B"/>
              <w:right w:val="nil"/>
            </w:tcBorders>
            <w:shd w:val="clear" w:color="000000" w:fill="FFFFFF"/>
            <w:noWrap/>
            <w:vAlign w:val="center"/>
            <w:hideMark/>
          </w:tcPr>
          <w:p w14:paraId="04CE9405" w14:textId="77777777" w:rsidR="00EA6CF2" w:rsidRPr="00EA6CF2" w:rsidRDefault="00EA6CF2" w:rsidP="00EA6CF2">
            <w:pPr>
              <w:spacing w:before="0" w:after="0" w:line="240" w:lineRule="auto"/>
              <w:jc w:val="right"/>
              <w:rPr>
                <w:rFonts w:ascii="Arial" w:hAnsi="Arial" w:cs="Arial"/>
                <w:b/>
                <w:bCs/>
                <w:color w:val="000000"/>
                <w:sz w:val="16"/>
                <w:szCs w:val="16"/>
              </w:rPr>
            </w:pPr>
            <w:r w:rsidRPr="00EA6CF2">
              <w:rPr>
                <w:rFonts w:ascii="Arial" w:hAnsi="Arial" w:cs="Arial"/>
                <w:b/>
                <w:bCs/>
                <w:color w:val="000000"/>
                <w:sz w:val="16"/>
                <w:szCs w:val="16"/>
              </w:rPr>
              <w:t>13,461</w:t>
            </w:r>
          </w:p>
        </w:tc>
        <w:tc>
          <w:tcPr>
            <w:tcW w:w="527" w:type="pct"/>
            <w:tcBorders>
              <w:top w:val="nil"/>
              <w:left w:val="nil"/>
              <w:bottom w:val="single" w:sz="4" w:space="0" w:color="293F5B"/>
              <w:right w:val="nil"/>
            </w:tcBorders>
            <w:shd w:val="clear" w:color="000000" w:fill="E6F2FF"/>
            <w:noWrap/>
            <w:vAlign w:val="center"/>
            <w:hideMark/>
          </w:tcPr>
          <w:p w14:paraId="04114828" w14:textId="77777777" w:rsidR="00EA6CF2" w:rsidRPr="00EA6CF2" w:rsidRDefault="00EA6CF2" w:rsidP="00EA6CF2">
            <w:pPr>
              <w:spacing w:before="0" w:after="0" w:line="240" w:lineRule="auto"/>
              <w:jc w:val="right"/>
              <w:rPr>
                <w:rFonts w:ascii="Arial" w:hAnsi="Arial" w:cs="Arial"/>
                <w:b/>
                <w:bCs/>
                <w:color w:val="000000"/>
                <w:sz w:val="16"/>
                <w:szCs w:val="16"/>
              </w:rPr>
            </w:pPr>
            <w:r w:rsidRPr="00EA6CF2">
              <w:rPr>
                <w:rFonts w:ascii="Arial" w:hAnsi="Arial" w:cs="Arial"/>
                <w:b/>
                <w:bCs/>
                <w:color w:val="000000"/>
                <w:sz w:val="16"/>
                <w:szCs w:val="16"/>
              </w:rPr>
              <w:t>17,508</w:t>
            </w:r>
          </w:p>
        </w:tc>
        <w:tc>
          <w:tcPr>
            <w:tcW w:w="527" w:type="pct"/>
            <w:tcBorders>
              <w:top w:val="nil"/>
              <w:left w:val="nil"/>
              <w:bottom w:val="single" w:sz="4" w:space="0" w:color="293F5B"/>
              <w:right w:val="nil"/>
            </w:tcBorders>
            <w:shd w:val="clear" w:color="000000" w:fill="FFFFFF"/>
            <w:noWrap/>
            <w:vAlign w:val="center"/>
            <w:hideMark/>
          </w:tcPr>
          <w:p w14:paraId="2609CCD2" w14:textId="77777777" w:rsidR="00EA6CF2" w:rsidRPr="00EA6CF2" w:rsidRDefault="00EA6CF2" w:rsidP="00EA6CF2">
            <w:pPr>
              <w:spacing w:before="0" w:after="0" w:line="240" w:lineRule="auto"/>
              <w:jc w:val="right"/>
              <w:rPr>
                <w:rFonts w:ascii="Arial" w:hAnsi="Arial" w:cs="Arial"/>
                <w:b/>
                <w:bCs/>
                <w:color w:val="000000"/>
                <w:sz w:val="16"/>
                <w:szCs w:val="16"/>
              </w:rPr>
            </w:pPr>
            <w:r w:rsidRPr="00EA6CF2">
              <w:rPr>
                <w:rFonts w:ascii="Arial" w:hAnsi="Arial" w:cs="Arial"/>
                <w:b/>
                <w:bCs/>
                <w:color w:val="000000"/>
                <w:sz w:val="16"/>
                <w:szCs w:val="16"/>
              </w:rPr>
              <w:t>17,733</w:t>
            </w:r>
          </w:p>
        </w:tc>
        <w:tc>
          <w:tcPr>
            <w:tcW w:w="527" w:type="pct"/>
            <w:tcBorders>
              <w:top w:val="nil"/>
              <w:left w:val="nil"/>
              <w:bottom w:val="single" w:sz="4" w:space="0" w:color="293F5B"/>
              <w:right w:val="nil"/>
            </w:tcBorders>
            <w:shd w:val="clear" w:color="000000" w:fill="FFFFFF"/>
            <w:noWrap/>
            <w:vAlign w:val="center"/>
            <w:hideMark/>
          </w:tcPr>
          <w:p w14:paraId="61036728" w14:textId="77777777" w:rsidR="00EA6CF2" w:rsidRPr="00EA6CF2" w:rsidRDefault="00EA6CF2" w:rsidP="00EA6CF2">
            <w:pPr>
              <w:spacing w:before="0" w:after="0" w:line="240" w:lineRule="auto"/>
              <w:jc w:val="right"/>
              <w:rPr>
                <w:rFonts w:ascii="Arial" w:hAnsi="Arial" w:cs="Arial"/>
                <w:b/>
                <w:bCs/>
                <w:color w:val="000000"/>
                <w:sz w:val="16"/>
                <w:szCs w:val="16"/>
              </w:rPr>
            </w:pPr>
            <w:r w:rsidRPr="00EA6CF2">
              <w:rPr>
                <w:rFonts w:ascii="Arial" w:hAnsi="Arial" w:cs="Arial"/>
                <w:b/>
                <w:bCs/>
                <w:color w:val="000000"/>
                <w:sz w:val="16"/>
                <w:szCs w:val="16"/>
              </w:rPr>
              <w:t>16,744</w:t>
            </w:r>
          </w:p>
        </w:tc>
        <w:tc>
          <w:tcPr>
            <w:tcW w:w="527" w:type="pct"/>
            <w:tcBorders>
              <w:top w:val="nil"/>
              <w:left w:val="nil"/>
              <w:bottom w:val="single" w:sz="4" w:space="0" w:color="293F5B"/>
              <w:right w:val="nil"/>
            </w:tcBorders>
            <w:shd w:val="clear" w:color="000000" w:fill="FFFFFF"/>
            <w:noWrap/>
            <w:vAlign w:val="center"/>
            <w:hideMark/>
          </w:tcPr>
          <w:p w14:paraId="5A9965B0" w14:textId="77777777" w:rsidR="00EA6CF2" w:rsidRPr="00EA6CF2" w:rsidRDefault="00EA6CF2" w:rsidP="00EA6CF2">
            <w:pPr>
              <w:spacing w:before="0" w:after="0" w:line="240" w:lineRule="auto"/>
              <w:jc w:val="right"/>
              <w:rPr>
                <w:rFonts w:ascii="Arial" w:hAnsi="Arial" w:cs="Arial"/>
                <w:b/>
                <w:bCs/>
                <w:color w:val="000000"/>
                <w:sz w:val="16"/>
                <w:szCs w:val="16"/>
              </w:rPr>
            </w:pPr>
            <w:r w:rsidRPr="00EA6CF2">
              <w:rPr>
                <w:rFonts w:ascii="Arial" w:hAnsi="Arial" w:cs="Arial"/>
                <w:b/>
                <w:bCs/>
                <w:color w:val="000000"/>
                <w:sz w:val="16"/>
                <w:szCs w:val="16"/>
              </w:rPr>
              <w:t>15,225</w:t>
            </w:r>
          </w:p>
        </w:tc>
      </w:tr>
    </w:tbl>
    <w:p w14:paraId="331DB369" w14:textId="42E8D9B2" w:rsidR="0050166A" w:rsidRPr="0021687D" w:rsidRDefault="0050166A" w:rsidP="0050166A">
      <w:pPr>
        <w:rPr>
          <w:lang w:val="en-US"/>
        </w:rPr>
      </w:pPr>
      <w:bookmarkStart w:id="141" w:name="_Toc99203691"/>
      <w:bookmarkStart w:id="142" w:name="_Toc117358184"/>
      <w:r w:rsidRPr="006365E2">
        <w:t xml:space="preserve">Total </w:t>
      </w:r>
      <w:r w:rsidRPr="0021687D">
        <w:t xml:space="preserve">expenses under this function are estimated to </w:t>
      </w:r>
      <w:r w:rsidRPr="0021687D">
        <w:rPr>
          <w:lang w:val="en-US"/>
        </w:rPr>
        <w:t>decrease in nominal terms by 13.</w:t>
      </w:r>
      <w:r w:rsidR="009710CB" w:rsidRPr="0021687D">
        <w:rPr>
          <w:lang w:val="en-US"/>
        </w:rPr>
        <w:t>0</w:t>
      </w:r>
      <w:r w:rsidR="00893776">
        <w:rPr>
          <w:lang w:val="en-US"/>
        </w:rPr>
        <w:t> per </w:t>
      </w:r>
      <w:r w:rsidRPr="0021687D">
        <w:rPr>
          <w:lang w:val="en-US"/>
        </w:rPr>
        <w:t>cent and by 19.7</w:t>
      </w:r>
      <w:r w:rsidR="00893776">
        <w:rPr>
          <w:lang w:val="en-US"/>
        </w:rPr>
        <w:t> per </w:t>
      </w:r>
      <w:r w:rsidRPr="0021687D">
        <w:rPr>
          <w:lang w:val="en-US"/>
        </w:rPr>
        <w:t>cent in real terms from 2023</w:t>
      </w:r>
      <w:r w:rsidR="00D25E5B">
        <w:rPr>
          <w:lang w:val="en-US"/>
        </w:rPr>
        <w:t>–</w:t>
      </w:r>
      <w:r w:rsidRPr="0021687D">
        <w:rPr>
          <w:lang w:val="en-US"/>
        </w:rPr>
        <w:t>24 to 2026</w:t>
      </w:r>
      <w:r w:rsidR="00D25E5B">
        <w:rPr>
          <w:lang w:val="en-US"/>
        </w:rPr>
        <w:t>–</w:t>
      </w:r>
      <w:r w:rsidRPr="0021687D">
        <w:rPr>
          <w:lang w:val="en-US"/>
        </w:rPr>
        <w:t>27.</w:t>
      </w:r>
    </w:p>
    <w:p w14:paraId="15788A54" w14:textId="0BDD00DE" w:rsidR="0050166A" w:rsidRPr="000177D7" w:rsidRDefault="0050166A" w:rsidP="0050166A">
      <w:r w:rsidRPr="0021687D">
        <w:t xml:space="preserve">Expenses under the </w:t>
      </w:r>
      <w:r w:rsidRPr="0021687D">
        <w:rPr>
          <w:b/>
        </w:rPr>
        <w:t>communication</w:t>
      </w:r>
      <w:r w:rsidRPr="000177D7">
        <w:t xml:space="preserve"> sub</w:t>
      </w:r>
      <w:r w:rsidR="00D34B95">
        <w:noBreakHyphen/>
      </w:r>
      <w:r w:rsidRPr="000177D7">
        <w:t>function relate to communications activities and support for the digital economy through the Department of Infrastructure, Transport, Regional Development, Communications and the Arts, and the Australian Communications and Media Authority. Total expenses under this sub</w:t>
      </w:r>
      <w:r w:rsidR="00D34B95">
        <w:noBreakHyphen/>
      </w:r>
      <w:r w:rsidRPr="000177D7">
        <w:t xml:space="preserve">function are estimated to </w:t>
      </w:r>
      <w:r>
        <w:t>decrease from 2023</w:t>
      </w:r>
      <w:r w:rsidR="00D25E5B">
        <w:t>–</w:t>
      </w:r>
      <w:r>
        <w:t>24 to 2026</w:t>
      </w:r>
      <w:r w:rsidR="00D25E5B">
        <w:t>–</w:t>
      </w:r>
      <w:r>
        <w:t>27</w:t>
      </w:r>
      <w:r w:rsidRPr="000177D7">
        <w:t xml:space="preserve"> primarily reflect</w:t>
      </w:r>
      <w:r>
        <w:t>ing</w:t>
      </w:r>
      <w:r w:rsidRPr="000177D7">
        <w:t xml:space="preserve"> the </w:t>
      </w:r>
      <w:r>
        <w:t>profile of funding for</w:t>
      </w:r>
      <w:r w:rsidRPr="000177D7">
        <w:t xml:space="preserve"> communications programs includ</w:t>
      </w:r>
      <w:r>
        <w:t xml:space="preserve">ed in the </w:t>
      </w:r>
      <w:r w:rsidRPr="000177D7">
        <w:t xml:space="preserve">October Budget measure </w:t>
      </w:r>
      <w:r w:rsidRPr="000177D7">
        <w:rPr>
          <w:i/>
        </w:rPr>
        <w:t>Better</w:t>
      </w:r>
      <w:r w:rsidR="009F51EF">
        <w:rPr>
          <w:i/>
        </w:rPr>
        <w:t xml:space="preserve"> </w:t>
      </w:r>
      <w:r w:rsidRPr="000177D7">
        <w:rPr>
          <w:i/>
        </w:rPr>
        <w:t>Connectivity</w:t>
      </w:r>
      <w:r w:rsidR="009F51EF">
        <w:rPr>
          <w:i/>
        </w:rPr>
        <w:t xml:space="preserve"> </w:t>
      </w:r>
      <w:r w:rsidRPr="000177D7">
        <w:rPr>
          <w:i/>
        </w:rPr>
        <w:t>Plan for Regional and Rural Australia</w:t>
      </w:r>
      <w:r>
        <w:t>, and</w:t>
      </w:r>
      <w:r w:rsidRPr="007348BD">
        <w:t xml:space="preserve"> </w:t>
      </w:r>
      <w:r w:rsidRPr="000177D7">
        <w:t xml:space="preserve">the </w:t>
      </w:r>
      <w:r>
        <w:t xml:space="preserve">conclusion of the </w:t>
      </w:r>
      <w:r w:rsidRPr="000177D7">
        <w:rPr>
          <w:iCs/>
        </w:rPr>
        <w:t>Mobile Black Spot Program</w:t>
      </w:r>
      <w:r>
        <w:t xml:space="preserve"> and </w:t>
      </w:r>
      <w:r w:rsidRPr="000177D7">
        <w:rPr>
          <w:iCs/>
        </w:rPr>
        <w:t>Connecting Northern Australia</w:t>
      </w:r>
      <w:r w:rsidRPr="000177D7">
        <w:rPr>
          <w:i/>
        </w:rPr>
        <w:t xml:space="preserve"> </w:t>
      </w:r>
      <w:r w:rsidRPr="000177D7">
        <w:t>initiative</w:t>
      </w:r>
      <w:r>
        <w:t>.</w:t>
      </w:r>
    </w:p>
    <w:p w14:paraId="4C5F816C" w14:textId="3AEE9165" w:rsidR="0050166A" w:rsidRPr="000177D7" w:rsidRDefault="0050166A" w:rsidP="0050166A">
      <w:r w:rsidRPr="006365E2">
        <w:t xml:space="preserve">Expenses under the </w:t>
      </w:r>
      <w:r w:rsidRPr="006365E2">
        <w:rPr>
          <w:b/>
        </w:rPr>
        <w:t>rail transport</w:t>
      </w:r>
      <w:r w:rsidRPr="006365E2">
        <w:t xml:space="preserve"> sub</w:t>
      </w:r>
      <w:r w:rsidR="00D34B95">
        <w:noBreakHyphen/>
      </w:r>
      <w:r w:rsidRPr="006365E2">
        <w:t>function primarily consist of grants provided under the Infrastructure Investment Program. Expenses are estimated</w:t>
      </w:r>
      <w:r>
        <w:t xml:space="preserve"> to</w:t>
      </w:r>
      <w:r w:rsidRPr="006365E2">
        <w:t xml:space="preserve"> </w:t>
      </w:r>
      <w:r>
        <w:rPr>
          <w:iCs/>
        </w:rPr>
        <w:t>increase from 2022</w:t>
      </w:r>
      <w:r w:rsidR="00D25E5B">
        <w:rPr>
          <w:iCs/>
        </w:rPr>
        <w:t>–</w:t>
      </w:r>
      <w:r>
        <w:rPr>
          <w:iCs/>
        </w:rPr>
        <w:t>23 to 2023</w:t>
      </w:r>
      <w:r w:rsidR="00D25E5B">
        <w:rPr>
          <w:iCs/>
        </w:rPr>
        <w:t>–</w:t>
      </w:r>
      <w:r>
        <w:rPr>
          <w:iCs/>
        </w:rPr>
        <w:t>24, and</w:t>
      </w:r>
      <w:r w:rsidRPr="006365E2">
        <w:t xml:space="preserve"> decrease </w:t>
      </w:r>
      <w:r w:rsidRPr="006365E2">
        <w:rPr>
          <w:lang w:val="en-US"/>
        </w:rPr>
        <w:t>from 2023</w:t>
      </w:r>
      <w:r w:rsidR="00D25E5B">
        <w:rPr>
          <w:lang w:val="en-US"/>
        </w:rPr>
        <w:t>–</w:t>
      </w:r>
      <w:r w:rsidRPr="006365E2">
        <w:rPr>
          <w:lang w:val="en-US"/>
        </w:rPr>
        <w:t>24 to 2026</w:t>
      </w:r>
      <w:r w:rsidR="00D25E5B">
        <w:rPr>
          <w:lang w:val="en-US"/>
        </w:rPr>
        <w:t>–</w:t>
      </w:r>
      <w:r w:rsidRPr="006365E2">
        <w:rPr>
          <w:lang w:val="en-US"/>
        </w:rPr>
        <w:t>27. T</w:t>
      </w:r>
      <w:r w:rsidRPr="002820E5">
        <w:t>he</w:t>
      </w:r>
      <w:r w:rsidRPr="002820E5">
        <w:rPr>
          <w:iCs/>
        </w:rPr>
        <w:t xml:space="preserve"> </w:t>
      </w:r>
      <w:r>
        <w:rPr>
          <w:iCs/>
        </w:rPr>
        <w:t xml:space="preserve">initial increase and subsequent </w:t>
      </w:r>
      <w:r w:rsidRPr="002820E5">
        <w:rPr>
          <w:iCs/>
        </w:rPr>
        <w:t>decrease in expenditure reflects the schedule</w:t>
      </w:r>
      <w:r w:rsidRPr="006365E2">
        <w:rPr>
          <w:iCs/>
        </w:rPr>
        <w:t>s</w:t>
      </w:r>
      <w:r w:rsidRPr="002820E5">
        <w:rPr>
          <w:iCs/>
        </w:rPr>
        <w:t xml:space="preserve"> of major </w:t>
      </w:r>
      <w:r w:rsidRPr="006365E2">
        <w:rPr>
          <w:iCs/>
        </w:rPr>
        <w:t>rail</w:t>
      </w:r>
      <w:r w:rsidRPr="002820E5">
        <w:rPr>
          <w:iCs/>
        </w:rPr>
        <w:t xml:space="preserve"> infrastructure projects</w:t>
      </w:r>
      <w:r w:rsidRPr="006365E2">
        <w:rPr>
          <w:iCs/>
        </w:rPr>
        <w:t>,</w:t>
      </w:r>
      <w:r w:rsidRPr="002820E5">
        <w:rPr>
          <w:iCs/>
        </w:rPr>
        <w:t xml:space="preserve"> includ</w:t>
      </w:r>
      <w:r w:rsidRPr="006365E2">
        <w:rPr>
          <w:iCs/>
        </w:rPr>
        <w:t>ing</w:t>
      </w:r>
      <w:r w:rsidRPr="002820E5">
        <w:rPr>
          <w:iCs/>
        </w:rPr>
        <w:t xml:space="preserve"> </w:t>
      </w:r>
      <w:r w:rsidRPr="006365E2">
        <w:rPr>
          <w:iCs/>
        </w:rPr>
        <w:t xml:space="preserve">the completion of </w:t>
      </w:r>
      <w:r w:rsidRPr="002820E5">
        <w:rPr>
          <w:iCs/>
        </w:rPr>
        <w:t xml:space="preserve">projects </w:t>
      </w:r>
      <w:r w:rsidRPr="002820E5">
        <w:rPr>
          <w:lang w:val="en-US"/>
        </w:rPr>
        <w:t>under the METRONET program</w:t>
      </w:r>
      <w:r w:rsidRPr="002820E5">
        <w:rPr>
          <w:iCs/>
        </w:rPr>
        <w:t>.</w:t>
      </w:r>
    </w:p>
    <w:p w14:paraId="06F4DBF6" w14:textId="327DA7A8" w:rsidR="0050166A" w:rsidRDefault="0050166A" w:rsidP="0050166A">
      <w:r w:rsidRPr="000177D7">
        <w:t xml:space="preserve">Expenses under the </w:t>
      </w:r>
      <w:r w:rsidRPr="0B448144">
        <w:rPr>
          <w:b/>
          <w:bCs/>
        </w:rPr>
        <w:t xml:space="preserve">air transport </w:t>
      </w:r>
      <w:r w:rsidRPr="000177D7">
        <w:t>sub</w:t>
      </w:r>
      <w:r w:rsidR="00D34B95">
        <w:noBreakHyphen/>
      </w:r>
      <w:r w:rsidRPr="000177D7">
        <w:t>function primarily relate to activities of the safety regulator Civil Aviation Safety Authority</w:t>
      </w:r>
      <w:r>
        <w:t xml:space="preserve"> </w:t>
      </w:r>
      <w:r w:rsidRPr="000177D7">
        <w:t xml:space="preserve">and aviation related initiatives. Total expenses are estimated to </w:t>
      </w:r>
      <w:r>
        <w:rPr>
          <w:lang w:val="en-US"/>
        </w:rPr>
        <w:t>decrease from 2023</w:t>
      </w:r>
      <w:r w:rsidR="00D25E5B">
        <w:rPr>
          <w:lang w:val="en-US"/>
        </w:rPr>
        <w:t>–</w:t>
      </w:r>
      <w:r>
        <w:rPr>
          <w:lang w:val="en-US"/>
        </w:rPr>
        <w:t>24 to 2026</w:t>
      </w:r>
      <w:r w:rsidR="00D25E5B">
        <w:rPr>
          <w:lang w:val="en-US"/>
        </w:rPr>
        <w:t>–</w:t>
      </w:r>
      <w:r>
        <w:rPr>
          <w:lang w:val="en-US"/>
        </w:rPr>
        <w:t xml:space="preserve">27 </w:t>
      </w:r>
      <w:r>
        <w:t xml:space="preserve">due to </w:t>
      </w:r>
      <w:r w:rsidRPr="000177D7">
        <w:t>the conclusion of a number of aviation initiatives</w:t>
      </w:r>
      <w:r>
        <w:t>,</w:t>
      </w:r>
      <w:r w:rsidRPr="000177D7">
        <w:t xml:space="preserve"> including </w:t>
      </w:r>
      <w:r>
        <w:t>Enhanced Regional Security Screening,</w:t>
      </w:r>
      <w:r w:rsidRPr="000177D7" w:rsidDel="00305F7C">
        <w:t xml:space="preserve"> </w:t>
      </w:r>
      <w:r w:rsidRPr="00C567D4">
        <w:t>upgrades</w:t>
      </w:r>
      <w:r>
        <w:t xml:space="preserve"> to</w:t>
      </w:r>
      <w:r w:rsidRPr="00C567D4" w:rsidDel="00C567D4">
        <w:t xml:space="preserve"> </w:t>
      </w:r>
      <w:r>
        <w:t xml:space="preserve">Hobart and Newcastle </w:t>
      </w:r>
      <w:r w:rsidRPr="00C567D4">
        <w:t>Airport</w:t>
      </w:r>
      <w:r>
        <w:t>s</w:t>
      </w:r>
      <w:r w:rsidR="007E2B7A">
        <w:t>,</w:t>
      </w:r>
      <w:r>
        <w:t xml:space="preserve"> and the Regional Aviation Access Program</w:t>
      </w:r>
      <w:r w:rsidRPr="000177D7">
        <w:t>.</w:t>
      </w:r>
      <w:r w:rsidRPr="0B448144">
        <w:rPr>
          <w:b/>
          <w:bCs/>
        </w:rPr>
        <w:t xml:space="preserve"> </w:t>
      </w:r>
    </w:p>
    <w:p w14:paraId="7AA72A08" w14:textId="7B384D2B" w:rsidR="0050166A" w:rsidRPr="000177D7" w:rsidRDefault="0050166A" w:rsidP="0050166A">
      <w:r w:rsidRPr="000177D7">
        <w:t xml:space="preserve">Expenses under the </w:t>
      </w:r>
      <w:r w:rsidRPr="000177D7">
        <w:rPr>
          <w:b/>
        </w:rPr>
        <w:t xml:space="preserve">road transport </w:t>
      </w:r>
      <w:r w:rsidRPr="000177D7">
        <w:t>sub</w:t>
      </w:r>
      <w:r w:rsidR="00D34B95">
        <w:noBreakHyphen/>
      </w:r>
      <w:r w:rsidRPr="000177D7">
        <w:t xml:space="preserve">function primarily consist of grants provided under the Infrastructure Investment Program and are estimated to </w:t>
      </w:r>
      <w:r>
        <w:t>increase from 2022</w:t>
      </w:r>
      <w:r w:rsidR="00D25E5B">
        <w:t>–</w:t>
      </w:r>
      <w:r>
        <w:t xml:space="preserve">23 to </w:t>
      </w:r>
      <w:r w:rsidR="009F51EF">
        <w:br/>
      </w:r>
      <w:r>
        <w:t>2023</w:t>
      </w:r>
      <w:r w:rsidR="00D25E5B">
        <w:t>–</w:t>
      </w:r>
      <w:r>
        <w:t xml:space="preserve">24, and then </w:t>
      </w:r>
      <w:r>
        <w:rPr>
          <w:lang w:val="en-US"/>
        </w:rPr>
        <w:t>decrease from 2023</w:t>
      </w:r>
      <w:r w:rsidR="00D25E5B">
        <w:rPr>
          <w:lang w:val="en-US"/>
        </w:rPr>
        <w:t>–</w:t>
      </w:r>
      <w:r>
        <w:rPr>
          <w:lang w:val="en-US"/>
        </w:rPr>
        <w:t>24 to 2026</w:t>
      </w:r>
      <w:r w:rsidR="00D25E5B">
        <w:rPr>
          <w:lang w:val="en-US"/>
        </w:rPr>
        <w:t>–</w:t>
      </w:r>
      <w:r>
        <w:rPr>
          <w:lang w:val="en-US"/>
        </w:rPr>
        <w:t>27. The</w:t>
      </w:r>
      <w:r>
        <w:t xml:space="preserve"> increase and subsequent decrease </w:t>
      </w:r>
      <w:r w:rsidRPr="00C567D4">
        <w:t>in expenditure</w:t>
      </w:r>
      <w:r>
        <w:t>,</w:t>
      </w:r>
      <w:r w:rsidRPr="00C567D4">
        <w:t xml:space="preserve"> reflect</w:t>
      </w:r>
      <w:r>
        <w:t>s</w:t>
      </w:r>
      <w:r w:rsidRPr="00C567D4">
        <w:t xml:space="preserve"> </w:t>
      </w:r>
      <w:r>
        <w:t>the Government</w:t>
      </w:r>
      <w:r w:rsidR="00D34B95">
        <w:t>’</w:t>
      </w:r>
      <w:r>
        <w:t xml:space="preserve">s continued investment in priority </w:t>
      </w:r>
      <w:r w:rsidRPr="002820E5">
        <w:t>road infrastructure</w:t>
      </w:r>
      <w:r>
        <w:t xml:space="preserve"> projects, </w:t>
      </w:r>
      <w:r w:rsidRPr="00C567D4">
        <w:t xml:space="preserve">including through the October Budget measure </w:t>
      </w:r>
      <w:r w:rsidRPr="00C567D4">
        <w:rPr>
          <w:i/>
        </w:rPr>
        <w:t>Building</w:t>
      </w:r>
      <w:r w:rsidR="009F51EF">
        <w:rPr>
          <w:i/>
        </w:rPr>
        <w:t xml:space="preserve"> </w:t>
      </w:r>
      <w:r w:rsidRPr="00C567D4">
        <w:rPr>
          <w:i/>
        </w:rPr>
        <w:t>a</w:t>
      </w:r>
      <w:r w:rsidR="009F51EF">
        <w:rPr>
          <w:i/>
        </w:rPr>
        <w:t xml:space="preserve"> </w:t>
      </w:r>
      <w:r w:rsidRPr="00C567D4">
        <w:rPr>
          <w:i/>
        </w:rPr>
        <w:t>Bette</w:t>
      </w:r>
      <w:r w:rsidR="009F51EF">
        <w:rPr>
          <w:i/>
        </w:rPr>
        <w:t xml:space="preserve">r </w:t>
      </w:r>
      <w:r w:rsidRPr="00C567D4">
        <w:rPr>
          <w:i/>
        </w:rPr>
        <w:t>Future through considered Infrastructure Investment</w:t>
      </w:r>
      <w:r>
        <w:rPr>
          <w:i/>
        </w:rPr>
        <w:t xml:space="preserve">, </w:t>
      </w:r>
      <w:r>
        <w:t>the realignment of project profiles to more accurately reflect delivery schedules, and the completion of</w:t>
      </w:r>
      <w:r w:rsidRPr="004F25C4">
        <w:t xml:space="preserve"> </w:t>
      </w:r>
      <w:r>
        <w:t xml:space="preserve">the </w:t>
      </w:r>
      <w:r w:rsidRPr="002820E5">
        <w:t>Bruce Highway</w:t>
      </w:r>
      <w:r>
        <w:t xml:space="preserve"> and</w:t>
      </w:r>
      <w:r w:rsidRPr="004F25C4">
        <w:t xml:space="preserve"> </w:t>
      </w:r>
      <w:r>
        <w:t xml:space="preserve">Road Safety Program </w:t>
      </w:r>
      <w:r w:rsidRPr="002820E5">
        <w:t>projects.</w:t>
      </w:r>
    </w:p>
    <w:p w14:paraId="3CB760B4" w14:textId="0AB819B5" w:rsidR="004A5EC1" w:rsidRPr="009F51EF" w:rsidRDefault="0050166A" w:rsidP="009F51EF">
      <w:r w:rsidRPr="000177D7">
        <w:t xml:space="preserve">Total expenses under the </w:t>
      </w:r>
      <w:r w:rsidRPr="000177D7">
        <w:rPr>
          <w:b/>
        </w:rPr>
        <w:t xml:space="preserve">other </w:t>
      </w:r>
      <w:r w:rsidRPr="0021687D">
        <w:rPr>
          <w:b/>
        </w:rPr>
        <w:t xml:space="preserve">transport and communication </w:t>
      </w:r>
      <w:r w:rsidRPr="0021687D">
        <w:t>sub</w:t>
      </w:r>
      <w:r w:rsidR="00D34B95">
        <w:noBreakHyphen/>
      </w:r>
      <w:r w:rsidRPr="0021687D">
        <w:t xml:space="preserve">function are estimated to </w:t>
      </w:r>
      <w:r w:rsidRPr="0021687D">
        <w:rPr>
          <w:lang w:val="en-US"/>
        </w:rPr>
        <w:t>decrease from 2023</w:t>
      </w:r>
      <w:r w:rsidR="00D25E5B">
        <w:rPr>
          <w:lang w:val="en-US"/>
        </w:rPr>
        <w:t>–</w:t>
      </w:r>
      <w:r w:rsidRPr="0021687D">
        <w:rPr>
          <w:lang w:val="en-US"/>
        </w:rPr>
        <w:t>24 to 2026</w:t>
      </w:r>
      <w:r w:rsidR="00D25E5B">
        <w:rPr>
          <w:lang w:val="en-US"/>
        </w:rPr>
        <w:t>–</w:t>
      </w:r>
      <w:r w:rsidRPr="0021687D">
        <w:rPr>
          <w:lang w:val="en-US"/>
        </w:rPr>
        <w:t xml:space="preserve">27, </w:t>
      </w:r>
      <w:r w:rsidRPr="0021687D">
        <w:t>reflecting the short</w:t>
      </w:r>
      <w:r w:rsidR="00D34B95">
        <w:noBreakHyphen/>
      </w:r>
      <w:r w:rsidRPr="0021687D">
        <w:t>term program support provided through the 2023</w:t>
      </w:r>
      <w:r w:rsidR="00D25E5B">
        <w:t>–</w:t>
      </w:r>
      <w:r w:rsidRPr="0021687D">
        <w:t xml:space="preserve">24 Budget measure </w:t>
      </w:r>
      <w:r w:rsidRPr="0021687D">
        <w:rPr>
          <w:i/>
        </w:rPr>
        <w:t>Supporting Transport Priorities</w:t>
      </w:r>
      <w:r>
        <w:rPr>
          <w:i/>
        </w:rPr>
        <w:t>.</w:t>
      </w:r>
    </w:p>
    <w:p w14:paraId="7A0B2124" w14:textId="77777777" w:rsidR="00C855DF" w:rsidRPr="000177D7" w:rsidRDefault="00C855DF" w:rsidP="00C855DF">
      <w:pPr>
        <w:pStyle w:val="Heading3"/>
      </w:pPr>
      <w:bookmarkStart w:id="143" w:name="_Toc134169625"/>
      <w:r w:rsidRPr="000177D7">
        <w:lastRenderedPageBreak/>
        <w:t>Other economic affairs</w:t>
      </w:r>
      <w:bookmarkEnd w:id="136"/>
      <w:bookmarkEnd w:id="137"/>
      <w:bookmarkEnd w:id="138"/>
      <w:bookmarkEnd w:id="141"/>
      <w:bookmarkEnd w:id="142"/>
      <w:bookmarkEnd w:id="143"/>
    </w:p>
    <w:p w14:paraId="20978ACF" w14:textId="35AF27AB" w:rsidR="004A5EC1" w:rsidRPr="000177D7" w:rsidRDefault="004A5EC1" w:rsidP="004A5EC1">
      <w:bookmarkStart w:id="144" w:name="_Toc4577282"/>
      <w:bookmarkStart w:id="145" w:name="_Toc4689194"/>
      <w:r w:rsidRPr="000177D7">
        <w:t>The other economic affairs function includes expenses on tourism and area promotion, labour market assistance, immigration, industrial relations</w:t>
      </w:r>
      <w:r w:rsidR="00E54D5A">
        <w:t>,</w:t>
      </w:r>
      <w:r w:rsidRPr="000177D7">
        <w:t xml:space="preserve"> and other economic affairs not elsewhere classified (nec).</w:t>
      </w:r>
    </w:p>
    <w:p w14:paraId="046B030E" w14:textId="6116CDFA" w:rsidR="00FB467E" w:rsidRDefault="00C855DF" w:rsidP="008D56AB">
      <w:pPr>
        <w:pStyle w:val="TableHeading"/>
        <w:rPr>
          <w:rFonts w:asciiTheme="minorHAnsi" w:eastAsiaTheme="minorHAnsi" w:hAnsiTheme="minorHAnsi" w:cstheme="minorBidi"/>
          <w:sz w:val="22"/>
          <w:szCs w:val="22"/>
          <w:lang w:eastAsia="en-US"/>
        </w:rPr>
      </w:pPr>
      <w:r w:rsidRPr="000177D7">
        <w:t xml:space="preserve">Table 6.16: Summary of expenses </w:t>
      </w:r>
      <w:r w:rsidR="00A939E3">
        <w:t>–</w:t>
      </w:r>
      <w:r w:rsidRPr="000177D7">
        <w:t xml:space="preserve"> other economic affairs</w:t>
      </w:r>
    </w:p>
    <w:tbl>
      <w:tblPr>
        <w:tblW w:w="5000" w:type="pct"/>
        <w:tblCellMar>
          <w:left w:w="0" w:type="dxa"/>
          <w:right w:w="28" w:type="dxa"/>
        </w:tblCellMar>
        <w:tblLook w:val="04A0" w:firstRow="1" w:lastRow="0" w:firstColumn="1" w:lastColumn="0" w:noHBand="0" w:noVBand="1"/>
      </w:tblPr>
      <w:tblGrid>
        <w:gridCol w:w="3694"/>
        <w:gridCol w:w="805"/>
        <w:gridCol w:w="803"/>
        <w:gridCol w:w="803"/>
        <w:gridCol w:w="803"/>
        <w:gridCol w:w="802"/>
      </w:tblGrid>
      <w:tr w:rsidR="005A4519" w:rsidRPr="005A4519" w14:paraId="3D2C62E4" w14:textId="77777777" w:rsidTr="005A4519">
        <w:trPr>
          <w:divId w:val="406726429"/>
          <w:trHeight w:hRule="exact" w:val="225"/>
        </w:trPr>
        <w:tc>
          <w:tcPr>
            <w:tcW w:w="2395" w:type="pct"/>
            <w:tcBorders>
              <w:top w:val="single" w:sz="4" w:space="0" w:color="293F5B"/>
              <w:left w:val="nil"/>
              <w:bottom w:val="nil"/>
              <w:right w:val="nil"/>
            </w:tcBorders>
            <w:shd w:val="clear" w:color="000000" w:fill="FFFFFF"/>
            <w:noWrap/>
            <w:vAlign w:val="center"/>
            <w:hideMark/>
          </w:tcPr>
          <w:p w14:paraId="1961F76A" w14:textId="0EDB0C14" w:rsidR="005A4519" w:rsidRPr="005A4519" w:rsidRDefault="005A4519" w:rsidP="005A4519">
            <w:pPr>
              <w:spacing w:before="0" w:after="0" w:line="240" w:lineRule="auto"/>
              <w:rPr>
                <w:rFonts w:ascii="Arial" w:hAnsi="Arial" w:cs="Arial"/>
                <w:b/>
                <w:bCs/>
                <w:color w:val="000000"/>
                <w:sz w:val="16"/>
                <w:szCs w:val="16"/>
              </w:rPr>
            </w:pPr>
            <w:r w:rsidRPr="005A4519">
              <w:rPr>
                <w:rFonts w:ascii="Arial" w:hAnsi="Arial" w:cs="Arial"/>
                <w:b/>
                <w:bCs/>
                <w:color w:val="000000"/>
                <w:sz w:val="16"/>
                <w:szCs w:val="16"/>
              </w:rPr>
              <w:t>Sub-function</w:t>
            </w:r>
          </w:p>
        </w:tc>
        <w:tc>
          <w:tcPr>
            <w:tcW w:w="2605" w:type="pct"/>
            <w:gridSpan w:val="5"/>
            <w:tcBorders>
              <w:top w:val="single" w:sz="4" w:space="0" w:color="293F5B"/>
              <w:left w:val="nil"/>
              <w:bottom w:val="single" w:sz="4" w:space="0" w:color="293F5B"/>
              <w:right w:val="nil"/>
            </w:tcBorders>
            <w:shd w:val="clear" w:color="000000" w:fill="FFFFFF"/>
            <w:noWrap/>
            <w:vAlign w:val="center"/>
            <w:hideMark/>
          </w:tcPr>
          <w:p w14:paraId="5E5D5255" w14:textId="77777777" w:rsidR="005A4519" w:rsidRPr="005A4519" w:rsidRDefault="005A4519" w:rsidP="005A4519">
            <w:pPr>
              <w:spacing w:before="0" w:after="0" w:line="240" w:lineRule="auto"/>
              <w:jc w:val="center"/>
              <w:rPr>
                <w:rFonts w:ascii="Arial" w:hAnsi="Arial" w:cs="Arial"/>
                <w:color w:val="000000"/>
                <w:sz w:val="16"/>
                <w:szCs w:val="16"/>
              </w:rPr>
            </w:pPr>
            <w:r w:rsidRPr="005A4519">
              <w:rPr>
                <w:rFonts w:ascii="Arial" w:hAnsi="Arial" w:cs="Arial"/>
                <w:color w:val="000000"/>
                <w:sz w:val="16"/>
                <w:szCs w:val="16"/>
              </w:rPr>
              <w:t>Estimates</w:t>
            </w:r>
          </w:p>
        </w:tc>
      </w:tr>
      <w:tr w:rsidR="005A4519" w:rsidRPr="005A4519" w14:paraId="4F01FDCA" w14:textId="77777777" w:rsidTr="005A4519">
        <w:trPr>
          <w:divId w:val="406726429"/>
          <w:trHeight w:hRule="exact" w:val="225"/>
        </w:trPr>
        <w:tc>
          <w:tcPr>
            <w:tcW w:w="2395" w:type="pct"/>
            <w:tcBorders>
              <w:top w:val="nil"/>
              <w:left w:val="nil"/>
              <w:bottom w:val="nil"/>
              <w:right w:val="nil"/>
            </w:tcBorders>
            <w:shd w:val="clear" w:color="000000" w:fill="FFFFFF"/>
            <w:noWrap/>
            <w:vAlign w:val="bottom"/>
            <w:hideMark/>
          </w:tcPr>
          <w:p w14:paraId="6ADAA0C3"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 </w:t>
            </w:r>
          </w:p>
        </w:tc>
        <w:tc>
          <w:tcPr>
            <w:tcW w:w="522" w:type="pct"/>
            <w:tcBorders>
              <w:top w:val="single" w:sz="4" w:space="0" w:color="293F5B"/>
              <w:left w:val="nil"/>
              <w:bottom w:val="nil"/>
              <w:right w:val="nil"/>
            </w:tcBorders>
            <w:shd w:val="clear" w:color="000000" w:fill="FFFFFF"/>
            <w:noWrap/>
            <w:vAlign w:val="center"/>
            <w:hideMark/>
          </w:tcPr>
          <w:p w14:paraId="6056542C" w14:textId="77777777" w:rsidR="005A4519" w:rsidRPr="005A4519" w:rsidRDefault="005A4519" w:rsidP="005A4519">
            <w:pPr>
              <w:spacing w:before="0" w:after="0" w:line="240" w:lineRule="auto"/>
              <w:jc w:val="right"/>
              <w:rPr>
                <w:rFonts w:ascii="Arial" w:hAnsi="Arial" w:cs="Arial"/>
                <w:sz w:val="16"/>
                <w:szCs w:val="16"/>
              </w:rPr>
            </w:pPr>
            <w:r w:rsidRPr="005A4519">
              <w:rPr>
                <w:rFonts w:ascii="Arial" w:hAnsi="Arial" w:cs="Arial"/>
                <w:sz w:val="16"/>
                <w:szCs w:val="16"/>
              </w:rPr>
              <w:t>2022–23</w:t>
            </w:r>
          </w:p>
        </w:tc>
        <w:tc>
          <w:tcPr>
            <w:tcW w:w="521" w:type="pct"/>
            <w:tcBorders>
              <w:top w:val="single" w:sz="4" w:space="0" w:color="293F5B"/>
              <w:left w:val="nil"/>
              <w:bottom w:val="nil"/>
              <w:right w:val="nil"/>
            </w:tcBorders>
            <w:shd w:val="clear" w:color="000000" w:fill="E6F2FF"/>
            <w:noWrap/>
            <w:vAlign w:val="center"/>
            <w:hideMark/>
          </w:tcPr>
          <w:p w14:paraId="6AE7F539" w14:textId="77777777" w:rsidR="005A4519" w:rsidRPr="005A4519" w:rsidRDefault="005A4519" w:rsidP="005A4519">
            <w:pPr>
              <w:spacing w:before="0" w:after="0" w:line="240" w:lineRule="auto"/>
              <w:jc w:val="right"/>
              <w:rPr>
                <w:rFonts w:ascii="Arial" w:hAnsi="Arial" w:cs="Arial"/>
                <w:sz w:val="16"/>
                <w:szCs w:val="16"/>
              </w:rPr>
            </w:pPr>
            <w:r w:rsidRPr="005A4519">
              <w:rPr>
                <w:rFonts w:ascii="Arial" w:hAnsi="Arial" w:cs="Arial"/>
                <w:sz w:val="16"/>
                <w:szCs w:val="16"/>
              </w:rPr>
              <w:t>2023–24</w:t>
            </w:r>
          </w:p>
        </w:tc>
        <w:tc>
          <w:tcPr>
            <w:tcW w:w="521" w:type="pct"/>
            <w:tcBorders>
              <w:top w:val="single" w:sz="4" w:space="0" w:color="293F5B"/>
              <w:left w:val="nil"/>
              <w:bottom w:val="nil"/>
              <w:right w:val="nil"/>
            </w:tcBorders>
            <w:shd w:val="clear" w:color="000000" w:fill="FFFFFF"/>
            <w:noWrap/>
            <w:vAlign w:val="center"/>
            <w:hideMark/>
          </w:tcPr>
          <w:p w14:paraId="5FB7725B" w14:textId="77777777" w:rsidR="005A4519" w:rsidRPr="005A4519" w:rsidRDefault="005A4519" w:rsidP="005A4519">
            <w:pPr>
              <w:spacing w:before="0" w:after="0" w:line="240" w:lineRule="auto"/>
              <w:jc w:val="right"/>
              <w:rPr>
                <w:rFonts w:ascii="Arial" w:hAnsi="Arial" w:cs="Arial"/>
                <w:sz w:val="16"/>
                <w:szCs w:val="16"/>
              </w:rPr>
            </w:pPr>
            <w:r w:rsidRPr="005A4519">
              <w:rPr>
                <w:rFonts w:ascii="Arial" w:hAnsi="Arial" w:cs="Arial"/>
                <w:sz w:val="16"/>
                <w:szCs w:val="16"/>
              </w:rPr>
              <w:t>2024–25</w:t>
            </w:r>
          </w:p>
        </w:tc>
        <w:tc>
          <w:tcPr>
            <w:tcW w:w="521" w:type="pct"/>
            <w:tcBorders>
              <w:top w:val="single" w:sz="4" w:space="0" w:color="293F5B"/>
              <w:left w:val="nil"/>
              <w:bottom w:val="nil"/>
              <w:right w:val="nil"/>
            </w:tcBorders>
            <w:shd w:val="clear" w:color="000000" w:fill="FFFFFF"/>
            <w:noWrap/>
            <w:vAlign w:val="center"/>
            <w:hideMark/>
          </w:tcPr>
          <w:p w14:paraId="1BAB0792" w14:textId="77777777" w:rsidR="005A4519" w:rsidRPr="005A4519" w:rsidRDefault="005A4519" w:rsidP="005A4519">
            <w:pPr>
              <w:spacing w:before="0" w:after="0" w:line="240" w:lineRule="auto"/>
              <w:jc w:val="right"/>
              <w:rPr>
                <w:rFonts w:ascii="Arial" w:hAnsi="Arial" w:cs="Arial"/>
                <w:sz w:val="16"/>
                <w:szCs w:val="16"/>
              </w:rPr>
            </w:pPr>
            <w:r w:rsidRPr="005A4519">
              <w:rPr>
                <w:rFonts w:ascii="Arial" w:hAnsi="Arial" w:cs="Arial"/>
                <w:sz w:val="16"/>
                <w:szCs w:val="16"/>
              </w:rPr>
              <w:t>2025–26</w:t>
            </w:r>
          </w:p>
        </w:tc>
        <w:tc>
          <w:tcPr>
            <w:tcW w:w="521" w:type="pct"/>
            <w:tcBorders>
              <w:top w:val="single" w:sz="4" w:space="0" w:color="293F5B"/>
              <w:left w:val="nil"/>
              <w:bottom w:val="nil"/>
              <w:right w:val="nil"/>
            </w:tcBorders>
            <w:shd w:val="clear" w:color="000000" w:fill="FFFFFF"/>
            <w:noWrap/>
            <w:vAlign w:val="center"/>
            <w:hideMark/>
          </w:tcPr>
          <w:p w14:paraId="0B4E1ED8"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2026–27</w:t>
            </w:r>
          </w:p>
        </w:tc>
      </w:tr>
      <w:tr w:rsidR="005A4519" w:rsidRPr="005A4519" w14:paraId="0A63E257"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1A720680"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2370275B"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E6F2FF"/>
            <w:noWrap/>
            <w:vAlign w:val="center"/>
            <w:hideMark/>
          </w:tcPr>
          <w:p w14:paraId="20A29325"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17F3B80D"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7BE89ABE"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$m</w:t>
            </w:r>
          </w:p>
        </w:tc>
        <w:tc>
          <w:tcPr>
            <w:tcW w:w="521" w:type="pct"/>
            <w:tcBorders>
              <w:top w:val="nil"/>
              <w:left w:val="nil"/>
              <w:bottom w:val="single" w:sz="4" w:space="0" w:color="293F5B"/>
              <w:right w:val="nil"/>
            </w:tcBorders>
            <w:shd w:val="clear" w:color="000000" w:fill="FFFFFF"/>
            <w:noWrap/>
            <w:vAlign w:val="center"/>
            <w:hideMark/>
          </w:tcPr>
          <w:p w14:paraId="25856AEE"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$m</w:t>
            </w:r>
          </w:p>
        </w:tc>
      </w:tr>
      <w:tr w:rsidR="005A4519" w:rsidRPr="005A4519" w14:paraId="503239A2"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34EEC7B9"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Tourism and area promotion</w:t>
            </w:r>
          </w:p>
        </w:tc>
        <w:tc>
          <w:tcPr>
            <w:tcW w:w="522" w:type="pct"/>
            <w:tcBorders>
              <w:top w:val="nil"/>
              <w:left w:val="nil"/>
              <w:bottom w:val="nil"/>
              <w:right w:val="nil"/>
            </w:tcBorders>
            <w:shd w:val="clear" w:color="000000" w:fill="FFFFFF"/>
            <w:noWrap/>
            <w:vAlign w:val="center"/>
            <w:hideMark/>
          </w:tcPr>
          <w:p w14:paraId="4770CCD0"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208</w:t>
            </w:r>
          </w:p>
        </w:tc>
        <w:tc>
          <w:tcPr>
            <w:tcW w:w="521" w:type="pct"/>
            <w:tcBorders>
              <w:top w:val="nil"/>
              <w:left w:val="nil"/>
              <w:bottom w:val="nil"/>
              <w:right w:val="nil"/>
            </w:tcBorders>
            <w:shd w:val="clear" w:color="000000" w:fill="E6F2FF"/>
            <w:noWrap/>
            <w:vAlign w:val="center"/>
            <w:hideMark/>
          </w:tcPr>
          <w:p w14:paraId="4D6E21C7"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184</w:t>
            </w:r>
          </w:p>
        </w:tc>
        <w:tc>
          <w:tcPr>
            <w:tcW w:w="521" w:type="pct"/>
            <w:tcBorders>
              <w:top w:val="nil"/>
              <w:left w:val="nil"/>
              <w:bottom w:val="nil"/>
              <w:right w:val="nil"/>
            </w:tcBorders>
            <w:shd w:val="clear" w:color="000000" w:fill="FFFFFF"/>
            <w:noWrap/>
            <w:vAlign w:val="center"/>
            <w:hideMark/>
          </w:tcPr>
          <w:p w14:paraId="15129D72"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189</w:t>
            </w:r>
          </w:p>
        </w:tc>
        <w:tc>
          <w:tcPr>
            <w:tcW w:w="521" w:type="pct"/>
            <w:tcBorders>
              <w:top w:val="nil"/>
              <w:left w:val="nil"/>
              <w:bottom w:val="nil"/>
              <w:right w:val="nil"/>
            </w:tcBorders>
            <w:shd w:val="clear" w:color="000000" w:fill="FFFFFF"/>
            <w:noWrap/>
            <w:vAlign w:val="center"/>
            <w:hideMark/>
          </w:tcPr>
          <w:p w14:paraId="062EE334"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181</w:t>
            </w:r>
          </w:p>
        </w:tc>
        <w:tc>
          <w:tcPr>
            <w:tcW w:w="521" w:type="pct"/>
            <w:tcBorders>
              <w:top w:val="nil"/>
              <w:left w:val="nil"/>
              <w:bottom w:val="nil"/>
              <w:right w:val="nil"/>
            </w:tcBorders>
            <w:shd w:val="clear" w:color="000000" w:fill="FFFFFF"/>
            <w:noWrap/>
            <w:vAlign w:val="center"/>
            <w:hideMark/>
          </w:tcPr>
          <w:p w14:paraId="4FCEEBA0"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182</w:t>
            </w:r>
          </w:p>
        </w:tc>
      </w:tr>
      <w:tr w:rsidR="005A4519" w:rsidRPr="005A4519" w14:paraId="0EBBB2FA"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31D9D3E5"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Total labour and employment affairs</w:t>
            </w:r>
          </w:p>
        </w:tc>
        <w:tc>
          <w:tcPr>
            <w:tcW w:w="522" w:type="pct"/>
            <w:tcBorders>
              <w:top w:val="nil"/>
              <w:left w:val="nil"/>
              <w:bottom w:val="nil"/>
              <w:right w:val="nil"/>
            </w:tcBorders>
            <w:shd w:val="clear" w:color="000000" w:fill="FFFFFF"/>
            <w:noWrap/>
            <w:vAlign w:val="center"/>
            <w:hideMark/>
          </w:tcPr>
          <w:p w14:paraId="0CA2BC14"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7,521</w:t>
            </w:r>
          </w:p>
        </w:tc>
        <w:tc>
          <w:tcPr>
            <w:tcW w:w="521" w:type="pct"/>
            <w:tcBorders>
              <w:top w:val="nil"/>
              <w:left w:val="nil"/>
              <w:bottom w:val="nil"/>
              <w:right w:val="nil"/>
            </w:tcBorders>
            <w:shd w:val="clear" w:color="000000" w:fill="E6F2FF"/>
            <w:noWrap/>
            <w:vAlign w:val="center"/>
            <w:hideMark/>
          </w:tcPr>
          <w:p w14:paraId="5A161478"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5,550</w:t>
            </w:r>
          </w:p>
        </w:tc>
        <w:tc>
          <w:tcPr>
            <w:tcW w:w="521" w:type="pct"/>
            <w:tcBorders>
              <w:top w:val="nil"/>
              <w:left w:val="nil"/>
              <w:bottom w:val="nil"/>
              <w:right w:val="nil"/>
            </w:tcBorders>
            <w:shd w:val="clear" w:color="000000" w:fill="FFFFFF"/>
            <w:noWrap/>
            <w:vAlign w:val="center"/>
            <w:hideMark/>
          </w:tcPr>
          <w:p w14:paraId="1C1C2B31"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5,414</w:t>
            </w:r>
          </w:p>
        </w:tc>
        <w:tc>
          <w:tcPr>
            <w:tcW w:w="521" w:type="pct"/>
            <w:tcBorders>
              <w:top w:val="nil"/>
              <w:left w:val="nil"/>
              <w:bottom w:val="nil"/>
              <w:right w:val="nil"/>
            </w:tcBorders>
            <w:shd w:val="clear" w:color="000000" w:fill="FFFFFF"/>
            <w:noWrap/>
            <w:vAlign w:val="center"/>
            <w:hideMark/>
          </w:tcPr>
          <w:p w14:paraId="7FB1CA58"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5,175</w:t>
            </w:r>
          </w:p>
        </w:tc>
        <w:tc>
          <w:tcPr>
            <w:tcW w:w="521" w:type="pct"/>
            <w:tcBorders>
              <w:top w:val="nil"/>
              <w:left w:val="nil"/>
              <w:bottom w:val="nil"/>
              <w:right w:val="nil"/>
            </w:tcBorders>
            <w:shd w:val="clear" w:color="000000" w:fill="FFFFFF"/>
            <w:noWrap/>
            <w:vAlign w:val="center"/>
            <w:hideMark/>
          </w:tcPr>
          <w:p w14:paraId="62AC801D"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4,957</w:t>
            </w:r>
          </w:p>
        </w:tc>
      </w:tr>
      <w:tr w:rsidR="005A4519" w:rsidRPr="005A4519" w14:paraId="63DED6AA"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51CDDD83" w14:textId="77777777" w:rsidR="005A4519" w:rsidRPr="005A4519" w:rsidRDefault="005A4519" w:rsidP="005A4519">
            <w:pPr>
              <w:spacing w:before="0" w:after="0" w:line="240" w:lineRule="auto"/>
              <w:ind w:left="170"/>
              <w:rPr>
                <w:rFonts w:ascii="Arial" w:hAnsi="Arial" w:cs="Arial"/>
                <w:i/>
                <w:iCs/>
                <w:color w:val="000000"/>
                <w:sz w:val="16"/>
                <w:szCs w:val="16"/>
              </w:rPr>
            </w:pPr>
            <w:r w:rsidRPr="005A4519">
              <w:rPr>
                <w:rFonts w:ascii="Arial" w:hAnsi="Arial" w:cs="Arial"/>
                <w:i/>
                <w:iCs/>
                <w:color w:val="000000"/>
                <w:sz w:val="16"/>
                <w:szCs w:val="16"/>
              </w:rPr>
              <w:t>Vocational and industry training</w:t>
            </w:r>
          </w:p>
        </w:tc>
        <w:tc>
          <w:tcPr>
            <w:tcW w:w="522" w:type="pct"/>
            <w:tcBorders>
              <w:top w:val="nil"/>
              <w:left w:val="nil"/>
              <w:bottom w:val="nil"/>
              <w:right w:val="nil"/>
            </w:tcBorders>
            <w:shd w:val="clear" w:color="000000" w:fill="FFFFFF"/>
            <w:noWrap/>
            <w:vAlign w:val="center"/>
            <w:hideMark/>
          </w:tcPr>
          <w:p w14:paraId="61B7C95F"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4,511</w:t>
            </w:r>
          </w:p>
        </w:tc>
        <w:tc>
          <w:tcPr>
            <w:tcW w:w="521" w:type="pct"/>
            <w:tcBorders>
              <w:top w:val="nil"/>
              <w:left w:val="nil"/>
              <w:bottom w:val="nil"/>
              <w:right w:val="nil"/>
            </w:tcBorders>
            <w:shd w:val="clear" w:color="000000" w:fill="E6F2FF"/>
            <w:noWrap/>
            <w:vAlign w:val="center"/>
            <w:hideMark/>
          </w:tcPr>
          <w:p w14:paraId="62B53918"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2,309</w:t>
            </w:r>
          </w:p>
        </w:tc>
        <w:tc>
          <w:tcPr>
            <w:tcW w:w="521" w:type="pct"/>
            <w:tcBorders>
              <w:top w:val="nil"/>
              <w:left w:val="nil"/>
              <w:bottom w:val="nil"/>
              <w:right w:val="nil"/>
            </w:tcBorders>
            <w:shd w:val="clear" w:color="000000" w:fill="FFFFFF"/>
            <w:noWrap/>
            <w:vAlign w:val="center"/>
            <w:hideMark/>
          </w:tcPr>
          <w:p w14:paraId="5D5C4A06"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2,064</w:t>
            </w:r>
          </w:p>
        </w:tc>
        <w:tc>
          <w:tcPr>
            <w:tcW w:w="521" w:type="pct"/>
            <w:tcBorders>
              <w:top w:val="nil"/>
              <w:left w:val="nil"/>
              <w:bottom w:val="nil"/>
              <w:right w:val="nil"/>
            </w:tcBorders>
            <w:shd w:val="clear" w:color="000000" w:fill="FFFFFF"/>
            <w:noWrap/>
            <w:vAlign w:val="center"/>
            <w:hideMark/>
          </w:tcPr>
          <w:p w14:paraId="3890AF22"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1,822</w:t>
            </w:r>
          </w:p>
        </w:tc>
        <w:tc>
          <w:tcPr>
            <w:tcW w:w="521" w:type="pct"/>
            <w:tcBorders>
              <w:top w:val="nil"/>
              <w:left w:val="nil"/>
              <w:bottom w:val="nil"/>
              <w:right w:val="nil"/>
            </w:tcBorders>
            <w:shd w:val="clear" w:color="000000" w:fill="FFFFFF"/>
            <w:noWrap/>
            <w:vAlign w:val="center"/>
            <w:hideMark/>
          </w:tcPr>
          <w:p w14:paraId="219B74DC"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1,540</w:t>
            </w:r>
          </w:p>
        </w:tc>
      </w:tr>
      <w:tr w:rsidR="005A4519" w:rsidRPr="005A4519" w14:paraId="5469EA8D"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76DE212E" w14:textId="77777777" w:rsidR="005A4519" w:rsidRPr="005A4519" w:rsidRDefault="005A4519" w:rsidP="005A4519">
            <w:pPr>
              <w:spacing w:before="0" w:after="0" w:line="240" w:lineRule="auto"/>
              <w:ind w:left="170"/>
              <w:rPr>
                <w:rFonts w:ascii="Arial" w:hAnsi="Arial" w:cs="Arial"/>
                <w:i/>
                <w:iCs/>
                <w:color w:val="000000"/>
                <w:sz w:val="16"/>
                <w:szCs w:val="16"/>
              </w:rPr>
            </w:pPr>
            <w:r w:rsidRPr="005A4519">
              <w:rPr>
                <w:rFonts w:ascii="Arial" w:hAnsi="Arial" w:cs="Arial"/>
                <w:i/>
                <w:iCs/>
                <w:color w:val="000000"/>
                <w:sz w:val="16"/>
                <w:szCs w:val="16"/>
              </w:rPr>
              <w:t>Labour market assistance to job</w:t>
            </w:r>
          </w:p>
        </w:tc>
        <w:tc>
          <w:tcPr>
            <w:tcW w:w="522" w:type="pct"/>
            <w:tcBorders>
              <w:top w:val="nil"/>
              <w:left w:val="nil"/>
              <w:bottom w:val="nil"/>
              <w:right w:val="nil"/>
            </w:tcBorders>
            <w:shd w:val="clear" w:color="000000" w:fill="FFFFFF"/>
            <w:noWrap/>
            <w:vAlign w:val="center"/>
            <w:hideMark/>
          </w:tcPr>
          <w:p w14:paraId="42ABD15B" w14:textId="77777777" w:rsidR="005A4519" w:rsidRPr="005A4519" w:rsidRDefault="005A4519" w:rsidP="005A4519">
            <w:pPr>
              <w:spacing w:before="0" w:after="0" w:line="240" w:lineRule="auto"/>
              <w:rPr>
                <w:rFonts w:ascii="Arial" w:hAnsi="Arial" w:cs="Arial"/>
                <w:i/>
                <w:iCs/>
                <w:color w:val="000000"/>
                <w:sz w:val="16"/>
                <w:szCs w:val="16"/>
              </w:rPr>
            </w:pPr>
            <w:r w:rsidRPr="005A4519">
              <w:rPr>
                <w:rFonts w:ascii="Arial" w:hAnsi="Arial" w:cs="Arial"/>
                <w:i/>
                <w:iCs/>
                <w:color w:val="000000"/>
                <w:sz w:val="16"/>
                <w:szCs w:val="16"/>
              </w:rPr>
              <w:t> </w:t>
            </w:r>
          </w:p>
        </w:tc>
        <w:tc>
          <w:tcPr>
            <w:tcW w:w="521" w:type="pct"/>
            <w:tcBorders>
              <w:top w:val="nil"/>
              <w:left w:val="nil"/>
              <w:bottom w:val="nil"/>
              <w:right w:val="nil"/>
            </w:tcBorders>
            <w:shd w:val="clear" w:color="000000" w:fill="E6F2FF"/>
            <w:noWrap/>
            <w:vAlign w:val="center"/>
            <w:hideMark/>
          </w:tcPr>
          <w:p w14:paraId="548B5C69" w14:textId="77777777" w:rsidR="005A4519" w:rsidRPr="005A4519" w:rsidRDefault="005A4519" w:rsidP="005A4519">
            <w:pPr>
              <w:spacing w:before="0" w:after="0" w:line="240" w:lineRule="auto"/>
              <w:rPr>
                <w:rFonts w:ascii="Arial" w:hAnsi="Arial" w:cs="Arial"/>
                <w:i/>
                <w:iCs/>
                <w:color w:val="000000"/>
                <w:sz w:val="16"/>
                <w:szCs w:val="16"/>
              </w:rPr>
            </w:pPr>
            <w:r w:rsidRPr="005A4519">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01650582" w14:textId="77777777" w:rsidR="005A4519" w:rsidRPr="005A4519" w:rsidRDefault="005A4519" w:rsidP="005A4519">
            <w:pPr>
              <w:spacing w:before="0" w:after="0" w:line="240" w:lineRule="auto"/>
              <w:rPr>
                <w:rFonts w:ascii="Arial" w:hAnsi="Arial" w:cs="Arial"/>
                <w:i/>
                <w:iCs/>
                <w:color w:val="000000"/>
                <w:sz w:val="16"/>
                <w:szCs w:val="16"/>
              </w:rPr>
            </w:pPr>
            <w:r w:rsidRPr="005A4519">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1B910C25" w14:textId="77777777" w:rsidR="005A4519" w:rsidRPr="005A4519" w:rsidRDefault="005A4519" w:rsidP="005A4519">
            <w:pPr>
              <w:spacing w:before="0" w:after="0" w:line="240" w:lineRule="auto"/>
              <w:rPr>
                <w:rFonts w:ascii="Arial" w:hAnsi="Arial" w:cs="Arial"/>
                <w:i/>
                <w:iCs/>
                <w:color w:val="000000"/>
                <w:sz w:val="16"/>
                <w:szCs w:val="16"/>
              </w:rPr>
            </w:pPr>
            <w:r w:rsidRPr="005A4519">
              <w:rPr>
                <w:rFonts w:ascii="Arial" w:hAnsi="Arial" w:cs="Arial"/>
                <w:i/>
                <w:iCs/>
                <w:color w:val="000000"/>
                <w:sz w:val="16"/>
                <w:szCs w:val="16"/>
              </w:rPr>
              <w:t> </w:t>
            </w:r>
          </w:p>
        </w:tc>
        <w:tc>
          <w:tcPr>
            <w:tcW w:w="521" w:type="pct"/>
            <w:tcBorders>
              <w:top w:val="nil"/>
              <w:left w:val="nil"/>
              <w:bottom w:val="nil"/>
              <w:right w:val="nil"/>
            </w:tcBorders>
            <w:shd w:val="clear" w:color="000000" w:fill="FFFFFF"/>
            <w:noWrap/>
            <w:vAlign w:val="center"/>
            <w:hideMark/>
          </w:tcPr>
          <w:p w14:paraId="268B9899" w14:textId="77777777" w:rsidR="005A4519" w:rsidRPr="005A4519" w:rsidRDefault="005A4519" w:rsidP="005A4519">
            <w:pPr>
              <w:spacing w:before="0" w:after="0" w:line="240" w:lineRule="auto"/>
              <w:rPr>
                <w:rFonts w:ascii="Arial" w:hAnsi="Arial" w:cs="Arial"/>
                <w:i/>
                <w:iCs/>
                <w:color w:val="000000"/>
                <w:sz w:val="16"/>
                <w:szCs w:val="16"/>
              </w:rPr>
            </w:pPr>
            <w:r w:rsidRPr="005A4519">
              <w:rPr>
                <w:rFonts w:ascii="Arial" w:hAnsi="Arial" w:cs="Arial"/>
                <w:i/>
                <w:iCs/>
                <w:color w:val="000000"/>
                <w:sz w:val="16"/>
                <w:szCs w:val="16"/>
              </w:rPr>
              <w:t> </w:t>
            </w:r>
          </w:p>
        </w:tc>
      </w:tr>
      <w:tr w:rsidR="005A4519" w:rsidRPr="005A4519" w14:paraId="7EF56376"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7E5817EC" w14:textId="77777777" w:rsidR="005A4519" w:rsidRPr="005A4519" w:rsidRDefault="005A4519" w:rsidP="005A4519">
            <w:pPr>
              <w:spacing w:before="0" w:after="0" w:line="240" w:lineRule="auto"/>
              <w:ind w:left="340"/>
              <w:rPr>
                <w:rFonts w:ascii="Arial" w:hAnsi="Arial" w:cs="Arial"/>
                <w:i/>
                <w:iCs/>
                <w:color w:val="000000"/>
                <w:sz w:val="16"/>
                <w:szCs w:val="16"/>
              </w:rPr>
            </w:pPr>
            <w:r w:rsidRPr="005A4519">
              <w:rPr>
                <w:rFonts w:ascii="Arial" w:hAnsi="Arial" w:cs="Arial"/>
                <w:i/>
                <w:iCs/>
                <w:color w:val="000000"/>
                <w:sz w:val="16"/>
                <w:szCs w:val="16"/>
              </w:rPr>
              <w:t>seekers and industry</w:t>
            </w:r>
          </w:p>
        </w:tc>
        <w:tc>
          <w:tcPr>
            <w:tcW w:w="522" w:type="pct"/>
            <w:tcBorders>
              <w:top w:val="nil"/>
              <w:left w:val="nil"/>
              <w:bottom w:val="nil"/>
              <w:right w:val="nil"/>
            </w:tcBorders>
            <w:shd w:val="clear" w:color="000000" w:fill="FFFFFF"/>
            <w:noWrap/>
            <w:vAlign w:val="center"/>
            <w:hideMark/>
          </w:tcPr>
          <w:p w14:paraId="149AA216"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2,214</w:t>
            </w:r>
          </w:p>
        </w:tc>
        <w:tc>
          <w:tcPr>
            <w:tcW w:w="521" w:type="pct"/>
            <w:tcBorders>
              <w:top w:val="nil"/>
              <w:left w:val="nil"/>
              <w:bottom w:val="nil"/>
              <w:right w:val="nil"/>
            </w:tcBorders>
            <w:shd w:val="clear" w:color="000000" w:fill="E6F2FF"/>
            <w:noWrap/>
            <w:vAlign w:val="center"/>
            <w:hideMark/>
          </w:tcPr>
          <w:p w14:paraId="0B48E875"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2,348</w:t>
            </w:r>
          </w:p>
        </w:tc>
        <w:tc>
          <w:tcPr>
            <w:tcW w:w="521" w:type="pct"/>
            <w:tcBorders>
              <w:top w:val="nil"/>
              <w:left w:val="nil"/>
              <w:bottom w:val="nil"/>
              <w:right w:val="nil"/>
            </w:tcBorders>
            <w:shd w:val="clear" w:color="000000" w:fill="FFFFFF"/>
            <w:noWrap/>
            <w:vAlign w:val="center"/>
            <w:hideMark/>
          </w:tcPr>
          <w:p w14:paraId="070A8867"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2,488</w:t>
            </w:r>
          </w:p>
        </w:tc>
        <w:tc>
          <w:tcPr>
            <w:tcW w:w="521" w:type="pct"/>
            <w:tcBorders>
              <w:top w:val="nil"/>
              <w:left w:val="nil"/>
              <w:bottom w:val="nil"/>
              <w:right w:val="nil"/>
            </w:tcBorders>
            <w:shd w:val="clear" w:color="000000" w:fill="FFFFFF"/>
            <w:noWrap/>
            <w:vAlign w:val="center"/>
            <w:hideMark/>
          </w:tcPr>
          <w:p w14:paraId="3A1F9E3A"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2,518</w:t>
            </w:r>
          </w:p>
        </w:tc>
        <w:tc>
          <w:tcPr>
            <w:tcW w:w="521" w:type="pct"/>
            <w:tcBorders>
              <w:top w:val="nil"/>
              <w:left w:val="nil"/>
              <w:bottom w:val="nil"/>
              <w:right w:val="nil"/>
            </w:tcBorders>
            <w:shd w:val="clear" w:color="000000" w:fill="FFFFFF"/>
            <w:noWrap/>
            <w:vAlign w:val="center"/>
            <w:hideMark/>
          </w:tcPr>
          <w:p w14:paraId="6A05E37F"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2,575</w:t>
            </w:r>
          </w:p>
        </w:tc>
      </w:tr>
      <w:tr w:rsidR="005A4519" w:rsidRPr="005A4519" w14:paraId="1EE4B6F7"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26F5AE63" w14:textId="77777777" w:rsidR="005A4519" w:rsidRPr="005A4519" w:rsidRDefault="005A4519" w:rsidP="005A4519">
            <w:pPr>
              <w:spacing w:before="0" w:after="0" w:line="240" w:lineRule="auto"/>
              <w:ind w:left="170"/>
              <w:rPr>
                <w:rFonts w:ascii="Arial" w:hAnsi="Arial" w:cs="Arial"/>
                <w:i/>
                <w:iCs/>
                <w:color w:val="000000"/>
                <w:sz w:val="16"/>
                <w:szCs w:val="16"/>
              </w:rPr>
            </w:pPr>
            <w:r w:rsidRPr="005A4519">
              <w:rPr>
                <w:rFonts w:ascii="Arial" w:hAnsi="Arial" w:cs="Arial"/>
                <w:i/>
                <w:iCs/>
                <w:color w:val="000000"/>
                <w:sz w:val="16"/>
                <w:szCs w:val="16"/>
              </w:rPr>
              <w:t>Industrial relations</w:t>
            </w:r>
          </w:p>
        </w:tc>
        <w:tc>
          <w:tcPr>
            <w:tcW w:w="522" w:type="pct"/>
            <w:tcBorders>
              <w:top w:val="nil"/>
              <w:left w:val="nil"/>
              <w:bottom w:val="nil"/>
              <w:right w:val="nil"/>
            </w:tcBorders>
            <w:shd w:val="clear" w:color="000000" w:fill="FFFFFF"/>
            <w:noWrap/>
            <w:vAlign w:val="center"/>
            <w:hideMark/>
          </w:tcPr>
          <w:p w14:paraId="3A2FE402"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797</w:t>
            </w:r>
          </w:p>
        </w:tc>
        <w:tc>
          <w:tcPr>
            <w:tcW w:w="521" w:type="pct"/>
            <w:tcBorders>
              <w:top w:val="nil"/>
              <w:left w:val="nil"/>
              <w:bottom w:val="nil"/>
              <w:right w:val="nil"/>
            </w:tcBorders>
            <w:shd w:val="clear" w:color="000000" w:fill="E6F2FF"/>
            <w:noWrap/>
            <w:vAlign w:val="center"/>
            <w:hideMark/>
          </w:tcPr>
          <w:p w14:paraId="5A4AE49C"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893</w:t>
            </w:r>
          </w:p>
        </w:tc>
        <w:tc>
          <w:tcPr>
            <w:tcW w:w="521" w:type="pct"/>
            <w:tcBorders>
              <w:top w:val="nil"/>
              <w:left w:val="nil"/>
              <w:bottom w:val="nil"/>
              <w:right w:val="nil"/>
            </w:tcBorders>
            <w:shd w:val="clear" w:color="000000" w:fill="FFFFFF"/>
            <w:noWrap/>
            <w:vAlign w:val="center"/>
            <w:hideMark/>
          </w:tcPr>
          <w:p w14:paraId="0631243E"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862</w:t>
            </w:r>
          </w:p>
        </w:tc>
        <w:tc>
          <w:tcPr>
            <w:tcW w:w="521" w:type="pct"/>
            <w:tcBorders>
              <w:top w:val="nil"/>
              <w:left w:val="nil"/>
              <w:bottom w:val="nil"/>
              <w:right w:val="nil"/>
            </w:tcBorders>
            <w:shd w:val="clear" w:color="000000" w:fill="FFFFFF"/>
            <w:noWrap/>
            <w:vAlign w:val="center"/>
            <w:hideMark/>
          </w:tcPr>
          <w:p w14:paraId="264823C2"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834</w:t>
            </w:r>
          </w:p>
        </w:tc>
        <w:tc>
          <w:tcPr>
            <w:tcW w:w="521" w:type="pct"/>
            <w:tcBorders>
              <w:top w:val="nil"/>
              <w:left w:val="nil"/>
              <w:bottom w:val="nil"/>
              <w:right w:val="nil"/>
            </w:tcBorders>
            <w:shd w:val="clear" w:color="000000" w:fill="FFFFFF"/>
            <w:noWrap/>
            <w:vAlign w:val="center"/>
            <w:hideMark/>
          </w:tcPr>
          <w:p w14:paraId="38909D06" w14:textId="77777777" w:rsidR="005A4519" w:rsidRPr="005A4519" w:rsidRDefault="005A4519" w:rsidP="005A4519">
            <w:pPr>
              <w:spacing w:before="0" w:after="0" w:line="240" w:lineRule="auto"/>
              <w:jc w:val="right"/>
              <w:rPr>
                <w:rFonts w:ascii="Arial" w:hAnsi="Arial" w:cs="Arial"/>
                <w:i/>
                <w:iCs/>
                <w:color w:val="000000"/>
                <w:sz w:val="16"/>
                <w:szCs w:val="16"/>
              </w:rPr>
            </w:pPr>
            <w:r w:rsidRPr="005A4519">
              <w:rPr>
                <w:rFonts w:ascii="Arial" w:hAnsi="Arial" w:cs="Arial"/>
                <w:i/>
                <w:iCs/>
                <w:color w:val="000000"/>
                <w:sz w:val="16"/>
                <w:szCs w:val="16"/>
              </w:rPr>
              <w:t>841</w:t>
            </w:r>
          </w:p>
        </w:tc>
      </w:tr>
      <w:tr w:rsidR="005A4519" w:rsidRPr="005A4519" w14:paraId="7F083F20"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474BD5A8"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Immigration</w:t>
            </w:r>
          </w:p>
        </w:tc>
        <w:tc>
          <w:tcPr>
            <w:tcW w:w="522" w:type="pct"/>
            <w:tcBorders>
              <w:top w:val="nil"/>
              <w:left w:val="nil"/>
              <w:bottom w:val="nil"/>
              <w:right w:val="nil"/>
            </w:tcBorders>
            <w:shd w:val="clear" w:color="000000" w:fill="FFFFFF"/>
            <w:noWrap/>
            <w:vAlign w:val="center"/>
            <w:hideMark/>
          </w:tcPr>
          <w:p w14:paraId="43506326"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3,673</w:t>
            </w:r>
          </w:p>
        </w:tc>
        <w:tc>
          <w:tcPr>
            <w:tcW w:w="521" w:type="pct"/>
            <w:tcBorders>
              <w:top w:val="nil"/>
              <w:left w:val="nil"/>
              <w:bottom w:val="nil"/>
              <w:right w:val="nil"/>
            </w:tcBorders>
            <w:shd w:val="clear" w:color="000000" w:fill="E6F2FF"/>
            <w:noWrap/>
            <w:vAlign w:val="center"/>
            <w:hideMark/>
          </w:tcPr>
          <w:p w14:paraId="7DF88FD4"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3,531</w:t>
            </w:r>
          </w:p>
        </w:tc>
        <w:tc>
          <w:tcPr>
            <w:tcW w:w="521" w:type="pct"/>
            <w:tcBorders>
              <w:top w:val="nil"/>
              <w:left w:val="nil"/>
              <w:bottom w:val="nil"/>
              <w:right w:val="nil"/>
            </w:tcBorders>
            <w:shd w:val="clear" w:color="000000" w:fill="FFFFFF"/>
            <w:noWrap/>
            <w:vAlign w:val="center"/>
            <w:hideMark/>
          </w:tcPr>
          <w:p w14:paraId="43B2AEDA"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3,001</w:t>
            </w:r>
          </w:p>
        </w:tc>
        <w:tc>
          <w:tcPr>
            <w:tcW w:w="521" w:type="pct"/>
            <w:tcBorders>
              <w:top w:val="nil"/>
              <w:left w:val="nil"/>
              <w:bottom w:val="nil"/>
              <w:right w:val="nil"/>
            </w:tcBorders>
            <w:shd w:val="clear" w:color="000000" w:fill="FFFFFF"/>
            <w:noWrap/>
            <w:vAlign w:val="center"/>
            <w:hideMark/>
          </w:tcPr>
          <w:p w14:paraId="38EABE55"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2,979</w:t>
            </w:r>
          </w:p>
        </w:tc>
        <w:tc>
          <w:tcPr>
            <w:tcW w:w="521" w:type="pct"/>
            <w:tcBorders>
              <w:top w:val="nil"/>
              <w:left w:val="nil"/>
              <w:bottom w:val="nil"/>
              <w:right w:val="nil"/>
            </w:tcBorders>
            <w:shd w:val="clear" w:color="000000" w:fill="FFFFFF"/>
            <w:noWrap/>
            <w:vAlign w:val="center"/>
            <w:hideMark/>
          </w:tcPr>
          <w:p w14:paraId="20949441"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3,027</w:t>
            </w:r>
          </w:p>
        </w:tc>
      </w:tr>
      <w:tr w:rsidR="005A4519" w:rsidRPr="005A4519" w14:paraId="5956DC3A" w14:textId="77777777" w:rsidTr="005A4519">
        <w:trPr>
          <w:divId w:val="406726429"/>
          <w:trHeight w:hRule="exact" w:val="225"/>
        </w:trPr>
        <w:tc>
          <w:tcPr>
            <w:tcW w:w="2395" w:type="pct"/>
            <w:tcBorders>
              <w:top w:val="nil"/>
              <w:left w:val="nil"/>
              <w:bottom w:val="nil"/>
              <w:right w:val="nil"/>
            </w:tcBorders>
            <w:shd w:val="clear" w:color="000000" w:fill="FFFFFF"/>
            <w:noWrap/>
            <w:vAlign w:val="center"/>
            <w:hideMark/>
          </w:tcPr>
          <w:p w14:paraId="7A6AB3B2" w14:textId="77777777" w:rsidR="005A4519" w:rsidRPr="005A4519" w:rsidRDefault="005A4519" w:rsidP="005A4519">
            <w:pPr>
              <w:spacing w:before="0" w:after="0" w:line="240" w:lineRule="auto"/>
              <w:rPr>
                <w:rFonts w:ascii="Arial" w:hAnsi="Arial" w:cs="Arial"/>
                <w:color w:val="000000"/>
                <w:sz w:val="16"/>
                <w:szCs w:val="16"/>
              </w:rPr>
            </w:pPr>
            <w:r w:rsidRPr="005A4519">
              <w:rPr>
                <w:rFonts w:ascii="Arial" w:hAnsi="Arial" w:cs="Arial"/>
                <w:color w:val="000000"/>
                <w:sz w:val="16"/>
                <w:szCs w:val="16"/>
              </w:rPr>
              <w:t>Other economic affairs nec</w:t>
            </w:r>
          </w:p>
        </w:tc>
        <w:tc>
          <w:tcPr>
            <w:tcW w:w="522" w:type="pct"/>
            <w:tcBorders>
              <w:top w:val="nil"/>
              <w:left w:val="nil"/>
              <w:bottom w:val="single" w:sz="4" w:space="0" w:color="293F5B"/>
              <w:right w:val="nil"/>
            </w:tcBorders>
            <w:shd w:val="clear" w:color="000000" w:fill="FFFFFF"/>
            <w:noWrap/>
            <w:vAlign w:val="center"/>
            <w:hideMark/>
          </w:tcPr>
          <w:p w14:paraId="6A7CA447"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3,533</w:t>
            </w:r>
          </w:p>
        </w:tc>
        <w:tc>
          <w:tcPr>
            <w:tcW w:w="521" w:type="pct"/>
            <w:tcBorders>
              <w:top w:val="nil"/>
              <w:left w:val="nil"/>
              <w:bottom w:val="single" w:sz="4" w:space="0" w:color="293F5B"/>
              <w:right w:val="nil"/>
            </w:tcBorders>
            <w:shd w:val="clear" w:color="000000" w:fill="E6F2FF"/>
            <w:noWrap/>
            <w:vAlign w:val="center"/>
            <w:hideMark/>
          </w:tcPr>
          <w:p w14:paraId="4AB7384B"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3,183</w:t>
            </w:r>
          </w:p>
        </w:tc>
        <w:tc>
          <w:tcPr>
            <w:tcW w:w="521" w:type="pct"/>
            <w:tcBorders>
              <w:top w:val="nil"/>
              <w:left w:val="nil"/>
              <w:bottom w:val="single" w:sz="4" w:space="0" w:color="293F5B"/>
              <w:right w:val="nil"/>
            </w:tcBorders>
            <w:shd w:val="clear" w:color="000000" w:fill="FFFFFF"/>
            <w:noWrap/>
            <w:vAlign w:val="center"/>
            <w:hideMark/>
          </w:tcPr>
          <w:p w14:paraId="71F782CA"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3,043</w:t>
            </w:r>
          </w:p>
        </w:tc>
        <w:tc>
          <w:tcPr>
            <w:tcW w:w="521" w:type="pct"/>
            <w:tcBorders>
              <w:top w:val="nil"/>
              <w:left w:val="nil"/>
              <w:bottom w:val="single" w:sz="4" w:space="0" w:color="293F5B"/>
              <w:right w:val="nil"/>
            </w:tcBorders>
            <w:shd w:val="clear" w:color="000000" w:fill="FFFFFF"/>
            <w:noWrap/>
            <w:vAlign w:val="center"/>
            <w:hideMark/>
          </w:tcPr>
          <w:p w14:paraId="3F616EA7"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2,939</w:t>
            </w:r>
          </w:p>
        </w:tc>
        <w:tc>
          <w:tcPr>
            <w:tcW w:w="521" w:type="pct"/>
            <w:tcBorders>
              <w:top w:val="nil"/>
              <w:left w:val="nil"/>
              <w:bottom w:val="single" w:sz="4" w:space="0" w:color="293F5B"/>
              <w:right w:val="nil"/>
            </w:tcBorders>
            <w:shd w:val="clear" w:color="000000" w:fill="FFFFFF"/>
            <w:noWrap/>
            <w:vAlign w:val="center"/>
            <w:hideMark/>
          </w:tcPr>
          <w:p w14:paraId="17DECC78" w14:textId="77777777" w:rsidR="005A4519" w:rsidRPr="005A4519" w:rsidRDefault="005A4519" w:rsidP="005A4519">
            <w:pPr>
              <w:spacing w:before="0" w:after="0" w:line="240" w:lineRule="auto"/>
              <w:jc w:val="right"/>
              <w:rPr>
                <w:rFonts w:ascii="Arial" w:hAnsi="Arial" w:cs="Arial"/>
                <w:color w:val="000000"/>
                <w:sz w:val="16"/>
                <w:szCs w:val="16"/>
              </w:rPr>
            </w:pPr>
            <w:r w:rsidRPr="005A4519">
              <w:rPr>
                <w:rFonts w:ascii="Arial" w:hAnsi="Arial" w:cs="Arial"/>
                <w:color w:val="000000"/>
                <w:sz w:val="16"/>
                <w:szCs w:val="16"/>
              </w:rPr>
              <w:t>2,934</w:t>
            </w:r>
          </w:p>
        </w:tc>
      </w:tr>
      <w:tr w:rsidR="005A4519" w:rsidRPr="005A4519" w14:paraId="1400C204" w14:textId="77777777" w:rsidTr="005A4519">
        <w:trPr>
          <w:divId w:val="406726429"/>
          <w:trHeight w:hRule="exact" w:val="225"/>
        </w:trPr>
        <w:tc>
          <w:tcPr>
            <w:tcW w:w="2395" w:type="pct"/>
            <w:tcBorders>
              <w:top w:val="nil"/>
              <w:left w:val="nil"/>
              <w:bottom w:val="single" w:sz="4" w:space="0" w:color="293F5B"/>
              <w:right w:val="nil"/>
            </w:tcBorders>
            <w:shd w:val="clear" w:color="000000" w:fill="FFFFFF"/>
            <w:noWrap/>
            <w:vAlign w:val="center"/>
            <w:hideMark/>
          </w:tcPr>
          <w:p w14:paraId="744B8598" w14:textId="77777777" w:rsidR="005A4519" w:rsidRPr="005A4519" w:rsidRDefault="005A4519" w:rsidP="005A4519">
            <w:pPr>
              <w:spacing w:before="0" w:after="0" w:line="240" w:lineRule="auto"/>
              <w:rPr>
                <w:rFonts w:ascii="Arial" w:hAnsi="Arial" w:cs="Arial"/>
                <w:b/>
                <w:bCs/>
                <w:color w:val="000000"/>
                <w:sz w:val="16"/>
                <w:szCs w:val="16"/>
              </w:rPr>
            </w:pPr>
            <w:r w:rsidRPr="005A4519">
              <w:rPr>
                <w:rFonts w:ascii="Arial" w:hAnsi="Arial" w:cs="Arial"/>
                <w:b/>
                <w:bCs/>
                <w:color w:val="000000"/>
                <w:sz w:val="16"/>
                <w:szCs w:val="16"/>
              </w:rPr>
              <w:t>Total other economic affairs</w:t>
            </w:r>
          </w:p>
        </w:tc>
        <w:tc>
          <w:tcPr>
            <w:tcW w:w="522" w:type="pct"/>
            <w:tcBorders>
              <w:top w:val="nil"/>
              <w:left w:val="nil"/>
              <w:bottom w:val="single" w:sz="4" w:space="0" w:color="293F5B"/>
              <w:right w:val="nil"/>
            </w:tcBorders>
            <w:shd w:val="clear" w:color="000000" w:fill="FFFFFF"/>
            <w:noWrap/>
            <w:vAlign w:val="center"/>
            <w:hideMark/>
          </w:tcPr>
          <w:p w14:paraId="105100F9" w14:textId="77777777" w:rsidR="005A4519" w:rsidRPr="005A4519" w:rsidRDefault="005A4519" w:rsidP="005A4519">
            <w:pPr>
              <w:spacing w:before="0" w:after="0" w:line="240" w:lineRule="auto"/>
              <w:jc w:val="right"/>
              <w:rPr>
                <w:rFonts w:ascii="Arial" w:hAnsi="Arial" w:cs="Arial"/>
                <w:b/>
                <w:bCs/>
                <w:color w:val="000000"/>
                <w:sz w:val="16"/>
                <w:szCs w:val="16"/>
              </w:rPr>
            </w:pPr>
            <w:r w:rsidRPr="005A4519">
              <w:rPr>
                <w:rFonts w:ascii="Arial" w:hAnsi="Arial" w:cs="Arial"/>
                <w:b/>
                <w:bCs/>
                <w:color w:val="000000"/>
                <w:sz w:val="16"/>
                <w:szCs w:val="16"/>
              </w:rPr>
              <w:t>14,935</w:t>
            </w:r>
          </w:p>
        </w:tc>
        <w:tc>
          <w:tcPr>
            <w:tcW w:w="521" w:type="pct"/>
            <w:tcBorders>
              <w:top w:val="nil"/>
              <w:left w:val="nil"/>
              <w:bottom w:val="single" w:sz="4" w:space="0" w:color="293F5B"/>
              <w:right w:val="nil"/>
            </w:tcBorders>
            <w:shd w:val="clear" w:color="000000" w:fill="E6F2FF"/>
            <w:noWrap/>
            <w:vAlign w:val="center"/>
            <w:hideMark/>
          </w:tcPr>
          <w:p w14:paraId="0E9F018A" w14:textId="77777777" w:rsidR="005A4519" w:rsidRPr="005A4519" w:rsidRDefault="005A4519" w:rsidP="005A4519">
            <w:pPr>
              <w:spacing w:before="0" w:after="0" w:line="240" w:lineRule="auto"/>
              <w:jc w:val="right"/>
              <w:rPr>
                <w:rFonts w:ascii="Arial" w:hAnsi="Arial" w:cs="Arial"/>
                <w:b/>
                <w:bCs/>
                <w:color w:val="000000"/>
                <w:sz w:val="16"/>
                <w:szCs w:val="16"/>
              </w:rPr>
            </w:pPr>
            <w:r w:rsidRPr="005A4519">
              <w:rPr>
                <w:rFonts w:ascii="Arial" w:hAnsi="Arial" w:cs="Arial"/>
                <w:b/>
                <w:bCs/>
                <w:color w:val="000000"/>
                <w:sz w:val="16"/>
                <w:szCs w:val="16"/>
              </w:rPr>
              <w:t>12,447</w:t>
            </w:r>
          </w:p>
        </w:tc>
        <w:tc>
          <w:tcPr>
            <w:tcW w:w="521" w:type="pct"/>
            <w:tcBorders>
              <w:top w:val="nil"/>
              <w:left w:val="nil"/>
              <w:bottom w:val="single" w:sz="4" w:space="0" w:color="293F5B"/>
              <w:right w:val="nil"/>
            </w:tcBorders>
            <w:shd w:val="clear" w:color="000000" w:fill="FFFFFF"/>
            <w:noWrap/>
            <w:vAlign w:val="center"/>
            <w:hideMark/>
          </w:tcPr>
          <w:p w14:paraId="050ABDA3" w14:textId="77777777" w:rsidR="005A4519" w:rsidRPr="005A4519" w:rsidRDefault="005A4519" w:rsidP="005A4519">
            <w:pPr>
              <w:spacing w:before="0" w:after="0" w:line="240" w:lineRule="auto"/>
              <w:jc w:val="right"/>
              <w:rPr>
                <w:rFonts w:ascii="Arial" w:hAnsi="Arial" w:cs="Arial"/>
                <w:b/>
                <w:bCs/>
                <w:color w:val="000000"/>
                <w:sz w:val="16"/>
                <w:szCs w:val="16"/>
              </w:rPr>
            </w:pPr>
            <w:r w:rsidRPr="005A4519">
              <w:rPr>
                <w:rFonts w:ascii="Arial" w:hAnsi="Arial" w:cs="Arial"/>
                <w:b/>
                <w:bCs/>
                <w:color w:val="000000"/>
                <w:sz w:val="16"/>
                <w:szCs w:val="16"/>
              </w:rPr>
              <w:t>11,647</w:t>
            </w:r>
          </w:p>
        </w:tc>
        <w:tc>
          <w:tcPr>
            <w:tcW w:w="521" w:type="pct"/>
            <w:tcBorders>
              <w:top w:val="nil"/>
              <w:left w:val="nil"/>
              <w:bottom w:val="single" w:sz="4" w:space="0" w:color="293F5B"/>
              <w:right w:val="nil"/>
            </w:tcBorders>
            <w:shd w:val="clear" w:color="000000" w:fill="FFFFFF"/>
            <w:noWrap/>
            <w:vAlign w:val="center"/>
            <w:hideMark/>
          </w:tcPr>
          <w:p w14:paraId="0819DA07" w14:textId="77777777" w:rsidR="005A4519" w:rsidRPr="005A4519" w:rsidRDefault="005A4519" w:rsidP="005A4519">
            <w:pPr>
              <w:spacing w:before="0" w:after="0" w:line="240" w:lineRule="auto"/>
              <w:jc w:val="right"/>
              <w:rPr>
                <w:rFonts w:ascii="Arial" w:hAnsi="Arial" w:cs="Arial"/>
                <w:b/>
                <w:bCs/>
                <w:color w:val="000000"/>
                <w:sz w:val="16"/>
                <w:szCs w:val="16"/>
              </w:rPr>
            </w:pPr>
            <w:r w:rsidRPr="005A4519">
              <w:rPr>
                <w:rFonts w:ascii="Arial" w:hAnsi="Arial" w:cs="Arial"/>
                <w:b/>
                <w:bCs/>
                <w:color w:val="000000"/>
                <w:sz w:val="16"/>
                <w:szCs w:val="16"/>
              </w:rPr>
              <w:t>11,274</w:t>
            </w:r>
          </w:p>
        </w:tc>
        <w:tc>
          <w:tcPr>
            <w:tcW w:w="521" w:type="pct"/>
            <w:tcBorders>
              <w:top w:val="nil"/>
              <w:left w:val="nil"/>
              <w:bottom w:val="single" w:sz="4" w:space="0" w:color="293F5B"/>
              <w:right w:val="nil"/>
            </w:tcBorders>
            <w:shd w:val="clear" w:color="000000" w:fill="FFFFFF"/>
            <w:noWrap/>
            <w:vAlign w:val="center"/>
            <w:hideMark/>
          </w:tcPr>
          <w:p w14:paraId="62CE00C7" w14:textId="77777777" w:rsidR="005A4519" w:rsidRPr="005A4519" w:rsidRDefault="005A4519" w:rsidP="005A4519">
            <w:pPr>
              <w:spacing w:before="0" w:after="0" w:line="240" w:lineRule="auto"/>
              <w:jc w:val="right"/>
              <w:rPr>
                <w:rFonts w:ascii="Arial" w:hAnsi="Arial" w:cs="Arial"/>
                <w:b/>
                <w:bCs/>
                <w:color w:val="000000"/>
                <w:sz w:val="16"/>
                <w:szCs w:val="16"/>
              </w:rPr>
            </w:pPr>
            <w:r w:rsidRPr="005A4519">
              <w:rPr>
                <w:rFonts w:ascii="Arial" w:hAnsi="Arial" w:cs="Arial"/>
                <w:b/>
                <w:bCs/>
                <w:color w:val="000000"/>
                <w:sz w:val="16"/>
                <w:szCs w:val="16"/>
              </w:rPr>
              <w:t>11,100</w:t>
            </w:r>
          </w:p>
        </w:tc>
      </w:tr>
    </w:tbl>
    <w:p w14:paraId="38CE79DC" w14:textId="68F6DA05" w:rsidR="0050166A" w:rsidRDefault="0050166A" w:rsidP="0050166A">
      <w:pPr>
        <w:rPr>
          <w:lang w:val="en-US"/>
        </w:rPr>
      </w:pPr>
      <w:r w:rsidRPr="00D62392">
        <w:t>Total</w:t>
      </w:r>
      <w:r w:rsidRPr="000177D7">
        <w:rPr>
          <w:lang w:val="en-US"/>
        </w:rPr>
        <w:t xml:space="preserve"> </w:t>
      </w:r>
      <w:r w:rsidRPr="0021687D">
        <w:rPr>
          <w:lang w:val="en-US"/>
        </w:rPr>
        <w:t xml:space="preserve">expenses for the </w:t>
      </w:r>
      <w:r w:rsidRPr="0021687D">
        <w:t>other</w:t>
      </w:r>
      <w:r w:rsidRPr="0021687D">
        <w:rPr>
          <w:lang w:val="en-US"/>
        </w:rPr>
        <w:t xml:space="preserve"> economic affairs function are estimated to decrease by 10.</w:t>
      </w:r>
      <w:r w:rsidR="009710CB" w:rsidRPr="0021687D">
        <w:rPr>
          <w:lang w:val="en-US"/>
        </w:rPr>
        <w:t>8</w:t>
      </w:r>
      <w:r w:rsidR="00893776">
        <w:rPr>
          <w:lang w:val="en-US"/>
        </w:rPr>
        <w:t> per </w:t>
      </w:r>
      <w:r w:rsidRPr="0021687D">
        <w:rPr>
          <w:lang w:val="en-US"/>
        </w:rPr>
        <w:t>cent in nominal terms and by 17.</w:t>
      </w:r>
      <w:r w:rsidR="009710CB" w:rsidRPr="0021687D">
        <w:rPr>
          <w:lang w:val="en-US"/>
        </w:rPr>
        <w:t>6</w:t>
      </w:r>
      <w:r w:rsidR="00893776">
        <w:rPr>
          <w:lang w:val="en-US"/>
        </w:rPr>
        <w:t> per </w:t>
      </w:r>
      <w:r w:rsidRPr="0021687D">
        <w:rPr>
          <w:lang w:val="en-US"/>
        </w:rPr>
        <w:t>cent in real terms over the period 2023</w:t>
      </w:r>
      <w:r w:rsidR="00D25E5B">
        <w:rPr>
          <w:lang w:val="en-US"/>
        </w:rPr>
        <w:t>–</w:t>
      </w:r>
      <w:r w:rsidRPr="0021687D">
        <w:rPr>
          <w:lang w:val="en-US"/>
        </w:rPr>
        <w:t>24 to 2026</w:t>
      </w:r>
      <w:r w:rsidR="00D25E5B">
        <w:rPr>
          <w:lang w:val="en-US"/>
        </w:rPr>
        <w:t>–</w:t>
      </w:r>
      <w:r w:rsidRPr="0021687D">
        <w:rPr>
          <w:lang w:val="en-US"/>
        </w:rPr>
        <w:t>27.</w:t>
      </w:r>
    </w:p>
    <w:p w14:paraId="6425C9C2" w14:textId="06F42638" w:rsidR="0050166A" w:rsidRPr="000177D7" w:rsidRDefault="0050166A" w:rsidP="0050166A">
      <w:r w:rsidRPr="00C14204">
        <w:t xml:space="preserve">Expenses under the </w:t>
      </w:r>
      <w:r w:rsidRPr="00C14204">
        <w:rPr>
          <w:b/>
        </w:rPr>
        <w:t>tourism and area promotion</w:t>
      </w:r>
      <w:r w:rsidRPr="00C14204">
        <w:t xml:space="preserve"> sub</w:t>
      </w:r>
      <w:r w:rsidR="00D34B95">
        <w:noBreakHyphen/>
      </w:r>
      <w:r w:rsidRPr="00C14204">
        <w:t xml:space="preserve">function are expected to </w:t>
      </w:r>
      <w:r w:rsidRPr="00C14204">
        <w:rPr>
          <w:lang w:val="en-US"/>
        </w:rPr>
        <w:t>decrease over the period 2023</w:t>
      </w:r>
      <w:r w:rsidR="00D25E5B">
        <w:rPr>
          <w:lang w:val="en-US"/>
        </w:rPr>
        <w:t>–</w:t>
      </w:r>
      <w:r w:rsidRPr="00C14204">
        <w:rPr>
          <w:lang w:val="en-US"/>
        </w:rPr>
        <w:t>24 to 2026</w:t>
      </w:r>
      <w:r w:rsidR="00D25E5B">
        <w:rPr>
          <w:lang w:val="en-US"/>
        </w:rPr>
        <w:t>–</w:t>
      </w:r>
      <w:r w:rsidRPr="00C14204">
        <w:rPr>
          <w:lang w:val="en-US"/>
        </w:rPr>
        <w:t>27</w:t>
      </w:r>
      <w:r>
        <w:rPr>
          <w:lang w:val="en-US"/>
        </w:rPr>
        <w:t xml:space="preserve"> with t</w:t>
      </w:r>
      <w:r w:rsidRPr="00C14204">
        <w:rPr>
          <w:lang w:val="en-US"/>
        </w:rPr>
        <w:t>he decline in 2023</w:t>
      </w:r>
      <w:r w:rsidR="00D25E5B">
        <w:rPr>
          <w:lang w:val="en-US"/>
        </w:rPr>
        <w:t>–</w:t>
      </w:r>
      <w:r w:rsidRPr="00C14204">
        <w:rPr>
          <w:lang w:val="en-US"/>
        </w:rPr>
        <w:t xml:space="preserve">24 </w:t>
      </w:r>
      <w:r w:rsidRPr="00C14204">
        <w:t xml:space="preserve">largely due to the </w:t>
      </w:r>
      <w:r>
        <w:t>cessation of the COVID</w:t>
      </w:r>
      <w:r w:rsidR="00D34B95">
        <w:noBreakHyphen/>
      </w:r>
      <w:r>
        <w:t>19</w:t>
      </w:r>
      <w:r w:rsidR="00D34B95">
        <w:noBreakHyphen/>
      </w:r>
      <w:r>
        <w:t xml:space="preserve">related </w:t>
      </w:r>
      <w:r w:rsidRPr="00C14204">
        <w:t>additional tourism marketing campaigns as international travel resumed</w:t>
      </w:r>
      <w:r>
        <w:t>, and</w:t>
      </w:r>
      <w:r w:rsidRPr="00C14204">
        <w:t xml:space="preserve"> from 2023</w:t>
      </w:r>
      <w:r w:rsidR="00D25E5B">
        <w:t>–</w:t>
      </w:r>
      <w:r w:rsidRPr="00C14204">
        <w:t>24 reflects stable expenditure in nominal terms.</w:t>
      </w:r>
      <w:r>
        <w:t xml:space="preserve"> </w:t>
      </w:r>
    </w:p>
    <w:p w14:paraId="18B9F357" w14:textId="2480A9A2" w:rsidR="0050166A" w:rsidRDefault="0050166A" w:rsidP="0050166A">
      <w:r w:rsidRPr="000177D7">
        <w:t xml:space="preserve">Expenses under the </w:t>
      </w:r>
      <w:r w:rsidRPr="73906F5B">
        <w:rPr>
          <w:b/>
          <w:bCs/>
        </w:rPr>
        <w:t>vocational and industry</w:t>
      </w:r>
      <w:r w:rsidRPr="000177D7">
        <w:t xml:space="preserve"> </w:t>
      </w:r>
      <w:r w:rsidRPr="73906F5B">
        <w:rPr>
          <w:b/>
          <w:bCs/>
        </w:rPr>
        <w:t>training</w:t>
      </w:r>
      <w:r w:rsidRPr="000177D7">
        <w:t xml:space="preserve"> sub</w:t>
      </w:r>
      <w:r w:rsidR="00D34B95">
        <w:noBreakHyphen/>
      </w:r>
      <w:r w:rsidRPr="000177D7">
        <w:t xml:space="preserve">function are expected to </w:t>
      </w:r>
      <w:r w:rsidRPr="73906F5B">
        <w:rPr>
          <w:lang w:val="en-US"/>
        </w:rPr>
        <w:t xml:space="preserve">decrease </w:t>
      </w:r>
      <w:r w:rsidRPr="000177D7">
        <w:t>reflect</w:t>
      </w:r>
      <w:r>
        <w:t>ing</w:t>
      </w:r>
      <w:r w:rsidRPr="000177D7">
        <w:t xml:space="preserve"> the cessation of the Boosting Apprenticeship Commencements wage subsidy</w:t>
      </w:r>
      <w:r>
        <w:t xml:space="preserve"> which is closed to new applicants.</w:t>
      </w:r>
    </w:p>
    <w:p w14:paraId="30B91E9B" w14:textId="34D7C3E0" w:rsidR="0050166A" w:rsidRPr="000177D7" w:rsidRDefault="0050166A" w:rsidP="0050166A">
      <w:r w:rsidRPr="000177D7">
        <w:t xml:space="preserve">Expenses under the </w:t>
      </w:r>
      <w:r w:rsidRPr="000177D7">
        <w:rPr>
          <w:b/>
        </w:rPr>
        <w:t>labour market assistance to job seekers and industry</w:t>
      </w:r>
      <w:r w:rsidRPr="000177D7">
        <w:t xml:space="preserve"> sub</w:t>
      </w:r>
      <w:r w:rsidR="00D34B95">
        <w:noBreakHyphen/>
      </w:r>
      <w:r w:rsidRPr="000177D7">
        <w:t xml:space="preserve">function are expected to </w:t>
      </w:r>
      <w:r>
        <w:rPr>
          <w:lang w:val="en-US"/>
        </w:rPr>
        <w:t xml:space="preserve">increase </w:t>
      </w:r>
      <w:r w:rsidRPr="000177D7">
        <w:t>as a result of the estimated profile of the caseload of job seekers in the Workforce Australia employment services system.</w:t>
      </w:r>
    </w:p>
    <w:p w14:paraId="48D7FD85" w14:textId="2061B5A0" w:rsidR="0050166A" w:rsidRPr="000177D7" w:rsidRDefault="0050166A" w:rsidP="0050166A">
      <w:pPr>
        <w:rPr>
          <w:rFonts w:ascii="Calibri" w:hAnsi="Calibri"/>
        </w:rPr>
      </w:pPr>
      <w:r w:rsidRPr="000177D7">
        <w:t xml:space="preserve">Expenses under the </w:t>
      </w:r>
      <w:r w:rsidRPr="000177D7">
        <w:rPr>
          <w:b/>
          <w:bCs/>
        </w:rPr>
        <w:t>industrial relations</w:t>
      </w:r>
      <w:r w:rsidRPr="000177D7">
        <w:t xml:space="preserve"> sub</w:t>
      </w:r>
      <w:r w:rsidR="00D34B95">
        <w:noBreakHyphen/>
      </w:r>
      <w:r w:rsidRPr="000177D7">
        <w:t xml:space="preserve">function </w:t>
      </w:r>
      <w:r>
        <w:t>reflect</w:t>
      </w:r>
      <w:r w:rsidRPr="000177D7">
        <w:t xml:space="preserve"> </w:t>
      </w:r>
      <w:r>
        <w:t xml:space="preserve">higher </w:t>
      </w:r>
      <w:r w:rsidRPr="000177D7">
        <w:t xml:space="preserve">than expected payments for employee entitlements under the </w:t>
      </w:r>
      <w:r w:rsidRPr="670A4B86">
        <w:rPr>
          <w:i/>
          <w:iCs/>
        </w:rPr>
        <w:t>Fair Entitlements Guarantee Act 2012</w:t>
      </w:r>
      <w:r>
        <w:t xml:space="preserve"> from 2022</w:t>
      </w:r>
      <w:r w:rsidR="00D25E5B">
        <w:t>–</w:t>
      </w:r>
      <w:r>
        <w:t>23 to 2023</w:t>
      </w:r>
      <w:r w:rsidR="00D25E5B">
        <w:t>–</w:t>
      </w:r>
      <w:r>
        <w:t>24, and lower than expected payments from 2024</w:t>
      </w:r>
      <w:r w:rsidR="00D25E5B">
        <w:t>–</w:t>
      </w:r>
      <w:r>
        <w:t>25 to 2026</w:t>
      </w:r>
      <w:r w:rsidR="00D25E5B">
        <w:t>–</w:t>
      </w:r>
      <w:r>
        <w:t>27</w:t>
      </w:r>
      <w:r w:rsidRPr="670A4B86">
        <w:rPr>
          <w:i/>
          <w:iCs/>
        </w:rPr>
        <w:t>.</w:t>
      </w:r>
    </w:p>
    <w:p w14:paraId="5D41678E" w14:textId="77777777" w:rsidR="004D70C4" w:rsidRDefault="0050166A" w:rsidP="0050166A">
      <w:r w:rsidRPr="000177D7">
        <w:t>The main components of the</w:t>
      </w:r>
      <w:r w:rsidRPr="000177D7">
        <w:rPr>
          <w:b/>
        </w:rPr>
        <w:t xml:space="preserve"> immigration</w:t>
      </w:r>
      <w:r w:rsidRPr="000177D7">
        <w:t xml:space="preserve"> sub</w:t>
      </w:r>
      <w:r w:rsidR="00D34B95">
        <w:noBreakHyphen/>
      </w:r>
      <w:r w:rsidRPr="000177D7">
        <w:t>function relate to the management of unlawful non</w:t>
      </w:r>
      <w:r w:rsidR="00D34B95">
        <w:noBreakHyphen/>
      </w:r>
      <w:r w:rsidRPr="000177D7">
        <w:t>citizens, the provision of migration and citizenship services, and refugee and humanitarian assistance.</w:t>
      </w:r>
      <w:r>
        <w:t xml:space="preserve"> </w:t>
      </w:r>
      <w:r w:rsidRPr="000177D7">
        <w:t>Expenses under this sub</w:t>
      </w:r>
      <w:r w:rsidR="00D34B95">
        <w:noBreakHyphen/>
      </w:r>
      <w:r w:rsidRPr="000177D7">
        <w:t xml:space="preserve">function are expected to </w:t>
      </w:r>
      <w:r>
        <w:rPr>
          <w:lang w:val="en-US"/>
        </w:rPr>
        <w:t>decrease over the period 2023</w:t>
      </w:r>
      <w:r w:rsidR="00D25E5B">
        <w:rPr>
          <w:lang w:val="en-US"/>
        </w:rPr>
        <w:t>–</w:t>
      </w:r>
      <w:r>
        <w:rPr>
          <w:lang w:val="en-US"/>
        </w:rPr>
        <w:t>24 to 2026</w:t>
      </w:r>
      <w:r w:rsidR="00D25E5B">
        <w:rPr>
          <w:lang w:val="en-US"/>
        </w:rPr>
        <w:t>–</w:t>
      </w:r>
      <w:r>
        <w:rPr>
          <w:lang w:val="en-US"/>
        </w:rPr>
        <w:t>27</w:t>
      </w:r>
      <w:r w:rsidRPr="000177D7">
        <w:t xml:space="preserve"> primarily reflecting </w:t>
      </w:r>
      <w:r>
        <w:t>the forecast reduction of</w:t>
      </w:r>
      <w:r w:rsidRPr="000177D7">
        <w:t xml:space="preserve"> </w:t>
      </w:r>
      <w:r>
        <w:t xml:space="preserve">the </w:t>
      </w:r>
      <w:r w:rsidRPr="000177D7">
        <w:t>detainee population in both onshore and offshore detention.</w:t>
      </w:r>
    </w:p>
    <w:p w14:paraId="2125AFA9" w14:textId="637010CD" w:rsidR="0050166A" w:rsidRPr="000177D7" w:rsidRDefault="00012D16" w:rsidP="0050166A">
      <w:r>
        <w:br w:type="page"/>
      </w:r>
    </w:p>
    <w:p w14:paraId="24660E3B" w14:textId="69BABFE4" w:rsidR="004A5EC1" w:rsidRPr="000177D7" w:rsidRDefault="0050166A" w:rsidP="0050166A">
      <w:r w:rsidRPr="000177D7">
        <w:lastRenderedPageBreak/>
        <w:t xml:space="preserve">Table 6.16.1 sets out the major components of the </w:t>
      </w:r>
      <w:r w:rsidRPr="000177D7">
        <w:rPr>
          <w:b/>
        </w:rPr>
        <w:t>immigration</w:t>
      </w:r>
      <w:r w:rsidRPr="000177D7">
        <w:t xml:space="preserve"> sub</w:t>
      </w:r>
      <w:r w:rsidR="00D34B95">
        <w:noBreakHyphen/>
      </w:r>
      <w:r w:rsidRPr="000177D7">
        <w:t>function.</w:t>
      </w:r>
    </w:p>
    <w:p w14:paraId="55AB3D75" w14:textId="6077A4B7" w:rsidR="00FB467E" w:rsidRDefault="00C855DF" w:rsidP="00E558A6">
      <w:pPr>
        <w:pStyle w:val="TableHeading"/>
        <w:rPr>
          <w:rFonts w:asciiTheme="minorHAnsi" w:eastAsiaTheme="minorHAnsi" w:hAnsiTheme="minorHAnsi" w:cstheme="minorBidi"/>
          <w:sz w:val="22"/>
          <w:szCs w:val="22"/>
          <w:lang w:eastAsia="en-US"/>
        </w:rPr>
      </w:pPr>
      <w:r w:rsidRPr="000177D7">
        <w:t>Table 6.16.1: Trends in the major components of immigration sub</w:t>
      </w:r>
      <w:r w:rsidR="00D34B95">
        <w:noBreakHyphen/>
      </w:r>
      <w:r w:rsidRPr="000177D7">
        <w:t>function expense</w:t>
      </w:r>
      <w:bookmarkStart w:id="146" w:name="_1555616386"/>
      <w:bookmarkStart w:id="147" w:name="_1727953913"/>
      <w:bookmarkStart w:id="148" w:name="_1727955090"/>
      <w:bookmarkEnd w:id="146"/>
      <w:bookmarkEnd w:id="147"/>
      <w:bookmarkEnd w:id="148"/>
    </w:p>
    <w:tbl>
      <w:tblPr>
        <w:tblW w:w="5000" w:type="pct"/>
        <w:tblCellMar>
          <w:left w:w="0" w:type="dxa"/>
          <w:right w:w="28" w:type="dxa"/>
        </w:tblCellMar>
        <w:tblLook w:val="04A0" w:firstRow="1" w:lastRow="0" w:firstColumn="1" w:lastColumn="0" w:noHBand="0" w:noVBand="1"/>
      </w:tblPr>
      <w:tblGrid>
        <w:gridCol w:w="3106"/>
        <w:gridCol w:w="920"/>
        <w:gridCol w:w="921"/>
        <w:gridCol w:w="921"/>
        <w:gridCol w:w="921"/>
        <w:gridCol w:w="921"/>
      </w:tblGrid>
      <w:tr w:rsidR="00FB467E" w:rsidRPr="00FB467E" w14:paraId="2AAE2D29" w14:textId="77777777" w:rsidTr="000D3856">
        <w:trPr>
          <w:trHeight w:hRule="exact" w:val="225"/>
        </w:trPr>
        <w:tc>
          <w:tcPr>
            <w:tcW w:w="2015" w:type="pct"/>
            <w:tcBorders>
              <w:top w:val="single" w:sz="4" w:space="0" w:color="002A54" w:themeColor="text2"/>
              <w:left w:val="nil"/>
              <w:bottom w:val="nil"/>
              <w:right w:val="nil"/>
            </w:tcBorders>
            <w:shd w:val="clear" w:color="000000" w:fill="FFFFFF"/>
            <w:noWrap/>
            <w:vAlign w:val="center"/>
            <w:hideMark/>
          </w:tcPr>
          <w:p w14:paraId="76B52B39" w14:textId="5B473438" w:rsidR="00FB467E" w:rsidRPr="00F13DC1" w:rsidRDefault="00FB467E" w:rsidP="00F13DC1">
            <w:pPr>
              <w:pStyle w:val="TableTextLeft"/>
              <w:rPr>
                <w:b/>
                <w:bCs/>
              </w:rPr>
            </w:pPr>
            <w:r w:rsidRPr="00F13DC1">
              <w:rPr>
                <w:b/>
                <w:bCs/>
              </w:rPr>
              <w:t>Component(a)</w:t>
            </w:r>
          </w:p>
        </w:tc>
        <w:tc>
          <w:tcPr>
            <w:tcW w:w="2985"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1F481083" w14:textId="77777777" w:rsidR="00FB467E" w:rsidRPr="00FB467E" w:rsidRDefault="00FB467E" w:rsidP="00FB467E">
            <w:pPr>
              <w:spacing w:before="0" w:after="0" w:line="240" w:lineRule="auto"/>
              <w:jc w:val="center"/>
              <w:rPr>
                <w:rFonts w:ascii="Arial" w:hAnsi="Arial" w:cs="Arial"/>
                <w:color w:val="000000"/>
                <w:sz w:val="16"/>
                <w:szCs w:val="16"/>
              </w:rPr>
            </w:pPr>
            <w:r w:rsidRPr="00FB467E">
              <w:rPr>
                <w:rFonts w:ascii="Arial" w:hAnsi="Arial" w:cs="Arial"/>
                <w:color w:val="000000"/>
                <w:sz w:val="16"/>
                <w:szCs w:val="16"/>
              </w:rPr>
              <w:t>Estimates</w:t>
            </w:r>
          </w:p>
        </w:tc>
      </w:tr>
      <w:tr w:rsidR="00FB467E" w:rsidRPr="00FB467E" w14:paraId="7BF9FBF4" w14:textId="77777777" w:rsidTr="000D3856">
        <w:trPr>
          <w:trHeight w:hRule="exact" w:val="225"/>
        </w:trPr>
        <w:tc>
          <w:tcPr>
            <w:tcW w:w="2015" w:type="pct"/>
            <w:tcBorders>
              <w:top w:val="nil"/>
              <w:left w:val="nil"/>
              <w:bottom w:val="nil"/>
              <w:right w:val="nil"/>
            </w:tcBorders>
            <w:shd w:val="clear" w:color="000000" w:fill="FFFFFF"/>
            <w:noWrap/>
            <w:vAlign w:val="bottom"/>
            <w:hideMark/>
          </w:tcPr>
          <w:p w14:paraId="770740E1"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c>
          <w:tcPr>
            <w:tcW w:w="597" w:type="pct"/>
            <w:tcBorders>
              <w:top w:val="single" w:sz="4" w:space="0" w:color="002A54" w:themeColor="text2"/>
              <w:left w:val="nil"/>
              <w:bottom w:val="nil"/>
              <w:right w:val="nil"/>
            </w:tcBorders>
            <w:shd w:val="clear" w:color="000000" w:fill="FFFFFF"/>
            <w:noWrap/>
            <w:vAlign w:val="center"/>
            <w:hideMark/>
          </w:tcPr>
          <w:p w14:paraId="6C50E069" w14:textId="1F5256BC" w:rsidR="00FB467E" w:rsidRPr="00FB467E" w:rsidRDefault="00FB467E" w:rsidP="00FB467E">
            <w:pPr>
              <w:spacing w:before="0" w:after="0" w:line="240" w:lineRule="auto"/>
              <w:jc w:val="right"/>
              <w:rPr>
                <w:rFonts w:ascii="Arial" w:hAnsi="Arial" w:cs="Arial"/>
                <w:sz w:val="16"/>
                <w:szCs w:val="16"/>
              </w:rPr>
            </w:pPr>
            <w:r w:rsidRPr="00FB467E">
              <w:rPr>
                <w:rFonts w:ascii="Arial" w:hAnsi="Arial" w:cs="Arial"/>
                <w:sz w:val="16"/>
                <w:szCs w:val="16"/>
              </w:rPr>
              <w:t>2022</w:t>
            </w:r>
            <w:r w:rsidR="00D34B95">
              <w:rPr>
                <w:rFonts w:ascii="Arial" w:hAnsi="Arial" w:cs="Arial"/>
                <w:sz w:val="16"/>
                <w:szCs w:val="16"/>
              </w:rPr>
              <w:noBreakHyphen/>
            </w:r>
            <w:r w:rsidRPr="00FB467E">
              <w:rPr>
                <w:rFonts w:ascii="Arial" w:hAnsi="Arial" w:cs="Arial"/>
                <w:sz w:val="16"/>
                <w:szCs w:val="16"/>
              </w:rPr>
              <w:t>23</w:t>
            </w:r>
          </w:p>
        </w:tc>
        <w:tc>
          <w:tcPr>
            <w:tcW w:w="597" w:type="pct"/>
            <w:tcBorders>
              <w:top w:val="single" w:sz="4" w:space="0" w:color="002A54" w:themeColor="text2"/>
              <w:left w:val="nil"/>
              <w:bottom w:val="nil"/>
              <w:right w:val="nil"/>
            </w:tcBorders>
            <w:shd w:val="clear" w:color="000000" w:fill="E6F2FF"/>
            <w:noWrap/>
            <w:vAlign w:val="center"/>
            <w:hideMark/>
          </w:tcPr>
          <w:p w14:paraId="75BE12E7" w14:textId="18B09F08" w:rsidR="00FB467E" w:rsidRPr="00FB467E" w:rsidRDefault="00FB467E" w:rsidP="00FB467E">
            <w:pPr>
              <w:spacing w:before="0" w:after="0" w:line="240" w:lineRule="auto"/>
              <w:jc w:val="right"/>
              <w:rPr>
                <w:rFonts w:ascii="Arial" w:hAnsi="Arial" w:cs="Arial"/>
                <w:sz w:val="16"/>
                <w:szCs w:val="16"/>
              </w:rPr>
            </w:pPr>
            <w:r w:rsidRPr="00FB467E">
              <w:rPr>
                <w:rFonts w:ascii="Arial" w:hAnsi="Arial" w:cs="Arial"/>
                <w:sz w:val="16"/>
                <w:szCs w:val="16"/>
              </w:rPr>
              <w:t>2023</w:t>
            </w:r>
            <w:r w:rsidR="00D34B95">
              <w:rPr>
                <w:rFonts w:ascii="Arial" w:hAnsi="Arial" w:cs="Arial"/>
                <w:sz w:val="16"/>
                <w:szCs w:val="16"/>
              </w:rPr>
              <w:noBreakHyphen/>
            </w:r>
            <w:r w:rsidRPr="00FB467E">
              <w:rPr>
                <w:rFonts w:ascii="Arial" w:hAnsi="Arial" w:cs="Arial"/>
                <w:sz w:val="16"/>
                <w:szCs w:val="16"/>
              </w:rPr>
              <w:t>24</w:t>
            </w:r>
          </w:p>
        </w:tc>
        <w:tc>
          <w:tcPr>
            <w:tcW w:w="597" w:type="pct"/>
            <w:tcBorders>
              <w:top w:val="single" w:sz="4" w:space="0" w:color="002A54" w:themeColor="text2"/>
              <w:left w:val="nil"/>
              <w:bottom w:val="nil"/>
              <w:right w:val="nil"/>
            </w:tcBorders>
            <w:shd w:val="clear" w:color="000000" w:fill="FFFFFF"/>
            <w:noWrap/>
            <w:vAlign w:val="center"/>
            <w:hideMark/>
          </w:tcPr>
          <w:p w14:paraId="17E82460" w14:textId="69085E83" w:rsidR="00FB467E" w:rsidRPr="00FB467E" w:rsidRDefault="00FB467E" w:rsidP="00FB467E">
            <w:pPr>
              <w:spacing w:before="0" w:after="0" w:line="240" w:lineRule="auto"/>
              <w:jc w:val="right"/>
              <w:rPr>
                <w:rFonts w:ascii="Arial" w:hAnsi="Arial" w:cs="Arial"/>
                <w:sz w:val="16"/>
                <w:szCs w:val="16"/>
              </w:rPr>
            </w:pPr>
            <w:r w:rsidRPr="00FB467E">
              <w:rPr>
                <w:rFonts w:ascii="Arial" w:hAnsi="Arial" w:cs="Arial"/>
                <w:sz w:val="16"/>
                <w:szCs w:val="16"/>
              </w:rPr>
              <w:t>2024</w:t>
            </w:r>
            <w:r w:rsidR="00D34B95">
              <w:rPr>
                <w:rFonts w:ascii="Arial" w:hAnsi="Arial" w:cs="Arial"/>
                <w:sz w:val="16"/>
                <w:szCs w:val="16"/>
              </w:rPr>
              <w:noBreakHyphen/>
            </w:r>
            <w:r w:rsidRPr="00FB467E">
              <w:rPr>
                <w:rFonts w:ascii="Arial" w:hAnsi="Arial" w:cs="Arial"/>
                <w:sz w:val="16"/>
                <w:szCs w:val="16"/>
              </w:rPr>
              <w:t>25</w:t>
            </w:r>
          </w:p>
        </w:tc>
        <w:tc>
          <w:tcPr>
            <w:tcW w:w="597" w:type="pct"/>
            <w:tcBorders>
              <w:top w:val="single" w:sz="4" w:space="0" w:color="002A54" w:themeColor="text2"/>
              <w:left w:val="nil"/>
              <w:bottom w:val="nil"/>
              <w:right w:val="nil"/>
            </w:tcBorders>
            <w:shd w:val="clear" w:color="000000" w:fill="FFFFFF"/>
            <w:noWrap/>
            <w:vAlign w:val="center"/>
            <w:hideMark/>
          </w:tcPr>
          <w:p w14:paraId="3FC8457A" w14:textId="1242E6AF" w:rsidR="00FB467E" w:rsidRPr="00FB467E" w:rsidRDefault="00FB467E" w:rsidP="00FB467E">
            <w:pPr>
              <w:spacing w:before="0" w:after="0" w:line="240" w:lineRule="auto"/>
              <w:jc w:val="right"/>
              <w:rPr>
                <w:rFonts w:ascii="Arial" w:hAnsi="Arial" w:cs="Arial"/>
                <w:sz w:val="16"/>
                <w:szCs w:val="16"/>
              </w:rPr>
            </w:pPr>
            <w:r w:rsidRPr="00FB467E">
              <w:rPr>
                <w:rFonts w:ascii="Arial" w:hAnsi="Arial" w:cs="Arial"/>
                <w:sz w:val="16"/>
                <w:szCs w:val="16"/>
              </w:rPr>
              <w:t>2025</w:t>
            </w:r>
            <w:r w:rsidR="00D34B95">
              <w:rPr>
                <w:rFonts w:ascii="Arial" w:hAnsi="Arial" w:cs="Arial"/>
                <w:sz w:val="16"/>
                <w:szCs w:val="16"/>
              </w:rPr>
              <w:noBreakHyphen/>
            </w:r>
            <w:r w:rsidRPr="00FB467E">
              <w:rPr>
                <w:rFonts w:ascii="Arial" w:hAnsi="Arial" w:cs="Arial"/>
                <w:sz w:val="16"/>
                <w:szCs w:val="16"/>
              </w:rPr>
              <w:t>26</w:t>
            </w:r>
          </w:p>
        </w:tc>
        <w:tc>
          <w:tcPr>
            <w:tcW w:w="597" w:type="pct"/>
            <w:tcBorders>
              <w:top w:val="single" w:sz="4" w:space="0" w:color="002A54" w:themeColor="text2"/>
              <w:left w:val="nil"/>
              <w:bottom w:val="nil"/>
              <w:right w:val="nil"/>
            </w:tcBorders>
            <w:shd w:val="clear" w:color="000000" w:fill="FFFFFF"/>
            <w:noWrap/>
            <w:vAlign w:val="center"/>
            <w:hideMark/>
          </w:tcPr>
          <w:p w14:paraId="011E218E" w14:textId="146D769F"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2026</w:t>
            </w:r>
            <w:r w:rsidR="00D34B95">
              <w:rPr>
                <w:rFonts w:ascii="Arial" w:hAnsi="Arial" w:cs="Arial"/>
                <w:color w:val="000000"/>
                <w:sz w:val="16"/>
                <w:szCs w:val="16"/>
              </w:rPr>
              <w:noBreakHyphen/>
            </w:r>
            <w:r w:rsidRPr="00FB467E">
              <w:rPr>
                <w:rFonts w:ascii="Arial" w:hAnsi="Arial" w:cs="Arial"/>
                <w:color w:val="000000"/>
                <w:sz w:val="16"/>
                <w:szCs w:val="16"/>
              </w:rPr>
              <w:t>27</w:t>
            </w:r>
          </w:p>
        </w:tc>
      </w:tr>
      <w:tr w:rsidR="00FB467E" w:rsidRPr="00FB467E" w14:paraId="7BF84033" w14:textId="77777777" w:rsidTr="000D3856">
        <w:trPr>
          <w:trHeight w:hRule="exact" w:val="225"/>
        </w:trPr>
        <w:tc>
          <w:tcPr>
            <w:tcW w:w="2015" w:type="pct"/>
            <w:tcBorders>
              <w:top w:val="nil"/>
              <w:left w:val="nil"/>
              <w:bottom w:val="nil"/>
              <w:right w:val="nil"/>
            </w:tcBorders>
            <w:shd w:val="clear" w:color="000000" w:fill="FFFFFF"/>
            <w:noWrap/>
            <w:vAlign w:val="center"/>
            <w:hideMark/>
          </w:tcPr>
          <w:p w14:paraId="4043C8C3"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c>
          <w:tcPr>
            <w:tcW w:w="597" w:type="pct"/>
            <w:tcBorders>
              <w:top w:val="nil"/>
              <w:left w:val="nil"/>
              <w:bottom w:val="single" w:sz="4" w:space="0" w:color="002A54" w:themeColor="text2"/>
              <w:right w:val="nil"/>
            </w:tcBorders>
            <w:shd w:val="clear" w:color="000000" w:fill="FFFFFF"/>
            <w:noWrap/>
            <w:vAlign w:val="center"/>
            <w:hideMark/>
          </w:tcPr>
          <w:p w14:paraId="0379AF4B"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$m</w:t>
            </w:r>
          </w:p>
        </w:tc>
        <w:tc>
          <w:tcPr>
            <w:tcW w:w="597" w:type="pct"/>
            <w:tcBorders>
              <w:top w:val="nil"/>
              <w:left w:val="nil"/>
              <w:bottom w:val="single" w:sz="4" w:space="0" w:color="002A54" w:themeColor="text2"/>
              <w:right w:val="nil"/>
            </w:tcBorders>
            <w:shd w:val="clear" w:color="000000" w:fill="E6F2FF"/>
            <w:noWrap/>
            <w:vAlign w:val="center"/>
            <w:hideMark/>
          </w:tcPr>
          <w:p w14:paraId="6E468A8A"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$m</w:t>
            </w:r>
          </w:p>
        </w:tc>
        <w:tc>
          <w:tcPr>
            <w:tcW w:w="597" w:type="pct"/>
            <w:tcBorders>
              <w:top w:val="nil"/>
              <w:left w:val="nil"/>
              <w:bottom w:val="single" w:sz="4" w:space="0" w:color="002A54" w:themeColor="text2"/>
              <w:right w:val="nil"/>
            </w:tcBorders>
            <w:shd w:val="clear" w:color="000000" w:fill="FFFFFF"/>
            <w:noWrap/>
            <w:vAlign w:val="center"/>
            <w:hideMark/>
          </w:tcPr>
          <w:p w14:paraId="233DB61D"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$m</w:t>
            </w:r>
          </w:p>
        </w:tc>
        <w:tc>
          <w:tcPr>
            <w:tcW w:w="597" w:type="pct"/>
            <w:tcBorders>
              <w:top w:val="nil"/>
              <w:left w:val="nil"/>
              <w:bottom w:val="single" w:sz="4" w:space="0" w:color="002A54" w:themeColor="text2"/>
              <w:right w:val="nil"/>
            </w:tcBorders>
            <w:shd w:val="clear" w:color="000000" w:fill="FFFFFF"/>
            <w:noWrap/>
            <w:vAlign w:val="center"/>
            <w:hideMark/>
          </w:tcPr>
          <w:p w14:paraId="11803242"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$m</w:t>
            </w:r>
          </w:p>
        </w:tc>
        <w:tc>
          <w:tcPr>
            <w:tcW w:w="597" w:type="pct"/>
            <w:tcBorders>
              <w:top w:val="nil"/>
              <w:left w:val="nil"/>
              <w:bottom w:val="single" w:sz="4" w:space="0" w:color="002A54" w:themeColor="text2"/>
              <w:right w:val="nil"/>
            </w:tcBorders>
            <w:shd w:val="clear" w:color="000000" w:fill="FFFFFF"/>
            <w:noWrap/>
            <w:vAlign w:val="center"/>
            <w:hideMark/>
          </w:tcPr>
          <w:p w14:paraId="7E14B888"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$m</w:t>
            </w:r>
          </w:p>
        </w:tc>
      </w:tr>
      <w:tr w:rsidR="00FB467E" w:rsidRPr="00FB467E" w14:paraId="009356DF" w14:textId="77777777" w:rsidTr="000D3856">
        <w:trPr>
          <w:trHeight w:hRule="exact" w:val="225"/>
        </w:trPr>
        <w:tc>
          <w:tcPr>
            <w:tcW w:w="2015" w:type="pct"/>
            <w:tcBorders>
              <w:top w:val="nil"/>
              <w:left w:val="nil"/>
              <w:bottom w:val="nil"/>
              <w:right w:val="nil"/>
            </w:tcBorders>
            <w:shd w:val="clear" w:color="000000" w:fill="FFFFFF"/>
            <w:noWrap/>
            <w:vAlign w:val="center"/>
            <w:hideMark/>
          </w:tcPr>
          <w:p w14:paraId="7DC3DC09" w14:textId="4A4D560C" w:rsidR="00FB467E" w:rsidRPr="00FB467E" w:rsidRDefault="00FB467E" w:rsidP="00FB467E">
            <w:pPr>
              <w:spacing w:before="0" w:after="0" w:line="240" w:lineRule="auto"/>
              <w:rPr>
                <w:rFonts w:ascii="Arial" w:hAnsi="Arial" w:cs="Arial"/>
                <w:sz w:val="16"/>
                <w:szCs w:val="16"/>
              </w:rPr>
            </w:pPr>
            <w:r w:rsidRPr="00FB467E">
              <w:rPr>
                <w:rFonts w:ascii="Arial" w:hAnsi="Arial" w:cs="Arial"/>
                <w:sz w:val="16"/>
                <w:szCs w:val="16"/>
              </w:rPr>
              <w:t>Management of unlawful non</w:t>
            </w:r>
            <w:r w:rsidR="00D34B95">
              <w:rPr>
                <w:rFonts w:ascii="Arial" w:hAnsi="Arial" w:cs="Arial"/>
                <w:sz w:val="16"/>
                <w:szCs w:val="16"/>
              </w:rPr>
              <w:noBreakHyphen/>
            </w:r>
            <w:r w:rsidRPr="00FB467E">
              <w:rPr>
                <w:rFonts w:ascii="Arial" w:hAnsi="Arial" w:cs="Arial"/>
                <w:sz w:val="16"/>
                <w:szCs w:val="16"/>
              </w:rPr>
              <w:t>citizens</w:t>
            </w:r>
          </w:p>
        </w:tc>
        <w:tc>
          <w:tcPr>
            <w:tcW w:w="597" w:type="pct"/>
            <w:tcBorders>
              <w:top w:val="single" w:sz="4" w:space="0" w:color="002A54" w:themeColor="text2"/>
              <w:left w:val="nil"/>
              <w:bottom w:val="nil"/>
              <w:right w:val="nil"/>
            </w:tcBorders>
            <w:shd w:val="clear" w:color="000000" w:fill="FFFFFF"/>
            <w:noWrap/>
            <w:vAlign w:val="center"/>
            <w:hideMark/>
          </w:tcPr>
          <w:p w14:paraId="5DDD3AAE"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1,884</w:t>
            </w:r>
          </w:p>
        </w:tc>
        <w:tc>
          <w:tcPr>
            <w:tcW w:w="597" w:type="pct"/>
            <w:tcBorders>
              <w:top w:val="single" w:sz="4" w:space="0" w:color="002A54" w:themeColor="text2"/>
              <w:left w:val="nil"/>
              <w:bottom w:val="nil"/>
              <w:right w:val="nil"/>
            </w:tcBorders>
            <w:shd w:val="clear" w:color="000000" w:fill="E6F2FF"/>
            <w:noWrap/>
            <w:vAlign w:val="center"/>
            <w:hideMark/>
          </w:tcPr>
          <w:p w14:paraId="0B211755"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1,833</w:t>
            </w:r>
          </w:p>
        </w:tc>
        <w:tc>
          <w:tcPr>
            <w:tcW w:w="597" w:type="pct"/>
            <w:tcBorders>
              <w:top w:val="single" w:sz="4" w:space="0" w:color="002A54" w:themeColor="text2"/>
              <w:left w:val="nil"/>
              <w:bottom w:val="nil"/>
              <w:right w:val="nil"/>
            </w:tcBorders>
            <w:shd w:val="clear" w:color="000000" w:fill="FFFFFF"/>
            <w:noWrap/>
            <w:vAlign w:val="center"/>
            <w:hideMark/>
          </w:tcPr>
          <w:p w14:paraId="0F88BD7F"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1,447</w:t>
            </w:r>
          </w:p>
        </w:tc>
        <w:tc>
          <w:tcPr>
            <w:tcW w:w="597" w:type="pct"/>
            <w:tcBorders>
              <w:top w:val="single" w:sz="4" w:space="0" w:color="002A54" w:themeColor="text2"/>
              <w:left w:val="nil"/>
              <w:bottom w:val="nil"/>
              <w:right w:val="nil"/>
            </w:tcBorders>
            <w:shd w:val="clear" w:color="000000" w:fill="FFFFFF"/>
            <w:noWrap/>
            <w:vAlign w:val="center"/>
            <w:hideMark/>
          </w:tcPr>
          <w:p w14:paraId="0BDA6BA9"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1,427</w:t>
            </w:r>
          </w:p>
        </w:tc>
        <w:tc>
          <w:tcPr>
            <w:tcW w:w="597" w:type="pct"/>
            <w:tcBorders>
              <w:top w:val="single" w:sz="4" w:space="0" w:color="002A54" w:themeColor="text2"/>
              <w:left w:val="nil"/>
              <w:bottom w:val="nil"/>
              <w:right w:val="nil"/>
            </w:tcBorders>
            <w:shd w:val="clear" w:color="000000" w:fill="FFFFFF"/>
            <w:noWrap/>
            <w:vAlign w:val="center"/>
            <w:hideMark/>
          </w:tcPr>
          <w:p w14:paraId="5560E08D"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1,456</w:t>
            </w:r>
          </w:p>
        </w:tc>
      </w:tr>
      <w:tr w:rsidR="00FB467E" w:rsidRPr="00FB467E" w14:paraId="0522753C" w14:textId="77777777" w:rsidTr="00620A11">
        <w:trPr>
          <w:trHeight w:hRule="exact" w:val="225"/>
        </w:trPr>
        <w:tc>
          <w:tcPr>
            <w:tcW w:w="2015" w:type="pct"/>
            <w:tcBorders>
              <w:top w:val="nil"/>
              <w:left w:val="nil"/>
              <w:bottom w:val="nil"/>
              <w:right w:val="nil"/>
            </w:tcBorders>
            <w:shd w:val="clear" w:color="000000" w:fill="FFFFFF"/>
            <w:noWrap/>
            <w:vAlign w:val="center"/>
            <w:hideMark/>
          </w:tcPr>
          <w:p w14:paraId="2F784DBA" w14:textId="77777777" w:rsidR="00FB467E" w:rsidRPr="00FB467E" w:rsidRDefault="00FB467E" w:rsidP="00FB467E">
            <w:pPr>
              <w:spacing w:before="0" w:after="0" w:line="240" w:lineRule="auto"/>
              <w:rPr>
                <w:rFonts w:ascii="Arial" w:hAnsi="Arial" w:cs="Arial"/>
                <w:sz w:val="16"/>
                <w:szCs w:val="16"/>
              </w:rPr>
            </w:pPr>
            <w:r w:rsidRPr="00FB467E">
              <w:rPr>
                <w:rFonts w:ascii="Arial" w:hAnsi="Arial" w:cs="Arial"/>
                <w:sz w:val="16"/>
                <w:szCs w:val="16"/>
              </w:rPr>
              <w:t>Citizenship, visas and migration</w:t>
            </w:r>
          </w:p>
        </w:tc>
        <w:tc>
          <w:tcPr>
            <w:tcW w:w="597" w:type="pct"/>
            <w:tcBorders>
              <w:top w:val="nil"/>
              <w:left w:val="nil"/>
              <w:bottom w:val="nil"/>
              <w:right w:val="nil"/>
            </w:tcBorders>
            <w:shd w:val="clear" w:color="000000" w:fill="FFFFFF"/>
            <w:noWrap/>
            <w:vAlign w:val="center"/>
            <w:hideMark/>
          </w:tcPr>
          <w:p w14:paraId="354AB290"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891</w:t>
            </w:r>
          </w:p>
        </w:tc>
        <w:tc>
          <w:tcPr>
            <w:tcW w:w="597" w:type="pct"/>
            <w:tcBorders>
              <w:top w:val="nil"/>
              <w:left w:val="nil"/>
              <w:bottom w:val="nil"/>
              <w:right w:val="nil"/>
            </w:tcBorders>
            <w:shd w:val="clear" w:color="000000" w:fill="E6F2FF"/>
            <w:noWrap/>
            <w:vAlign w:val="center"/>
            <w:hideMark/>
          </w:tcPr>
          <w:p w14:paraId="0DB10310"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860</w:t>
            </w:r>
          </w:p>
        </w:tc>
        <w:tc>
          <w:tcPr>
            <w:tcW w:w="597" w:type="pct"/>
            <w:tcBorders>
              <w:top w:val="nil"/>
              <w:left w:val="nil"/>
              <w:bottom w:val="nil"/>
              <w:right w:val="nil"/>
            </w:tcBorders>
            <w:shd w:val="clear" w:color="000000" w:fill="FFFFFF"/>
            <w:noWrap/>
            <w:vAlign w:val="center"/>
            <w:hideMark/>
          </w:tcPr>
          <w:p w14:paraId="5ACF363E"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787</w:t>
            </w:r>
          </w:p>
        </w:tc>
        <w:tc>
          <w:tcPr>
            <w:tcW w:w="597" w:type="pct"/>
            <w:tcBorders>
              <w:top w:val="nil"/>
              <w:left w:val="nil"/>
              <w:bottom w:val="nil"/>
              <w:right w:val="nil"/>
            </w:tcBorders>
            <w:shd w:val="clear" w:color="000000" w:fill="FFFFFF"/>
            <w:noWrap/>
            <w:vAlign w:val="center"/>
            <w:hideMark/>
          </w:tcPr>
          <w:p w14:paraId="5A60DE46"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781</w:t>
            </w:r>
          </w:p>
        </w:tc>
        <w:tc>
          <w:tcPr>
            <w:tcW w:w="597" w:type="pct"/>
            <w:tcBorders>
              <w:top w:val="nil"/>
              <w:left w:val="nil"/>
              <w:bottom w:val="nil"/>
              <w:right w:val="nil"/>
            </w:tcBorders>
            <w:shd w:val="clear" w:color="000000" w:fill="FFFFFF"/>
            <w:noWrap/>
            <w:vAlign w:val="center"/>
            <w:hideMark/>
          </w:tcPr>
          <w:p w14:paraId="513BFB3F"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807</w:t>
            </w:r>
          </w:p>
        </w:tc>
      </w:tr>
      <w:tr w:rsidR="00FB467E" w:rsidRPr="00FB467E" w14:paraId="4BDD0224" w14:textId="77777777" w:rsidTr="00620A11">
        <w:trPr>
          <w:trHeight w:hRule="exact" w:val="225"/>
        </w:trPr>
        <w:tc>
          <w:tcPr>
            <w:tcW w:w="2612" w:type="pct"/>
            <w:gridSpan w:val="2"/>
            <w:tcBorders>
              <w:top w:val="nil"/>
              <w:left w:val="nil"/>
              <w:bottom w:val="nil"/>
              <w:right w:val="nil"/>
            </w:tcBorders>
            <w:shd w:val="clear" w:color="000000" w:fill="FFFFFF"/>
            <w:noWrap/>
            <w:vAlign w:val="center"/>
            <w:hideMark/>
          </w:tcPr>
          <w:p w14:paraId="15F82E01" w14:textId="36B9D942" w:rsidR="00FB467E" w:rsidRPr="00FB467E" w:rsidRDefault="00FB467E" w:rsidP="00FB467E">
            <w:pPr>
              <w:spacing w:before="0" w:after="0" w:line="240" w:lineRule="auto"/>
              <w:rPr>
                <w:rFonts w:ascii="Arial" w:hAnsi="Arial" w:cs="Arial"/>
                <w:sz w:val="16"/>
                <w:szCs w:val="16"/>
              </w:rPr>
            </w:pPr>
            <w:r w:rsidRPr="00FB467E">
              <w:rPr>
                <w:rFonts w:ascii="Arial" w:hAnsi="Arial" w:cs="Arial"/>
                <w:sz w:val="16"/>
                <w:szCs w:val="16"/>
              </w:rPr>
              <w:t>Regional co</w:t>
            </w:r>
            <w:r w:rsidR="00D34B95">
              <w:rPr>
                <w:rFonts w:ascii="Arial" w:hAnsi="Arial" w:cs="Arial"/>
                <w:sz w:val="16"/>
                <w:szCs w:val="16"/>
              </w:rPr>
              <w:noBreakHyphen/>
            </w:r>
            <w:r w:rsidRPr="00FB467E">
              <w:rPr>
                <w:rFonts w:ascii="Arial" w:hAnsi="Arial" w:cs="Arial"/>
                <w:sz w:val="16"/>
                <w:szCs w:val="16"/>
              </w:rPr>
              <w:t>operation and refugee and</w:t>
            </w:r>
          </w:p>
        </w:tc>
        <w:tc>
          <w:tcPr>
            <w:tcW w:w="597" w:type="pct"/>
            <w:tcBorders>
              <w:top w:val="nil"/>
              <w:left w:val="nil"/>
              <w:bottom w:val="nil"/>
              <w:right w:val="nil"/>
            </w:tcBorders>
            <w:shd w:val="clear" w:color="000000" w:fill="E6F2FF"/>
            <w:noWrap/>
            <w:vAlign w:val="center"/>
            <w:hideMark/>
          </w:tcPr>
          <w:p w14:paraId="6D09A078"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255E2012"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27010B69"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c>
          <w:tcPr>
            <w:tcW w:w="597" w:type="pct"/>
            <w:tcBorders>
              <w:top w:val="nil"/>
              <w:left w:val="nil"/>
              <w:bottom w:val="nil"/>
              <w:right w:val="nil"/>
            </w:tcBorders>
            <w:shd w:val="clear" w:color="000000" w:fill="FFFFFF"/>
            <w:noWrap/>
            <w:vAlign w:val="center"/>
            <w:hideMark/>
          </w:tcPr>
          <w:p w14:paraId="6E1F8FD0" w14:textId="77777777" w:rsidR="00FB467E" w:rsidRPr="00FB467E" w:rsidRDefault="00FB467E" w:rsidP="00FB467E">
            <w:pPr>
              <w:spacing w:before="0" w:after="0" w:line="240" w:lineRule="auto"/>
              <w:rPr>
                <w:rFonts w:ascii="Arial" w:hAnsi="Arial" w:cs="Arial"/>
                <w:color w:val="000000"/>
                <w:sz w:val="16"/>
                <w:szCs w:val="16"/>
              </w:rPr>
            </w:pPr>
            <w:r w:rsidRPr="00FB467E">
              <w:rPr>
                <w:rFonts w:ascii="Arial" w:hAnsi="Arial" w:cs="Arial"/>
                <w:color w:val="000000"/>
                <w:sz w:val="16"/>
                <w:szCs w:val="16"/>
              </w:rPr>
              <w:t> </w:t>
            </w:r>
          </w:p>
        </w:tc>
      </w:tr>
      <w:tr w:rsidR="00FB467E" w:rsidRPr="00FB467E" w14:paraId="0F42E704" w14:textId="77777777" w:rsidTr="000D3856">
        <w:trPr>
          <w:trHeight w:hRule="exact" w:val="225"/>
        </w:trPr>
        <w:tc>
          <w:tcPr>
            <w:tcW w:w="2015" w:type="pct"/>
            <w:tcBorders>
              <w:top w:val="nil"/>
              <w:left w:val="nil"/>
              <w:bottom w:val="nil"/>
              <w:right w:val="nil"/>
            </w:tcBorders>
            <w:shd w:val="clear" w:color="000000" w:fill="FFFFFF"/>
            <w:noWrap/>
            <w:vAlign w:val="center"/>
            <w:hideMark/>
          </w:tcPr>
          <w:p w14:paraId="78A80859" w14:textId="77777777" w:rsidR="00FB467E" w:rsidRPr="00FB467E" w:rsidRDefault="00FB467E" w:rsidP="00620A11">
            <w:pPr>
              <w:spacing w:before="0" w:after="0" w:line="240" w:lineRule="auto"/>
              <w:ind w:left="170"/>
              <w:rPr>
                <w:rFonts w:ascii="Arial" w:hAnsi="Arial" w:cs="Arial"/>
                <w:color w:val="000000"/>
                <w:sz w:val="16"/>
                <w:szCs w:val="16"/>
              </w:rPr>
            </w:pPr>
            <w:r w:rsidRPr="00FB467E">
              <w:rPr>
                <w:rFonts w:ascii="Arial" w:hAnsi="Arial" w:cs="Arial"/>
                <w:color w:val="000000"/>
                <w:sz w:val="16"/>
                <w:szCs w:val="16"/>
              </w:rPr>
              <w:t>humanitarian assistance</w:t>
            </w:r>
          </w:p>
        </w:tc>
        <w:tc>
          <w:tcPr>
            <w:tcW w:w="597" w:type="pct"/>
            <w:tcBorders>
              <w:top w:val="nil"/>
              <w:left w:val="nil"/>
              <w:bottom w:val="single" w:sz="4" w:space="0" w:color="002A54" w:themeColor="text2"/>
              <w:right w:val="nil"/>
            </w:tcBorders>
            <w:shd w:val="clear" w:color="000000" w:fill="FFFFFF"/>
            <w:noWrap/>
            <w:vAlign w:val="center"/>
            <w:hideMark/>
          </w:tcPr>
          <w:p w14:paraId="61554666"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898</w:t>
            </w:r>
          </w:p>
        </w:tc>
        <w:tc>
          <w:tcPr>
            <w:tcW w:w="597" w:type="pct"/>
            <w:tcBorders>
              <w:top w:val="nil"/>
              <w:left w:val="nil"/>
              <w:bottom w:val="single" w:sz="4" w:space="0" w:color="002A54" w:themeColor="text2"/>
              <w:right w:val="nil"/>
            </w:tcBorders>
            <w:shd w:val="clear" w:color="000000" w:fill="E6F2FF"/>
            <w:noWrap/>
            <w:vAlign w:val="center"/>
            <w:hideMark/>
          </w:tcPr>
          <w:p w14:paraId="1F7AB1DD"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838</w:t>
            </w:r>
          </w:p>
        </w:tc>
        <w:tc>
          <w:tcPr>
            <w:tcW w:w="597" w:type="pct"/>
            <w:tcBorders>
              <w:top w:val="nil"/>
              <w:left w:val="nil"/>
              <w:bottom w:val="single" w:sz="4" w:space="0" w:color="002A54" w:themeColor="text2"/>
              <w:right w:val="nil"/>
            </w:tcBorders>
            <w:shd w:val="clear" w:color="000000" w:fill="FFFFFF"/>
            <w:noWrap/>
            <w:vAlign w:val="center"/>
            <w:hideMark/>
          </w:tcPr>
          <w:p w14:paraId="410639F6"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768</w:t>
            </w:r>
          </w:p>
        </w:tc>
        <w:tc>
          <w:tcPr>
            <w:tcW w:w="597" w:type="pct"/>
            <w:tcBorders>
              <w:top w:val="nil"/>
              <w:left w:val="nil"/>
              <w:bottom w:val="single" w:sz="4" w:space="0" w:color="002A54" w:themeColor="text2"/>
              <w:right w:val="nil"/>
            </w:tcBorders>
            <w:shd w:val="clear" w:color="000000" w:fill="FFFFFF"/>
            <w:noWrap/>
            <w:vAlign w:val="center"/>
            <w:hideMark/>
          </w:tcPr>
          <w:p w14:paraId="26EA6191"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771</w:t>
            </w:r>
          </w:p>
        </w:tc>
        <w:tc>
          <w:tcPr>
            <w:tcW w:w="597" w:type="pct"/>
            <w:tcBorders>
              <w:top w:val="nil"/>
              <w:left w:val="nil"/>
              <w:bottom w:val="single" w:sz="4" w:space="0" w:color="002A54" w:themeColor="text2"/>
              <w:right w:val="nil"/>
            </w:tcBorders>
            <w:shd w:val="clear" w:color="000000" w:fill="FFFFFF"/>
            <w:noWrap/>
            <w:vAlign w:val="center"/>
            <w:hideMark/>
          </w:tcPr>
          <w:p w14:paraId="08ADD14B" w14:textId="77777777" w:rsidR="00FB467E" w:rsidRPr="00FB467E" w:rsidRDefault="00FB467E" w:rsidP="00FB467E">
            <w:pPr>
              <w:spacing w:before="0" w:after="0" w:line="240" w:lineRule="auto"/>
              <w:jc w:val="right"/>
              <w:rPr>
                <w:rFonts w:ascii="Arial" w:hAnsi="Arial" w:cs="Arial"/>
                <w:color w:val="000000"/>
                <w:sz w:val="16"/>
                <w:szCs w:val="16"/>
              </w:rPr>
            </w:pPr>
            <w:r w:rsidRPr="00FB467E">
              <w:rPr>
                <w:rFonts w:ascii="Arial" w:hAnsi="Arial" w:cs="Arial"/>
                <w:color w:val="000000"/>
                <w:sz w:val="16"/>
                <w:szCs w:val="16"/>
              </w:rPr>
              <w:t>764</w:t>
            </w:r>
          </w:p>
        </w:tc>
      </w:tr>
      <w:tr w:rsidR="00FB467E" w:rsidRPr="00FB467E" w14:paraId="15F0370D" w14:textId="77777777" w:rsidTr="000D3856">
        <w:trPr>
          <w:trHeight w:hRule="exact" w:val="225"/>
        </w:trPr>
        <w:tc>
          <w:tcPr>
            <w:tcW w:w="2015" w:type="pct"/>
            <w:tcBorders>
              <w:top w:val="nil"/>
              <w:left w:val="nil"/>
              <w:bottom w:val="single" w:sz="4" w:space="0" w:color="002A54" w:themeColor="text2"/>
              <w:right w:val="nil"/>
            </w:tcBorders>
            <w:shd w:val="clear" w:color="000000" w:fill="FFFFFF"/>
            <w:noWrap/>
            <w:vAlign w:val="center"/>
            <w:hideMark/>
          </w:tcPr>
          <w:p w14:paraId="14A543D8" w14:textId="77777777" w:rsidR="00FB467E" w:rsidRPr="00FB467E" w:rsidRDefault="00FB467E" w:rsidP="00FB467E">
            <w:pPr>
              <w:spacing w:before="0" w:after="0" w:line="240" w:lineRule="auto"/>
              <w:rPr>
                <w:rFonts w:ascii="Arial" w:hAnsi="Arial" w:cs="Arial"/>
                <w:b/>
                <w:bCs/>
                <w:color w:val="000000"/>
                <w:sz w:val="16"/>
                <w:szCs w:val="16"/>
              </w:rPr>
            </w:pPr>
            <w:r w:rsidRPr="00FB467E">
              <w:rPr>
                <w:rFonts w:ascii="Arial" w:hAnsi="Arial" w:cs="Arial"/>
                <w:b/>
                <w:bCs/>
                <w:color w:val="000000"/>
                <w:sz w:val="16"/>
                <w:szCs w:val="16"/>
              </w:rPr>
              <w:t>Total</w:t>
            </w:r>
          </w:p>
        </w:tc>
        <w:tc>
          <w:tcPr>
            <w:tcW w:w="597" w:type="pct"/>
            <w:tcBorders>
              <w:top w:val="single" w:sz="4" w:space="0" w:color="002A54" w:themeColor="text2"/>
              <w:left w:val="nil"/>
              <w:bottom w:val="single" w:sz="4" w:space="0" w:color="002A54" w:themeColor="text2"/>
              <w:right w:val="nil"/>
            </w:tcBorders>
            <w:shd w:val="clear" w:color="000000" w:fill="FFFFFF"/>
            <w:noWrap/>
            <w:vAlign w:val="center"/>
            <w:hideMark/>
          </w:tcPr>
          <w:p w14:paraId="23288292" w14:textId="77777777" w:rsidR="00FB467E" w:rsidRPr="00FB467E" w:rsidRDefault="00FB467E" w:rsidP="00FB467E">
            <w:pPr>
              <w:spacing w:before="0" w:after="0" w:line="240" w:lineRule="auto"/>
              <w:jc w:val="right"/>
              <w:rPr>
                <w:rFonts w:ascii="Arial" w:hAnsi="Arial" w:cs="Arial"/>
                <w:b/>
                <w:bCs/>
                <w:color w:val="000000"/>
                <w:sz w:val="16"/>
                <w:szCs w:val="16"/>
              </w:rPr>
            </w:pPr>
            <w:r w:rsidRPr="00FB467E">
              <w:rPr>
                <w:rFonts w:ascii="Arial" w:hAnsi="Arial" w:cs="Arial"/>
                <w:b/>
                <w:bCs/>
                <w:color w:val="000000"/>
                <w:sz w:val="16"/>
                <w:szCs w:val="16"/>
              </w:rPr>
              <w:t>3,673</w:t>
            </w:r>
          </w:p>
        </w:tc>
        <w:tc>
          <w:tcPr>
            <w:tcW w:w="597" w:type="pct"/>
            <w:tcBorders>
              <w:top w:val="single" w:sz="4" w:space="0" w:color="002A54" w:themeColor="text2"/>
              <w:left w:val="nil"/>
              <w:bottom w:val="single" w:sz="4" w:space="0" w:color="002A54" w:themeColor="text2"/>
              <w:right w:val="nil"/>
            </w:tcBorders>
            <w:shd w:val="clear" w:color="000000" w:fill="E6F2FF"/>
            <w:noWrap/>
            <w:vAlign w:val="center"/>
            <w:hideMark/>
          </w:tcPr>
          <w:p w14:paraId="6425F15B" w14:textId="77777777" w:rsidR="00FB467E" w:rsidRPr="00FB467E" w:rsidRDefault="00FB467E" w:rsidP="00FB467E">
            <w:pPr>
              <w:spacing w:before="0" w:after="0" w:line="240" w:lineRule="auto"/>
              <w:jc w:val="right"/>
              <w:rPr>
                <w:rFonts w:ascii="Arial" w:hAnsi="Arial" w:cs="Arial"/>
                <w:b/>
                <w:bCs/>
                <w:color w:val="000000"/>
                <w:sz w:val="16"/>
                <w:szCs w:val="16"/>
              </w:rPr>
            </w:pPr>
            <w:r w:rsidRPr="00FB467E">
              <w:rPr>
                <w:rFonts w:ascii="Arial" w:hAnsi="Arial" w:cs="Arial"/>
                <w:b/>
                <w:bCs/>
                <w:color w:val="000000"/>
                <w:sz w:val="16"/>
                <w:szCs w:val="16"/>
              </w:rPr>
              <w:t>3,531</w:t>
            </w:r>
          </w:p>
        </w:tc>
        <w:tc>
          <w:tcPr>
            <w:tcW w:w="597" w:type="pct"/>
            <w:tcBorders>
              <w:top w:val="single" w:sz="4" w:space="0" w:color="002A54" w:themeColor="text2"/>
              <w:left w:val="nil"/>
              <w:bottom w:val="single" w:sz="4" w:space="0" w:color="002A54" w:themeColor="text2"/>
              <w:right w:val="nil"/>
            </w:tcBorders>
            <w:shd w:val="clear" w:color="000000" w:fill="FFFFFF"/>
            <w:noWrap/>
            <w:vAlign w:val="center"/>
            <w:hideMark/>
          </w:tcPr>
          <w:p w14:paraId="1EA9137E" w14:textId="77777777" w:rsidR="00FB467E" w:rsidRPr="00FB467E" w:rsidRDefault="00FB467E" w:rsidP="00FB467E">
            <w:pPr>
              <w:spacing w:before="0" w:after="0" w:line="240" w:lineRule="auto"/>
              <w:jc w:val="right"/>
              <w:rPr>
                <w:rFonts w:ascii="Arial" w:hAnsi="Arial" w:cs="Arial"/>
                <w:b/>
                <w:bCs/>
                <w:color w:val="000000"/>
                <w:sz w:val="16"/>
                <w:szCs w:val="16"/>
              </w:rPr>
            </w:pPr>
            <w:r w:rsidRPr="00FB467E">
              <w:rPr>
                <w:rFonts w:ascii="Arial" w:hAnsi="Arial" w:cs="Arial"/>
                <w:b/>
                <w:bCs/>
                <w:color w:val="000000"/>
                <w:sz w:val="16"/>
                <w:szCs w:val="16"/>
              </w:rPr>
              <w:t>3,001</w:t>
            </w:r>
          </w:p>
        </w:tc>
        <w:tc>
          <w:tcPr>
            <w:tcW w:w="597" w:type="pct"/>
            <w:tcBorders>
              <w:top w:val="single" w:sz="4" w:space="0" w:color="002A54" w:themeColor="text2"/>
              <w:left w:val="nil"/>
              <w:bottom w:val="single" w:sz="4" w:space="0" w:color="002A54" w:themeColor="text2"/>
              <w:right w:val="nil"/>
            </w:tcBorders>
            <w:shd w:val="clear" w:color="000000" w:fill="FFFFFF"/>
            <w:noWrap/>
            <w:vAlign w:val="center"/>
            <w:hideMark/>
          </w:tcPr>
          <w:p w14:paraId="575D7DAC" w14:textId="77777777" w:rsidR="00FB467E" w:rsidRPr="00FB467E" w:rsidRDefault="00FB467E" w:rsidP="00FB467E">
            <w:pPr>
              <w:spacing w:before="0" w:after="0" w:line="240" w:lineRule="auto"/>
              <w:jc w:val="right"/>
              <w:rPr>
                <w:rFonts w:ascii="Arial" w:hAnsi="Arial" w:cs="Arial"/>
                <w:b/>
                <w:bCs/>
                <w:color w:val="000000"/>
                <w:sz w:val="16"/>
                <w:szCs w:val="16"/>
              </w:rPr>
            </w:pPr>
            <w:r w:rsidRPr="00FB467E">
              <w:rPr>
                <w:rFonts w:ascii="Arial" w:hAnsi="Arial" w:cs="Arial"/>
                <w:b/>
                <w:bCs/>
                <w:color w:val="000000"/>
                <w:sz w:val="16"/>
                <w:szCs w:val="16"/>
              </w:rPr>
              <w:t>2,979</w:t>
            </w:r>
          </w:p>
        </w:tc>
        <w:tc>
          <w:tcPr>
            <w:tcW w:w="597" w:type="pct"/>
            <w:tcBorders>
              <w:top w:val="single" w:sz="4" w:space="0" w:color="002A54" w:themeColor="text2"/>
              <w:left w:val="nil"/>
              <w:bottom w:val="single" w:sz="4" w:space="0" w:color="002A54" w:themeColor="text2"/>
              <w:right w:val="nil"/>
            </w:tcBorders>
            <w:shd w:val="clear" w:color="000000" w:fill="FFFFFF"/>
            <w:noWrap/>
            <w:vAlign w:val="center"/>
            <w:hideMark/>
          </w:tcPr>
          <w:p w14:paraId="38AB1277" w14:textId="77777777" w:rsidR="00FB467E" w:rsidRPr="00FB467E" w:rsidRDefault="00FB467E" w:rsidP="00FB467E">
            <w:pPr>
              <w:spacing w:before="0" w:after="0" w:line="240" w:lineRule="auto"/>
              <w:jc w:val="right"/>
              <w:rPr>
                <w:rFonts w:ascii="Arial" w:hAnsi="Arial" w:cs="Arial"/>
                <w:b/>
                <w:bCs/>
                <w:color w:val="000000"/>
                <w:sz w:val="16"/>
                <w:szCs w:val="16"/>
              </w:rPr>
            </w:pPr>
            <w:r w:rsidRPr="00FB467E">
              <w:rPr>
                <w:rFonts w:ascii="Arial" w:hAnsi="Arial" w:cs="Arial"/>
                <w:b/>
                <w:bCs/>
                <w:color w:val="000000"/>
                <w:sz w:val="16"/>
                <w:szCs w:val="16"/>
              </w:rPr>
              <w:t>3,027</w:t>
            </w:r>
          </w:p>
        </w:tc>
      </w:tr>
    </w:tbl>
    <w:p w14:paraId="49A5E615" w14:textId="7B6B5A64" w:rsidR="00C855DF" w:rsidRPr="000177D7" w:rsidRDefault="00C855DF" w:rsidP="00173739">
      <w:pPr>
        <w:pStyle w:val="ChartandTableFootnoteAlpha"/>
        <w:numPr>
          <w:ilvl w:val="0"/>
          <w:numId w:val="22"/>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7C7899E7" w14:textId="77777777" w:rsidR="00C855DF" w:rsidRPr="000177D7" w:rsidRDefault="00C855DF" w:rsidP="00C855DF">
      <w:pPr>
        <w:pStyle w:val="TableLine"/>
      </w:pPr>
    </w:p>
    <w:p w14:paraId="2AAF9469" w14:textId="4A1A03B9" w:rsidR="00445C2D" w:rsidRPr="000177D7" w:rsidRDefault="00445C2D" w:rsidP="00445C2D">
      <w:r w:rsidRPr="000177D7">
        <w:t xml:space="preserve">Expenses under the </w:t>
      </w:r>
      <w:r w:rsidRPr="000177D7">
        <w:rPr>
          <w:b/>
        </w:rPr>
        <w:t>other economic affairs nec</w:t>
      </w:r>
      <w:r w:rsidRPr="000177D7">
        <w:t xml:space="preserve"> sub</w:t>
      </w:r>
      <w:r w:rsidR="00D34B95">
        <w:noBreakHyphen/>
      </w:r>
      <w:r w:rsidRPr="000177D7">
        <w:t xml:space="preserve">function are expected to </w:t>
      </w:r>
      <w:r>
        <w:rPr>
          <w:lang w:val="en-US"/>
        </w:rPr>
        <w:t xml:space="preserve">decrease </w:t>
      </w:r>
      <w:r w:rsidRPr="000177D7">
        <w:t xml:space="preserve">primarily </w:t>
      </w:r>
      <w:r>
        <w:t>due to</w:t>
      </w:r>
      <w:r w:rsidRPr="000177D7">
        <w:t xml:space="preserve"> the Government</w:t>
      </w:r>
      <w:r w:rsidR="00D34B95">
        <w:t>’</w:t>
      </w:r>
      <w:r w:rsidRPr="000177D7">
        <w:t>s economic response to the COVID</w:t>
      </w:r>
      <w:r w:rsidR="00D34B95">
        <w:noBreakHyphen/>
      </w:r>
      <w:r w:rsidRPr="000177D7">
        <w:t xml:space="preserve">19 pandemic </w:t>
      </w:r>
      <w:r>
        <w:t>measures being unwound. A reduction in 2023</w:t>
      </w:r>
      <w:r w:rsidR="00D25E5B">
        <w:t>–</w:t>
      </w:r>
      <w:r>
        <w:t xml:space="preserve">24 occurs as a result of </w:t>
      </w:r>
      <w:r w:rsidRPr="000177D7">
        <w:t>the conclusion of the COVID</w:t>
      </w:r>
      <w:r w:rsidR="00D34B95">
        <w:noBreakHyphen/>
      </w:r>
      <w:r w:rsidRPr="000177D7">
        <w:t>19 Business Support Payment to the states and territories in 2022</w:t>
      </w:r>
      <w:r w:rsidR="00D25E5B">
        <w:rPr>
          <w:rFonts w:eastAsia="Book Antiqua" w:cs="Book Antiqua"/>
          <w:lang w:val="en-US"/>
        </w:rPr>
        <w:t>–</w:t>
      </w:r>
      <w:r w:rsidRPr="000177D7">
        <w:t xml:space="preserve">23. </w:t>
      </w:r>
    </w:p>
    <w:p w14:paraId="2CDD5ABC" w14:textId="1C97F32D" w:rsidR="00445C2D" w:rsidRPr="000177D7" w:rsidRDefault="00445C2D" w:rsidP="00445C2D">
      <w:r w:rsidRPr="000177D7">
        <w:t>The decrease in expenditure for the promotion of Australia</w:t>
      </w:r>
      <w:r w:rsidR="00D34B95">
        <w:t>’</w:t>
      </w:r>
      <w:r w:rsidRPr="000177D7">
        <w:t>s export and other international economic interests is primarily driven by the cessation of the temporary support provided as part of the response to the COVID</w:t>
      </w:r>
      <w:r w:rsidR="00D34B95">
        <w:noBreakHyphen/>
      </w:r>
      <w:r w:rsidRPr="000177D7">
        <w:t>19 pandemic</w:t>
      </w:r>
      <w:r w:rsidRPr="00433277">
        <w:t xml:space="preserve"> </w:t>
      </w:r>
      <w:r>
        <w:t xml:space="preserve">as well as redirection of funding from the Export Market Development Grants program </w:t>
      </w:r>
      <w:r w:rsidRPr="002601AE">
        <w:t>to fund Government priorities in the Foreign Affairs and Trade portfolio</w:t>
      </w:r>
      <w:r>
        <w:t>.</w:t>
      </w:r>
    </w:p>
    <w:p w14:paraId="42EEA8ED" w14:textId="62D0B810" w:rsidR="00445C2D" w:rsidRDefault="00445C2D" w:rsidP="00445C2D">
      <w:pPr>
        <w:rPr>
          <w:lang w:val="en-US"/>
        </w:rPr>
      </w:pPr>
      <w:r w:rsidRPr="00C14204">
        <w:t xml:space="preserve">Expenses for the Bureau of Meteorology (the Bureau) are expected to </w:t>
      </w:r>
      <w:r w:rsidRPr="0021687D">
        <w:rPr>
          <w:lang w:val="en-US"/>
        </w:rPr>
        <w:t>decrease by 5.4</w:t>
      </w:r>
      <w:r w:rsidR="00893776">
        <w:rPr>
          <w:lang w:val="en-US"/>
        </w:rPr>
        <w:t> per </w:t>
      </w:r>
      <w:r w:rsidRPr="0021687D">
        <w:rPr>
          <w:lang w:val="en-US"/>
        </w:rPr>
        <w:t>cent in real terms from 2022</w:t>
      </w:r>
      <w:r w:rsidR="00D25E5B">
        <w:rPr>
          <w:lang w:val="en-US"/>
        </w:rPr>
        <w:t>–</w:t>
      </w:r>
      <w:r w:rsidRPr="0021687D">
        <w:rPr>
          <w:lang w:val="en-US"/>
        </w:rPr>
        <w:t>23 to 2023</w:t>
      </w:r>
      <w:r w:rsidR="00D25E5B">
        <w:rPr>
          <w:lang w:val="en-US"/>
        </w:rPr>
        <w:t>–</w:t>
      </w:r>
      <w:r w:rsidRPr="0021687D">
        <w:rPr>
          <w:lang w:val="en-US"/>
        </w:rPr>
        <w:t xml:space="preserve">24 </w:t>
      </w:r>
      <w:r w:rsidRPr="0021687D">
        <w:t>reflecting the anticipated completion of projects to strengthen the Bureau</w:t>
      </w:r>
      <w:r w:rsidR="00D34B95">
        <w:t>’</w:t>
      </w:r>
      <w:r w:rsidRPr="0021687D">
        <w:t>s ICT security and resilience and observations network. The</w:t>
      </w:r>
      <w:r>
        <w:t xml:space="preserve"> decrease</w:t>
      </w:r>
      <w:r w:rsidRPr="00C14204">
        <w:t xml:space="preserve"> </w:t>
      </w:r>
      <w:r>
        <w:t xml:space="preserve">in </w:t>
      </w:r>
      <w:r w:rsidRPr="00C14204">
        <w:rPr>
          <w:lang w:val="en-US"/>
        </w:rPr>
        <w:t>real</w:t>
      </w:r>
      <w:r>
        <w:rPr>
          <w:lang w:val="en-US"/>
        </w:rPr>
        <w:t xml:space="preserve"> </w:t>
      </w:r>
      <w:r w:rsidRPr="00C14204">
        <w:rPr>
          <w:lang w:val="en-US"/>
        </w:rPr>
        <w:t>terms from 2023</w:t>
      </w:r>
      <w:r w:rsidR="00D25E5B">
        <w:rPr>
          <w:lang w:val="en-US"/>
        </w:rPr>
        <w:t>–</w:t>
      </w:r>
      <w:r w:rsidRPr="00C14204">
        <w:rPr>
          <w:lang w:val="en-US"/>
        </w:rPr>
        <w:t>24 to 2026</w:t>
      </w:r>
      <w:r w:rsidR="00D25E5B">
        <w:rPr>
          <w:lang w:val="en-US"/>
        </w:rPr>
        <w:t>–</w:t>
      </w:r>
      <w:r w:rsidRPr="00C14204">
        <w:rPr>
          <w:lang w:val="en-US"/>
        </w:rPr>
        <w:t xml:space="preserve">27 </w:t>
      </w:r>
      <w:r>
        <w:rPr>
          <w:lang w:val="en-US"/>
        </w:rPr>
        <w:t>reflects</w:t>
      </w:r>
      <w:r w:rsidRPr="00C14204">
        <w:rPr>
          <w:lang w:val="en-US"/>
        </w:rPr>
        <w:t xml:space="preserve"> the</w:t>
      </w:r>
      <w:r>
        <w:rPr>
          <w:lang w:val="en-US"/>
        </w:rPr>
        <w:t xml:space="preserve"> Bureau</w:t>
      </w:r>
      <w:r w:rsidR="00D34B95">
        <w:rPr>
          <w:lang w:val="en-US"/>
        </w:rPr>
        <w:t>’</w:t>
      </w:r>
      <w:r w:rsidRPr="00C14204">
        <w:rPr>
          <w:lang w:val="en-US"/>
        </w:rPr>
        <w:t>s</w:t>
      </w:r>
      <w:r>
        <w:rPr>
          <w:lang w:val="en-US"/>
        </w:rPr>
        <w:t xml:space="preserve"> departmental expenses over the</w:t>
      </w:r>
      <w:r w:rsidRPr="0098310C">
        <w:t xml:space="preserve"> </w:t>
      </w:r>
      <w:r w:rsidRPr="000177D7">
        <w:t>forward estimates</w:t>
      </w:r>
      <w:r w:rsidRPr="43DF0809">
        <w:rPr>
          <w:lang w:val="en-US"/>
        </w:rPr>
        <w:t xml:space="preserve">. </w:t>
      </w:r>
    </w:p>
    <w:p w14:paraId="7226DA9F" w14:textId="77777777" w:rsidR="00893776" w:rsidRDefault="00445C2D" w:rsidP="00445C2D">
      <w:r w:rsidRPr="000177D7">
        <w:t xml:space="preserve">Table 6.16.2 provides further details of the major components of the </w:t>
      </w:r>
      <w:r w:rsidRPr="000177D7">
        <w:rPr>
          <w:b/>
        </w:rPr>
        <w:t xml:space="preserve">other economic affairs nec </w:t>
      </w:r>
      <w:r w:rsidRPr="000177D7">
        <w:t>sub</w:t>
      </w:r>
      <w:r w:rsidR="00D34B95">
        <w:noBreakHyphen/>
      </w:r>
      <w:r w:rsidRPr="000177D7">
        <w:t>function.</w:t>
      </w:r>
    </w:p>
    <w:p w14:paraId="2800EA68" w14:textId="77777777" w:rsidR="00406D26" w:rsidRDefault="00406D26" w:rsidP="00445C2D"/>
    <w:p w14:paraId="2737C95B" w14:textId="74CCDC28" w:rsidR="00A32E2C" w:rsidRDefault="00A32E2C" w:rsidP="00445C2D">
      <w:r>
        <w:br w:type="page"/>
      </w:r>
    </w:p>
    <w:p w14:paraId="0EB5F8D6" w14:textId="509EE95C" w:rsidR="00B834CB" w:rsidRDefault="00C855DF" w:rsidP="00620A11">
      <w:pPr>
        <w:pStyle w:val="TableHeading"/>
        <w:rPr>
          <w:rFonts w:asciiTheme="minorHAnsi" w:eastAsiaTheme="minorHAnsi" w:hAnsiTheme="minorHAnsi" w:cstheme="minorBidi"/>
          <w:sz w:val="22"/>
          <w:szCs w:val="22"/>
          <w:lang w:eastAsia="en-US"/>
        </w:rPr>
      </w:pPr>
      <w:r w:rsidRPr="000177D7">
        <w:lastRenderedPageBreak/>
        <w:t>Table 6.16.2: Trends in the major components of other economic affairs nec sub</w:t>
      </w:r>
      <w:r w:rsidR="00D34B95">
        <w:noBreakHyphen/>
      </w:r>
      <w:r w:rsidRPr="000177D7">
        <w:t>function expens</w:t>
      </w:r>
      <w:bookmarkStart w:id="149" w:name="_1727953915"/>
      <w:bookmarkStart w:id="150" w:name="_1727955092"/>
      <w:bookmarkEnd w:id="149"/>
      <w:bookmarkEnd w:id="150"/>
      <w:r w:rsidR="00AB6877">
        <w:t>e</w:t>
      </w:r>
    </w:p>
    <w:tbl>
      <w:tblPr>
        <w:tblW w:w="5000" w:type="pct"/>
        <w:tblCellMar>
          <w:left w:w="0" w:type="dxa"/>
          <w:right w:w="28" w:type="dxa"/>
        </w:tblCellMar>
        <w:tblLook w:val="04A0" w:firstRow="1" w:lastRow="0" w:firstColumn="1" w:lastColumn="0" w:noHBand="0" w:noVBand="1"/>
      </w:tblPr>
      <w:tblGrid>
        <w:gridCol w:w="3273"/>
        <w:gridCol w:w="888"/>
        <w:gridCol w:w="888"/>
        <w:gridCol w:w="888"/>
        <w:gridCol w:w="888"/>
        <w:gridCol w:w="885"/>
      </w:tblGrid>
      <w:tr w:rsidR="00B834CB" w:rsidRPr="00B834CB" w14:paraId="1F29DFD1" w14:textId="77777777" w:rsidTr="000D3856">
        <w:trPr>
          <w:trHeight w:hRule="exact" w:val="225"/>
        </w:trPr>
        <w:tc>
          <w:tcPr>
            <w:tcW w:w="2122" w:type="pct"/>
            <w:tcBorders>
              <w:top w:val="single" w:sz="4" w:space="0" w:color="002A54" w:themeColor="text2"/>
              <w:left w:val="nil"/>
              <w:bottom w:val="nil"/>
              <w:right w:val="nil"/>
            </w:tcBorders>
            <w:shd w:val="clear" w:color="000000" w:fill="FFFFFF"/>
            <w:noWrap/>
            <w:vAlign w:val="center"/>
            <w:hideMark/>
          </w:tcPr>
          <w:p w14:paraId="7E36E85B" w14:textId="09BF65ED" w:rsidR="00B834CB" w:rsidRPr="00F13DC1" w:rsidRDefault="00B834CB" w:rsidP="00F13DC1">
            <w:pPr>
              <w:pStyle w:val="TableTextLeft"/>
              <w:rPr>
                <w:b/>
                <w:bCs/>
              </w:rPr>
            </w:pPr>
            <w:r w:rsidRPr="00F13DC1">
              <w:rPr>
                <w:b/>
                <w:bCs/>
              </w:rPr>
              <w:t>Component(a)</w:t>
            </w:r>
          </w:p>
        </w:tc>
        <w:tc>
          <w:tcPr>
            <w:tcW w:w="2878"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1B7CD5FC" w14:textId="77777777" w:rsidR="00B834CB" w:rsidRPr="00B834CB" w:rsidRDefault="00B834CB" w:rsidP="00B834CB">
            <w:pPr>
              <w:spacing w:before="0" w:after="0" w:line="240" w:lineRule="auto"/>
              <w:jc w:val="center"/>
              <w:rPr>
                <w:rFonts w:ascii="Arial" w:hAnsi="Arial" w:cs="Arial"/>
                <w:color w:val="000000"/>
                <w:sz w:val="16"/>
                <w:szCs w:val="16"/>
              </w:rPr>
            </w:pPr>
            <w:r w:rsidRPr="00B834CB">
              <w:rPr>
                <w:rFonts w:ascii="Arial" w:hAnsi="Arial" w:cs="Arial"/>
                <w:color w:val="000000"/>
                <w:sz w:val="16"/>
                <w:szCs w:val="16"/>
              </w:rPr>
              <w:t>Estimates</w:t>
            </w:r>
          </w:p>
        </w:tc>
      </w:tr>
      <w:tr w:rsidR="00B834CB" w:rsidRPr="00B834CB" w14:paraId="4966FFE7" w14:textId="77777777" w:rsidTr="000D3856">
        <w:trPr>
          <w:trHeight w:hRule="exact" w:val="225"/>
        </w:trPr>
        <w:tc>
          <w:tcPr>
            <w:tcW w:w="2122" w:type="pct"/>
            <w:tcBorders>
              <w:top w:val="nil"/>
              <w:left w:val="nil"/>
              <w:bottom w:val="nil"/>
              <w:right w:val="nil"/>
            </w:tcBorders>
            <w:shd w:val="clear" w:color="000000" w:fill="FFFFFF"/>
            <w:noWrap/>
            <w:vAlign w:val="bottom"/>
            <w:hideMark/>
          </w:tcPr>
          <w:p w14:paraId="247C2267"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single" w:sz="4" w:space="0" w:color="002A54" w:themeColor="text2"/>
              <w:left w:val="nil"/>
              <w:bottom w:val="nil"/>
              <w:right w:val="nil"/>
            </w:tcBorders>
            <w:shd w:val="clear" w:color="000000" w:fill="FFFFFF"/>
            <w:noWrap/>
            <w:vAlign w:val="center"/>
            <w:hideMark/>
          </w:tcPr>
          <w:p w14:paraId="49409C37" w14:textId="3FA64453" w:rsidR="00B834CB" w:rsidRPr="00B834CB" w:rsidRDefault="00B834CB" w:rsidP="00B834CB">
            <w:pPr>
              <w:spacing w:before="0" w:after="0" w:line="240" w:lineRule="auto"/>
              <w:jc w:val="right"/>
              <w:rPr>
                <w:rFonts w:ascii="Arial" w:hAnsi="Arial" w:cs="Arial"/>
                <w:sz w:val="16"/>
                <w:szCs w:val="16"/>
              </w:rPr>
            </w:pPr>
            <w:r w:rsidRPr="00B834CB">
              <w:rPr>
                <w:rFonts w:ascii="Arial" w:hAnsi="Arial" w:cs="Arial"/>
                <w:sz w:val="16"/>
                <w:szCs w:val="16"/>
              </w:rPr>
              <w:t>2022</w:t>
            </w:r>
            <w:r w:rsidR="00D34B95">
              <w:rPr>
                <w:rFonts w:ascii="Arial" w:hAnsi="Arial" w:cs="Arial"/>
                <w:sz w:val="16"/>
                <w:szCs w:val="16"/>
              </w:rPr>
              <w:noBreakHyphen/>
            </w:r>
            <w:r w:rsidRPr="00B834CB">
              <w:rPr>
                <w:rFonts w:ascii="Arial" w:hAnsi="Arial" w:cs="Arial"/>
                <w:sz w:val="16"/>
                <w:szCs w:val="16"/>
              </w:rPr>
              <w:t>23</w:t>
            </w:r>
          </w:p>
        </w:tc>
        <w:tc>
          <w:tcPr>
            <w:tcW w:w="576" w:type="pct"/>
            <w:tcBorders>
              <w:top w:val="single" w:sz="4" w:space="0" w:color="002A54" w:themeColor="text2"/>
              <w:left w:val="nil"/>
              <w:bottom w:val="nil"/>
              <w:right w:val="nil"/>
            </w:tcBorders>
            <w:shd w:val="clear" w:color="000000" w:fill="E6F2FF"/>
            <w:noWrap/>
            <w:vAlign w:val="center"/>
            <w:hideMark/>
          </w:tcPr>
          <w:p w14:paraId="4EB5B8CE" w14:textId="2C2851BA" w:rsidR="00B834CB" w:rsidRPr="00B834CB" w:rsidRDefault="00B834CB" w:rsidP="00B834CB">
            <w:pPr>
              <w:spacing w:before="0" w:after="0" w:line="240" w:lineRule="auto"/>
              <w:jc w:val="right"/>
              <w:rPr>
                <w:rFonts w:ascii="Arial" w:hAnsi="Arial" w:cs="Arial"/>
                <w:sz w:val="16"/>
                <w:szCs w:val="16"/>
              </w:rPr>
            </w:pPr>
            <w:r w:rsidRPr="00B834CB">
              <w:rPr>
                <w:rFonts w:ascii="Arial" w:hAnsi="Arial" w:cs="Arial"/>
                <w:sz w:val="16"/>
                <w:szCs w:val="16"/>
              </w:rPr>
              <w:t>2023</w:t>
            </w:r>
            <w:r w:rsidR="00D34B95">
              <w:rPr>
                <w:rFonts w:ascii="Arial" w:hAnsi="Arial" w:cs="Arial"/>
                <w:sz w:val="16"/>
                <w:szCs w:val="16"/>
              </w:rPr>
              <w:noBreakHyphen/>
            </w:r>
            <w:r w:rsidRPr="00B834CB">
              <w:rPr>
                <w:rFonts w:ascii="Arial" w:hAnsi="Arial" w:cs="Arial"/>
                <w:sz w:val="16"/>
                <w:szCs w:val="16"/>
              </w:rPr>
              <w:t>24</w:t>
            </w:r>
          </w:p>
        </w:tc>
        <w:tc>
          <w:tcPr>
            <w:tcW w:w="576" w:type="pct"/>
            <w:tcBorders>
              <w:top w:val="single" w:sz="4" w:space="0" w:color="002A54" w:themeColor="text2"/>
              <w:left w:val="nil"/>
              <w:bottom w:val="nil"/>
              <w:right w:val="nil"/>
            </w:tcBorders>
            <w:shd w:val="clear" w:color="000000" w:fill="FFFFFF"/>
            <w:noWrap/>
            <w:vAlign w:val="center"/>
            <w:hideMark/>
          </w:tcPr>
          <w:p w14:paraId="2C7F93F9" w14:textId="630EB919" w:rsidR="00B834CB" w:rsidRPr="00B834CB" w:rsidRDefault="00B834CB" w:rsidP="00B834CB">
            <w:pPr>
              <w:spacing w:before="0" w:after="0" w:line="240" w:lineRule="auto"/>
              <w:jc w:val="right"/>
              <w:rPr>
                <w:rFonts w:ascii="Arial" w:hAnsi="Arial" w:cs="Arial"/>
                <w:sz w:val="16"/>
                <w:szCs w:val="16"/>
              </w:rPr>
            </w:pPr>
            <w:r w:rsidRPr="00B834CB">
              <w:rPr>
                <w:rFonts w:ascii="Arial" w:hAnsi="Arial" w:cs="Arial"/>
                <w:sz w:val="16"/>
                <w:szCs w:val="16"/>
              </w:rPr>
              <w:t>2024</w:t>
            </w:r>
            <w:r w:rsidR="00D34B95">
              <w:rPr>
                <w:rFonts w:ascii="Arial" w:hAnsi="Arial" w:cs="Arial"/>
                <w:sz w:val="16"/>
                <w:szCs w:val="16"/>
              </w:rPr>
              <w:noBreakHyphen/>
            </w:r>
            <w:r w:rsidRPr="00B834CB">
              <w:rPr>
                <w:rFonts w:ascii="Arial" w:hAnsi="Arial" w:cs="Arial"/>
                <w:sz w:val="16"/>
                <w:szCs w:val="16"/>
              </w:rPr>
              <w:t>25</w:t>
            </w:r>
          </w:p>
        </w:tc>
        <w:tc>
          <w:tcPr>
            <w:tcW w:w="576" w:type="pct"/>
            <w:tcBorders>
              <w:top w:val="single" w:sz="4" w:space="0" w:color="002A54" w:themeColor="text2"/>
              <w:left w:val="nil"/>
              <w:bottom w:val="nil"/>
              <w:right w:val="nil"/>
            </w:tcBorders>
            <w:shd w:val="clear" w:color="000000" w:fill="FFFFFF"/>
            <w:noWrap/>
            <w:vAlign w:val="center"/>
            <w:hideMark/>
          </w:tcPr>
          <w:p w14:paraId="355C88D5" w14:textId="172197E9" w:rsidR="00B834CB" w:rsidRPr="00B834CB" w:rsidRDefault="00B834CB" w:rsidP="00B834CB">
            <w:pPr>
              <w:spacing w:before="0" w:after="0" w:line="240" w:lineRule="auto"/>
              <w:jc w:val="right"/>
              <w:rPr>
                <w:rFonts w:ascii="Arial" w:hAnsi="Arial" w:cs="Arial"/>
                <w:sz w:val="16"/>
                <w:szCs w:val="16"/>
              </w:rPr>
            </w:pPr>
            <w:r w:rsidRPr="00B834CB">
              <w:rPr>
                <w:rFonts w:ascii="Arial" w:hAnsi="Arial" w:cs="Arial"/>
                <w:sz w:val="16"/>
                <w:szCs w:val="16"/>
              </w:rPr>
              <w:t>2025</w:t>
            </w:r>
            <w:r w:rsidR="00D34B95">
              <w:rPr>
                <w:rFonts w:ascii="Arial" w:hAnsi="Arial" w:cs="Arial"/>
                <w:sz w:val="16"/>
                <w:szCs w:val="16"/>
              </w:rPr>
              <w:noBreakHyphen/>
            </w:r>
            <w:r w:rsidRPr="00B834CB">
              <w:rPr>
                <w:rFonts w:ascii="Arial" w:hAnsi="Arial" w:cs="Arial"/>
                <w:sz w:val="16"/>
                <w:szCs w:val="16"/>
              </w:rPr>
              <w:t>26</w:t>
            </w:r>
          </w:p>
        </w:tc>
        <w:tc>
          <w:tcPr>
            <w:tcW w:w="576" w:type="pct"/>
            <w:tcBorders>
              <w:top w:val="single" w:sz="4" w:space="0" w:color="002A54" w:themeColor="text2"/>
              <w:left w:val="nil"/>
              <w:bottom w:val="nil"/>
              <w:right w:val="nil"/>
            </w:tcBorders>
            <w:shd w:val="clear" w:color="000000" w:fill="FFFFFF"/>
            <w:noWrap/>
            <w:vAlign w:val="center"/>
            <w:hideMark/>
          </w:tcPr>
          <w:p w14:paraId="39FA10E5" w14:textId="2FBA1D40"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2026</w:t>
            </w:r>
            <w:r w:rsidR="00D34B95">
              <w:rPr>
                <w:rFonts w:ascii="Arial" w:hAnsi="Arial" w:cs="Arial"/>
                <w:color w:val="000000"/>
                <w:sz w:val="16"/>
                <w:szCs w:val="16"/>
              </w:rPr>
              <w:noBreakHyphen/>
            </w:r>
            <w:r w:rsidRPr="00B834CB">
              <w:rPr>
                <w:rFonts w:ascii="Arial" w:hAnsi="Arial" w:cs="Arial"/>
                <w:color w:val="000000"/>
                <w:sz w:val="16"/>
                <w:szCs w:val="16"/>
              </w:rPr>
              <w:t>27</w:t>
            </w:r>
          </w:p>
        </w:tc>
      </w:tr>
      <w:tr w:rsidR="00B834CB" w:rsidRPr="00B834CB" w14:paraId="05217558" w14:textId="77777777" w:rsidTr="000D3856">
        <w:trPr>
          <w:trHeight w:hRule="exact" w:val="225"/>
        </w:trPr>
        <w:tc>
          <w:tcPr>
            <w:tcW w:w="2122" w:type="pct"/>
            <w:tcBorders>
              <w:top w:val="nil"/>
              <w:left w:val="nil"/>
              <w:bottom w:val="nil"/>
              <w:right w:val="nil"/>
            </w:tcBorders>
            <w:shd w:val="clear" w:color="000000" w:fill="FFFFFF"/>
            <w:noWrap/>
            <w:vAlign w:val="center"/>
            <w:hideMark/>
          </w:tcPr>
          <w:p w14:paraId="0F740B2D"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single" w:sz="4" w:space="0" w:color="002A54" w:themeColor="text2"/>
              <w:right w:val="nil"/>
            </w:tcBorders>
            <w:shd w:val="clear" w:color="000000" w:fill="FFFFFF"/>
            <w:noWrap/>
            <w:vAlign w:val="center"/>
            <w:hideMark/>
          </w:tcPr>
          <w:p w14:paraId="71DD710C"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$m</w:t>
            </w:r>
          </w:p>
        </w:tc>
        <w:tc>
          <w:tcPr>
            <w:tcW w:w="576" w:type="pct"/>
            <w:tcBorders>
              <w:top w:val="nil"/>
              <w:left w:val="nil"/>
              <w:bottom w:val="single" w:sz="4" w:space="0" w:color="002A54" w:themeColor="text2"/>
              <w:right w:val="nil"/>
            </w:tcBorders>
            <w:shd w:val="clear" w:color="000000" w:fill="E6F2FF"/>
            <w:noWrap/>
            <w:vAlign w:val="center"/>
            <w:hideMark/>
          </w:tcPr>
          <w:p w14:paraId="5746BFEF"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$m</w:t>
            </w:r>
          </w:p>
        </w:tc>
        <w:tc>
          <w:tcPr>
            <w:tcW w:w="576" w:type="pct"/>
            <w:tcBorders>
              <w:top w:val="nil"/>
              <w:left w:val="nil"/>
              <w:bottom w:val="single" w:sz="4" w:space="0" w:color="002A54" w:themeColor="text2"/>
              <w:right w:val="nil"/>
            </w:tcBorders>
            <w:shd w:val="clear" w:color="000000" w:fill="FFFFFF"/>
            <w:noWrap/>
            <w:vAlign w:val="center"/>
            <w:hideMark/>
          </w:tcPr>
          <w:p w14:paraId="503E274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$m</w:t>
            </w:r>
          </w:p>
        </w:tc>
        <w:tc>
          <w:tcPr>
            <w:tcW w:w="576" w:type="pct"/>
            <w:tcBorders>
              <w:top w:val="nil"/>
              <w:left w:val="nil"/>
              <w:bottom w:val="single" w:sz="4" w:space="0" w:color="002A54" w:themeColor="text2"/>
              <w:right w:val="nil"/>
            </w:tcBorders>
            <w:shd w:val="clear" w:color="000000" w:fill="FFFFFF"/>
            <w:noWrap/>
            <w:vAlign w:val="center"/>
            <w:hideMark/>
          </w:tcPr>
          <w:p w14:paraId="7B76183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$m</w:t>
            </w:r>
          </w:p>
        </w:tc>
        <w:tc>
          <w:tcPr>
            <w:tcW w:w="576" w:type="pct"/>
            <w:tcBorders>
              <w:top w:val="nil"/>
              <w:left w:val="nil"/>
              <w:bottom w:val="single" w:sz="4" w:space="0" w:color="002A54" w:themeColor="text2"/>
              <w:right w:val="nil"/>
            </w:tcBorders>
            <w:shd w:val="clear" w:color="000000" w:fill="FFFFFF"/>
            <w:noWrap/>
            <w:vAlign w:val="center"/>
            <w:hideMark/>
          </w:tcPr>
          <w:p w14:paraId="7C8B3FF4"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$m</w:t>
            </w:r>
          </w:p>
        </w:tc>
      </w:tr>
      <w:tr w:rsidR="00B834CB" w:rsidRPr="00B834CB" w14:paraId="0201275B" w14:textId="77777777" w:rsidTr="000D3856">
        <w:trPr>
          <w:trHeight w:hRule="exact" w:val="225"/>
        </w:trPr>
        <w:tc>
          <w:tcPr>
            <w:tcW w:w="2122" w:type="pct"/>
            <w:tcBorders>
              <w:top w:val="nil"/>
              <w:left w:val="nil"/>
              <w:bottom w:val="nil"/>
              <w:right w:val="nil"/>
            </w:tcBorders>
            <w:shd w:val="clear" w:color="000000" w:fill="FFFFFF"/>
            <w:noWrap/>
            <w:vAlign w:val="center"/>
            <w:hideMark/>
          </w:tcPr>
          <w:p w14:paraId="6F9F74A0" w14:textId="77777777" w:rsidR="00B834CB" w:rsidRPr="00B834CB" w:rsidRDefault="00B834CB" w:rsidP="00B834CB">
            <w:pPr>
              <w:spacing w:before="0" w:after="0" w:line="240" w:lineRule="auto"/>
              <w:rPr>
                <w:rFonts w:ascii="Arial" w:hAnsi="Arial" w:cs="Arial"/>
                <w:sz w:val="16"/>
                <w:szCs w:val="16"/>
              </w:rPr>
            </w:pPr>
            <w:r w:rsidRPr="00B834CB">
              <w:rPr>
                <w:rFonts w:ascii="Arial" w:hAnsi="Arial" w:cs="Arial"/>
                <w:sz w:val="16"/>
                <w:szCs w:val="16"/>
              </w:rPr>
              <w:t>Economic Response to the Coronavirus</w:t>
            </w:r>
          </w:p>
        </w:tc>
        <w:tc>
          <w:tcPr>
            <w:tcW w:w="576" w:type="pct"/>
            <w:tcBorders>
              <w:top w:val="single" w:sz="4" w:space="0" w:color="002A54" w:themeColor="text2"/>
              <w:left w:val="nil"/>
              <w:bottom w:val="nil"/>
              <w:right w:val="nil"/>
            </w:tcBorders>
            <w:shd w:val="clear" w:color="000000" w:fill="FFFFFF"/>
            <w:noWrap/>
            <w:vAlign w:val="center"/>
            <w:hideMark/>
          </w:tcPr>
          <w:p w14:paraId="534A1F27"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339</w:t>
            </w:r>
          </w:p>
        </w:tc>
        <w:tc>
          <w:tcPr>
            <w:tcW w:w="576" w:type="pct"/>
            <w:tcBorders>
              <w:top w:val="single" w:sz="4" w:space="0" w:color="002A54" w:themeColor="text2"/>
              <w:left w:val="nil"/>
              <w:bottom w:val="nil"/>
              <w:right w:val="nil"/>
            </w:tcBorders>
            <w:shd w:val="clear" w:color="000000" w:fill="E6F2FF"/>
            <w:noWrap/>
            <w:vAlign w:val="center"/>
            <w:hideMark/>
          </w:tcPr>
          <w:p w14:paraId="5D99ECE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0</w:t>
            </w:r>
          </w:p>
        </w:tc>
        <w:tc>
          <w:tcPr>
            <w:tcW w:w="576" w:type="pct"/>
            <w:tcBorders>
              <w:top w:val="single" w:sz="4" w:space="0" w:color="002A54" w:themeColor="text2"/>
              <w:left w:val="nil"/>
              <w:bottom w:val="nil"/>
              <w:right w:val="nil"/>
            </w:tcBorders>
            <w:shd w:val="clear" w:color="000000" w:fill="FFFFFF"/>
            <w:noWrap/>
            <w:vAlign w:val="center"/>
            <w:hideMark/>
          </w:tcPr>
          <w:p w14:paraId="7522AD5D"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0</w:t>
            </w:r>
          </w:p>
        </w:tc>
        <w:tc>
          <w:tcPr>
            <w:tcW w:w="576" w:type="pct"/>
            <w:tcBorders>
              <w:top w:val="single" w:sz="4" w:space="0" w:color="002A54" w:themeColor="text2"/>
              <w:left w:val="nil"/>
              <w:bottom w:val="nil"/>
              <w:right w:val="nil"/>
            </w:tcBorders>
            <w:shd w:val="clear" w:color="000000" w:fill="FFFFFF"/>
            <w:noWrap/>
            <w:vAlign w:val="center"/>
            <w:hideMark/>
          </w:tcPr>
          <w:p w14:paraId="4E61B941"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0</w:t>
            </w:r>
          </w:p>
        </w:tc>
        <w:tc>
          <w:tcPr>
            <w:tcW w:w="576" w:type="pct"/>
            <w:tcBorders>
              <w:top w:val="single" w:sz="4" w:space="0" w:color="002A54" w:themeColor="text2"/>
              <w:left w:val="nil"/>
              <w:bottom w:val="nil"/>
              <w:right w:val="nil"/>
            </w:tcBorders>
            <w:shd w:val="clear" w:color="000000" w:fill="FFFFFF"/>
            <w:noWrap/>
            <w:vAlign w:val="center"/>
            <w:hideMark/>
          </w:tcPr>
          <w:p w14:paraId="160CBED1"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0</w:t>
            </w:r>
          </w:p>
        </w:tc>
      </w:tr>
      <w:tr w:rsidR="00B834CB" w:rsidRPr="00B834CB" w14:paraId="781FD4EE"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014F6FDB" w14:textId="3E78DBC5" w:rsidR="00B834CB" w:rsidRPr="00B834CB" w:rsidRDefault="00B834CB" w:rsidP="00B834CB">
            <w:pPr>
              <w:spacing w:before="0" w:after="0" w:line="240" w:lineRule="auto"/>
              <w:rPr>
                <w:rFonts w:ascii="Arial" w:hAnsi="Arial" w:cs="Arial"/>
                <w:sz w:val="16"/>
                <w:szCs w:val="16"/>
              </w:rPr>
            </w:pPr>
            <w:r w:rsidRPr="00B834CB">
              <w:rPr>
                <w:rFonts w:ascii="Arial" w:hAnsi="Arial" w:cs="Arial"/>
                <w:sz w:val="16"/>
                <w:szCs w:val="16"/>
              </w:rPr>
              <w:t>Promotion of Australia</w:t>
            </w:r>
            <w:r w:rsidR="00D34B95">
              <w:rPr>
                <w:rFonts w:ascii="Arial" w:hAnsi="Arial" w:cs="Arial"/>
                <w:sz w:val="16"/>
                <w:szCs w:val="16"/>
              </w:rPr>
              <w:t>’</w:t>
            </w:r>
            <w:r w:rsidRPr="00B834CB">
              <w:rPr>
                <w:rFonts w:ascii="Arial" w:hAnsi="Arial" w:cs="Arial"/>
                <w:sz w:val="16"/>
                <w:szCs w:val="16"/>
              </w:rPr>
              <w:t>s export and</w:t>
            </w:r>
          </w:p>
        </w:tc>
        <w:tc>
          <w:tcPr>
            <w:tcW w:w="576" w:type="pct"/>
            <w:tcBorders>
              <w:top w:val="nil"/>
              <w:left w:val="nil"/>
              <w:bottom w:val="nil"/>
              <w:right w:val="nil"/>
            </w:tcBorders>
            <w:shd w:val="clear" w:color="000000" w:fill="FFFFFF"/>
            <w:noWrap/>
            <w:vAlign w:val="center"/>
            <w:hideMark/>
          </w:tcPr>
          <w:p w14:paraId="5F82D4F7"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E6F2FF"/>
            <w:noWrap/>
            <w:vAlign w:val="center"/>
            <w:hideMark/>
          </w:tcPr>
          <w:p w14:paraId="3930DF3E"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22F11A41"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1688E318"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1C7CBB08"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r>
      <w:tr w:rsidR="00B834CB" w:rsidRPr="00B834CB" w14:paraId="0B358A0F"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7838A30C"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other international economic interests</w:t>
            </w:r>
          </w:p>
        </w:tc>
        <w:tc>
          <w:tcPr>
            <w:tcW w:w="576" w:type="pct"/>
            <w:tcBorders>
              <w:top w:val="nil"/>
              <w:left w:val="nil"/>
              <w:bottom w:val="nil"/>
              <w:right w:val="nil"/>
            </w:tcBorders>
            <w:shd w:val="clear" w:color="000000" w:fill="FFFFFF"/>
            <w:noWrap/>
            <w:vAlign w:val="center"/>
            <w:hideMark/>
          </w:tcPr>
          <w:p w14:paraId="2FD3F57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471</w:t>
            </w:r>
          </w:p>
        </w:tc>
        <w:tc>
          <w:tcPr>
            <w:tcW w:w="576" w:type="pct"/>
            <w:tcBorders>
              <w:top w:val="nil"/>
              <w:left w:val="nil"/>
              <w:bottom w:val="nil"/>
              <w:right w:val="nil"/>
            </w:tcBorders>
            <w:shd w:val="clear" w:color="000000" w:fill="E6F2FF"/>
            <w:noWrap/>
            <w:vAlign w:val="center"/>
            <w:hideMark/>
          </w:tcPr>
          <w:p w14:paraId="717D155F"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449</w:t>
            </w:r>
          </w:p>
        </w:tc>
        <w:tc>
          <w:tcPr>
            <w:tcW w:w="576" w:type="pct"/>
            <w:tcBorders>
              <w:top w:val="nil"/>
              <w:left w:val="nil"/>
              <w:bottom w:val="nil"/>
              <w:right w:val="nil"/>
            </w:tcBorders>
            <w:shd w:val="clear" w:color="000000" w:fill="FFFFFF"/>
            <w:noWrap/>
            <w:vAlign w:val="center"/>
            <w:hideMark/>
          </w:tcPr>
          <w:p w14:paraId="66A9C55C"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405</w:t>
            </w:r>
          </w:p>
        </w:tc>
        <w:tc>
          <w:tcPr>
            <w:tcW w:w="576" w:type="pct"/>
            <w:tcBorders>
              <w:top w:val="nil"/>
              <w:left w:val="nil"/>
              <w:bottom w:val="nil"/>
              <w:right w:val="nil"/>
            </w:tcBorders>
            <w:shd w:val="clear" w:color="000000" w:fill="FFFFFF"/>
            <w:noWrap/>
            <w:vAlign w:val="center"/>
            <w:hideMark/>
          </w:tcPr>
          <w:p w14:paraId="1A055156"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341</w:t>
            </w:r>
          </w:p>
        </w:tc>
        <w:tc>
          <w:tcPr>
            <w:tcW w:w="576" w:type="pct"/>
            <w:tcBorders>
              <w:top w:val="nil"/>
              <w:left w:val="nil"/>
              <w:bottom w:val="nil"/>
              <w:right w:val="nil"/>
            </w:tcBorders>
            <w:shd w:val="clear" w:color="000000" w:fill="FFFFFF"/>
            <w:noWrap/>
            <w:vAlign w:val="center"/>
            <w:hideMark/>
          </w:tcPr>
          <w:p w14:paraId="590E0DD5"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338</w:t>
            </w:r>
          </w:p>
        </w:tc>
      </w:tr>
      <w:tr w:rsidR="00B834CB" w:rsidRPr="00B834CB" w14:paraId="358C2A42"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1FFE2796" w14:textId="77777777" w:rsidR="00B834CB" w:rsidRPr="00B834CB" w:rsidRDefault="00B834CB" w:rsidP="00B834CB">
            <w:pPr>
              <w:spacing w:before="0" w:after="0" w:line="240" w:lineRule="auto"/>
              <w:rPr>
                <w:rFonts w:ascii="Arial" w:hAnsi="Arial" w:cs="Arial"/>
                <w:b/>
                <w:bCs/>
                <w:sz w:val="16"/>
                <w:szCs w:val="16"/>
              </w:rPr>
            </w:pPr>
            <w:r w:rsidRPr="00B834CB">
              <w:rPr>
                <w:rFonts w:ascii="Arial" w:hAnsi="Arial" w:cs="Arial"/>
                <w:b/>
                <w:bCs/>
                <w:sz w:val="16"/>
                <w:szCs w:val="16"/>
              </w:rPr>
              <w:t>Operating costs for:</w:t>
            </w:r>
          </w:p>
        </w:tc>
        <w:tc>
          <w:tcPr>
            <w:tcW w:w="576" w:type="pct"/>
            <w:tcBorders>
              <w:top w:val="nil"/>
              <w:left w:val="nil"/>
              <w:bottom w:val="nil"/>
              <w:right w:val="nil"/>
            </w:tcBorders>
            <w:shd w:val="clear" w:color="000000" w:fill="FFFFFF"/>
            <w:noWrap/>
            <w:vAlign w:val="center"/>
            <w:hideMark/>
          </w:tcPr>
          <w:p w14:paraId="74415991"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 </w:t>
            </w:r>
          </w:p>
        </w:tc>
        <w:tc>
          <w:tcPr>
            <w:tcW w:w="576" w:type="pct"/>
            <w:tcBorders>
              <w:top w:val="nil"/>
              <w:left w:val="nil"/>
              <w:bottom w:val="nil"/>
              <w:right w:val="nil"/>
            </w:tcBorders>
            <w:shd w:val="clear" w:color="000000" w:fill="E6F2FF"/>
            <w:noWrap/>
            <w:vAlign w:val="center"/>
            <w:hideMark/>
          </w:tcPr>
          <w:p w14:paraId="0A15F2BC"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 </w:t>
            </w:r>
          </w:p>
        </w:tc>
        <w:tc>
          <w:tcPr>
            <w:tcW w:w="576" w:type="pct"/>
            <w:tcBorders>
              <w:top w:val="nil"/>
              <w:left w:val="nil"/>
              <w:bottom w:val="nil"/>
              <w:right w:val="nil"/>
            </w:tcBorders>
            <w:shd w:val="clear" w:color="000000" w:fill="FFFFFF"/>
            <w:noWrap/>
            <w:vAlign w:val="center"/>
            <w:hideMark/>
          </w:tcPr>
          <w:p w14:paraId="070DCEDF"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 </w:t>
            </w:r>
          </w:p>
        </w:tc>
        <w:tc>
          <w:tcPr>
            <w:tcW w:w="576" w:type="pct"/>
            <w:tcBorders>
              <w:top w:val="nil"/>
              <w:left w:val="nil"/>
              <w:bottom w:val="nil"/>
              <w:right w:val="nil"/>
            </w:tcBorders>
            <w:shd w:val="clear" w:color="000000" w:fill="FFFFFF"/>
            <w:noWrap/>
            <w:vAlign w:val="center"/>
            <w:hideMark/>
          </w:tcPr>
          <w:p w14:paraId="37C5F9CF"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 </w:t>
            </w:r>
          </w:p>
        </w:tc>
        <w:tc>
          <w:tcPr>
            <w:tcW w:w="576" w:type="pct"/>
            <w:tcBorders>
              <w:top w:val="nil"/>
              <w:left w:val="nil"/>
              <w:bottom w:val="nil"/>
              <w:right w:val="nil"/>
            </w:tcBorders>
            <w:shd w:val="clear" w:color="000000" w:fill="FFFFFF"/>
            <w:noWrap/>
            <w:vAlign w:val="center"/>
            <w:hideMark/>
          </w:tcPr>
          <w:p w14:paraId="410D47E6"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 </w:t>
            </w:r>
          </w:p>
        </w:tc>
      </w:tr>
      <w:tr w:rsidR="00B834CB" w:rsidRPr="00B834CB" w14:paraId="6C0BBAAE" w14:textId="77777777" w:rsidTr="00B72FF0">
        <w:trPr>
          <w:trHeight w:hRule="exact" w:val="225"/>
        </w:trPr>
        <w:tc>
          <w:tcPr>
            <w:tcW w:w="2697" w:type="pct"/>
            <w:gridSpan w:val="2"/>
            <w:tcBorders>
              <w:top w:val="nil"/>
              <w:left w:val="nil"/>
              <w:bottom w:val="nil"/>
              <w:right w:val="nil"/>
            </w:tcBorders>
            <w:shd w:val="clear" w:color="000000" w:fill="FFFFFF"/>
            <w:noWrap/>
            <w:vAlign w:val="center"/>
            <w:hideMark/>
          </w:tcPr>
          <w:p w14:paraId="5D3DE870"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Department of Industry, Science and</w:t>
            </w:r>
          </w:p>
        </w:tc>
        <w:tc>
          <w:tcPr>
            <w:tcW w:w="576" w:type="pct"/>
            <w:tcBorders>
              <w:top w:val="nil"/>
              <w:left w:val="nil"/>
              <w:bottom w:val="nil"/>
              <w:right w:val="nil"/>
            </w:tcBorders>
            <w:shd w:val="clear" w:color="000000" w:fill="E6F2FF"/>
            <w:noWrap/>
            <w:vAlign w:val="center"/>
            <w:hideMark/>
          </w:tcPr>
          <w:p w14:paraId="2B0AEEF3"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5D7DA715"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387FC36B"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1878C434"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r>
      <w:tr w:rsidR="00B834CB" w:rsidRPr="00B834CB" w14:paraId="52697887"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1905A378" w14:textId="77777777" w:rsidR="00B834CB" w:rsidRPr="00B834CB" w:rsidRDefault="00B834CB" w:rsidP="00B72FF0">
            <w:pPr>
              <w:spacing w:before="0" w:after="0" w:line="240" w:lineRule="auto"/>
              <w:ind w:left="340"/>
              <w:rPr>
                <w:rFonts w:ascii="Arial" w:hAnsi="Arial" w:cs="Arial"/>
                <w:color w:val="000000"/>
                <w:sz w:val="16"/>
                <w:szCs w:val="16"/>
              </w:rPr>
            </w:pPr>
            <w:r w:rsidRPr="00B834CB">
              <w:rPr>
                <w:rFonts w:ascii="Arial" w:hAnsi="Arial" w:cs="Arial"/>
                <w:color w:val="000000"/>
                <w:sz w:val="16"/>
                <w:szCs w:val="16"/>
              </w:rPr>
              <w:t>Resources</w:t>
            </w:r>
          </w:p>
        </w:tc>
        <w:tc>
          <w:tcPr>
            <w:tcW w:w="576" w:type="pct"/>
            <w:tcBorders>
              <w:top w:val="nil"/>
              <w:left w:val="nil"/>
              <w:bottom w:val="nil"/>
              <w:right w:val="nil"/>
            </w:tcBorders>
            <w:shd w:val="clear" w:color="000000" w:fill="FFFFFF"/>
            <w:noWrap/>
            <w:vAlign w:val="center"/>
            <w:hideMark/>
          </w:tcPr>
          <w:p w14:paraId="085CE89F"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696</w:t>
            </w:r>
          </w:p>
        </w:tc>
        <w:tc>
          <w:tcPr>
            <w:tcW w:w="576" w:type="pct"/>
            <w:tcBorders>
              <w:top w:val="nil"/>
              <w:left w:val="nil"/>
              <w:bottom w:val="nil"/>
              <w:right w:val="nil"/>
            </w:tcBorders>
            <w:shd w:val="clear" w:color="000000" w:fill="E6F2FF"/>
            <w:noWrap/>
            <w:vAlign w:val="center"/>
            <w:hideMark/>
          </w:tcPr>
          <w:p w14:paraId="6F54CDD0"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701</w:t>
            </w:r>
          </w:p>
        </w:tc>
        <w:tc>
          <w:tcPr>
            <w:tcW w:w="576" w:type="pct"/>
            <w:tcBorders>
              <w:top w:val="nil"/>
              <w:left w:val="nil"/>
              <w:bottom w:val="nil"/>
              <w:right w:val="nil"/>
            </w:tcBorders>
            <w:shd w:val="clear" w:color="000000" w:fill="FFFFFF"/>
            <w:noWrap/>
            <w:vAlign w:val="center"/>
            <w:hideMark/>
          </w:tcPr>
          <w:p w14:paraId="23688B4B"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623</w:t>
            </w:r>
          </w:p>
        </w:tc>
        <w:tc>
          <w:tcPr>
            <w:tcW w:w="576" w:type="pct"/>
            <w:tcBorders>
              <w:top w:val="nil"/>
              <w:left w:val="nil"/>
              <w:bottom w:val="nil"/>
              <w:right w:val="nil"/>
            </w:tcBorders>
            <w:shd w:val="clear" w:color="000000" w:fill="FFFFFF"/>
            <w:noWrap/>
            <w:vAlign w:val="center"/>
            <w:hideMark/>
          </w:tcPr>
          <w:p w14:paraId="7CB470EB"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608</w:t>
            </w:r>
          </w:p>
        </w:tc>
        <w:tc>
          <w:tcPr>
            <w:tcW w:w="576" w:type="pct"/>
            <w:tcBorders>
              <w:top w:val="nil"/>
              <w:left w:val="nil"/>
              <w:bottom w:val="nil"/>
              <w:right w:val="nil"/>
            </w:tcBorders>
            <w:shd w:val="clear" w:color="000000" w:fill="FFFFFF"/>
            <w:noWrap/>
            <w:vAlign w:val="center"/>
            <w:hideMark/>
          </w:tcPr>
          <w:p w14:paraId="315CDBD0"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562</w:t>
            </w:r>
          </w:p>
        </w:tc>
      </w:tr>
      <w:tr w:rsidR="00B834CB" w:rsidRPr="00B834CB" w14:paraId="5411FCD8" w14:textId="77777777" w:rsidTr="00B72FF0">
        <w:trPr>
          <w:trHeight w:hRule="exact" w:val="225"/>
        </w:trPr>
        <w:tc>
          <w:tcPr>
            <w:tcW w:w="2697" w:type="pct"/>
            <w:gridSpan w:val="2"/>
            <w:tcBorders>
              <w:top w:val="nil"/>
              <w:left w:val="nil"/>
              <w:bottom w:val="nil"/>
              <w:right w:val="nil"/>
            </w:tcBorders>
            <w:shd w:val="clear" w:color="000000" w:fill="FFFFFF"/>
            <w:noWrap/>
            <w:vAlign w:val="center"/>
            <w:hideMark/>
          </w:tcPr>
          <w:p w14:paraId="3341B533"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Australian Securities and Investments</w:t>
            </w:r>
          </w:p>
        </w:tc>
        <w:tc>
          <w:tcPr>
            <w:tcW w:w="576" w:type="pct"/>
            <w:tcBorders>
              <w:top w:val="nil"/>
              <w:left w:val="nil"/>
              <w:bottom w:val="nil"/>
              <w:right w:val="nil"/>
            </w:tcBorders>
            <w:shd w:val="clear" w:color="000000" w:fill="E6F2FF"/>
            <w:noWrap/>
            <w:vAlign w:val="center"/>
            <w:hideMark/>
          </w:tcPr>
          <w:p w14:paraId="7AD13D6A"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482E0E2F"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29E2F286"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027EC32B"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r>
      <w:tr w:rsidR="00B834CB" w:rsidRPr="00B834CB" w14:paraId="3A2E7E1E"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511DDB76" w14:textId="77777777" w:rsidR="00B834CB" w:rsidRPr="00B834CB" w:rsidRDefault="00B834CB" w:rsidP="00B72FF0">
            <w:pPr>
              <w:spacing w:before="0" w:after="0" w:line="240" w:lineRule="auto"/>
              <w:ind w:left="340"/>
              <w:rPr>
                <w:rFonts w:ascii="Arial" w:hAnsi="Arial" w:cs="Arial"/>
                <w:color w:val="000000"/>
                <w:sz w:val="16"/>
                <w:szCs w:val="16"/>
              </w:rPr>
            </w:pPr>
            <w:r w:rsidRPr="00B834CB">
              <w:rPr>
                <w:rFonts w:ascii="Arial" w:hAnsi="Arial" w:cs="Arial"/>
                <w:color w:val="000000"/>
                <w:sz w:val="16"/>
                <w:szCs w:val="16"/>
              </w:rPr>
              <w:t>Commission</w:t>
            </w:r>
          </w:p>
        </w:tc>
        <w:tc>
          <w:tcPr>
            <w:tcW w:w="576" w:type="pct"/>
            <w:tcBorders>
              <w:top w:val="nil"/>
              <w:left w:val="nil"/>
              <w:bottom w:val="nil"/>
              <w:right w:val="nil"/>
            </w:tcBorders>
            <w:shd w:val="clear" w:color="000000" w:fill="FFFFFF"/>
            <w:noWrap/>
            <w:vAlign w:val="center"/>
            <w:hideMark/>
          </w:tcPr>
          <w:p w14:paraId="01792B6B"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654</w:t>
            </w:r>
          </w:p>
        </w:tc>
        <w:tc>
          <w:tcPr>
            <w:tcW w:w="576" w:type="pct"/>
            <w:tcBorders>
              <w:top w:val="nil"/>
              <w:left w:val="nil"/>
              <w:bottom w:val="nil"/>
              <w:right w:val="nil"/>
            </w:tcBorders>
            <w:shd w:val="clear" w:color="000000" w:fill="E6F2FF"/>
            <w:noWrap/>
            <w:vAlign w:val="center"/>
            <w:hideMark/>
          </w:tcPr>
          <w:p w14:paraId="20834A6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635</w:t>
            </w:r>
          </w:p>
        </w:tc>
        <w:tc>
          <w:tcPr>
            <w:tcW w:w="576" w:type="pct"/>
            <w:tcBorders>
              <w:top w:val="nil"/>
              <w:left w:val="nil"/>
              <w:bottom w:val="nil"/>
              <w:right w:val="nil"/>
            </w:tcBorders>
            <w:shd w:val="clear" w:color="000000" w:fill="FFFFFF"/>
            <w:noWrap/>
            <w:vAlign w:val="center"/>
            <w:hideMark/>
          </w:tcPr>
          <w:p w14:paraId="67CA943B"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619</w:t>
            </w:r>
          </w:p>
        </w:tc>
        <w:tc>
          <w:tcPr>
            <w:tcW w:w="576" w:type="pct"/>
            <w:tcBorders>
              <w:top w:val="nil"/>
              <w:left w:val="nil"/>
              <w:bottom w:val="nil"/>
              <w:right w:val="nil"/>
            </w:tcBorders>
            <w:shd w:val="clear" w:color="000000" w:fill="FFFFFF"/>
            <w:noWrap/>
            <w:vAlign w:val="center"/>
            <w:hideMark/>
          </w:tcPr>
          <w:p w14:paraId="61A58AF6"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618</w:t>
            </w:r>
          </w:p>
        </w:tc>
        <w:tc>
          <w:tcPr>
            <w:tcW w:w="576" w:type="pct"/>
            <w:tcBorders>
              <w:top w:val="nil"/>
              <w:left w:val="nil"/>
              <w:bottom w:val="nil"/>
              <w:right w:val="nil"/>
            </w:tcBorders>
            <w:shd w:val="clear" w:color="000000" w:fill="FFFFFF"/>
            <w:noWrap/>
            <w:vAlign w:val="center"/>
            <w:hideMark/>
          </w:tcPr>
          <w:p w14:paraId="26D0FAB3"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634</w:t>
            </w:r>
          </w:p>
        </w:tc>
      </w:tr>
      <w:tr w:rsidR="00B834CB" w:rsidRPr="00B834CB" w14:paraId="074A5664"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24A91D9E"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Bureau of Meteorology</w:t>
            </w:r>
          </w:p>
        </w:tc>
        <w:tc>
          <w:tcPr>
            <w:tcW w:w="576" w:type="pct"/>
            <w:tcBorders>
              <w:top w:val="nil"/>
              <w:left w:val="nil"/>
              <w:bottom w:val="nil"/>
              <w:right w:val="nil"/>
            </w:tcBorders>
            <w:shd w:val="clear" w:color="000000" w:fill="FFFFFF"/>
            <w:noWrap/>
            <w:vAlign w:val="center"/>
            <w:hideMark/>
          </w:tcPr>
          <w:p w14:paraId="06E1EC47"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525</w:t>
            </w:r>
          </w:p>
        </w:tc>
        <w:tc>
          <w:tcPr>
            <w:tcW w:w="576" w:type="pct"/>
            <w:tcBorders>
              <w:top w:val="nil"/>
              <w:left w:val="nil"/>
              <w:bottom w:val="nil"/>
              <w:right w:val="nil"/>
            </w:tcBorders>
            <w:shd w:val="clear" w:color="000000" w:fill="E6F2FF"/>
            <w:noWrap/>
            <w:vAlign w:val="center"/>
            <w:hideMark/>
          </w:tcPr>
          <w:p w14:paraId="243203E9"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517</w:t>
            </w:r>
          </w:p>
        </w:tc>
        <w:tc>
          <w:tcPr>
            <w:tcW w:w="576" w:type="pct"/>
            <w:tcBorders>
              <w:top w:val="nil"/>
              <w:left w:val="nil"/>
              <w:bottom w:val="nil"/>
              <w:right w:val="nil"/>
            </w:tcBorders>
            <w:shd w:val="clear" w:color="000000" w:fill="FFFFFF"/>
            <w:noWrap/>
            <w:vAlign w:val="center"/>
            <w:hideMark/>
          </w:tcPr>
          <w:p w14:paraId="2DCCCA40"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518</w:t>
            </w:r>
          </w:p>
        </w:tc>
        <w:tc>
          <w:tcPr>
            <w:tcW w:w="576" w:type="pct"/>
            <w:tcBorders>
              <w:top w:val="nil"/>
              <w:left w:val="nil"/>
              <w:bottom w:val="nil"/>
              <w:right w:val="nil"/>
            </w:tcBorders>
            <w:shd w:val="clear" w:color="000000" w:fill="FFFFFF"/>
            <w:noWrap/>
            <w:vAlign w:val="center"/>
            <w:hideMark/>
          </w:tcPr>
          <w:p w14:paraId="2477D377"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519</w:t>
            </w:r>
          </w:p>
        </w:tc>
        <w:tc>
          <w:tcPr>
            <w:tcW w:w="576" w:type="pct"/>
            <w:tcBorders>
              <w:top w:val="nil"/>
              <w:left w:val="nil"/>
              <w:bottom w:val="nil"/>
              <w:right w:val="nil"/>
            </w:tcBorders>
            <w:shd w:val="clear" w:color="000000" w:fill="FFFFFF"/>
            <w:noWrap/>
            <w:vAlign w:val="center"/>
            <w:hideMark/>
          </w:tcPr>
          <w:p w14:paraId="23F84A6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536</w:t>
            </w:r>
          </w:p>
        </w:tc>
      </w:tr>
      <w:tr w:rsidR="00B834CB" w:rsidRPr="00B834CB" w14:paraId="5780ED27"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49E0E410"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IP Australia</w:t>
            </w:r>
          </w:p>
        </w:tc>
        <w:tc>
          <w:tcPr>
            <w:tcW w:w="576" w:type="pct"/>
            <w:tcBorders>
              <w:top w:val="nil"/>
              <w:left w:val="nil"/>
              <w:bottom w:val="nil"/>
              <w:right w:val="nil"/>
            </w:tcBorders>
            <w:shd w:val="clear" w:color="000000" w:fill="FFFFFF"/>
            <w:noWrap/>
            <w:vAlign w:val="center"/>
            <w:hideMark/>
          </w:tcPr>
          <w:p w14:paraId="539A1A5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241</w:t>
            </w:r>
          </w:p>
        </w:tc>
        <w:tc>
          <w:tcPr>
            <w:tcW w:w="576" w:type="pct"/>
            <w:tcBorders>
              <w:top w:val="nil"/>
              <w:left w:val="nil"/>
              <w:bottom w:val="nil"/>
              <w:right w:val="nil"/>
            </w:tcBorders>
            <w:shd w:val="clear" w:color="000000" w:fill="E6F2FF"/>
            <w:noWrap/>
            <w:vAlign w:val="center"/>
            <w:hideMark/>
          </w:tcPr>
          <w:p w14:paraId="59F093D4"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248</w:t>
            </w:r>
          </w:p>
        </w:tc>
        <w:tc>
          <w:tcPr>
            <w:tcW w:w="576" w:type="pct"/>
            <w:tcBorders>
              <w:top w:val="nil"/>
              <w:left w:val="nil"/>
              <w:bottom w:val="nil"/>
              <w:right w:val="nil"/>
            </w:tcBorders>
            <w:shd w:val="clear" w:color="000000" w:fill="FFFFFF"/>
            <w:noWrap/>
            <w:vAlign w:val="center"/>
            <w:hideMark/>
          </w:tcPr>
          <w:p w14:paraId="7D641643"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256</w:t>
            </w:r>
          </w:p>
        </w:tc>
        <w:tc>
          <w:tcPr>
            <w:tcW w:w="576" w:type="pct"/>
            <w:tcBorders>
              <w:top w:val="nil"/>
              <w:left w:val="nil"/>
              <w:bottom w:val="nil"/>
              <w:right w:val="nil"/>
            </w:tcBorders>
            <w:shd w:val="clear" w:color="000000" w:fill="FFFFFF"/>
            <w:noWrap/>
            <w:vAlign w:val="center"/>
            <w:hideMark/>
          </w:tcPr>
          <w:p w14:paraId="03B6F7E9"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264</w:t>
            </w:r>
          </w:p>
        </w:tc>
        <w:tc>
          <w:tcPr>
            <w:tcW w:w="576" w:type="pct"/>
            <w:tcBorders>
              <w:top w:val="nil"/>
              <w:left w:val="nil"/>
              <w:bottom w:val="nil"/>
              <w:right w:val="nil"/>
            </w:tcBorders>
            <w:shd w:val="clear" w:color="000000" w:fill="FFFFFF"/>
            <w:noWrap/>
            <w:vAlign w:val="center"/>
            <w:hideMark/>
          </w:tcPr>
          <w:p w14:paraId="1D516AF5"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272</w:t>
            </w:r>
          </w:p>
        </w:tc>
      </w:tr>
      <w:tr w:rsidR="00B834CB" w:rsidRPr="00B834CB" w14:paraId="67D6FB5F"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0816DB32"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Australian Competition and</w:t>
            </w:r>
          </w:p>
        </w:tc>
        <w:tc>
          <w:tcPr>
            <w:tcW w:w="576" w:type="pct"/>
            <w:tcBorders>
              <w:top w:val="nil"/>
              <w:left w:val="nil"/>
              <w:bottom w:val="nil"/>
              <w:right w:val="nil"/>
            </w:tcBorders>
            <w:shd w:val="clear" w:color="000000" w:fill="FFFFFF"/>
            <w:noWrap/>
            <w:vAlign w:val="center"/>
            <w:hideMark/>
          </w:tcPr>
          <w:p w14:paraId="6FE3C176"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E6F2FF"/>
            <w:noWrap/>
            <w:vAlign w:val="center"/>
            <w:hideMark/>
          </w:tcPr>
          <w:p w14:paraId="0F81C3D5"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00426E84"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0F9670E8"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19763B8B"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r>
      <w:tr w:rsidR="00B834CB" w:rsidRPr="00B834CB" w14:paraId="5D7894E3"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3D766088" w14:textId="77777777" w:rsidR="00B834CB" w:rsidRPr="00B834CB" w:rsidRDefault="00B834CB" w:rsidP="00B72FF0">
            <w:pPr>
              <w:spacing w:before="0" w:after="0" w:line="240" w:lineRule="auto"/>
              <w:ind w:left="340"/>
              <w:rPr>
                <w:rFonts w:ascii="Arial" w:hAnsi="Arial" w:cs="Arial"/>
                <w:color w:val="000000"/>
                <w:sz w:val="16"/>
                <w:szCs w:val="16"/>
              </w:rPr>
            </w:pPr>
            <w:r w:rsidRPr="00B834CB">
              <w:rPr>
                <w:rFonts w:ascii="Arial" w:hAnsi="Arial" w:cs="Arial"/>
                <w:color w:val="000000"/>
                <w:sz w:val="16"/>
                <w:szCs w:val="16"/>
              </w:rPr>
              <w:t>Consumer Commission</w:t>
            </w:r>
          </w:p>
        </w:tc>
        <w:tc>
          <w:tcPr>
            <w:tcW w:w="576" w:type="pct"/>
            <w:tcBorders>
              <w:top w:val="nil"/>
              <w:left w:val="nil"/>
              <w:bottom w:val="nil"/>
              <w:right w:val="nil"/>
            </w:tcBorders>
            <w:shd w:val="clear" w:color="000000" w:fill="FFFFFF"/>
            <w:noWrap/>
            <w:vAlign w:val="center"/>
            <w:hideMark/>
          </w:tcPr>
          <w:p w14:paraId="0162187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230</w:t>
            </w:r>
          </w:p>
        </w:tc>
        <w:tc>
          <w:tcPr>
            <w:tcW w:w="576" w:type="pct"/>
            <w:tcBorders>
              <w:top w:val="nil"/>
              <w:left w:val="nil"/>
              <w:bottom w:val="nil"/>
              <w:right w:val="nil"/>
            </w:tcBorders>
            <w:shd w:val="clear" w:color="000000" w:fill="E6F2FF"/>
            <w:noWrap/>
            <w:vAlign w:val="center"/>
            <w:hideMark/>
          </w:tcPr>
          <w:p w14:paraId="2B51B658"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242</w:t>
            </w:r>
          </w:p>
        </w:tc>
        <w:tc>
          <w:tcPr>
            <w:tcW w:w="576" w:type="pct"/>
            <w:tcBorders>
              <w:top w:val="nil"/>
              <w:left w:val="nil"/>
              <w:bottom w:val="nil"/>
              <w:right w:val="nil"/>
            </w:tcBorders>
            <w:shd w:val="clear" w:color="000000" w:fill="FFFFFF"/>
            <w:noWrap/>
            <w:vAlign w:val="center"/>
            <w:hideMark/>
          </w:tcPr>
          <w:p w14:paraId="78CD266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233</w:t>
            </w:r>
          </w:p>
        </w:tc>
        <w:tc>
          <w:tcPr>
            <w:tcW w:w="576" w:type="pct"/>
            <w:tcBorders>
              <w:top w:val="nil"/>
              <w:left w:val="nil"/>
              <w:bottom w:val="nil"/>
              <w:right w:val="nil"/>
            </w:tcBorders>
            <w:shd w:val="clear" w:color="000000" w:fill="FFFFFF"/>
            <w:noWrap/>
            <w:vAlign w:val="center"/>
            <w:hideMark/>
          </w:tcPr>
          <w:p w14:paraId="71466FD4"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195</w:t>
            </w:r>
          </w:p>
        </w:tc>
        <w:tc>
          <w:tcPr>
            <w:tcW w:w="576" w:type="pct"/>
            <w:tcBorders>
              <w:top w:val="nil"/>
              <w:left w:val="nil"/>
              <w:bottom w:val="nil"/>
              <w:right w:val="nil"/>
            </w:tcBorders>
            <w:shd w:val="clear" w:color="000000" w:fill="FFFFFF"/>
            <w:noWrap/>
            <w:vAlign w:val="center"/>
            <w:hideMark/>
          </w:tcPr>
          <w:p w14:paraId="363D01BE"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200</w:t>
            </w:r>
          </w:p>
        </w:tc>
      </w:tr>
      <w:tr w:rsidR="00B834CB" w:rsidRPr="00B834CB" w14:paraId="0F317897"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75F4B183" w14:textId="77777777" w:rsidR="00B834CB" w:rsidRPr="00B834CB" w:rsidRDefault="00B834CB" w:rsidP="00B72FF0">
            <w:pPr>
              <w:spacing w:before="0" w:after="0" w:line="240" w:lineRule="auto"/>
              <w:ind w:left="170"/>
              <w:rPr>
                <w:rFonts w:ascii="Arial" w:hAnsi="Arial" w:cs="Arial"/>
                <w:color w:val="000000"/>
                <w:sz w:val="16"/>
                <w:szCs w:val="16"/>
              </w:rPr>
            </w:pPr>
            <w:r w:rsidRPr="00B834CB">
              <w:rPr>
                <w:rFonts w:ascii="Arial" w:hAnsi="Arial" w:cs="Arial"/>
                <w:color w:val="000000"/>
                <w:sz w:val="16"/>
                <w:szCs w:val="16"/>
              </w:rPr>
              <w:t>Australian Prudential Regulation</w:t>
            </w:r>
          </w:p>
        </w:tc>
        <w:tc>
          <w:tcPr>
            <w:tcW w:w="576" w:type="pct"/>
            <w:tcBorders>
              <w:top w:val="nil"/>
              <w:left w:val="nil"/>
              <w:bottom w:val="nil"/>
              <w:right w:val="nil"/>
            </w:tcBorders>
            <w:shd w:val="clear" w:color="000000" w:fill="FFFFFF"/>
            <w:noWrap/>
            <w:vAlign w:val="center"/>
            <w:hideMark/>
          </w:tcPr>
          <w:p w14:paraId="474AE1C1"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E6F2FF"/>
            <w:noWrap/>
            <w:vAlign w:val="center"/>
            <w:hideMark/>
          </w:tcPr>
          <w:p w14:paraId="1EC389FF"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4E91D028"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4AEB642D"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c>
          <w:tcPr>
            <w:tcW w:w="576" w:type="pct"/>
            <w:tcBorders>
              <w:top w:val="nil"/>
              <w:left w:val="nil"/>
              <w:bottom w:val="nil"/>
              <w:right w:val="nil"/>
            </w:tcBorders>
            <w:shd w:val="clear" w:color="000000" w:fill="FFFFFF"/>
            <w:noWrap/>
            <w:vAlign w:val="center"/>
            <w:hideMark/>
          </w:tcPr>
          <w:p w14:paraId="436EDD6D" w14:textId="77777777" w:rsidR="00B834CB" w:rsidRPr="00B834CB" w:rsidRDefault="00B834CB" w:rsidP="00B834CB">
            <w:pPr>
              <w:spacing w:before="0" w:after="0" w:line="240" w:lineRule="auto"/>
              <w:rPr>
                <w:rFonts w:ascii="Arial" w:hAnsi="Arial" w:cs="Arial"/>
                <w:color w:val="000000"/>
                <w:sz w:val="16"/>
                <w:szCs w:val="16"/>
              </w:rPr>
            </w:pPr>
            <w:r w:rsidRPr="00B834CB">
              <w:rPr>
                <w:rFonts w:ascii="Arial" w:hAnsi="Arial" w:cs="Arial"/>
                <w:color w:val="000000"/>
                <w:sz w:val="16"/>
                <w:szCs w:val="16"/>
              </w:rPr>
              <w:t> </w:t>
            </w:r>
          </w:p>
        </w:tc>
      </w:tr>
      <w:tr w:rsidR="00B834CB" w:rsidRPr="00B834CB" w14:paraId="21E9CFD0" w14:textId="77777777" w:rsidTr="00B72FF0">
        <w:trPr>
          <w:trHeight w:hRule="exact" w:val="225"/>
        </w:trPr>
        <w:tc>
          <w:tcPr>
            <w:tcW w:w="2122" w:type="pct"/>
            <w:tcBorders>
              <w:top w:val="nil"/>
              <w:left w:val="nil"/>
              <w:bottom w:val="nil"/>
              <w:right w:val="nil"/>
            </w:tcBorders>
            <w:shd w:val="clear" w:color="000000" w:fill="FFFFFF"/>
            <w:noWrap/>
            <w:vAlign w:val="center"/>
            <w:hideMark/>
          </w:tcPr>
          <w:p w14:paraId="77EBF219" w14:textId="77777777" w:rsidR="00B834CB" w:rsidRPr="00B834CB" w:rsidRDefault="00B834CB" w:rsidP="00B72FF0">
            <w:pPr>
              <w:spacing w:before="0" w:after="0" w:line="240" w:lineRule="auto"/>
              <w:ind w:left="340"/>
              <w:rPr>
                <w:rFonts w:ascii="Arial" w:hAnsi="Arial" w:cs="Arial"/>
                <w:color w:val="000000"/>
                <w:sz w:val="16"/>
                <w:szCs w:val="16"/>
              </w:rPr>
            </w:pPr>
            <w:r w:rsidRPr="00B834CB">
              <w:rPr>
                <w:rFonts w:ascii="Arial" w:hAnsi="Arial" w:cs="Arial"/>
                <w:color w:val="000000"/>
                <w:sz w:val="16"/>
                <w:szCs w:val="16"/>
              </w:rPr>
              <w:t>Authority</w:t>
            </w:r>
          </w:p>
        </w:tc>
        <w:tc>
          <w:tcPr>
            <w:tcW w:w="576" w:type="pct"/>
            <w:tcBorders>
              <w:top w:val="nil"/>
              <w:left w:val="nil"/>
              <w:bottom w:val="nil"/>
              <w:right w:val="nil"/>
            </w:tcBorders>
            <w:shd w:val="clear" w:color="000000" w:fill="FFFFFF"/>
            <w:noWrap/>
            <w:vAlign w:val="center"/>
            <w:hideMark/>
          </w:tcPr>
          <w:p w14:paraId="31B3A098"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229</w:t>
            </w:r>
          </w:p>
        </w:tc>
        <w:tc>
          <w:tcPr>
            <w:tcW w:w="576" w:type="pct"/>
            <w:tcBorders>
              <w:top w:val="nil"/>
              <w:left w:val="nil"/>
              <w:bottom w:val="nil"/>
              <w:right w:val="nil"/>
            </w:tcBorders>
            <w:shd w:val="clear" w:color="000000" w:fill="E6F2FF"/>
            <w:noWrap/>
            <w:vAlign w:val="center"/>
            <w:hideMark/>
          </w:tcPr>
          <w:p w14:paraId="5324B644"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238</w:t>
            </w:r>
          </w:p>
        </w:tc>
        <w:tc>
          <w:tcPr>
            <w:tcW w:w="576" w:type="pct"/>
            <w:tcBorders>
              <w:top w:val="nil"/>
              <w:left w:val="nil"/>
              <w:bottom w:val="nil"/>
              <w:right w:val="nil"/>
            </w:tcBorders>
            <w:shd w:val="clear" w:color="000000" w:fill="FFFFFF"/>
            <w:noWrap/>
            <w:vAlign w:val="center"/>
            <w:hideMark/>
          </w:tcPr>
          <w:p w14:paraId="427140BF"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239</w:t>
            </w:r>
          </w:p>
        </w:tc>
        <w:tc>
          <w:tcPr>
            <w:tcW w:w="576" w:type="pct"/>
            <w:tcBorders>
              <w:top w:val="nil"/>
              <w:left w:val="nil"/>
              <w:bottom w:val="nil"/>
              <w:right w:val="nil"/>
            </w:tcBorders>
            <w:shd w:val="clear" w:color="000000" w:fill="FFFFFF"/>
            <w:noWrap/>
            <w:vAlign w:val="center"/>
            <w:hideMark/>
          </w:tcPr>
          <w:p w14:paraId="0DCDA466"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243</w:t>
            </w:r>
          </w:p>
        </w:tc>
        <w:tc>
          <w:tcPr>
            <w:tcW w:w="576" w:type="pct"/>
            <w:tcBorders>
              <w:top w:val="nil"/>
              <w:left w:val="nil"/>
              <w:bottom w:val="nil"/>
              <w:right w:val="nil"/>
            </w:tcBorders>
            <w:shd w:val="clear" w:color="000000" w:fill="FFFFFF"/>
            <w:noWrap/>
            <w:vAlign w:val="center"/>
            <w:hideMark/>
          </w:tcPr>
          <w:p w14:paraId="25289BB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243</w:t>
            </w:r>
          </w:p>
        </w:tc>
      </w:tr>
      <w:tr w:rsidR="00B834CB" w:rsidRPr="00B834CB" w14:paraId="6BDFE992" w14:textId="77777777" w:rsidTr="000D3856">
        <w:trPr>
          <w:trHeight w:hRule="exact" w:val="225"/>
        </w:trPr>
        <w:tc>
          <w:tcPr>
            <w:tcW w:w="2122" w:type="pct"/>
            <w:tcBorders>
              <w:top w:val="nil"/>
              <w:left w:val="nil"/>
              <w:bottom w:val="nil"/>
              <w:right w:val="nil"/>
            </w:tcBorders>
            <w:shd w:val="clear" w:color="000000" w:fill="FFFFFF"/>
            <w:noWrap/>
            <w:vAlign w:val="center"/>
            <w:hideMark/>
          </w:tcPr>
          <w:p w14:paraId="21D6115E" w14:textId="77777777" w:rsidR="00B834CB" w:rsidRPr="00B834CB" w:rsidRDefault="00B834CB" w:rsidP="00B834CB">
            <w:pPr>
              <w:spacing w:before="0" w:after="0" w:line="240" w:lineRule="auto"/>
              <w:rPr>
                <w:rFonts w:ascii="Arial" w:hAnsi="Arial" w:cs="Arial"/>
                <w:sz w:val="16"/>
                <w:szCs w:val="16"/>
              </w:rPr>
            </w:pPr>
            <w:r w:rsidRPr="00B834CB">
              <w:rPr>
                <w:rFonts w:ascii="Arial" w:hAnsi="Arial" w:cs="Arial"/>
                <w:sz w:val="16"/>
                <w:szCs w:val="16"/>
              </w:rPr>
              <w:t>Other</w:t>
            </w:r>
          </w:p>
        </w:tc>
        <w:tc>
          <w:tcPr>
            <w:tcW w:w="576" w:type="pct"/>
            <w:tcBorders>
              <w:top w:val="nil"/>
              <w:left w:val="nil"/>
              <w:bottom w:val="single" w:sz="4" w:space="0" w:color="002A54" w:themeColor="text2"/>
              <w:right w:val="nil"/>
            </w:tcBorders>
            <w:shd w:val="clear" w:color="000000" w:fill="FFFFFF"/>
            <w:noWrap/>
            <w:vAlign w:val="center"/>
            <w:hideMark/>
          </w:tcPr>
          <w:p w14:paraId="2C64FC78"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148</w:t>
            </w:r>
          </w:p>
        </w:tc>
        <w:tc>
          <w:tcPr>
            <w:tcW w:w="576" w:type="pct"/>
            <w:tcBorders>
              <w:top w:val="nil"/>
              <w:left w:val="nil"/>
              <w:bottom w:val="single" w:sz="4" w:space="0" w:color="002A54" w:themeColor="text2"/>
              <w:right w:val="nil"/>
            </w:tcBorders>
            <w:shd w:val="clear" w:color="000000" w:fill="E6F2FF"/>
            <w:noWrap/>
            <w:vAlign w:val="center"/>
            <w:hideMark/>
          </w:tcPr>
          <w:p w14:paraId="39365FB6"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152</w:t>
            </w:r>
          </w:p>
        </w:tc>
        <w:tc>
          <w:tcPr>
            <w:tcW w:w="576" w:type="pct"/>
            <w:tcBorders>
              <w:top w:val="nil"/>
              <w:left w:val="nil"/>
              <w:bottom w:val="single" w:sz="4" w:space="0" w:color="002A54" w:themeColor="text2"/>
              <w:right w:val="nil"/>
            </w:tcBorders>
            <w:shd w:val="clear" w:color="000000" w:fill="FFFFFF"/>
            <w:noWrap/>
            <w:vAlign w:val="center"/>
            <w:hideMark/>
          </w:tcPr>
          <w:p w14:paraId="760293F8"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150</w:t>
            </w:r>
          </w:p>
        </w:tc>
        <w:tc>
          <w:tcPr>
            <w:tcW w:w="576" w:type="pct"/>
            <w:tcBorders>
              <w:top w:val="nil"/>
              <w:left w:val="nil"/>
              <w:bottom w:val="single" w:sz="4" w:space="0" w:color="002A54" w:themeColor="text2"/>
              <w:right w:val="nil"/>
            </w:tcBorders>
            <w:shd w:val="clear" w:color="000000" w:fill="FFFFFF"/>
            <w:noWrap/>
            <w:vAlign w:val="center"/>
            <w:hideMark/>
          </w:tcPr>
          <w:p w14:paraId="5BF37C8A"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150</w:t>
            </w:r>
          </w:p>
        </w:tc>
        <w:tc>
          <w:tcPr>
            <w:tcW w:w="576" w:type="pct"/>
            <w:tcBorders>
              <w:top w:val="nil"/>
              <w:left w:val="nil"/>
              <w:bottom w:val="single" w:sz="4" w:space="0" w:color="002A54" w:themeColor="text2"/>
              <w:right w:val="nil"/>
            </w:tcBorders>
            <w:shd w:val="clear" w:color="000000" w:fill="FFFFFF"/>
            <w:noWrap/>
            <w:vAlign w:val="center"/>
            <w:hideMark/>
          </w:tcPr>
          <w:p w14:paraId="26FDA642" w14:textId="77777777" w:rsidR="00B834CB" w:rsidRPr="00B834CB" w:rsidRDefault="00B834CB" w:rsidP="00B834CB">
            <w:pPr>
              <w:spacing w:before="0" w:after="0" w:line="240" w:lineRule="auto"/>
              <w:jc w:val="right"/>
              <w:rPr>
                <w:rFonts w:ascii="Arial" w:hAnsi="Arial" w:cs="Arial"/>
                <w:color w:val="000000"/>
                <w:sz w:val="16"/>
                <w:szCs w:val="16"/>
              </w:rPr>
            </w:pPr>
            <w:r w:rsidRPr="00B834CB">
              <w:rPr>
                <w:rFonts w:ascii="Arial" w:hAnsi="Arial" w:cs="Arial"/>
                <w:color w:val="000000"/>
                <w:sz w:val="16"/>
                <w:szCs w:val="16"/>
              </w:rPr>
              <w:t>150</w:t>
            </w:r>
          </w:p>
        </w:tc>
      </w:tr>
      <w:tr w:rsidR="00B834CB" w:rsidRPr="00B834CB" w14:paraId="01E6F558" w14:textId="77777777" w:rsidTr="000D3856">
        <w:trPr>
          <w:trHeight w:hRule="exact" w:val="225"/>
        </w:trPr>
        <w:tc>
          <w:tcPr>
            <w:tcW w:w="2122" w:type="pct"/>
            <w:tcBorders>
              <w:top w:val="nil"/>
              <w:left w:val="nil"/>
              <w:bottom w:val="single" w:sz="4" w:space="0" w:color="002A54" w:themeColor="text2"/>
              <w:right w:val="nil"/>
            </w:tcBorders>
            <w:shd w:val="clear" w:color="000000" w:fill="FFFFFF"/>
            <w:noWrap/>
            <w:vAlign w:val="center"/>
            <w:hideMark/>
          </w:tcPr>
          <w:p w14:paraId="08107DB4" w14:textId="77777777" w:rsidR="00B834CB" w:rsidRPr="00B834CB" w:rsidRDefault="00B834CB" w:rsidP="00B834CB">
            <w:pPr>
              <w:spacing w:before="0" w:after="0" w:line="240" w:lineRule="auto"/>
              <w:rPr>
                <w:rFonts w:ascii="Arial" w:hAnsi="Arial" w:cs="Arial"/>
                <w:b/>
                <w:bCs/>
                <w:color w:val="000000"/>
                <w:sz w:val="16"/>
                <w:szCs w:val="16"/>
              </w:rPr>
            </w:pPr>
            <w:r w:rsidRPr="00B834CB">
              <w:rPr>
                <w:rFonts w:ascii="Arial" w:hAnsi="Arial" w:cs="Arial"/>
                <w:b/>
                <w:bCs/>
                <w:color w:val="000000"/>
                <w:sz w:val="16"/>
                <w:szCs w:val="16"/>
              </w:rPr>
              <w:t>Total</w:t>
            </w:r>
          </w:p>
        </w:tc>
        <w:tc>
          <w:tcPr>
            <w:tcW w:w="576" w:type="pct"/>
            <w:tcBorders>
              <w:top w:val="single" w:sz="4" w:space="0" w:color="002A54" w:themeColor="text2"/>
              <w:left w:val="nil"/>
              <w:bottom w:val="single" w:sz="4" w:space="0" w:color="002A54" w:themeColor="text2"/>
              <w:right w:val="nil"/>
            </w:tcBorders>
            <w:shd w:val="clear" w:color="000000" w:fill="FFFFFF"/>
            <w:noWrap/>
            <w:vAlign w:val="center"/>
            <w:hideMark/>
          </w:tcPr>
          <w:p w14:paraId="7BB31903" w14:textId="77777777" w:rsidR="00B834CB" w:rsidRPr="00B834CB" w:rsidRDefault="00B834CB" w:rsidP="00B834CB">
            <w:pPr>
              <w:spacing w:before="0" w:after="0" w:line="240" w:lineRule="auto"/>
              <w:jc w:val="right"/>
              <w:rPr>
                <w:rFonts w:ascii="Arial" w:hAnsi="Arial" w:cs="Arial"/>
                <w:b/>
                <w:bCs/>
                <w:color w:val="000000"/>
                <w:sz w:val="16"/>
                <w:szCs w:val="16"/>
              </w:rPr>
            </w:pPr>
            <w:r w:rsidRPr="00B834CB">
              <w:rPr>
                <w:rFonts w:ascii="Arial" w:hAnsi="Arial" w:cs="Arial"/>
                <w:b/>
                <w:bCs/>
                <w:color w:val="000000"/>
                <w:sz w:val="16"/>
                <w:szCs w:val="16"/>
              </w:rPr>
              <w:t>3,533</w:t>
            </w:r>
          </w:p>
        </w:tc>
        <w:tc>
          <w:tcPr>
            <w:tcW w:w="576" w:type="pct"/>
            <w:tcBorders>
              <w:top w:val="single" w:sz="4" w:space="0" w:color="002A54" w:themeColor="text2"/>
              <w:left w:val="nil"/>
              <w:bottom w:val="single" w:sz="4" w:space="0" w:color="002A54" w:themeColor="text2"/>
              <w:right w:val="nil"/>
            </w:tcBorders>
            <w:shd w:val="clear" w:color="000000" w:fill="E6F2FF"/>
            <w:noWrap/>
            <w:vAlign w:val="center"/>
            <w:hideMark/>
          </w:tcPr>
          <w:p w14:paraId="20D371E4" w14:textId="77777777" w:rsidR="00B834CB" w:rsidRPr="00B834CB" w:rsidRDefault="00B834CB" w:rsidP="00B834CB">
            <w:pPr>
              <w:spacing w:before="0" w:after="0" w:line="240" w:lineRule="auto"/>
              <w:jc w:val="right"/>
              <w:rPr>
                <w:rFonts w:ascii="Arial" w:hAnsi="Arial" w:cs="Arial"/>
                <w:b/>
                <w:bCs/>
                <w:color w:val="000000"/>
                <w:sz w:val="16"/>
                <w:szCs w:val="16"/>
              </w:rPr>
            </w:pPr>
            <w:r w:rsidRPr="00B834CB">
              <w:rPr>
                <w:rFonts w:ascii="Arial" w:hAnsi="Arial" w:cs="Arial"/>
                <w:b/>
                <w:bCs/>
                <w:color w:val="000000"/>
                <w:sz w:val="16"/>
                <w:szCs w:val="16"/>
              </w:rPr>
              <w:t>3,183</w:t>
            </w:r>
          </w:p>
        </w:tc>
        <w:tc>
          <w:tcPr>
            <w:tcW w:w="576" w:type="pct"/>
            <w:tcBorders>
              <w:top w:val="single" w:sz="4" w:space="0" w:color="002A54" w:themeColor="text2"/>
              <w:left w:val="nil"/>
              <w:bottom w:val="single" w:sz="4" w:space="0" w:color="002A54" w:themeColor="text2"/>
              <w:right w:val="nil"/>
            </w:tcBorders>
            <w:shd w:val="clear" w:color="000000" w:fill="FFFFFF"/>
            <w:noWrap/>
            <w:vAlign w:val="center"/>
            <w:hideMark/>
          </w:tcPr>
          <w:p w14:paraId="6AC4FD96" w14:textId="77777777" w:rsidR="00B834CB" w:rsidRPr="00B834CB" w:rsidRDefault="00B834CB" w:rsidP="00B834CB">
            <w:pPr>
              <w:spacing w:before="0" w:after="0" w:line="240" w:lineRule="auto"/>
              <w:jc w:val="right"/>
              <w:rPr>
                <w:rFonts w:ascii="Arial" w:hAnsi="Arial" w:cs="Arial"/>
                <w:b/>
                <w:bCs/>
                <w:color w:val="000000"/>
                <w:sz w:val="16"/>
                <w:szCs w:val="16"/>
              </w:rPr>
            </w:pPr>
            <w:r w:rsidRPr="00B834CB">
              <w:rPr>
                <w:rFonts w:ascii="Arial" w:hAnsi="Arial" w:cs="Arial"/>
                <w:b/>
                <w:bCs/>
                <w:color w:val="000000"/>
                <w:sz w:val="16"/>
                <w:szCs w:val="16"/>
              </w:rPr>
              <w:t>3,043</w:t>
            </w:r>
          </w:p>
        </w:tc>
        <w:tc>
          <w:tcPr>
            <w:tcW w:w="576" w:type="pct"/>
            <w:tcBorders>
              <w:top w:val="single" w:sz="4" w:space="0" w:color="002A54" w:themeColor="text2"/>
              <w:left w:val="nil"/>
              <w:bottom w:val="single" w:sz="4" w:space="0" w:color="002A54" w:themeColor="text2"/>
              <w:right w:val="nil"/>
            </w:tcBorders>
            <w:shd w:val="clear" w:color="000000" w:fill="FFFFFF"/>
            <w:noWrap/>
            <w:vAlign w:val="center"/>
            <w:hideMark/>
          </w:tcPr>
          <w:p w14:paraId="22414174" w14:textId="77777777" w:rsidR="00B834CB" w:rsidRPr="00B834CB" w:rsidRDefault="00B834CB" w:rsidP="00B834CB">
            <w:pPr>
              <w:spacing w:before="0" w:after="0" w:line="240" w:lineRule="auto"/>
              <w:jc w:val="right"/>
              <w:rPr>
                <w:rFonts w:ascii="Arial" w:hAnsi="Arial" w:cs="Arial"/>
                <w:b/>
                <w:bCs/>
                <w:color w:val="000000"/>
                <w:sz w:val="16"/>
                <w:szCs w:val="16"/>
              </w:rPr>
            </w:pPr>
            <w:r w:rsidRPr="00B834CB">
              <w:rPr>
                <w:rFonts w:ascii="Arial" w:hAnsi="Arial" w:cs="Arial"/>
                <w:b/>
                <w:bCs/>
                <w:color w:val="000000"/>
                <w:sz w:val="16"/>
                <w:szCs w:val="16"/>
              </w:rPr>
              <w:t>2,939</w:t>
            </w:r>
          </w:p>
        </w:tc>
        <w:tc>
          <w:tcPr>
            <w:tcW w:w="576" w:type="pct"/>
            <w:tcBorders>
              <w:top w:val="single" w:sz="4" w:space="0" w:color="002A54" w:themeColor="text2"/>
              <w:left w:val="nil"/>
              <w:bottom w:val="single" w:sz="4" w:space="0" w:color="002A54" w:themeColor="text2"/>
              <w:right w:val="nil"/>
            </w:tcBorders>
            <w:shd w:val="clear" w:color="000000" w:fill="FFFFFF"/>
            <w:noWrap/>
            <w:vAlign w:val="center"/>
            <w:hideMark/>
          </w:tcPr>
          <w:p w14:paraId="3C78D097" w14:textId="77777777" w:rsidR="00B834CB" w:rsidRPr="00B834CB" w:rsidRDefault="00B834CB" w:rsidP="00B834CB">
            <w:pPr>
              <w:spacing w:before="0" w:after="0" w:line="240" w:lineRule="auto"/>
              <w:jc w:val="right"/>
              <w:rPr>
                <w:rFonts w:ascii="Arial" w:hAnsi="Arial" w:cs="Arial"/>
                <w:b/>
                <w:bCs/>
                <w:color w:val="000000"/>
                <w:sz w:val="16"/>
                <w:szCs w:val="16"/>
              </w:rPr>
            </w:pPr>
            <w:r w:rsidRPr="00B834CB">
              <w:rPr>
                <w:rFonts w:ascii="Arial" w:hAnsi="Arial" w:cs="Arial"/>
                <w:b/>
                <w:bCs/>
                <w:color w:val="000000"/>
                <w:sz w:val="16"/>
                <w:szCs w:val="16"/>
              </w:rPr>
              <w:t>2,934</w:t>
            </w:r>
          </w:p>
        </w:tc>
      </w:tr>
    </w:tbl>
    <w:p w14:paraId="32422E3E" w14:textId="559502F2" w:rsidR="00C855DF" w:rsidRPr="000177D7" w:rsidRDefault="00C855DF" w:rsidP="00173739">
      <w:pPr>
        <w:pStyle w:val="ChartandTableFootnoteAlpha"/>
        <w:numPr>
          <w:ilvl w:val="0"/>
          <w:numId w:val="21"/>
        </w:numPr>
        <w:rPr>
          <w:color w:val="auto"/>
        </w:rPr>
      </w:pPr>
      <w:r w:rsidRPr="000177D7">
        <w:rPr>
          <w:color w:val="auto"/>
        </w:rPr>
        <w:t>The entry for each component includes eliminations for inter</w:t>
      </w:r>
      <w:r w:rsidR="00D34B95">
        <w:rPr>
          <w:color w:val="auto"/>
        </w:rPr>
        <w:noBreakHyphen/>
      </w:r>
      <w:r w:rsidRPr="000177D7">
        <w:rPr>
          <w:color w:val="auto"/>
        </w:rPr>
        <w:t>agency transactions within that component.</w:t>
      </w:r>
    </w:p>
    <w:p w14:paraId="2FF4D232" w14:textId="77777777" w:rsidR="00C855DF" w:rsidRPr="000177D7" w:rsidRDefault="00C855DF" w:rsidP="00C855DF">
      <w:pPr>
        <w:pStyle w:val="TableLine"/>
      </w:pPr>
    </w:p>
    <w:p w14:paraId="0AB292D1" w14:textId="77777777" w:rsidR="00C855DF" w:rsidRPr="000177D7" w:rsidRDefault="00C855DF" w:rsidP="00C855DF">
      <w:pPr>
        <w:pStyle w:val="Heading3"/>
      </w:pPr>
      <w:bookmarkStart w:id="151" w:name="_Toc99203692"/>
      <w:bookmarkStart w:id="152" w:name="_Toc117358185"/>
      <w:bookmarkStart w:id="153" w:name="_Toc134169626"/>
      <w:r w:rsidRPr="000177D7">
        <w:t>Other purposes</w:t>
      </w:r>
      <w:bookmarkEnd w:id="144"/>
      <w:bookmarkEnd w:id="145"/>
      <w:bookmarkEnd w:id="151"/>
      <w:bookmarkEnd w:id="152"/>
      <w:bookmarkEnd w:id="153"/>
    </w:p>
    <w:p w14:paraId="2EF6B6BE" w14:textId="40C8E044" w:rsidR="00437A81" w:rsidRDefault="00842CC7" w:rsidP="00445C2D">
      <w:r w:rsidRPr="000177D7">
        <w:t>The other purposes function includes expenses incurred in the servicing of public debt interest, and assistance to state, territory and local governments. This function also includes items classified as natural disaster relief, the Contingency Reserve</w:t>
      </w:r>
      <w:r w:rsidR="00E54D5A">
        <w:t>,</w:t>
      </w:r>
      <w:r w:rsidRPr="000177D7">
        <w:t xml:space="preserve"> and expenses related to the nominal interest on unfunded liabilities for government superannuation benefits.</w:t>
      </w:r>
      <w:bookmarkStart w:id="154" w:name="_Hlk134083645"/>
    </w:p>
    <w:p w14:paraId="67281A35" w14:textId="74630718" w:rsidR="009820F6" w:rsidRDefault="009820F6" w:rsidP="00445C2D">
      <w:r>
        <w:br w:type="page"/>
      </w:r>
    </w:p>
    <w:p w14:paraId="030E3A31" w14:textId="0427E155" w:rsidR="00D466AA" w:rsidRDefault="00C855DF" w:rsidP="00437A81">
      <w:pPr>
        <w:pStyle w:val="TableHeading"/>
        <w:rPr>
          <w:rFonts w:asciiTheme="minorHAnsi" w:eastAsiaTheme="minorHAnsi" w:hAnsiTheme="minorHAnsi" w:cstheme="minorBidi"/>
          <w:sz w:val="22"/>
          <w:szCs w:val="22"/>
          <w:lang w:eastAsia="en-US"/>
        </w:rPr>
      </w:pPr>
      <w:r w:rsidRPr="000177D7">
        <w:lastRenderedPageBreak/>
        <w:t xml:space="preserve">Table 6.17: Summary of expenses </w:t>
      </w:r>
      <w:r w:rsidR="008B2E98">
        <w:t>–</w:t>
      </w:r>
      <w:r w:rsidRPr="000177D7">
        <w:t xml:space="preserve"> other purposes</w:t>
      </w:r>
    </w:p>
    <w:tbl>
      <w:tblPr>
        <w:tblW w:w="5000" w:type="pct"/>
        <w:tblCellMar>
          <w:left w:w="0" w:type="dxa"/>
          <w:right w:w="28" w:type="dxa"/>
        </w:tblCellMar>
        <w:tblLook w:val="04A0" w:firstRow="1" w:lastRow="0" w:firstColumn="1" w:lastColumn="0" w:noHBand="0" w:noVBand="1"/>
      </w:tblPr>
      <w:tblGrid>
        <w:gridCol w:w="3703"/>
        <w:gridCol w:w="802"/>
        <w:gridCol w:w="802"/>
        <w:gridCol w:w="802"/>
        <w:gridCol w:w="802"/>
        <w:gridCol w:w="799"/>
      </w:tblGrid>
      <w:tr w:rsidR="00BD18C7" w:rsidRPr="00BD18C7" w14:paraId="4AD5F8A1" w14:textId="77777777" w:rsidTr="004D0AF7">
        <w:trPr>
          <w:divId w:val="706031432"/>
          <w:trHeight w:hRule="exact" w:val="225"/>
        </w:trPr>
        <w:tc>
          <w:tcPr>
            <w:tcW w:w="2402" w:type="pct"/>
            <w:tcBorders>
              <w:top w:val="single" w:sz="4" w:space="0" w:color="293F5B"/>
              <w:left w:val="nil"/>
              <w:bottom w:val="nil"/>
              <w:right w:val="nil"/>
            </w:tcBorders>
            <w:shd w:val="clear" w:color="000000" w:fill="FFFFFF"/>
            <w:noWrap/>
            <w:vAlign w:val="center"/>
            <w:hideMark/>
          </w:tcPr>
          <w:p w14:paraId="05F034A4" w14:textId="4F18BCC2" w:rsidR="00BD18C7" w:rsidRPr="00BD18C7" w:rsidRDefault="00BD18C7" w:rsidP="00BD18C7">
            <w:pPr>
              <w:spacing w:before="0" w:after="0" w:line="240" w:lineRule="auto"/>
              <w:rPr>
                <w:rFonts w:ascii="Arial" w:hAnsi="Arial" w:cs="Arial"/>
                <w:b/>
                <w:bCs/>
                <w:color w:val="000000"/>
                <w:sz w:val="16"/>
                <w:szCs w:val="16"/>
              </w:rPr>
            </w:pPr>
            <w:r w:rsidRPr="00BD18C7">
              <w:rPr>
                <w:rFonts w:ascii="Arial" w:hAnsi="Arial" w:cs="Arial"/>
                <w:b/>
                <w:bCs/>
                <w:color w:val="000000"/>
                <w:sz w:val="16"/>
                <w:szCs w:val="16"/>
              </w:rPr>
              <w:t>Sub-function</w:t>
            </w:r>
          </w:p>
        </w:tc>
        <w:tc>
          <w:tcPr>
            <w:tcW w:w="2598" w:type="pct"/>
            <w:gridSpan w:val="5"/>
            <w:tcBorders>
              <w:top w:val="single" w:sz="4" w:space="0" w:color="293F5B"/>
              <w:left w:val="nil"/>
              <w:bottom w:val="single" w:sz="4" w:space="0" w:color="000000"/>
              <w:right w:val="nil"/>
            </w:tcBorders>
            <w:shd w:val="clear" w:color="000000" w:fill="FFFFFF"/>
            <w:noWrap/>
            <w:vAlign w:val="center"/>
            <w:hideMark/>
          </w:tcPr>
          <w:p w14:paraId="6B20226F" w14:textId="77777777" w:rsidR="00BD18C7" w:rsidRPr="00BD18C7" w:rsidRDefault="00BD18C7" w:rsidP="00BD18C7">
            <w:pPr>
              <w:spacing w:before="0" w:after="0" w:line="240" w:lineRule="auto"/>
              <w:jc w:val="center"/>
              <w:rPr>
                <w:rFonts w:ascii="Arial" w:hAnsi="Arial" w:cs="Arial"/>
                <w:color w:val="000000"/>
                <w:sz w:val="16"/>
                <w:szCs w:val="16"/>
              </w:rPr>
            </w:pPr>
            <w:r w:rsidRPr="00BD18C7">
              <w:rPr>
                <w:rFonts w:ascii="Arial" w:hAnsi="Arial" w:cs="Arial"/>
                <w:color w:val="000000"/>
                <w:sz w:val="16"/>
                <w:szCs w:val="16"/>
              </w:rPr>
              <w:t>Estimates</w:t>
            </w:r>
          </w:p>
        </w:tc>
      </w:tr>
      <w:tr w:rsidR="00BD18C7" w:rsidRPr="00BD18C7" w14:paraId="24D40D81" w14:textId="77777777" w:rsidTr="00BD18C7">
        <w:trPr>
          <w:divId w:val="706031432"/>
          <w:trHeight w:hRule="exact" w:val="225"/>
        </w:trPr>
        <w:tc>
          <w:tcPr>
            <w:tcW w:w="2402" w:type="pct"/>
            <w:tcBorders>
              <w:top w:val="nil"/>
              <w:left w:val="nil"/>
              <w:bottom w:val="nil"/>
              <w:right w:val="nil"/>
            </w:tcBorders>
            <w:shd w:val="clear" w:color="000000" w:fill="FFFFFF"/>
            <w:noWrap/>
            <w:vAlign w:val="bottom"/>
            <w:hideMark/>
          </w:tcPr>
          <w:p w14:paraId="0DB01F85" w14:textId="77777777" w:rsidR="00BD18C7" w:rsidRPr="00BD18C7" w:rsidRDefault="00BD18C7" w:rsidP="00BD18C7">
            <w:pPr>
              <w:spacing w:before="0" w:after="0" w:line="240" w:lineRule="auto"/>
              <w:rPr>
                <w:rFonts w:ascii="Arial" w:hAnsi="Arial" w:cs="Arial"/>
                <w:color w:val="000000"/>
                <w:sz w:val="16"/>
                <w:szCs w:val="16"/>
              </w:rPr>
            </w:pPr>
            <w:r w:rsidRPr="00BD18C7">
              <w:rPr>
                <w:rFonts w:ascii="Arial" w:hAnsi="Arial" w:cs="Arial"/>
                <w:color w:val="000000"/>
                <w:sz w:val="16"/>
                <w:szCs w:val="16"/>
              </w:rPr>
              <w:t> </w:t>
            </w:r>
          </w:p>
        </w:tc>
        <w:tc>
          <w:tcPr>
            <w:tcW w:w="520" w:type="pct"/>
            <w:tcBorders>
              <w:top w:val="single" w:sz="4" w:space="0" w:color="293F5B"/>
              <w:left w:val="nil"/>
              <w:bottom w:val="nil"/>
              <w:right w:val="nil"/>
            </w:tcBorders>
            <w:shd w:val="clear" w:color="000000" w:fill="FFFFFF"/>
            <w:noWrap/>
            <w:vAlign w:val="center"/>
            <w:hideMark/>
          </w:tcPr>
          <w:p w14:paraId="38B5DB6D"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2022–23</w:t>
            </w:r>
          </w:p>
        </w:tc>
        <w:tc>
          <w:tcPr>
            <w:tcW w:w="520" w:type="pct"/>
            <w:tcBorders>
              <w:top w:val="single" w:sz="4" w:space="0" w:color="293F5B"/>
              <w:left w:val="nil"/>
              <w:bottom w:val="nil"/>
              <w:right w:val="nil"/>
            </w:tcBorders>
            <w:shd w:val="clear" w:color="000000" w:fill="E6F2FF"/>
            <w:noWrap/>
            <w:vAlign w:val="center"/>
            <w:hideMark/>
          </w:tcPr>
          <w:p w14:paraId="33AFC196"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2023–24</w:t>
            </w:r>
          </w:p>
        </w:tc>
        <w:tc>
          <w:tcPr>
            <w:tcW w:w="520" w:type="pct"/>
            <w:tcBorders>
              <w:top w:val="single" w:sz="4" w:space="0" w:color="293F5B"/>
              <w:left w:val="nil"/>
              <w:bottom w:val="nil"/>
              <w:right w:val="nil"/>
            </w:tcBorders>
            <w:shd w:val="clear" w:color="000000" w:fill="FFFFFF"/>
            <w:noWrap/>
            <w:vAlign w:val="center"/>
            <w:hideMark/>
          </w:tcPr>
          <w:p w14:paraId="78A25AED"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2024–25</w:t>
            </w:r>
          </w:p>
        </w:tc>
        <w:tc>
          <w:tcPr>
            <w:tcW w:w="520" w:type="pct"/>
            <w:tcBorders>
              <w:top w:val="single" w:sz="4" w:space="0" w:color="293F5B"/>
              <w:left w:val="nil"/>
              <w:bottom w:val="nil"/>
              <w:right w:val="nil"/>
            </w:tcBorders>
            <w:shd w:val="clear" w:color="000000" w:fill="FFFFFF"/>
            <w:noWrap/>
            <w:vAlign w:val="center"/>
            <w:hideMark/>
          </w:tcPr>
          <w:p w14:paraId="07872239"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2025–26</w:t>
            </w:r>
          </w:p>
        </w:tc>
        <w:tc>
          <w:tcPr>
            <w:tcW w:w="520" w:type="pct"/>
            <w:tcBorders>
              <w:top w:val="single" w:sz="4" w:space="0" w:color="293F5B"/>
              <w:left w:val="nil"/>
              <w:bottom w:val="nil"/>
              <w:right w:val="nil"/>
            </w:tcBorders>
            <w:shd w:val="clear" w:color="000000" w:fill="FFFFFF"/>
            <w:noWrap/>
            <w:vAlign w:val="center"/>
            <w:hideMark/>
          </w:tcPr>
          <w:p w14:paraId="66389C60"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2026–27</w:t>
            </w:r>
          </w:p>
        </w:tc>
      </w:tr>
      <w:tr w:rsidR="00BD18C7" w:rsidRPr="00BD18C7" w14:paraId="65B366A9"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7616E6A6"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c>
          <w:tcPr>
            <w:tcW w:w="520" w:type="pct"/>
            <w:tcBorders>
              <w:top w:val="nil"/>
              <w:left w:val="nil"/>
              <w:bottom w:val="single" w:sz="4" w:space="0" w:color="293F5B"/>
              <w:right w:val="nil"/>
            </w:tcBorders>
            <w:shd w:val="clear" w:color="000000" w:fill="FFFFFF"/>
            <w:noWrap/>
            <w:vAlign w:val="center"/>
            <w:hideMark/>
          </w:tcPr>
          <w:p w14:paraId="679B77DF"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E6F2FF"/>
            <w:noWrap/>
            <w:vAlign w:val="center"/>
            <w:hideMark/>
          </w:tcPr>
          <w:p w14:paraId="525292BB"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44D3FF47"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13F51D7D"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$m</w:t>
            </w:r>
          </w:p>
        </w:tc>
        <w:tc>
          <w:tcPr>
            <w:tcW w:w="520" w:type="pct"/>
            <w:tcBorders>
              <w:top w:val="nil"/>
              <w:left w:val="nil"/>
              <w:bottom w:val="single" w:sz="4" w:space="0" w:color="293F5B"/>
              <w:right w:val="nil"/>
            </w:tcBorders>
            <w:shd w:val="clear" w:color="000000" w:fill="FFFFFF"/>
            <w:noWrap/>
            <w:vAlign w:val="center"/>
            <w:hideMark/>
          </w:tcPr>
          <w:p w14:paraId="3D78FDF5"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$m</w:t>
            </w:r>
          </w:p>
        </w:tc>
      </w:tr>
      <w:tr w:rsidR="00BD18C7" w:rsidRPr="00BD18C7" w14:paraId="0895E7D0"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2E764640"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Public debt interest</w:t>
            </w:r>
          </w:p>
        </w:tc>
        <w:tc>
          <w:tcPr>
            <w:tcW w:w="520" w:type="pct"/>
            <w:tcBorders>
              <w:top w:val="nil"/>
              <w:left w:val="nil"/>
              <w:bottom w:val="nil"/>
              <w:right w:val="nil"/>
            </w:tcBorders>
            <w:shd w:val="clear" w:color="000000" w:fill="FFFFFF"/>
            <w:noWrap/>
            <w:vAlign w:val="center"/>
            <w:hideMark/>
          </w:tcPr>
          <w:p w14:paraId="0A71CB76"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22,152</w:t>
            </w:r>
          </w:p>
        </w:tc>
        <w:tc>
          <w:tcPr>
            <w:tcW w:w="520" w:type="pct"/>
            <w:tcBorders>
              <w:top w:val="nil"/>
              <w:left w:val="nil"/>
              <w:bottom w:val="nil"/>
              <w:right w:val="nil"/>
            </w:tcBorders>
            <w:shd w:val="clear" w:color="000000" w:fill="E6F2FF"/>
            <w:noWrap/>
            <w:vAlign w:val="center"/>
            <w:hideMark/>
          </w:tcPr>
          <w:p w14:paraId="4A9728E9"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22,611</w:t>
            </w:r>
          </w:p>
        </w:tc>
        <w:tc>
          <w:tcPr>
            <w:tcW w:w="520" w:type="pct"/>
            <w:tcBorders>
              <w:top w:val="nil"/>
              <w:left w:val="nil"/>
              <w:bottom w:val="nil"/>
              <w:right w:val="nil"/>
            </w:tcBorders>
            <w:shd w:val="clear" w:color="000000" w:fill="FFFFFF"/>
            <w:noWrap/>
            <w:vAlign w:val="center"/>
            <w:hideMark/>
          </w:tcPr>
          <w:p w14:paraId="24095195"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23,890</w:t>
            </w:r>
          </w:p>
        </w:tc>
        <w:tc>
          <w:tcPr>
            <w:tcW w:w="520" w:type="pct"/>
            <w:tcBorders>
              <w:top w:val="nil"/>
              <w:left w:val="nil"/>
              <w:bottom w:val="nil"/>
              <w:right w:val="nil"/>
            </w:tcBorders>
            <w:shd w:val="clear" w:color="000000" w:fill="FFFFFF"/>
            <w:noWrap/>
            <w:vAlign w:val="center"/>
            <w:hideMark/>
          </w:tcPr>
          <w:p w14:paraId="148B79ED"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26,224</w:t>
            </w:r>
          </w:p>
        </w:tc>
        <w:tc>
          <w:tcPr>
            <w:tcW w:w="520" w:type="pct"/>
            <w:tcBorders>
              <w:top w:val="nil"/>
              <w:left w:val="nil"/>
              <w:bottom w:val="nil"/>
              <w:right w:val="nil"/>
            </w:tcBorders>
            <w:shd w:val="clear" w:color="000000" w:fill="FFFFFF"/>
            <w:noWrap/>
            <w:vAlign w:val="center"/>
            <w:hideMark/>
          </w:tcPr>
          <w:p w14:paraId="45D146CC"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29,077</w:t>
            </w:r>
          </w:p>
        </w:tc>
      </w:tr>
      <w:tr w:rsidR="00BD18C7" w:rsidRPr="00BD18C7" w14:paraId="591F84A2"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79EAD905" w14:textId="77777777" w:rsidR="00BD18C7" w:rsidRPr="00BD18C7" w:rsidRDefault="00BD18C7" w:rsidP="00BD18C7">
            <w:pPr>
              <w:spacing w:before="0" w:after="0" w:line="240" w:lineRule="auto"/>
              <w:ind w:left="170"/>
              <w:rPr>
                <w:rFonts w:ascii="Arial" w:hAnsi="Arial" w:cs="Arial"/>
                <w:i/>
                <w:iCs/>
                <w:sz w:val="16"/>
                <w:szCs w:val="16"/>
              </w:rPr>
            </w:pPr>
            <w:r w:rsidRPr="00BD18C7">
              <w:rPr>
                <w:rFonts w:ascii="Arial" w:hAnsi="Arial" w:cs="Arial"/>
                <w:i/>
                <w:iCs/>
                <w:sz w:val="16"/>
                <w:szCs w:val="16"/>
              </w:rPr>
              <w:t>Interest on Commonwealth Government's</w:t>
            </w:r>
          </w:p>
        </w:tc>
        <w:tc>
          <w:tcPr>
            <w:tcW w:w="520" w:type="pct"/>
            <w:tcBorders>
              <w:top w:val="nil"/>
              <w:left w:val="nil"/>
              <w:bottom w:val="nil"/>
              <w:right w:val="nil"/>
            </w:tcBorders>
            <w:shd w:val="clear" w:color="000000" w:fill="FFFFFF"/>
            <w:noWrap/>
            <w:vAlign w:val="center"/>
            <w:hideMark/>
          </w:tcPr>
          <w:p w14:paraId="41949971"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c>
          <w:tcPr>
            <w:tcW w:w="520" w:type="pct"/>
            <w:tcBorders>
              <w:top w:val="nil"/>
              <w:left w:val="nil"/>
              <w:bottom w:val="nil"/>
              <w:right w:val="nil"/>
            </w:tcBorders>
            <w:shd w:val="clear" w:color="000000" w:fill="E6F2FF"/>
            <w:noWrap/>
            <w:vAlign w:val="center"/>
            <w:hideMark/>
          </w:tcPr>
          <w:p w14:paraId="7CCF4B01"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377D6617"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60C25C97"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c>
          <w:tcPr>
            <w:tcW w:w="520" w:type="pct"/>
            <w:tcBorders>
              <w:top w:val="nil"/>
              <w:left w:val="nil"/>
              <w:bottom w:val="nil"/>
              <w:right w:val="nil"/>
            </w:tcBorders>
            <w:shd w:val="clear" w:color="000000" w:fill="FFFFFF"/>
            <w:noWrap/>
            <w:vAlign w:val="center"/>
            <w:hideMark/>
          </w:tcPr>
          <w:p w14:paraId="1B66FDB3"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 </w:t>
            </w:r>
          </w:p>
        </w:tc>
      </w:tr>
      <w:tr w:rsidR="00BD18C7" w:rsidRPr="00BD18C7" w14:paraId="75B19E4D"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29301511" w14:textId="77777777" w:rsidR="00BD18C7" w:rsidRPr="00BD18C7" w:rsidRDefault="00BD18C7" w:rsidP="00BD18C7">
            <w:pPr>
              <w:spacing w:before="0" w:after="0" w:line="240" w:lineRule="auto"/>
              <w:ind w:left="340"/>
              <w:rPr>
                <w:rFonts w:ascii="Arial" w:hAnsi="Arial" w:cs="Arial"/>
                <w:i/>
                <w:iCs/>
                <w:sz w:val="16"/>
                <w:szCs w:val="16"/>
              </w:rPr>
            </w:pPr>
            <w:r w:rsidRPr="00BD18C7">
              <w:rPr>
                <w:rFonts w:ascii="Arial" w:hAnsi="Arial" w:cs="Arial"/>
                <w:i/>
                <w:iCs/>
                <w:sz w:val="16"/>
                <w:szCs w:val="16"/>
              </w:rPr>
              <w:t xml:space="preserve"> behalf</w:t>
            </w:r>
          </w:p>
        </w:tc>
        <w:tc>
          <w:tcPr>
            <w:tcW w:w="520" w:type="pct"/>
            <w:tcBorders>
              <w:top w:val="nil"/>
              <w:left w:val="nil"/>
              <w:bottom w:val="nil"/>
              <w:right w:val="nil"/>
            </w:tcBorders>
            <w:shd w:val="clear" w:color="000000" w:fill="FFFFFF"/>
            <w:noWrap/>
            <w:vAlign w:val="center"/>
            <w:hideMark/>
          </w:tcPr>
          <w:p w14:paraId="34A4FB54"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22,152</w:t>
            </w:r>
          </w:p>
        </w:tc>
        <w:tc>
          <w:tcPr>
            <w:tcW w:w="520" w:type="pct"/>
            <w:tcBorders>
              <w:top w:val="nil"/>
              <w:left w:val="nil"/>
              <w:bottom w:val="nil"/>
              <w:right w:val="nil"/>
            </w:tcBorders>
            <w:shd w:val="clear" w:color="000000" w:fill="E6F2FF"/>
            <w:noWrap/>
            <w:vAlign w:val="center"/>
            <w:hideMark/>
          </w:tcPr>
          <w:p w14:paraId="384A8A4D"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22,611</w:t>
            </w:r>
          </w:p>
        </w:tc>
        <w:tc>
          <w:tcPr>
            <w:tcW w:w="520" w:type="pct"/>
            <w:tcBorders>
              <w:top w:val="nil"/>
              <w:left w:val="nil"/>
              <w:bottom w:val="nil"/>
              <w:right w:val="nil"/>
            </w:tcBorders>
            <w:shd w:val="clear" w:color="000000" w:fill="FFFFFF"/>
            <w:noWrap/>
            <w:vAlign w:val="center"/>
            <w:hideMark/>
          </w:tcPr>
          <w:p w14:paraId="1EA87C13"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23,890</w:t>
            </w:r>
          </w:p>
        </w:tc>
        <w:tc>
          <w:tcPr>
            <w:tcW w:w="520" w:type="pct"/>
            <w:tcBorders>
              <w:top w:val="nil"/>
              <w:left w:val="nil"/>
              <w:bottom w:val="nil"/>
              <w:right w:val="nil"/>
            </w:tcBorders>
            <w:shd w:val="clear" w:color="000000" w:fill="FFFFFF"/>
            <w:noWrap/>
            <w:vAlign w:val="center"/>
            <w:hideMark/>
          </w:tcPr>
          <w:p w14:paraId="40AC9F0C"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26,224</w:t>
            </w:r>
          </w:p>
        </w:tc>
        <w:tc>
          <w:tcPr>
            <w:tcW w:w="520" w:type="pct"/>
            <w:tcBorders>
              <w:top w:val="nil"/>
              <w:left w:val="nil"/>
              <w:bottom w:val="nil"/>
              <w:right w:val="nil"/>
            </w:tcBorders>
            <w:shd w:val="clear" w:color="000000" w:fill="FFFFFF"/>
            <w:noWrap/>
            <w:vAlign w:val="center"/>
            <w:hideMark/>
          </w:tcPr>
          <w:p w14:paraId="395E6767"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29,077</w:t>
            </w:r>
          </w:p>
        </w:tc>
      </w:tr>
      <w:tr w:rsidR="00BD18C7" w:rsidRPr="00BD18C7" w14:paraId="52AEF687"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3A12DF8B"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Nominal superannuation interest</w:t>
            </w:r>
          </w:p>
        </w:tc>
        <w:tc>
          <w:tcPr>
            <w:tcW w:w="520" w:type="pct"/>
            <w:tcBorders>
              <w:top w:val="nil"/>
              <w:left w:val="nil"/>
              <w:bottom w:val="nil"/>
              <w:right w:val="nil"/>
            </w:tcBorders>
            <w:shd w:val="clear" w:color="000000" w:fill="FFFFFF"/>
            <w:noWrap/>
            <w:vAlign w:val="center"/>
            <w:hideMark/>
          </w:tcPr>
          <w:p w14:paraId="01169CCF"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12,334</w:t>
            </w:r>
          </w:p>
        </w:tc>
        <w:tc>
          <w:tcPr>
            <w:tcW w:w="520" w:type="pct"/>
            <w:tcBorders>
              <w:top w:val="nil"/>
              <w:left w:val="nil"/>
              <w:bottom w:val="nil"/>
              <w:right w:val="nil"/>
            </w:tcBorders>
            <w:shd w:val="clear" w:color="000000" w:fill="E6F2FF"/>
            <w:noWrap/>
            <w:vAlign w:val="center"/>
            <w:hideMark/>
          </w:tcPr>
          <w:p w14:paraId="5B8A6559"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13,631</w:t>
            </w:r>
          </w:p>
        </w:tc>
        <w:tc>
          <w:tcPr>
            <w:tcW w:w="520" w:type="pct"/>
            <w:tcBorders>
              <w:top w:val="nil"/>
              <w:left w:val="nil"/>
              <w:bottom w:val="nil"/>
              <w:right w:val="nil"/>
            </w:tcBorders>
            <w:shd w:val="clear" w:color="000000" w:fill="FFFFFF"/>
            <w:noWrap/>
            <w:vAlign w:val="center"/>
            <w:hideMark/>
          </w:tcPr>
          <w:p w14:paraId="675EF15B"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13,941</w:t>
            </w:r>
          </w:p>
        </w:tc>
        <w:tc>
          <w:tcPr>
            <w:tcW w:w="520" w:type="pct"/>
            <w:tcBorders>
              <w:top w:val="nil"/>
              <w:left w:val="nil"/>
              <w:bottom w:val="nil"/>
              <w:right w:val="nil"/>
            </w:tcBorders>
            <w:shd w:val="clear" w:color="000000" w:fill="FFFFFF"/>
            <w:noWrap/>
            <w:vAlign w:val="center"/>
            <w:hideMark/>
          </w:tcPr>
          <w:p w14:paraId="405E1630"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14,637</w:t>
            </w:r>
          </w:p>
        </w:tc>
        <w:tc>
          <w:tcPr>
            <w:tcW w:w="520" w:type="pct"/>
            <w:tcBorders>
              <w:top w:val="nil"/>
              <w:left w:val="nil"/>
              <w:bottom w:val="nil"/>
              <w:right w:val="nil"/>
            </w:tcBorders>
            <w:shd w:val="clear" w:color="000000" w:fill="FFFFFF"/>
            <w:noWrap/>
            <w:vAlign w:val="center"/>
            <w:hideMark/>
          </w:tcPr>
          <w:p w14:paraId="7485F904"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15,033</w:t>
            </w:r>
          </w:p>
        </w:tc>
      </w:tr>
      <w:tr w:rsidR="00BD18C7" w:rsidRPr="00BD18C7" w14:paraId="21E6DE6E"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1D347E6C"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General purpose inter-government transactions</w:t>
            </w:r>
          </w:p>
        </w:tc>
        <w:tc>
          <w:tcPr>
            <w:tcW w:w="520" w:type="pct"/>
            <w:tcBorders>
              <w:top w:val="nil"/>
              <w:left w:val="nil"/>
              <w:bottom w:val="nil"/>
              <w:right w:val="nil"/>
            </w:tcBorders>
            <w:shd w:val="clear" w:color="000000" w:fill="FFFFFF"/>
            <w:noWrap/>
            <w:vAlign w:val="center"/>
            <w:hideMark/>
          </w:tcPr>
          <w:p w14:paraId="01E2C5DD"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89,841</w:t>
            </w:r>
          </w:p>
        </w:tc>
        <w:tc>
          <w:tcPr>
            <w:tcW w:w="520" w:type="pct"/>
            <w:tcBorders>
              <w:top w:val="nil"/>
              <w:left w:val="nil"/>
              <w:bottom w:val="nil"/>
              <w:right w:val="nil"/>
            </w:tcBorders>
            <w:shd w:val="clear" w:color="000000" w:fill="E6F2FF"/>
            <w:noWrap/>
            <w:vAlign w:val="center"/>
            <w:hideMark/>
          </w:tcPr>
          <w:p w14:paraId="73CD4D7A"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95,947</w:t>
            </w:r>
          </w:p>
        </w:tc>
        <w:tc>
          <w:tcPr>
            <w:tcW w:w="520" w:type="pct"/>
            <w:tcBorders>
              <w:top w:val="nil"/>
              <w:left w:val="nil"/>
              <w:bottom w:val="nil"/>
              <w:right w:val="nil"/>
            </w:tcBorders>
            <w:shd w:val="clear" w:color="000000" w:fill="FFFFFF"/>
            <w:noWrap/>
            <w:vAlign w:val="center"/>
            <w:hideMark/>
          </w:tcPr>
          <w:p w14:paraId="2622493F"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99,872</w:t>
            </w:r>
          </w:p>
        </w:tc>
        <w:tc>
          <w:tcPr>
            <w:tcW w:w="520" w:type="pct"/>
            <w:tcBorders>
              <w:top w:val="nil"/>
              <w:left w:val="nil"/>
              <w:bottom w:val="nil"/>
              <w:right w:val="nil"/>
            </w:tcBorders>
            <w:shd w:val="clear" w:color="000000" w:fill="FFFFFF"/>
            <w:noWrap/>
            <w:vAlign w:val="center"/>
            <w:hideMark/>
          </w:tcPr>
          <w:p w14:paraId="0C60AD1D"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105,443</w:t>
            </w:r>
          </w:p>
        </w:tc>
        <w:tc>
          <w:tcPr>
            <w:tcW w:w="520" w:type="pct"/>
            <w:tcBorders>
              <w:top w:val="nil"/>
              <w:left w:val="nil"/>
              <w:bottom w:val="nil"/>
              <w:right w:val="nil"/>
            </w:tcBorders>
            <w:shd w:val="clear" w:color="000000" w:fill="FFFFFF"/>
            <w:noWrap/>
            <w:vAlign w:val="center"/>
            <w:hideMark/>
          </w:tcPr>
          <w:p w14:paraId="73DDDFFD"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108,790</w:t>
            </w:r>
          </w:p>
        </w:tc>
      </w:tr>
      <w:tr w:rsidR="00BD18C7" w:rsidRPr="00BD18C7" w14:paraId="1EEE3F4A"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30EFDCA2" w14:textId="77777777" w:rsidR="00BD18C7" w:rsidRPr="00BD18C7" w:rsidRDefault="00BD18C7" w:rsidP="00BD18C7">
            <w:pPr>
              <w:spacing w:before="0" w:after="0" w:line="240" w:lineRule="auto"/>
              <w:ind w:left="170"/>
              <w:rPr>
                <w:rFonts w:ascii="Arial" w:hAnsi="Arial" w:cs="Arial"/>
                <w:i/>
                <w:iCs/>
                <w:sz w:val="16"/>
                <w:szCs w:val="16"/>
              </w:rPr>
            </w:pPr>
            <w:r w:rsidRPr="00BD18C7">
              <w:rPr>
                <w:rFonts w:ascii="Arial" w:hAnsi="Arial" w:cs="Arial"/>
                <w:i/>
                <w:iCs/>
                <w:sz w:val="16"/>
                <w:szCs w:val="16"/>
              </w:rPr>
              <w:t>General revenue assistance - states and</w:t>
            </w:r>
          </w:p>
        </w:tc>
        <w:tc>
          <w:tcPr>
            <w:tcW w:w="520" w:type="pct"/>
            <w:tcBorders>
              <w:top w:val="nil"/>
              <w:left w:val="nil"/>
              <w:bottom w:val="nil"/>
              <w:right w:val="nil"/>
            </w:tcBorders>
            <w:shd w:val="clear" w:color="000000" w:fill="FFFFFF"/>
            <w:noWrap/>
            <w:vAlign w:val="center"/>
            <w:hideMark/>
          </w:tcPr>
          <w:p w14:paraId="7CEFEEF1" w14:textId="77777777" w:rsidR="00BD18C7" w:rsidRPr="00BD18C7" w:rsidRDefault="00BD18C7" w:rsidP="00BD18C7">
            <w:pPr>
              <w:spacing w:before="0" w:after="0" w:line="240" w:lineRule="auto"/>
              <w:rPr>
                <w:rFonts w:ascii="Arial" w:hAnsi="Arial" w:cs="Arial"/>
                <w:i/>
                <w:iCs/>
                <w:sz w:val="16"/>
                <w:szCs w:val="16"/>
              </w:rPr>
            </w:pPr>
            <w:r w:rsidRPr="00BD18C7">
              <w:rPr>
                <w:rFonts w:ascii="Arial" w:hAnsi="Arial" w:cs="Arial"/>
                <w:i/>
                <w:iCs/>
                <w:sz w:val="16"/>
                <w:szCs w:val="16"/>
              </w:rPr>
              <w:t> </w:t>
            </w:r>
          </w:p>
        </w:tc>
        <w:tc>
          <w:tcPr>
            <w:tcW w:w="520" w:type="pct"/>
            <w:tcBorders>
              <w:top w:val="nil"/>
              <w:left w:val="nil"/>
              <w:bottom w:val="nil"/>
              <w:right w:val="nil"/>
            </w:tcBorders>
            <w:shd w:val="clear" w:color="000000" w:fill="E6F2FF"/>
            <w:noWrap/>
            <w:vAlign w:val="center"/>
            <w:hideMark/>
          </w:tcPr>
          <w:p w14:paraId="1BAE8751" w14:textId="77777777" w:rsidR="00BD18C7" w:rsidRPr="00BD18C7" w:rsidRDefault="00BD18C7" w:rsidP="00BD18C7">
            <w:pPr>
              <w:spacing w:before="0" w:after="0" w:line="240" w:lineRule="auto"/>
              <w:rPr>
                <w:rFonts w:ascii="Arial" w:hAnsi="Arial" w:cs="Arial"/>
                <w:i/>
                <w:iCs/>
                <w:sz w:val="16"/>
                <w:szCs w:val="16"/>
              </w:rPr>
            </w:pPr>
            <w:r w:rsidRPr="00BD18C7">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1189FA55" w14:textId="77777777" w:rsidR="00BD18C7" w:rsidRPr="00BD18C7" w:rsidRDefault="00BD18C7" w:rsidP="00BD18C7">
            <w:pPr>
              <w:spacing w:before="0" w:after="0" w:line="240" w:lineRule="auto"/>
              <w:rPr>
                <w:rFonts w:ascii="Arial" w:hAnsi="Arial" w:cs="Arial"/>
                <w:i/>
                <w:iCs/>
                <w:sz w:val="16"/>
                <w:szCs w:val="16"/>
              </w:rPr>
            </w:pPr>
            <w:r w:rsidRPr="00BD18C7">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7555426D" w14:textId="77777777" w:rsidR="00BD18C7" w:rsidRPr="00BD18C7" w:rsidRDefault="00BD18C7" w:rsidP="00BD18C7">
            <w:pPr>
              <w:spacing w:before="0" w:after="0" w:line="240" w:lineRule="auto"/>
              <w:rPr>
                <w:rFonts w:ascii="Arial" w:hAnsi="Arial" w:cs="Arial"/>
                <w:i/>
                <w:iCs/>
                <w:sz w:val="16"/>
                <w:szCs w:val="16"/>
              </w:rPr>
            </w:pPr>
            <w:r w:rsidRPr="00BD18C7">
              <w:rPr>
                <w:rFonts w:ascii="Arial" w:hAnsi="Arial" w:cs="Arial"/>
                <w:i/>
                <w:iCs/>
                <w:sz w:val="16"/>
                <w:szCs w:val="16"/>
              </w:rPr>
              <w:t> </w:t>
            </w:r>
          </w:p>
        </w:tc>
        <w:tc>
          <w:tcPr>
            <w:tcW w:w="520" w:type="pct"/>
            <w:tcBorders>
              <w:top w:val="nil"/>
              <w:left w:val="nil"/>
              <w:bottom w:val="nil"/>
              <w:right w:val="nil"/>
            </w:tcBorders>
            <w:shd w:val="clear" w:color="000000" w:fill="FFFFFF"/>
            <w:noWrap/>
            <w:vAlign w:val="center"/>
            <w:hideMark/>
          </w:tcPr>
          <w:p w14:paraId="62E24E99" w14:textId="77777777" w:rsidR="00BD18C7" w:rsidRPr="00BD18C7" w:rsidRDefault="00BD18C7" w:rsidP="00BD18C7">
            <w:pPr>
              <w:spacing w:before="0" w:after="0" w:line="240" w:lineRule="auto"/>
              <w:rPr>
                <w:rFonts w:ascii="Arial" w:hAnsi="Arial" w:cs="Arial"/>
                <w:i/>
                <w:iCs/>
                <w:sz w:val="16"/>
                <w:szCs w:val="16"/>
              </w:rPr>
            </w:pPr>
            <w:r w:rsidRPr="00BD18C7">
              <w:rPr>
                <w:rFonts w:ascii="Arial" w:hAnsi="Arial" w:cs="Arial"/>
                <w:i/>
                <w:iCs/>
                <w:sz w:val="16"/>
                <w:szCs w:val="16"/>
              </w:rPr>
              <w:t> </w:t>
            </w:r>
          </w:p>
        </w:tc>
      </w:tr>
      <w:tr w:rsidR="00BD18C7" w:rsidRPr="00BD18C7" w14:paraId="683A3C81"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34FECF74" w14:textId="77777777" w:rsidR="00BD18C7" w:rsidRPr="00BD18C7" w:rsidRDefault="00BD18C7" w:rsidP="00BD18C7">
            <w:pPr>
              <w:spacing w:before="0" w:after="0" w:line="240" w:lineRule="auto"/>
              <w:ind w:left="340"/>
              <w:rPr>
                <w:rFonts w:ascii="Arial" w:hAnsi="Arial" w:cs="Arial"/>
                <w:i/>
                <w:iCs/>
                <w:sz w:val="16"/>
                <w:szCs w:val="16"/>
              </w:rPr>
            </w:pPr>
            <w:r w:rsidRPr="00BD18C7">
              <w:rPr>
                <w:rFonts w:ascii="Arial" w:hAnsi="Arial" w:cs="Arial"/>
                <w:i/>
                <w:iCs/>
                <w:sz w:val="16"/>
                <w:szCs w:val="16"/>
              </w:rPr>
              <w:t>territories</w:t>
            </w:r>
          </w:p>
        </w:tc>
        <w:tc>
          <w:tcPr>
            <w:tcW w:w="520" w:type="pct"/>
            <w:tcBorders>
              <w:top w:val="nil"/>
              <w:left w:val="nil"/>
              <w:bottom w:val="nil"/>
              <w:right w:val="nil"/>
            </w:tcBorders>
            <w:shd w:val="clear" w:color="000000" w:fill="FFFFFF"/>
            <w:noWrap/>
            <w:vAlign w:val="center"/>
            <w:hideMark/>
          </w:tcPr>
          <w:p w14:paraId="2E695940"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88,021</w:t>
            </w:r>
          </w:p>
        </w:tc>
        <w:tc>
          <w:tcPr>
            <w:tcW w:w="520" w:type="pct"/>
            <w:tcBorders>
              <w:top w:val="nil"/>
              <w:left w:val="nil"/>
              <w:bottom w:val="nil"/>
              <w:right w:val="nil"/>
            </w:tcBorders>
            <w:shd w:val="clear" w:color="000000" w:fill="E6F2FF"/>
            <w:noWrap/>
            <w:vAlign w:val="center"/>
            <w:hideMark/>
          </w:tcPr>
          <w:p w14:paraId="1A91CA5D"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92,470</w:t>
            </w:r>
          </w:p>
        </w:tc>
        <w:tc>
          <w:tcPr>
            <w:tcW w:w="520" w:type="pct"/>
            <w:tcBorders>
              <w:top w:val="nil"/>
              <w:left w:val="nil"/>
              <w:bottom w:val="nil"/>
              <w:right w:val="nil"/>
            </w:tcBorders>
            <w:shd w:val="clear" w:color="000000" w:fill="FFFFFF"/>
            <w:noWrap/>
            <w:vAlign w:val="center"/>
            <w:hideMark/>
          </w:tcPr>
          <w:p w14:paraId="660D0AA7"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96,345</w:t>
            </w:r>
          </w:p>
        </w:tc>
        <w:tc>
          <w:tcPr>
            <w:tcW w:w="520" w:type="pct"/>
            <w:tcBorders>
              <w:top w:val="nil"/>
              <w:left w:val="nil"/>
              <w:bottom w:val="nil"/>
              <w:right w:val="nil"/>
            </w:tcBorders>
            <w:shd w:val="clear" w:color="000000" w:fill="FFFFFF"/>
            <w:noWrap/>
            <w:vAlign w:val="center"/>
            <w:hideMark/>
          </w:tcPr>
          <w:p w14:paraId="1D5EA3B4"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101,782</w:t>
            </w:r>
          </w:p>
        </w:tc>
        <w:tc>
          <w:tcPr>
            <w:tcW w:w="520" w:type="pct"/>
            <w:tcBorders>
              <w:top w:val="nil"/>
              <w:left w:val="nil"/>
              <w:bottom w:val="nil"/>
              <w:right w:val="nil"/>
            </w:tcBorders>
            <w:shd w:val="clear" w:color="000000" w:fill="FFFFFF"/>
            <w:noWrap/>
            <w:vAlign w:val="center"/>
            <w:hideMark/>
          </w:tcPr>
          <w:p w14:paraId="52BAED9B"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105,261</w:t>
            </w:r>
          </w:p>
        </w:tc>
      </w:tr>
      <w:tr w:rsidR="00BD18C7" w:rsidRPr="00BD18C7" w14:paraId="1F3214C3"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1D3021F8" w14:textId="77777777" w:rsidR="00BD18C7" w:rsidRPr="00BD18C7" w:rsidRDefault="00BD18C7" w:rsidP="00BD18C7">
            <w:pPr>
              <w:spacing w:before="0" w:after="0" w:line="240" w:lineRule="auto"/>
              <w:ind w:left="170"/>
              <w:rPr>
                <w:rFonts w:ascii="Arial" w:hAnsi="Arial" w:cs="Arial"/>
                <w:i/>
                <w:iCs/>
                <w:sz w:val="16"/>
                <w:szCs w:val="16"/>
              </w:rPr>
            </w:pPr>
            <w:r w:rsidRPr="00BD18C7">
              <w:rPr>
                <w:rFonts w:ascii="Arial" w:hAnsi="Arial" w:cs="Arial"/>
                <w:i/>
                <w:iCs/>
                <w:sz w:val="16"/>
                <w:szCs w:val="16"/>
              </w:rPr>
              <w:t>Local government assistance</w:t>
            </w:r>
          </w:p>
        </w:tc>
        <w:tc>
          <w:tcPr>
            <w:tcW w:w="520" w:type="pct"/>
            <w:tcBorders>
              <w:top w:val="nil"/>
              <w:left w:val="nil"/>
              <w:bottom w:val="nil"/>
              <w:right w:val="nil"/>
            </w:tcBorders>
            <w:shd w:val="clear" w:color="000000" w:fill="FFFFFF"/>
            <w:noWrap/>
            <w:vAlign w:val="center"/>
            <w:hideMark/>
          </w:tcPr>
          <w:p w14:paraId="5A93D94B"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1,820</w:t>
            </w:r>
          </w:p>
        </w:tc>
        <w:tc>
          <w:tcPr>
            <w:tcW w:w="520" w:type="pct"/>
            <w:tcBorders>
              <w:top w:val="nil"/>
              <w:left w:val="nil"/>
              <w:bottom w:val="nil"/>
              <w:right w:val="nil"/>
            </w:tcBorders>
            <w:shd w:val="clear" w:color="000000" w:fill="E6F2FF"/>
            <w:noWrap/>
            <w:vAlign w:val="center"/>
            <w:hideMark/>
          </w:tcPr>
          <w:p w14:paraId="750406E8"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3,476</w:t>
            </w:r>
          </w:p>
        </w:tc>
        <w:tc>
          <w:tcPr>
            <w:tcW w:w="520" w:type="pct"/>
            <w:tcBorders>
              <w:top w:val="nil"/>
              <w:left w:val="nil"/>
              <w:bottom w:val="nil"/>
              <w:right w:val="nil"/>
            </w:tcBorders>
            <w:shd w:val="clear" w:color="000000" w:fill="FFFFFF"/>
            <w:noWrap/>
            <w:vAlign w:val="center"/>
            <w:hideMark/>
          </w:tcPr>
          <w:p w14:paraId="3689EB5E" w14:textId="77777777" w:rsidR="00BD18C7" w:rsidRPr="00BD18C7" w:rsidRDefault="00BD18C7" w:rsidP="00BD18C7">
            <w:pPr>
              <w:spacing w:before="0" w:after="0" w:line="240" w:lineRule="auto"/>
              <w:jc w:val="right"/>
              <w:rPr>
                <w:rFonts w:ascii="Arial" w:hAnsi="Arial" w:cs="Arial"/>
                <w:i/>
                <w:iCs/>
                <w:sz w:val="16"/>
                <w:szCs w:val="16"/>
              </w:rPr>
            </w:pPr>
            <w:r w:rsidRPr="00BD18C7">
              <w:rPr>
                <w:rFonts w:ascii="Arial" w:hAnsi="Arial" w:cs="Arial"/>
                <w:i/>
                <w:iCs/>
                <w:sz w:val="16"/>
                <w:szCs w:val="16"/>
              </w:rPr>
              <w:t>3,527</w:t>
            </w:r>
          </w:p>
        </w:tc>
        <w:tc>
          <w:tcPr>
            <w:tcW w:w="520" w:type="pct"/>
            <w:tcBorders>
              <w:top w:val="nil"/>
              <w:left w:val="nil"/>
              <w:bottom w:val="nil"/>
              <w:right w:val="nil"/>
            </w:tcBorders>
            <w:shd w:val="clear" w:color="000000" w:fill="FFFFFF"/>
            <w:noWrap/>
            <w:vAlign w:val="center"/>
            <w:hideMark/>
          </w:tcPr>
          <w:p w14:paraId="64173D01" w14:textId="77777777" w:rsidR="00BD18C7" w:rsidRPr="00BD18C7" w:rsidRDefault="00BD18C7" w:rsidP="00BD18C7">
            <w:pPr>
              <w:spacing w:before="0" w:after="0" w:line="240" w:lineRule="auto"/>
              <w:jc w:val="right"/>
              <w:rPr>
                <w:rFonts w:ascii="Arial" w:hAnsi="Arial" w:cs="Arial"/>
                <w:i/>
                <w:iCs/>
                <w:color w:val="000000"/>
                <w:sz w:val="16"/>
                <w:szCs w:val="16"/>
              </w:rPr>
            </w:pPr>
            <w:r w:rsidRPr="00BD18C7">
              <w:rPr>
                <w:rFonts w:ascii="Arial" w:hAnsi="Arial" w:cs="Arial"/>
                <w:i/>
                <w:iCs/>
                <w:color w:val="000000"/>
                <w:sz w:val="16"/>
                <w:szCs w:val="16"/>
              </w:rPr>
              <w:t>3,661</w:t>
            </w:r>
          </w:p>
        </w:tc>
        <w:tc>
          <w:tcPr>
            <w:tcW w:w="520" w:type="pct"/>
            <w:tcBorders>
              <w:top w:val="nil"/>
              <w:left w:val="nil"/>
              <w:bottom w:val="nil"/>
              <w:right w:val="nil"/>
            </w:tcBorders>
            <w:shd w:val="clear" w:color="000000" w:fill="FFFFFF"/>
            <w:noWrap/>
            <w:vAlign w:val="center"/>
            <w:hideMark/>
          </w:tcPr>
          <w:p w14:paraId="6A8C309E" w14:textId="77777777" w:rsidR="00BD18C7" w:rsidRPr="00BD18C7" w:rsidRDefault="00BD18C7" w:rsidP="00BD18C7">
            <w:pPr>
              <w:spacing w:before="0" w:after="0" w:line="240" w:lineRule="auto"/>
              <w:jc w:val="right"/>
              <w:rPr>
                <w:rFonts w:ascii="Arial" w:hAnsi="Arial" w:cs="Arial"/>
                <w:i/>
                <w:iCs/>
                <w:color w:val="000000"/>
                <w:sz w:val="16"/>
                <w:szCs w:val="16"/>
              </w:rPr>
            </w:pPr>
            <w:r w:rsidRPr="00BD18C7">
              <w:rPr>
                <w:rFonts w:ascii="Arial" w:hAnsi="Arial" w:cs="Arial"/>
                <w:i/>
                <w:iCs/>
                <w:color w:val="000000"/>
                <w:sz w:val="16"/>
                <w:szCs w:val="16"/>
              </w:rPr>
              <w:t>3,529</w:t>
            </w:r>
          </w:p>
        </w:tc>
      </w:tr>
      <w:tr w:rsidR="00BD18C7" w:rsidRPr="00BD18C7" w14:paraId="3DF56C1D"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5F533DE0"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Natural disaster relief</w:t>
            </w:r>
          </w:p>
        </w:tc>
        <w:tc>
          <w:tcPr>
            <w:tcW w:w="520" w:type="pct"/>
            <w:tcBorders>
              <w:top w:val="nil"/>
              <w:left w:val="nil"/>
              <w:bottom w:val="nil"/>
              <w:right w:val="nil"/>
            </w:tcBorders>
            <w:shd w:val="clear" w:color="000000" w:fill="FFFFFF"/>
            <w:noWrap/>
            <w:vAlign w:val="center"/>
            <w:hideMark/>
          </w:tcPr>
          <w:p w14:paraId="1779ADB1"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3,533</w:t>
            </w:r>
          </w:p>
        </w:tc>
        <w:tc>
          <w:tcPr>
            <w:tcW w:w="520" w:type="pct"/>
            <w:tcBorders>
              <w:top w:val="nil"/>
              <w:left w:val="nil"/>
              <w:bottom w:val="nil"/>
              <w:right w:val="nil"/>
            </w:tcBorders>
            <w:shd w:val="clear" w:color="000000" w:fill="E6F2FF"/>
            <w:noWrap/>
            <w:vAlign w:val="center"/>
            <w:hideMark/>
          </w:tcPr>
          <w:p w14:paraId="320927AF"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1,610</w:t>
            </w:r>
          </w:p>
        </w:tc>
        <w:tc>
          <w:tcPr>
            <w:tcW w:w="520" w:type="pct"/>
            <w:tcBorders>
              <w:top w:val="nil"/>
              <w:left w:val="nil"/>
              <w:bottom w:val="nil"/>
              <w:right w:val="nil"/>
            </w:tcBorders>
            <w:shd w:val="clear" w:color="000000" w:fill="FFFFFF"/>
            <w:noWrap/>
            <w:vAlign w:val="center"/>
            <w:hideMark/>
          </w:tcPr>
          <w:p w14:paraId="244429E3"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898</w:t>
            </w:r>
          </w:p>
        </w:tc>
        <w:tc>
          <w:tcPr>
            <w:tcW w:w="520" w:type="pct"/>
            <w:tcBorders>
              <w:top w:val="nil"/>
              <w:left w:val="nil"/>
              <w:bottom w:val="nil"/>
              <w:right w:val="nil"/>
            </w:tcBorders>
            <w:shd w:val="clear" w:color="000000" w:fill="FFFFFF"/>
            <w:noWrap/>
            <w:vAlign w:val="center"/>
            <w:hideMark/>
          </w:tcPr>
          <w:p w14:paraId="66079D9D"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275</w:t>
            </w:r>
          </w:p>
        </w:tc>
        <w:tc>
          <w:tcPr>
            <w:tcW w:w="520" w:type="pct"/>
            <w:tcBorders>
              <w:top w:val="nil"/>
              <w:left w:val="nil"/>
              <w:bottom w:val="nil"/>
              <w:right w:val="nil"/>
            </w:tcBorders>
            <w:shd w:val="clear" w:color="000000" w:fill="FFFFFF"/>
            <w:noWrap/>
            <w:vAlign w:val="center"/>
            <w:hideMark/>
          </w:tcPr>
          <w:p w14:paraId="4D367A0F" w14:textId="77777777" w:rsidR="00BD18C7" w:rsidRPr="00BD18C7" w:rsidRDefault="00BD18C7" w:rsidP="00BD18C7">
            <w:pPr>
              <w:spacing w:before="0" w:after="0" w:line="240" w:lineRule="auto"/>
              <w:jc w:val="right"/>
              <w:rPr>
                <w:rFonts w:ascii="Arial" w:hAnsi="Arial" w:cs="Arial"/>
                <w:color w:val="000000"/>
                <w:sz w:val="16"/>
                <w:szCs w:val="16"/>
              </w:rPr>
            </w:pPr>
            <w:r w:rsidRPr="00BD18C7">
              <w:rPr>
                <w:rFonts w:ascii="Arial" w:hAnsi="Arial" w:cs="Arial"/>
                <w:color w:val="000000"/>
                <w:sz w:val="16"/>
                <w:szCs w:val="16"/>
              </w:rPr>
              <w:t>264</w:t>
            </w:r>
          </w:p>
        </w:tc>
      </w:tr>
      <w:tr w:rsidR="00BD18C7" w:rsidRPr="00BD18C7" w14:paraId="63DA3EA1" w14:textId="77777777" w:rsidTr="00BD18C7">
        <w:trPr>
          <w:divId w:val="706031432"/>
          <w:trHeight w:hRule="exact" w:val="225"/>
        </w:trPr>
        <w:tc>
          <w:tcPr>
            <w:tcW w:w="2402" w:type="pct"/>
            <w:tcBorders>
              <w:top w:val="nil"/>
              <w:left w:val="nil"/>
              <w:bottom w:val="nil"/>
              <w:right w:val="nil"/>
            </w:tcBorders>
            <w:shd w:val="clear" w:color="000000" w:fill="FFFFFF"/>
            <w:noWrap/>
            <w:vAlign w:val="center"/>
            <w:hideMark/>
          </w:tcPr>
          <w:p w14:paraId="0B416623" w14:textId="77777777" w:rsidR="00BD18C7" w:rsidRPr="00BD18C7" w:rsidRDefault="00BD18C7" w:rsidP="00BD18C7">
            <w:pPr>
              <w:spacing w:before="0" w:after="0" w:line="240" w:lineRule="auto"/>
              <w:rPr>
                <w:rFonts w:ascii="Arial" w:hAnsi="Arial" w:cs="Arial"/>
                <w:sz w:val="16"/>
                <w:szCs w:val="16"/>
              </w:rPr>
            </w:pPr>
            <w:r w:rsidRPr="00BD18C7">
              <w:rPr>
                <w:rFonts w:ascii="Arial" w:hAnsi="Arial" w:cs="Arial"/>
                <w:sz w:val="16"/>
                <w:szCs w:val="16"/>
              </w:rPr>
              <w:t>Contingency reserve</w:t>
            </w:r>
          </w:p>
        </w:tc>
        <w:tc>
          <w:tcPr>
            <w:tcW w:w="520" w:type="pct"/>
            <w:tcBorders>
              <w:top w:val="nil"/>
              <w:left w:val="nil"/>
              <w:bottom w:val="single" w:sz="4" w:space="0" w:color="293F5B"/>
              <w:right w:val="nil"/>
            </w:tcBorders>
            <w:shd w:val="clear" w:color="000000" w:fill="FFFFFF"/>
            <w:noWrap/>
            <w:vAlign w:val="center"/>
            <w:hideMark/>
          </w:tcPr>
          <w:p w14:paraId="66F7F8C5"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449</w:t>
            </w:r>
          </w:p>
        </w:tc>
        <w:tc>
          <w:tcPr>
            <w:tcW w:w="520" w:type="pct"/>
            <w:tcBorders>
              <w:top w:val="nil"/>
              <w:left w:val="nil"/>
              <w:bottom w:val="single" w:sz="4" w:space="0" w:color="293F5B"/>
              <w:right w:val="nil"/>
            </w:tcBorders>
            <w:shd w:val="clear" w:color="000000" w:fill="E6F2FF"/>
            <w:noWrap/>
            <w:vAlign w:val="center"/>
            <w:hideMark/>
          </w:tcPr>
          <w:p w14:paraId="520F9646"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-56</w:t>
            </w:r>
          </w:p>
        </w:tc>
        <w:tc>
          <w:tcPr>
            <w:tcW w:w="520" w:type="pct"/>
            <w:tcBorders>
              <w:top w:val="nil"/>
              <w:left w:val="nil"/>
              <w:bottom w:val="single" w:sz="4" w:space="0" w:color="293F5B"/>
              <w:right w:val="nil"/>
            </w:tcBorders>
            <w:shd w:val="clear" w:color="000000" w:fill="FFFFFF"/>
            <w:noWrap/>
            <w:vAlign w:val="center"/>
            <w:hideMark/>
          </w:tcPr>
          <w:p w14:paraId="3B04ED2C"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5,967</w:t>
            </w:r>
          </w:p>
        </w:tc>
        <w:tc>
          <w:tcPr>
            <w:tcW w:w="520" w:type="pct"/>
            <w:tcBorders>
              <w:top w:val="nil"/>
              <w:left w:val="nil"/>
              <w:bottom w:val="single" w:sz="4" w:space="0" w:color="293F5B"/>
              <w:right w:val="nil"/>
            </w:tcBorders>
            <w:shd w:val="clear" w:color="000000" w:fill="FFFFFF"/>
            <w:noWrap/>
            <w:vAlign w:val="center"/>
            <w:hideMark/>
          </w:tcPr>
          <w:p w14:paraId="470B807C"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9,638</w:t>
            </w:r>
          </w:p>
        </w:tc>
        <w:tc>
          <w:tcPr>
            <w:tcW w:w="520" w:type="pct"/>
            <w:tcBorders>
              <w:top w:val="nil"/>
              <w:left w:val="nil"/>
              <w:bottom w:val="single" w:sz="4" w:space="0" w:color="293F5B"/>
              <w:right w:val="nil"/>
            </w:tcBorders>
            <w:shd w:val="clear" w:color="000000" w:fill="FFFFFF"/>
            <w:noWrap/>
            <w:vAlign w:val="center"/>
            <w:hideMark/>
          </w:tcPr>
          <w:p w14:paraId="1F4CE42C" w14:textId="77777777" w:rsidR="00BD18C7" w:rsidRPr="00BD18C7" w:rsidRDefault="00BD18C7" w:rsidP="00BD18C7">
            <w:pPr>
              <w:spacing w:before="0" w:after="0" w:line="240" w:lineRule="auto"/>
              <w:jc w:val="right"/>
              <w:rPr>
                <w:rFonts w:ascii="Arial" w:hAnsi="Arial" w:cs="Arial"/>
                <w:sz w:val="16"/>
                <w:szCs w:val="16"/>
              </w:rPr>
            </w:pPr>
            <w:r w:rsidRPr="00BD18C7">
              <w:rPr>
                <w:rFonts w:ascii="Arial" w:hAnsi="Arial" w:cs="Arial"/>
                <w:sz w:val="16"/>
                <w:szCs w:val="16"/>
              </w:rPr>
              <w:t>16,427</w:t>
            </w:r>
          </w:p>
        </w:tc>
      </w:tr>
      <w:tr w:rsidR="00BD18C7" w:rsidRPr="00BD18C7" w14:paraId="75032C2B" w14:textId="77777777" w:rsidTr="00BD18C7">
        <w:trPr>
          <w:divId w:val="706031432"/>
          <w:trHeight w:hRule="exact" w:val="225"/>
        </w:trPr>
        <w:tc>
          <w:tcPr>
            <w:tcW w:w="2402" w:type="pct"/>
            <w:tcBorders>
              <w:top w:val="nil"/>
              <w:left w:val="nil"/>
              <w:bottom w:val="single" w:sz="4" w:space="0" w:color="293F5B"/>
              <w:right w:val="nil"/>
            </w:tcBorders>
            <w:shd w:val="clear" w:color="000000" w:fill="FFFFFF"/>
            <w:noWrap/>
            <w:vAlign w:val="center"/>
            <w:hideMark/>
          </w:tcPr>
          <w:p w14:paraId="46A18DBD" w14:textId="77777777" w:rsidR="00BD18C7" w:rsidRPr="00BD18C7" w:rsidRDefault="00BD18C7" w:rsidP="00BD18C7">
            <w:pPr>
              <w:spacing w:before="0" w:after="0" w:line="240" w:lineRule="auto"/>
              <w:rPr>
                <w:rFonts w:ascii="Arial" w:hAnsi="Arial" w:cs="Arial"/>
                <w:b/>
                <w:bCs/>
                <w:sz w:val="16"/>
                <w:szCs w:val="16"/>
              </w:rPr>
            </w:pPr>
            <w:r w:rsidRPr="00BD18C7">
              <w:rPr>
                <w:rFonts w:ascii="Arial" w:hAnsi="Arial" w:cs="Arial"/>
                <w:b/>
                <w:bCs/>
                <w:sz w:val="16"/>
                <w:szCs w:val="16"/>
              </w:rPr>
              <w:t>Total other purposes</w:t>
            </w:r>
          </w:p>
        </w:tc>
        <w:tc>
          <w:tcPr>
            <w:tcW w:w="520" w:type="pct"/>
            <w:tcBorders>
              <w:top w:val="nil"/>
              <w:left w:val="nil"/>
              <w:bottom w:val="single" w:sz="4" w:space="0" w:color="293F5B"/>
              <w:right w:val="nil"/>
            </w:tcBorders>
            <w:shd w:val="clear" w:color="000000" w:fill="FFFFFF"/>
            <w:noWrap/>
            <w:vAlign w:val="center"/>
            <w:hideMark/>
          </w:tcPr>
          <w:p w14:paraId="3EC7710A" w14:textId="77777777" w:rsidR="00BD18C7" w:rsidRPr="00BD18C7" w:rsidRDefault="00BD18C7" w:rsidP="00BD18C7">
            <w:pPr>
              <w:spacing w:before="0" w:after="0" w:line="240" w:lineRule="auto"/>
              <w:jc w:val="right"/>
              <w:rPr>
                <w:rFonts w:ascii="Arial" w:hAnsi="Arial" w:cs="Arial"/>
                <w:b/>
                <w:bCs/>
                <w:color w:val="000000"/>
                <w:sz w:val="16"/>
                <w:szCs w:val="16"/>
              </w:rPr>
            </w:pPr>
            <w:r w:rsidRPr="00BD18C7">
              <w:rPr>
                <w:rFonts w:ascii="Arial" w:hAnsi="Arial" w:cs="Arial"/>
                <w:b/>
                <w:bCs/>
                <w:color w:val="000000"/>
                <w:sz w:val="16"/>
                <w:szCs w:val="16"/>
              </w:rPr>
              <w:t>128,309</w:t>
            </w:r>
          </w:p>
        </w:tc>
        <w:tc>
          <w:tcPr>
            <w:tcW w:w="520" w:type="pct"/>
            <w:tcBorders>
              <w:top w:val="nil"/>
              <w:left w:val="nil"/>
              <w:bottom w:val="single" w:sz="4" w:space="0" w:color="293F5B"/>
              <w:right w:val="nil"/>
            </w:tcBorders>
            <w:shd w:val="clear" w:color="000000" w:fill="E6F2FF"/>
            <w:noWrap/>
            <w:vAlign w:val="center"/>
            <w:hideMark/>
          </w:tcPr>
          <w:p w14:paraId="04485D42" w14:textId="77777777" w:rsidR="00BD18C7" w:rsidRPr="00BD18C7" w:rsidRDefault="00BD18C7" w:rsidP="00BD18C7">
            <w:pPr>
              <w:spacing w:before="0" w:after="0" w:line="240" w:lineRule="auto"/>
              <w:jc w:val="right"/>
              <w:rPr>
                <w:rFonts w:ascii="Arial" w:hAnsi="Arial" w:cs="Arial"/>
                <w:b/>
                <w:bCs/>
                <w:color w:val="000000"/>
                <w:sz w:val="16"/>
                <w:szCs w:val="16"/>
              </w:rPr>
            </w:pPr>
            <w:r w:rsidRPr="00BD18C7">
              <w:rPr>
                <w:rFonts w:ascii="Arial" w:hAnsi="Arial" w:cs="Arial"/>
                <w:b/>
                <w:bCs/>
                <w:color w:val="000000"/>
                <w:sz w:val="16"/>
                <w:szCs w:val="16"/>
              </w:rPr>
              <w:t>133,743</w:t>
            </w:r>
          </w:p>
        </w:tc>
        <w:tc>
          <w:tcPr>
            <w:tcW w:w="520" w:type="pct"/>
            <w:tcBorders>
              <w:top w:val="nil"/>
              <w:left w:val="nil"/>
              <w:bottom w:val="single" w:sz="4" w:space="0" w:color="293F5B"/>
              <w:right w:val="nil"/>
            </w:tcBorders>
            <w:shd w:val="clear" w:color="000000" w:fill="FFFFFF"/>
            <w:noWrap/>
            <w:vAlign w:val="center"/>
            <w:hideMark/>
          </w:tcPr>
          <w:p w14:paraId="672E7189" w14:textId="77777777" w:rsidR="00BD18C7" w:rsidRPr="00BD18C7" w:rsidRDefault="00BD18C7" w:rsidP="00BD18C7">
            <w:pPr>
              <w:spacing w:before="0" w:after="0" w:line="240" w:lineRule="auto"/>
              <w:jc w:val="right"/>
              <w:rPr>
                <w:rFonts w:ascii="Arial" w:hAnsi="Arial" w:cs="Arial"/>
                <w:b/>
                <w:bCs/>
                <w:color w:val="000000"/>
                <w:sz w:val="16"/>
                <w:szCs w:val="16"/>
              </w:rPr>
            </w:pPr>
            <w:r w:rsidRPr="00BD18C7">
              <w:rPr>
                <w:rFonts w:ascii="Arial" w:hAnsi="Arial" w:cs="Arial"/>
                <w:b/>
                <w:bCs/>
                <w:color w:val="000000"/>
                <w:sz w:val="16"/>
                <w:szCs w:val="16"/>
              </w:rPr>
              <w:t>144,569</w:t>
            </w:r>
          </w:p>
        </w:tc>
        <w:tc>
          <w:tcPr>
            <w:tcW w:w="520" w:type="pct"/>
            <w:tcBorders>
              <w:top w:val="nil"/>
              <w:left w:val="nil"/>
              <w:bottom w:val="single" w:sz="4" w:space="0" w:color="293F5B"/>
              <w:right w:val="nil"/>
            </w:tcBorders>
            <w:shd w:val="clear" w:color="000000" w:fill="FFFFFF"/>
            <w:noWrap/>
            <w:vAlign w:val="center"/>
            <w:hideMark/>
          </w:tcPr>
          <w:p w14:paraId="7BC67653" w14:textId="77777777" w:rsidR="00BD18C7" w:rsidRPr="00BD18C7" w:rsidRDefault="00BD18C7" w:rsidP="00BD18C7">
            <w:pPr>
              <w:spacing w:before="0" w:after="0" w:line="240" w:lineRule="auto"/>
              <w:jc w:val="right"/>
              <w:rPr>
                <w:rFonts w:ascii="Arial" w:hAnsi="Arial" w:cs="Arial"/>
                <w:b/>
                <w:bCs/>
                <w:color w:val="000000"/>
                <w:sz w:val="16"/>
                <w:szCs w:val="16"/>
              </w:rPr>
            </w:pPr>
            <w:r w:rsidRPr="00BD18C7">
              <w:rPr>
                <w:rFonts w:ascii="Arial" w:hAnsi="Arial" w:cs="Arial"/>
                <w:b/>
                <w:bCs/>
                <w:color w:val="000000"/>
                <w:sz w:val="16"/>
                <w:szCs w:val="16"/>
              </w:rPr>
              <w:t>156,217</w:t>
            </w:r>
          </w:p>
        </w:tc>
        <w:tc>
          <w:tcPr>
            <w:tcW w:w="520" w:type="pct"/>
            <w:tcBorders>
              <w:top w:val="nil"/>
              <w:left w:val="nil"/>
              <w:bottom w:val="single" w:sz="4" w:space="0" w:color="293F5B"/>
              <w:right w:val="nil"/>
            </w:tcBorders>
            <w:shd w:val="clear" w:color="000000" w:fill="FFFFFF"/>
            <w:noWrap/>
            <w:vAlign w:val="center"/>
            <w:hideMark/>
          </w:tcPr>
          <w:p w14:paraId="07B63B07" w14:textId="77777777" w:rsidR="00BD18C7" w:rsidRPr="00BD18C7" w:rsidRDefault="00BD18C7" w:rsidP="00BD18C7">
            <w:pPr>
              <w:spacing w:before="0" w:after="0" w:line="240" w:lineRule="auto"/>
              <w:jc w:val="right"/>
              <w:rPr>
                <w:rFonts w:ascii="Arial" w:hAnsi="Arial" w:cs="Arial"/>
                <w:b/>
                <w:bCs/>
                <w:color w:val="000000"/>
                <w:sz w:val="16"/>
                <w:szCs w:val="16"/>
              </w:rPr>
            </w:pPr>
            <w:r w:rsidRPr="00BD18C7">
              <w:rPr>
                <w:rFonts w:ascii="Arial" w:hAnsi="Arial" w:cs="Arial"/>
                <w:b/>
                <w:bCs/>
                <w:color w:val="000000"/>
                <w:sz w:val="16"/>
                <w:szCs w:val="16"/>
              </w:rPr>
              <w:t>169,591</w:t>
            </w:r>
          </w:p>
        </w:tc>
      </w:tr>
    </w:tbl>
    <w:p w14:paraId="068FA5EE" w14:textId="6D703180" w:rsidR="00445C2D" w:rsidRPr="0021687D" w:rsidRDefault="00445C2D" w:rsidP="00445C2D">
      <w:bookmarkStart w:id="155" w:name="_Toc99203693"/>
      <w:bookmarkStart w:id="156" w:name="_Toc117358186"/>
      <w:bookmarkEnd w:id="154"/>
      <w:r w:rsidRPr="000177D7">
        <w:t xml:space="preserve">Total expenses </w:t>
      </w:r>
      <w:r w:rsidRPr="0021687D">
        <w:t xml:space="preserve">under the other purposes function are estimated to </w:t>
      </w:r>
      <w:r w:rsidRPr="0021687D">
        <w:rPr>
          <w:lang w:val="en-US"/>
        </w:rPr>
        <w:t>increase by 26.</w:t>
      </w:r>
      <w:r w:rsidR="00067802" w:rsidRPr="0021687D">
        <w:rPr>
          <w:lang w:val="en-US"/>
        </w:rPr>
        <w:t>8</w:t>
      </w:r>
      <w:r w:rsidR="00893776">
        <w:rPr>
          <w:lang w:val="en-US"/>
        </w:rPr>
        <w:t> per </w:t>
      </w:r>
      <w:r w:rsidRPr="0021687D">
        <w:rPr>
          <w:lang w:val="en-US"/>
        </w:rPr>
        <w:t>cent in nominal terms and by 1</w:t>
      </w:r>
      <w:r w:rsidR="00067802" w:rsidRPr="0021687D">
        <w:rPr>
          <w:lang w:val="en-US"/>
        </w:rPr>
        <w:t>7.2</w:t>
      </w:r>
      <w:r w:rsidR="00893776">
        <w:rPr>
          <w:lang w:val="en-US"/>
        </w:rPr>
        <w:t> per </w:t>
      </w:r>
      <w:r w:rsidRPr="0021687D">
        <w:rPr>
          <w:lang w:val="en-US"/>
        </w:rPr>
        <w:t>cent in real terms over the period 2023</w:t>
      </w:r>
      <w:r w:rsidR="00D25E5B">
        <w:rPr>
          <w:lang w:val="en-US"/>
        </w:rPr>
        <w:t>–</w:t>
      </w:r>
      <w:r w:rsidRPr="0021687D">
        <w:rPr>
          <w:lang w:val="en-US"/>
        </w:rPr>
        <w:t>24 to 2026</w:t>
      </w:r>
      <w:r w:rsidR="00D25E5B">
        <w:rPr>
          <w:lang w:val="en-US"/>
        </w:rPr>
        <w:t>–</w:t>
      </w:r>
      <w:r w:rsidRPr="0021687D">
        <w:rPr>
          <w:lang w:val="en-US"/>
        </w:rPr>
        <w:t>27.</w:t>
      </w:r>
    </w:p>
    <w:p w14:paraId="4FDD5442" w14:textId="29ADE841" w:rsidR="00445C2D" w:rsidRDefault="00445C2D" w:rsidP="00445C2D">
      <w:bookmarkStart w:id="157" w:name="_Hlk133846407"/>
      <w:r w:rsidRPr="0021687D">
        <w:t xml:space="preserve">Expected expenses under the </w:t>
      </w:r>
      <w:r w:rsidRPr="0021687D">
        <w:rPr>
          <w:b/>
        </w:rPr>
        <w:t>public debt interest</w:t>
      </w:r>
      <w:r w:rsidRPr="0021687D">
        <w:t xml:space="preserve"> sub</w:t>
      </w:r>
      <w:r w:rsidR="0086257A">
        <w:t>-</w:t>
      </w:r>
      <w:r w:rsidRPr="0021687D">
        <w:t xml:space="preserve">function have reduced since the October Budget, largely reflecting lower expected levels of Australian Government Securities (AGS) on issue. While lower than the October Budget, </w:t>
      </w:r>
      <w:r w:rsidRPr="0021687D">
        <w:rPr>
          <w:b/>
          <w:bCs/>
        </w:rPr>
        <w:t>public debt interest</w:t>
      </w:r>
      <w:r w:rsidRPr="0021687D">
        <w:t xml:space="preserve"> is still expected to </w:t>
      </w:r>
      <w:r w:rsidRPr="0021687D">
        <w:rPr>
          <w:lang w:val="en-US"/>
        </w:rPr>
        <w:t>increase by 28.6</w:t>
      </w:r>
      <w:r w:rsidR="00893776">
        <w:rPr>
          <w:lang w:val="en-US"/>
        </w:rPr>
        <w:t> per </w:t>
      </w:r>
      <w:r w:rsidRPr="0021687D">
        <w:rPr>
          <w:lang w:val="en-US"/>
        </w:rPr>
        <w:t>cent in nominal terms and by 18.8</w:t>
      </w:r>
      <w:r w:rsidR="00893776">
        <w:rPr>
          <w:lang w:val="en-US"/>
        </w:rPr>
        <w:t> per </w:t>
      </w:r>
      <w:r w:rsidRPr="0021687D">
        <w:rPr>
          <w:lang w:val="en-US"/>
        </w:rPr>
        <w:t>cent in real terms over the period 2023</w:t>
      </w:r>
      <w:r w:rsidR="00D25E5B">
        <w:rPr>
          <w:lang w:val="en-US"/>
        </w:rPr>
        <w:t>–</w:t>
      </w:r>
      <w:r w:rsidRPr="0021687D">
        <w:rPr>
          <w:lang w:val="en-US"/>
        </w:rPr>
        <w:t>24 to 2026</w:t>
      </w:r>
      <w:r w:rsidR="00D25E5B">
        <w:rPr>
          <w:lang w:val="en-US"/>
        </w:rPr>
        <w:t>–</w:t>
      </w:r>
      <w:r w:rsidRPr="0021687D">
        <w:rPr>
          <w:lang w:val="en-US"/>
        </w:rPr>
        <w:t>27</w:t>
      </w:r>
      <w:r w:rsidRPr="0021687D">
        <w:t>.</w:t>
      </w:r>
      <w:bookmarkEnd w:id="157"/>
    </w:p>
    <w:p w14:paraId="78F635AD" w14:textId="47777A21" w:rsidR="00445C2D" w:rsidRPr="000177D7" w:rsidRDefault="00445C2D" w:rsidP="00445C2D">
      <w:r w:rsidRPr="000177D7">
        <w:t xml:space="preserve">The increase in </w:t>
      </w:r>
      <w:r w:rsidRPr="000177D7">
        <w:rPr>
          <w:b/>
        </w:rPr>
        <w:t>nominal superannuation interest</w:t>
      </w:r>
      <w:r w:rsidRPr="000177D7">
        <w:t xml:space="preserve"> expenses </w:t>
      </w:r>
      <w:r>
        <w:t>between 2022</w:t>
      </w:r>
      <w:r w:rsidR="00D25E5B">
        <w:t>–</w:t>
      </w:r>
      <w:r>
        <w:t>23 and 2023</w:t>
      </w:r>
      <w:r w:rsidR="00D25E5B">
        <w:t>–</w:t>
      </w:r>
      <w:r>
        <w:t xml:space="preserve">24 </w:t>
      </w:r>
      <w:r w:rsidRPr="000177D7">
        <w:t>primarily reflects the use of different discount rates. In accordance with accounting standards, superannuation expenses for 2022</w:t>
      </w:r>
      <w:r w:rsidR="00D25E5B">
        <w:rPr>
          <w:rFonts w:eastAsia="Book Antiqua" w:cs="Book Antiqua"/>
          <w:lang w:val="en-US"/>
        </w:rPr>
        <w:t>–</w:t>
      </w:r>
      <w:r w:rsidRPr="000177D7">
        <w:t xml:space="preserve">23 </w:t>
      </w:r>
      <w:r>
        <w:t>are</w:t>
      </w:r>
      <w:r w:rsidRPr="000177D7">
        <w:t xml:space="preserve"> calculated using the long</w:t>
      </w:r>
      <w:r w:rsidR="00D34B95">
        <w:noBreakHyphen/>
      </w:r>
      <w:r w:rsidRPr="000177D7">
        <w:t>term government bond rate, which best matched each individual scheme</w:t>
      </w:r>
      <w:r w:rsidR="00D34B95">
        <w:t>’</w:t>
      </w:r>
      <w:r w:rsidRPr="000177D7">
        <w:t xml:space="preserve">s duration of liabilities at the start of the financial year. These rates </w:t>
      </w:r>
      <w:r w:rsidR="006A0F49">
        <w:t>a</w:t>
      </w:r>
      <w:r w:rsidRPr="000177D7">
        <w:t>re between 3.7 and 3.9</w:t>
      </w:r>
      <w:r w:rsidR="00893776">
        <w:t> per </w:t>
      </w:r>
      <w:r w:rsidRPr="000177D7">
        <w:t>cent</w:t>
      </w:r>
      <w:r w:rsidR="00893776">
        <w:t> per </w:t>
      </w:r>
      <w:r w:rsidRPr="000177D7">
        <w:t>annum. In</w:t>
      </w:r>
      <w:r w:rsidR="00AD648B">
        <w:t> </w:t>
      </w:r>
      <w:r w:rsidRPr="000177D7">
        <w:t>preparing the latest Long Term Cost Reports, the scheme actuaries have determined that a discount rate of 5.0</w:t>
      </w:r>
      <w:r w:rsidR="00893776">
        <w:t> per </w:t>
      </w:r>
      <w:r w:rsidRPr="000177D7">
        <w:t>cent should be applied to the</w:t>
      </w:r>
      <w:r>
        <w:t xml:space="preserve"> estimates in the budget year and</w:t>
      </w:r>
      <w:r w:rsidRPr="000177D7">
        <w:t xml:space="preserve"> forward estimates</w:t>
      </w:r>
      <w:r>
        <w:t xml:space="preserve"> as</w:t>
      </w:r>
      <w:r w:rsidR="00893776">
        <w:t> per </w:t>
      </w:r>
      <w:r>
        <w:t>usual practice.</w:t>
      </w:r>
    </w:p>
    <w:p w14:paraId="1876158D" w14:textId="349E1056" w:rsidR="00445C2D" w:rsidRPr="000177D7" w:rsidRDefault="00445C2D" w:rsidP="00445C2D">
      <w:r w:rsidRPr="004460DD">
        <w:t xml:space="preserve">Expenses under the </w:t>
      </w:r>
      <w:r w:rsidRPr="004460DD">
        <w:rPr>
          <w:b/>
          <w:bCs/>
        </w:rPr>
        <w:t>general purpose inter</w:t>
      </w:r>
      <w:r w:rsidR="00D34B95">
        <w:rPr>
          <w:b/>
        </w:rPr>
        <w:noBreakHyphen/>
      </w:r>
      <w:r w:rsidRPr="004460DD">
        <w:rPr>
          <w:b/>
          <w:bCs/>
        </w:rPr>
        <w:t xml:space="preserve">government transactions </w:t>
      </w:r>
      <w:r w:rsidRPr="004460DD">
        <w:t>sub</w:t>
      </w:r>
      <w:r w:rsidR="00D34B95">
        <w:noBreakHyphen/>
      </w:r>
      <w:r w:rsidRPr="004460DD">
        <w:t>function</w:t>
      </w:r>
      <w:r w:rsidR="005E1A91">
        <w:t xml:space="preserve"> is</w:t>
      </w:r>
      <w:r w:rsidRPr="004460DD">
        <w:t xml:space="preserve"> made up of general revenue assistance paid to state and territory governments, and local government assistance</w:t>
      </w:r>
      <w:r w:rsidR="005E1A91">
        <w:t>. Expenses</w:t>
      </w:r>
      <w:r w:rsidRPr="004460DD">
        <w:t xml:space="preserve"> are expected to </w:t>
      </w:r>
      <w:r w:rsidRPr="6BC384A3">
        <w:rPr>
          <w:lang w:val="en-US"/>
        </w:rPr>
        <w:t xml:space="preserve">increase </w:t>
      </w:r>
      <w:r w:rsidR="005E1A91">
        <w:rPr>
          <w:lang w:val="en-US"/>
        </w:rPr>
        <w:t>for the sub</w:t>
      </w:r>
      <w:r w:rsidR="00D34B95">
        <w:rPr>
          <w:lang w:val="en-US"/>
        </w:rPr>
        <w:noBreakHyphen/>
      </w:r>
      <w:r w:rsidR="005E1A91">
        <w:rPr>
          <w:lang w:val="en-US"/>
        </w:rPr>
        <w:t xml:space="preserve">function </w:t>
      </w:r>
      <w:r w:rsidRPr="6BC384A3">
        <w:rPr>
          <w:lang w:val="en-US"/>
        </w:rPr>
        <w:t>over the period 2023</w:t>
      </w:r>
      <w:r w:rsidR="00D25E5B">
        <w:rPr>
          <w:lang w:val="en-US"/>
        </w:rPr>
        <w:t>–</w:t>
      </w:r>
      <w:r w:rsidRPr="6BC384A3">
        <w:rPr>
          <w:lang w:val="en-US"/>
        </w:rPr>
        <w:t>24 to 2026</w:t>
      </w:r>
      <w:r w:rsidR="00D25E5B">
        <w:rPr>
          <w:lang w:val="en-US"/>
        </w:rPr>
        <w:t>–</w:t>
      </w:r>
      <w:r w:rsidRPr="6BC384A3">
        <w:rPr>
          <w:lang w:val="en-US"/>
        </w:rPr>
        <w:t>27</w:t>
      </w:r>
      <w:r w:rsidRPr="004460DD">
        <w:rPr>
          <w:lang w:val="en-US"/>
        </w:rPr>
        <w:t>.</w:t>
      </w:r>
      <w:r w:rsidRPr="004460DD">
        <w:t xml:space="preserve"> Nearly all the expenses under this sub</w:t>
      </w:r>
      <w:r w:rsidR="00D34B95">
        <w:noBreakHyphen/>
      </w:r>
      <w:r w:rsidRPr="004460DD">
        <w:t xml:space="preserve">function relate to </w:t>
      </w:r>
      <w:r w:rsidRPr="004460DD">
        <w:rPr>
          <w:b/>
          <w:bCs/>
        </w:rPr>
        <w:t xml:space="preserve">general revenue assistance </w:t>
      </w:r>
      <w:r w:rsidRPr="004460DD">
        <w:t xml:space="preserve">paid to state and territory governments, which is expected to </w:t>
      </w:r>
      <w:r>
        <w:t>increase</w:t>
      </w:r>
      <w:r w:rsidRPr="004460DD">
        <w:t xml:space="preserve"> in real terms from 2023</w:t>
      </w:r>
      <w:r w:rsidR="00D25E5B">
        <w:rPr>
          <w:rFonts w:eastAsia="Book Antiqua" w:cs="Book Antiqua"/>
          <w:lang w:val="en-US"/>
        </w:rPr>
        <w:t>–</w:t>
      </w:r>
      <w:r w:rsidRPr="004460DD">
        <w:t>24 to 2026</w:t>
      </w:r>
      <w:r w:rsidR="00D25E5B">
        <w:t>–</w:t>
      </w:r>
      <w:r w:rsidRPr="004460DD">
        <w:t xml:space="preserve">27, largely comprising payments of GST entitlements provided on an </w:t>
      </w:r>
      <w:r w:rsidR="00D34B95">
        <w:t>‘</w:t>
      </w:r>
      <w:r w:rsidRPr="004460DD">
        <w:t>untied</w:t>
      </w:r>
      <w:r w:rsidR="00D34B95">
        <w:t>’</w:t>
      </w:r>
      <w:r w:rsidRPr="004460DD">
        <w:t xml:space="preserve"> basis. Payments to state and territory governments tied to specific purposes are reporte</w:t>
      </w:r>
      <w:r w:rsidRPr="00905E99">
        <w:t>d unde</w:t>
      </w:r>
      <w:r w:rsidRPr="008458F6">
        <w:t>r</w:t>
      </w:r>
      <w:r w:rsidRPr="005E1A91">
        <w:t xml:space="preserve"> </w:t>
      </w:r>
      <w:r w:rsidRPr="008458F6">
        <w:t>the</w:t>
      </w:r>
      <w:r w:rsidRPr="004460DD">
        <w:t xml:space="preserve"> relevant sections in this Statement. Further information on</w:t>
      </w:r>
      <w:r w:rsidRPr="000177D7">
        <w:t xml:space="preserve"> general revenue assistance to the states and territories can be found in Budget</w:t>
      </w:r>
      <w:r w:rsidR="0075435F">
        <w:t> </w:t>
      </w:r>
      <w:r w:rsidRPr="000177D7">
        <w:t>Paper</w:t>
      </w:r>
      <w:r w:rsidR="0075435F">
        <w:t> </w:t>
      </w:r>
      <w:r w:rsidRPr="000177D7">
        <w:t>No. 3,</w:t>
      </w:r>
      <w:r w:rsidR="0075435F">
        <w:t> </w:t>
      </w:r>
      <w:r w:rsidRPr="6BC384A3">
        <w:rPr>
          <w:i/>
          <w:iCs/>
        </w:rPr>
        <w:t>Federal Financial Relations</w:t>
      </w:r>
    </w:p>
    <w:p w14:paraId="052584B0" w14:textId="6548FB79" w:rsidR="00445C2D" w:rsidRPr="000177D7" w:rsidRDefault="00445C2D" w:rsidP="00445C2D">
      <w:r w:rsidRPr="000177D7">
        <w:t xml:space="preserve">Expenses under </w:t>
      </w:r>
      <w:r w:rsidRPr="000177D7">
        <w:rPr>
          <w:b/>
        </w:rPr>
        <w:t>local government assistance</w:t>
      </w:r>
      <w:r w:rsidRPr="000177D7">
        <w:t xml:space="preserve"> are expected to </w:t>
      </w:r>
      <w:r>
        <w:rPr>
          <w:lang w:val="en-US"/>
        </w:rPr>
        <w:t>increase from 2022</w:t>
      </w:r>
      <w:r w:rsidR="00D25E5B">
        <w:rPr>
          <w:lang w:val="en-US"/>
        </w:rPr>
        <w:t>–</w:t>
      </w:r>
      <w:r>
        <w:rPr>
          <w:lang w:val="en-US"/>
        </w:rPr>
        <w:t>23 to 2023</w:t>
      </w:r>
      <w:r w:rsidR="00D25E5B">
        <w:rPr>
          <w:lang w:val="en-US"/>
        </w:rPr>
        <w:t>–</w:t>
      </w:r>
      <w:r>
        <w:rPr>
          <w:lang w:val="en-US"/>
        </w:rPr>
        <w:t xml:space="preserve">24 </w:t>
      </w:r>
      <w:r w:rsidRPr="000177D7">
        <w:t>largely reflect</w:t>
      </w:r>
      <w:r>
        <w:t>ing</w:t>
      </w:r>
      <w:r w:rsidRPr="000177D7">
        <w:t xml:space="preserve"> that</w:t>
      </w:r>
      <w:r>
        <w:t xml:space="preserve"> expenses were artificially low in 2022</w:t>
      </w:r>
      <w:r w:rsidR="00D25E5B">
        <w:t>–</w:t>
      </w:r>
      <w:r>
        <w:t>23 because</w:t>
      </w:r>
      <w:r w:rsidRPr="000177D7">
        <w:t xml:space="preserve"> 75</w:t>
      </w:r>
      <w:r w:rsidR="00893776">
        <w:t> per </w:t>
      </w:r>
      <w:r w:rsidRPr="000177D7">
        <w:t>cent of the 2022</w:t>
      </w:r>
      <w:r w:rsidR="00D25E5B">
        <w:rPr>
          <w:rFonts w:eastAsia="Book Antiqua" w:cs="Book Antiqua"/>
          <w:lang w:val="en-US"/>
        </w:rPr>
        <w:t>–</w:t>
      </w:r>
      <w:r w:rsidRPr="000177D7">
        <w:t>23 Financial Assistance Grants were paid in 2021</w:t>
      </w:r>
      <w:r w:rsidR="00D25E5B">
        <w:rPr>
          <w:rFonts w:eastAsia="Book Antiqua" w:cs="Book Antiqua"/>
          <w:lang w:val="en-US"/>
        </w:rPr>
        <w:t>–</w:t>
      </w:r>
      <w:r w:rsidRPr="000177D7">
        <w:t>22</w:t>
      </w:r>
      <w:r>
        <w:t xml:space="preserve">. </w:t>
      </w:r>
    </w:p>
    <w:p w14:paraId="0B600BD6" w14:textId="30B8A551" w:rsidR="00445C2D" w:rsidRDefault="00445C2D" w:rsidP="00445C2D">
      <w:r w:rsidRPr="000177D7">
        <w:lastRenderedPageBreak/>
        <w:t xml:space="preserve">The </w:t>
      </w:r>
      <w:r w:rsidRPr="000177D7">
        <w:rPr>
          <w:b/>
          <w:bCs/>
        </w:rPr>
        <w:t xml:space="preserve">natural disaster relief </w:t>
      </w:r>
      <w:r w:rsidRPr="000177D7">
        <w:t>sub</w:t>
      </w:r>
      <w:r w:rsidR="00D34B95">
        <w:noBreakHyphen/>
      </w:r>
      <w:r w:rsidRPr="000177D7">
        <w:t>function reflects financial support provided by the Australian Government to affected states and territories under the Natural Disaster Relief and Recovery Arrangements and, since November 2018, the Disaster Recovery Funding Arrangements (DRFA). The sub</w:t>
      </w:r>
      <w:r w:rsidR="00D34B95">
        <w:noBreakHyphen/>
      </w:r>
      <w:r w:rsidRPr="000177D7">
        <w:t>function also reflects departmental funding for the National Emergency Management Agency.</w:t>
      </w:r>
      <w:r>
        <w:t xml:space="preserve"> </w:t>
      </w:r>
      <w:r w:rsidRPr="000177D7">
        <w:t xml:space="preserve">The majority of the funding profile over the forward estimates reflects expected payments to the states in relation to disaster events that have already occurred. As a general rule, as no provision is made for future disasters the amount reduces over time. </w:t>
      </w:r>
    </w:p>
    <w:p w14:paraId="7EB2D78C" w14:textId="29391D1C" w:rsidR="00445C2D" w:rsidRPr="000177D7" w:rsidRDefault="00445C2D" w:rsidP="00445C2D">
      <w:pPr>
        <w:rPr>
          <w:rFonts w:eastAsia="Book Antiqua"/>
        </w:rPr>
      </w:pPr>
      <w:r w:rsidRPr="000177D7">
        <w:t>A provision</w:t>
      </w:r>
      <w:r w:rsidRPr="0036670F">
        <w:t xml:space="preserve"> </w:t>
      </w:r>
      <w:r>
        <w:t>is</w:t>
      </w:r>
      <w:r w:rsidRPr="0036670F">
        <w:t xml:space="preserve"> included in the </w:t>
      </w:r>
      <w:r w:rsidRPr="0036670F">
        <w:rPr>
          <w:b/>
        </w:rPr>
        <w:t>natural disaster relief</w:t>
      </w:r>
      <w:r w:rsidRPr="0036670F">
        <w:t xml:space="preserve"> sub</w:t>
      </w:r>
      <w:r w:rsidR="00D34B95">
        <w:noBreakHyphen/>
      </w:r>
      <w:r w:rsidRPr="0036670F">
        <w:t>function in 202</w:t>
      </w:r>
      <w:r>
        <w:t>3</w:t>
      </w:r>
      <w:r w:rsidR="00D25E5B">
        <w:t>–</w:t>
      </w:r>
      <w:r w:rsidRPr="0036670F">
        <w:t>24</w:t>
      </w:r>
      <w:r>
        <w:t xml:space="preserve"> and 2024</w:t>
      </w:r>
      <w:r w:rsidR="00D25E5B">
        <w:t>–</w:t>
      </w:r>
      <w:r>
        <w:t>25</w:t>
      </w:r>
      <w:r w:rsidRPr="000177D7">
        <w:t xml:space="preserve"> acknowledging the expected significant impact on future </w:t>
      </w:r>
      <w:r w:rsidR="00E54D5A">
        <w:t>g</w:t>
      </w:r>
      <w:r w:rsidRPr="000177D7">
        <w:t>overnment spending from the floods in 2022, and potential future events. Future unquantifiable costs will include the Commonwealth</w:t>
      </w:r>
      <w:r w:rsidR="00D34B95">
        <w:t>’</w:t>
      </w:r>
      <w:r w:rsidRPr="000177D7">
        <w:t>s up to 75</w:t>
      </w:r>
      <w:r w:rsidR="00893776">
        <w:t> per </w:t>
      </w:r>
      <w:r w:rsidRPr="000177D7">
        <w:t xml:space="preserve">cent share of the costs of rebuilding of essential public </w:t>
      </w:r>
      <w:r>
        <w:t>assets</w:t>
      </w:r>
      <w:r w:rsidRPr="000177D7">
        <w:t xml:space="preserve"> damaged by the floods, under </w:t>
      </w:r>
      <w:r>
        <w:t xml:space="preserve">Category </w:t>
      </w:r>
      <w:r w:rsidRPr="000177D7">
        <w:t>B of the DRFA.</w:t>
      </w:r>
    </w:p>
    <w:p w14:paraId="2E0408A7" w14:textId="25A4A404" w:rsidR="00445C2D" w:rsidRPr="006606A9" w:rsidRDefault="00445C2D" w:rsidP="00445C2D">
      <w:pPr>
        <w:rPr>
          <w:rFonts w:asciiTheme="minorHAnsi" w:hAnsiTheme="minorHAnsi"/>
          <w:szCs w:val="19"/>
        </w:rPr>
      </w:pPr>
      <w:r w:rsidRPr="006606A9">
        <w:rPr>
          <w:rFonts w:asciiTheme="minorHAnsi" w:hAnsiTheme="minorHAnsi"/>
          <w:szCs w:val="19"/>
        </w:rPr>
        <w:t xml:space="preserve">The </w:t>
      </w:r>
      <w:r w:rsidRPr="006606A9">
        <w:rPr>
          <w:rFonts w:asciiTheme="minorHAnsi" w:hAnsiTheme="minorHAnsi"/>
          <w:b/>
          <w:bCs/>
          <w:szCs w:val="19"/>
        </w:rPr>
        <w:t xml:space="preserve">contingency </w:t>
      </w:r>
      <w:r w:rsidRPr="0021687D">
        <w:rPr>
          <w:rFonts w:asciiTheme="minorHAnsi" w:hAnsiTheme="minorHAnsi"/>
          <w:b/>
          <w:bCs/>
          <w:szCs w:val="19"/>
        </w:rPr>
        <w:t xml:space="preserve">reserve </w:t>
      </w:r>
      <w:r w:rsidRPr="0021687D">
        <w:rPr>
          <w:rFonts w:asciiTheme="minorHAnsi" w:hAnsiTheme="minorHAnsi"/>
          <w:szCs w:val="19"/>
        </w:rPr>
        <w:t>sub</w:t>
      </w:r>
      <w:r w:rsidR="00D34B95">
        <w:rPr>
          <w:rFonts w:asciiTheme="minorHAnsi" w:hAnsiTheme="minorHAnsi"/>
          <w:szCs w:val="19"/>
        </w:rPr>
        <w:noBreakHyphen/>
      </w:r>
      <w:r w:rsidRPr="0021687D">
        <w:rPr>
          <w:rFonts w:asciiTheme="minorHAnsi" w:hAnsiTheme="minorHAnsi"/>
          <w:szCs w:val="19"/>
        </w:rPr>
        <w:t>function in the 2023</w:t>
      </w:r>
      <w:r w:rsidR="00D25E5B">
        <w:rPr>
          <w:rFonts w:asciiTheme="minorHAnsi" w:eastAsia="Book Antiqua" w:hAnsiTheme="minorHAnsi" w:cs="Book Antiqua"/>
          <w:szCs w:val="19"/>
          <w:lang w:val="en-US"/>
        </w:rPr>
        <w:t>–</w:t>
      </w:r>
      <w:r w:rsidRPr="0021687D">
        <w:rPr>
          <w:rFonts w:asciiTheme="minorHAnsi" w:hAnsiTheme="minorHAnsi"/>
          <w:szCs w:val="19"/>
        </w:rPr>
        <w:t xml:space="preserve">24 Budget </w:t>
      </w:r>
      <w:r w:rsidR="00067802" w:rsidRPr="0021687D">
        <w:rPr>
          <w:rFonts w:asciiTheme="minorHAnsi" w:hAnsiTheme="minorHAnsi"/>
          <w:szCs w:val="19"/>
        </w:rPr>
        <w:t>de</w:t>
      </w:r>
      <w:r w:rsidRPr="0021687D">
        <w:rPr>
          <w:rFonts w:asciiTheme="minorHAnsi" w:hAnsiTheme="minorHAnsi"/>
          <w:szCs w:val="19"/>
        </w:rPr>
        <w:t>crease expenses by $0.</w:t>
      </w:r>
      <w:r w:rsidR="00067802" w:rsidRPr="0021687D">
        <w:rPr>
          <w:rFonts w:asciiTheme="minorHAnsi" w:hAnsiTheme="minorHAnsi"/>
          <w:szCs w:val="19"/>
        </w:rPr>
        <w:t>1</w:t>
      </w:r>
      <w:r w:rsidR="008F0567">
        <w:rPr>
          <w:rFonts w:asciiTheme="minorHAnsi" w:hAnsiTheme="minorHAnsi"/>
          <w:szCs w:val="19"/>
        </w:rPr>
        <w:t> </w:t>
      </w:r>
      <w:r w:rsidRPr="0021687D">
        <w:rPr>
          <w:rFonts w:asciiTheme="minorHAnsi" w:hAnsiTheme="minorHAnsi"/>
          <w:szCs w:val="19"/>
        </w:rPr>
        <w:t>billion in 2023</w:t>
      </w:r>
      <w:r w:rsidR="00D25E5B">
        <w:rPr>
          <w:rFonts w:asciiTheme="minorHAnsi" w:eastAsia="Book Antiqua" w:hAnsiTheme="minorHAnsi" w:cs="Book Antiqua"/>
          <w:szCs w:val="19"/>
          <w:lang w:val="en-US"/>
        </w:rPr>
        <w:t>–</w:t>
      </w:r>
      <w:r w:rsidRPr="0021687D">
        <w:rPr>
          <w:rFonts w:asciiTheme="minorHAnsi" w:hAnsiTheme="minorHAnsi"/>
          <w:szCs w:val="19"/>
        </w:rPr>
        <w:t xml:space="preserve">24, </w:t>
      </w:r>
      <w:r w:rsidR="00067802" w:rsidRPr="0021687D">
        <w:rPr>
          <w:rFonts w:asciiTheme="minorHAnsi" w:hAnsiTheme="minorHAnsi"/>
          <w:szCs w:val="19"/>
        </w:rPr>
        <w:t xml:space="preserve">and increase expenses by </w:t>
      </w:r>
      <w:r w:rsidRPr="0021687D">
        <w:rPr>
          <w:rFonts w:asciiTheme="minorHAnsi" w:hAnsiTheme="minorHAnsi"/>
          <w:szCs w:val="19"/>
        </w:rPr>
        <w:t>$</w:t>
      </w:r>
      <w:r w:rsidR="00067802" w:rsidRPr="0021687D">
        <w:rPr>
          <w:rFonts w:asciiTheme="minorHAnsi" w:hAnsiTheme="minorHAnsi"/>
          <w:szCs w:val="19"/>
        </w:rPr>
        <w:t>6.0</w:t>
      </w:r>
      <w:r w:rsidRPr="0021687D">
        <w:rPr>
          <w:rFonts w:asciiTheme="minorHAnsi" w:hAnsiTheme="minorHAnsi"/>
          <w:szCs w:val="19"/>
        </w:rPr>
        <w:t> billion in 2024</w:t>
      </w:r>
      <w:r w:rsidR="00D25E5B">
        <w:rPr>
          <w:rFonts w:asciiTheme="minorHAnsi" w:eastAsia="Book Antiqua" w:hAnsiTheme="minorHAnsi" w:cs="Book Antiqua"/>
          <w:szCs w:val="19"/>
          <w:lang w:val="en-US"/>
        </w:rPr>
        <w:t>–</w:t>
      </w:r>
      <w:r w:rsidRPr="0021687D">
        <w:rPr>
          <w:rFonts w:asciiTheme="minorHAnsi" w:hAnsiTheme="minorHAnsi"/>
          <w:szCs w:val="19"/>
        </w:rPr>
        <w:t xml:space="preserve">25, </w:t>
      </w:r>
      <w:r w:rsidR="00067802" w:rsidRPr="0021687D">
        <w:rPr>
          <w:rFonts w:asciiTheme="minorHAnsi" w:hAnsiTheme="minorHAnsi"/>
          <w:szCs w:val="19"/>
        </w:rPr>
        <w:t xml:space="preserve">and by </w:t>
      </w:r>
      <w:r w:rsidRPr="0021687D">
        <w:rPr>
          <w:rFonts w:asciiTheme="minorHAnsi" w:hAnsiTheme="minorHAnsi"/>
          <w:szCs w:val="19"/>
        </w:rPr>
        <w:t>$</w:t>
      </w:r>
      <w:r w:rsidR="00067802" w:rsidRPr="0021687D">
        <w:rPr>
          <w:rFonts w:asciiTheme="minorHAnsi" w:hAnsiTheme="minorHAnsi"/>
          <w:szCs w:val="19"/>
        </w:rPr>
        <w:t>9.6</w:t>
      </w:r>
      <w:r w:rsidR="00264BB2">
        <w:rPr>
          <w:rFonts w:asciiTheme="minorHAnsi" w:hAnsiTheme="minorHAnsi"/>
          <w:szCs w:val="19"/>
        </w:rPr>
        <w:t> </w:t>
      </w:r>
      <w:r w:rsidRPr="0021687D">
        <w:rPr>
          <w:rFonts w:asciiTheme="minorHAnsi" w:hAnsiTheme="minorHAnsi"/>
          <w:szCs w:val="19"/>
        </w:rPr>
        <w:t>billion in 2025</w:t>
      </w:r>
      <w:r w:rsidR="00D25E5B">
        <w:rPr>
          <w:rFonts w:asciiTheme="minorHAnsi" w:eastAsia="Book Antiqua" w:hAnsiTheme="minorHAnsi" w:cs="Book Antiqua"/>
          <w:szCs w:val="19"/>
          <w:lang w:val="en-US"/>
        </w:rPr>
        <w:t>–</w:t>
      </w:r>
      <w:r w:rsidRPr="0021687D">
        <w:rPr>
          <w:rFonts w:asciiTheme="minorHAnsi" w:hAnsiTheme="minorHAnsi"/>
          <w:szCs w:val="19"/>
        </w:rPr>
        <w:t>26 and $</w:t>
      </w:r>
      <w:r w:rsidR="00067802" w:rsidRPr="0021687D">
        <w:rPr>
          <w:rFonts w:asciiTheme="minorHAnsi" w:hAnsiTheme="minorHAnsi"/>
          <w:szCs w:val="19"/>
        </w:rPr>
        <w:t>16.4</w:t>
      </w:r>
      <w:r w:rsidR="00264BB2">
        <w:rPr>
          <w:rFonts w:asciiTheme="minorHAnsi" w:hAnsiTheme="minorHAnsi"/>
          <w:szCs w:val="19"/>
        </w:rPr>
        <w:t> </w:t>
      </w:r>
      <w:r w:rsidRPr="0021687D">
        <w:rPr>
          <w:rFonts w:asciiTheme="minorHAnsi" w:hAnsiTheme="minorHAnsi"/>
          <w:szCs w:val="19"/>
        </w:rPr>
        <w:t>billion in 2026</w:t>
      </w:r>
      <w:r w:rsidR="00D25E5B">
        <w:rPr>
          <w:rFonts w:asciiTheme="minorHAnsi" w:hAnsiTheme="minorHAnsi"/>
          <w:szCs w:val="19"/>
        </w:rPr>
        <w:t>–</w:t>
      </w:r>
      <w:r w:rsidRPr="0021687D">
        <w:rPr>
          <w:rFonts w:asciiTheme="minorHAnsi" w:hAnsiTheme="minorHAnsi"/>
          <w:szCs w:val="19"/>
        </w:rPr>
        <w:t>27. A key component of this is the conservative bias allowance (CBA), which makes</w:t>
      </w:r>
      <w:r w:rsidRPr="006606A9">
        <w:rPr>
          <w:rFonts w:asciiTheme="minorHAnsi" w:hAnsiTheme="minorHAnsi"/>
          <w:szCs w:val="19"/>
        </w:rPr>
        <w:t xml:space="preserve"> provision for the tendency for the estimate of expenses for existing Government policy (excluding GST payments to the states) to be revised upwards in the forward years. The 2023</w:t>
      </w:r>
      <w:r w:rsidR="00D25E5B">
        <w:rPr>
          <w:rFonts w:asciiTheme="minorHAnsi" w:eastAsia="Book Antiqua" w:hAnsiTheme="minorHAnsi" w:cs="Book Antiqua"/>
          <w:szCs w:val="19"/>
          <w:lang w:val="en-US"/>
        </w:rPr>
        <w:t>–</w:t>
      </w:r>
      <w:r w:rsidRPr="006606A9">
        <w:rPr>
          <w:rFonts w:asciiTheme="minorHAnsi" w:hAnsiTheme="minorHAnsi"/>
          <w:szCs w:val="19"/>
        </w:rPr>
        <w:t>24 Budget includes a provision of:</w:t>
      </w:r>
    </w:p>
    <w:p w14:paraId="6BCCACA2" w14:textId="4357F474" w:rsidR="00445C2D" w:rsidRPr="006606A9" w:rsidRDefault="00445C2D" w:rsidP="008F0567">
      <w:pPr>
        <w:pStyle w:val="Bullet"/>
      </w:pPr>
      <w:r w:rsidRPr="006606A9">
        <w:t xml:space="preserve">nil in the </w:t>
      </w:r>
      <w:r w:rsidRPr="008F0567">
        <w:t>Budget</w:t>
      </w:r>
      <w:r w:rsidRPr="006606A9">
        <w:t xml:space="preserve"> year 2023</w:t>
      </w:r>
      <w:r w:rsidR="00D25E5B">
        <w:rPr>
          <w:rFonts w:eastAsia="Book Antiqua" w:cs="Book Antiqua"/>
          <w:lang w:val="en-US"/>
        </w:rPr>
        <w:t>–</w:t>
      </w:r>
      <w:r w:rsidRPr="006606A9">
        <w:t>24</w:t>
      </w:r>
    </w:p>
    <w:p w14:paraId="2607A502" w14:textId="2049E5C0" w:rsidR="00445C2D" w:rsidRPr="006606A9" w:rsidRDefault="00445C2D" w:rsidP="00445C2D">
      <w:pPr>
        <w:pStyle w:val="Bullet"/>
        <w:rPr>
          <w:rFonts w:asciiTheme="minorHAnsi" w:hAnsiTheme="minorHAnsi"/>
          <w:szCs w:val="19"/>
        </w:rPr>
      </w:pPr>
      <w:r w:rsidRPr="006606A9">
        <w:rPr>
          <w:rFonts w:asciiTheme="minorHAnsi" w:hAnsiTheme="minorHAnsi"/>
          <w:szCs w:val="19"/>
        </w:rPr>
        <w:t>½ of a percentage point of total general government sector (GGS) expenses in the first forward year 2024</w:t>
      </w:r>
      <w:r w:rsidR="00D25E5B">
        <w:rPr>
          <w:rFonts w:asciiTheme="minorHAnsi" w:eastAsia="Book Antiqua" w:hAnsiTheme="minorHAnsi" w:cs="Book Antiqua"/>
          <w:szCs w:val="19"/>
          <w:lang w:val="en-US"/>
        </w:rPr>
        <w:t>–</w:t>
      </w:r>
      <w:r w:rsidRPr="006606A9">
        <w:rPr>
          <w:rFonts w:asciiTheme="minorHAnsi" w:hAnsiTheme="minorHAnsi"/>
          <w:szCs w:val="19"/>
        </w:rPr>
        <w:t>25 ($3.1 billion)</w:t>
      </w:r>
    </w:p>
    <w:p w14:paraId="0E5215C5" w14:textId="5F450B9D" w:rsidR="00445C2D" w:rsidRPr="006606A9" w:rsidRDefault="00445C2D" w:rsidP="00445C2D">
      <w:pPr>
        <w:pStyle w:val="Bullet"/>
        <w:rPr>
          <w:rFonts w:asciiTheme="minorHAnsi" w:hAnsiTheme="minorHAnsi"/>
          <w:szCs w:val="19"/>
        </w:rPr>
      </w:pPr>
      <w:r w:rsidRPr="006606A9">
        <w:rPr>
          <w:rFonts w:asciiTheme="minorHAnsi" w:hAnsiTheme="minorHAnsi"/>
          <w:szCs w:val="19"/>
        </w:rPr>
        <w:t>1</w:t>
      </w:r>
      <w:r w:rsidR="00893776">
        <w:rPr>
          <w:rFonts w:asciiTheme="minorHAnsi" w:hAnsiTheme="minorHAnsi"/>
          <w:szCs w:val="19"/>
        </w:rPr>
        <w:t> per </w:t>
      </w:r>
      <w:r w:rsidRPr="006606A9">
        <w:rPr>
          <w:rFonts w:asciiTheme="minorHAnsi" w:hAnsiTheme="minorHAnsi"/>
          <w:szCs w:val="19"/>
        </w:rPr>
        <w:t>cent of GGS expenses in the second forward year 2025</w:t>
      </w:r>
      <w:r w:rsidR="00D25E5B">
        <w:rPr>
          <w:rFonts w:asciiTheme="minorHAnsi" w:eastAsia="Book Antiqua" w:hAnsiTheme="minorHAnsi" w:cs="Book Antiqua"/>
          <w:szCs w:val="19"/>
          <w:lang w:val="en-US"/>
        </w:rPr>
        <w:t>–</w:t>
      </w:r>
      <w:r w:rsidRPr="006606A9">
        <w:rPr>
          <w:rFonts w:asciiTheme="minorHAnsi" w:hAnsiTheme="minorHAnsi"/>
          <w:szCs w:val="19"/>
        </w:rPr>
        <w:t>26 ($6.4 billion)</w:t>
      </w:r>
    </w:p>
    <w:p w14:paraId="7E19EA73" w14:textId="15F3C341" w:rsidR="00445C2D" w:rsidRPr="006606A9" w:rsidRDefault="00445C2D" w:rsidP="00445C2D">
      <w:pPr>
        <w:pStyle w:val="Bullet"/>
        <w:rPr>
          <w:rFonts w:asciiTheme="minorHAnsi" w:hAnsiTheme="minorHAnsi"/>
          <w:szCs w:val="19"/>
        </w:rPr>
      </w:pPr>
      <w:r w:rsidRPr="006606A9">
        <w:rPr>
          <w:rFonts w:asciiTheme="minorHAnsi" w:hAnsiTheme="minorHAnsi"/>
          <w:szCs w:val="19"/>
        </w:rPr>
        <w:t>2</w:t>
      </w:r>
      <w:r w:rsidR="00893776">
        <w:rPr>
          <w:rFonts w:asciiTheme="minorHAnsi" w:hAnsiTheme="minorHAnsi"/>
          <w:szCs w:val="19"/>
        </w:rPr>
        <w:t> per </w:t>
      </w:r>
      <w:r w:rsidRPr="006606A9">
        <w:rPr>
          <w:rFonts w:asciiTheme="minorHAnsi" w:hAnsiTheme="minorHAnsi"/>
          <w:szCs w:val="19"/>
        </w:rPr>
        <w:t>cent of GGS expenses in the third forward year 2026</w:t>
      </w:r>
      <w:r w:rsidR="00D25E5B">
        <w:rPr>
          <w:rFonts w:asciiTheme="minorHAnsi" w:eastAsia="Book Antiqua" w:hAnsiTheme="minorHAnsi" w:cs="Book Antiqua"/>
          <w:szCs w:val="19"/>
          <w:lang w:val="en-US"/>
        </w:rPr>
        <w:t>–</w:t>
      </w:r>
      <w:r w:rsidRPr="006606A9">
        <w:rPr>
          <w:rFonts w:asciiTheme="minorHAnsi" w:hAnsiTheme="minorHAnsi"/>
          <w:szCs w:val="19"/>
        </w:rPr>
        <w:t>27 ($13.1 billion).</w:t>
      </w:r>
    </w:p>
    <w:p w14:paraId="43442D58" w14:textId="7A2E5A38" w:rsidR="00445C2D" w:rsidRPr="006606A9" w:rsidRDefault="00445C2D" w:rsidP="00445C2D">
      <w:pPr>
        <w:pStyle w:val="Bullet"/>
        <w:numPr>
          <w:ilvl w:val="0"/>
          <w:numId w:val="0"/>
        </w:numPr>
        <w:rPr>
          <w:rFonts w:asciiTheme="minorHAnsi" w:eastAsia="Book Antiqua" w:hAnsiTheme="minorHAnsi"/>
          <w:szCs w:val="19"/>
        </w:rPr>
      </w:pPr>
      <w:r w:rsidRPr="006606A9">
        <w:rPr>
          <w:rFonts w:asciiTheme="minorHAnsi" w:eastAsia="Book Antiqua" w:hAnsiTheme="minorHAnsi"/>
          <w:szCs w:val="19"/>
        </w:rPr>
        <w:t>The drawdown of the CBA decreased expenses by $1.4</w:t>
      </w:r>
      <w:r w:rsidR="00880B26">
        <w:rPr>
          <w:rFonts w:asciiTheme="minorHAnsi" w:eastAsia="Book Antiqua" w:hAnsiTheme="minorHAnsi"/>
          <w:szCs w:val="19"/>
        </w:rPr>
        <w:t> </w:t>
      </w:r>
      <w:r w:rsidRPr="006606A9">
        <w:rPr>
          <w:rFonts w:asciiTheme="minorHAnsi" w:eastAsia="Book Antiqua" w:hAnsiTheme="minorHAnsi"/>
          <w:szCs w:val="19"/>
        </w:rPr>
        <w:t>billion in 2023</w:t>
      </w:r>
      <w:r w:rsidR="00D25E5B">
        <w:rPr>
          <w:rFonts w:asciiTheme="minorHAnsi" w:eastAsia="Book Antiqua" w:hAnsiTheme="minorHAnsi" w:cs="Book Antiqua"/>
          <w:szCs w:val="19"/>
          <w:lang w:val="en-US"/>
        </w:rPr>
        <w:t>–</w:t>
      </w:r>
      <w:r w:rsidRPr="006606A9">
        <w:rPr>
          <w:rFonts w:asciiTheme="minorHAnsi" w:eastAsia="Book Antiqua" w:hAnsiTheme="minorHAnsi"/>
          <w:szCs w:val="19"/>
        </w:rPr>
        <w:t>24, $1.3</w:t>
      </w:r>
      <w:r w:rsidR="00880B26">
        <w:rPr>
          <w:rFonts w:asciiTheme="minorHAnsi" w:eastAsia="Book Antiqua" w:hAnsiTheme="minorHAnsi"/>
          <w:szCs w:val="19"/>
        </w:rPr>
        <w:t> </w:t>
      </w:r>
      <w:r w:rsidRPr="006606A9">
        <w:rPr>
          <w:rFonts w:asciiTheme="minorHAnsi" w:eastAsia="Book Antiqua" w:hAnsiTheme="minorHAnsi"/>
          <w:szCs w:val="19"/>
        </w:rPr>
        <w:t>billion in 2024</w:t>
      </w:r>
      <w:r w:rsidR="00D25E5B">
        <w:rPr>
          <w:rFonts w:asciiTheme="minorHAnsi" w:eastAsia="Book Antiqua" w:hAnsiTheme="minorHAnsi" w:cs="Book Antiqua"/>
          <w:szCs w:val="19"/>
          <w:lang w:val="en-US"/>
        </w:rPr>
        <w:t>–</w:t>
      </w:r>
      <w:r w:rsidRPr="006606A9">
        <w:rPr>
          <w:rFonts w:asciiTheme="minorHAnsi" w:eastAsia="Book Antiqua" w:hAnsiTheme="minorHAnsi"/>
          <w:szCs w:val="19"/>
        </w:rPr>
        <w:t>25, $2.5 billion in 2025</w:t>
      </w:r>
      <w:r w:rsidR="00D25E5B">
        <w:rPr>
          <w:rFonts w:asciiTheme="minorHAnsi" w:eastAsia="Book Antiqua" w:hAnsiTheme="minorHAnsi" w:cs="Book Antiqua"/>
          <w:szCs w:val="19"/>
          <w:lang w:val="en-US"/>
        </w:rPr>
        <w:t>–</w:t>
      </w:r>
      <w:r w:rsidRPr="006606A9">
        <w:rPr>
          <w:rFonts w:asciiTheme="minorHAnsi" w:eastAsia="Book Antiqua" w:hAnsiTheme="minorHAnsi"/>
          <w:szCs w:val="19"/>
        </w:rPr>
        <w:t>26 and $3.0</w:t>
      </w:r>
      <w:r w:rsidR="00880B26">
        <w:rPr>
          <w:rFonts w:asciiTheme="minorHAnsi" w:eastAsia="Book Antiqua" w:hAnsiTheme="minorHAnsi"/>
          <w:szCs w:val="19"/>
        </w:rPr>
        <w:t> </w:t>
      </w:r>
      <w:r w:rsidRPr="006606A9">
        <w:rPr>
          <w:rFonts w:asciiTheme="minorHAnsi" w:eastAsia="Book Antiqua" w:hAnsiTheme="minorHAnsi"/>
          <w:szCs w:val="19"/>
        </w:rPr>
        <w:t>billion in 2026</w:t>
      </w:r>
      <w:r w:rsidR="00D25E5B">
        <w:rPr>
          <w:rFonts w:asciiTheme="minorHAnsi" w:eastAsia="Book Antiqua" w:hAnsiTheme="minorHAnsi"/>
          <w:szCs w:val="19"/>
        </w:rPr>
        <w:t>–</w:t>
      </w:r>
      <w:r w:rsidRPr="006606A9">
        <w:rPr>
          <w:rFonts w:asciiTheme="minorHAnsi" w:eastAsia="Book Antiqua" w:hAnsiTheme="minorHAnsi"/>
          <w:szCs w:val="19"/>
        </w:rPr>
        <w:t>27. This is consistent with long standing practice and does not represent a saving or offset to spending measures.</w:t>
      </w:r>
    </w:p>
    <w:p w14:paraId="298C74A4" w14:textId="0F1E7146" w:rsidR="00445C2D" w:rsidRPr="003F727C" w:rsidRDefault="00445C2D" w:rsidP="00445C2D">
      <w:pPr>
        <w:pStyle w:val="Bullet"/>
        <w:numPr>
          <w:ilvl w:val="0"/>
          <w:numId w:val="0"/>
        </w:numPr>
        <w:rPr>
          <w:rFonts w:eastAsia="Book Antiqua"/>
        </w:rPr>
      </w:pPr>
      <w:r w:rsidRPr="003F727C">
        <w:rPr>
          <w:rFonts w:eastAsia="Book Antiqua"/>
        </w:rPr>
        <w:t xml:space="preserve">In this Budget, the remaining savings from the October Budget measure </w:t>
      </w:r>
      <w:r w:rsidRPr="00310CEC">
        <w:rPr>
          <w:rFonts w:eastAsia="Book Antiqua"/>
          <w:i/>
          <w:iCs/>
        </w:rPr>
        <w:t>Savings</w:t>
      </w:r>
      <w:r w:rsidR="00880B26">
        <w:rPr>
          <w:rFonts w:eastAsia="Book Antiqua"/>
          <w:i/>
          <w:iCs/>
        </w:rPr>
        <w:t> </w:t>
      </w:r>
      <w:r w:rsidRPr="00310CEC">
        <w:rPr>
          <w:rFonts w:eastAsia="Book Antiqua"/>
          <w:i/>
          <w:iCs/>
        </w:rPr>
        <w:t>from</w:t>
      </w:r>
      <w:r w:rsidR="00880B26">
        <w:rPr>
          <w:rFonts w:eastAsia="Book Antiqua"/>
          <w:i/>
          <w:iCs/>
        </w:rPr>
        <w:t> </w:t>
      </w:r>
      <w:r w:rsidRPr="00310CEC">
        <w:rPr>
          <w:rFonts w:eastAsia="Book Antiqua"/>
          <w:i/>
          <w:iCs/>
        </w:rPr>
        <w:t>External Labour, and Savings from Advertising, Travel and Legal Expenses</w:t>
      </w:r>
      <w:r w:rsidRPr="003F727C">
        <w:rPr>
          <w:rFonts w:eastAsia="Book Antiqua"/>
        </w:rPr>
        <w:t xml:space="preserve"> was allocated to </w:t>
      </w:r>
      <w:r w:rsidR="0086257A">
        <w:rPr>
          <w:rFonts w:eastAsia="Book Antiqua"/>
        </w:rPr>
        <w:t>GGS</w:t>
      </w:r>
      <w:r w:rsidRPr="003F727C">
        <w:rPr>
          <w:rFonts w:eastAsia="Book Antiqua"/>
        </w:rPr>
        <w:t xml:space="preserve"> agencies. In the October Budget, these savings were provisioned in the Contingency Reserve over 3 years from 2023</w:t>
      </w:r>
      <w:r w:rsidR="00D25E5B">
        <w:rPr>
          <w:rFonts w:eastAsia="Book Antiqua"/>
        </w:rPr>
        <w:t>–</w:t>
      </w:r>
      <w:r w:rsidRPr="003F727C">
        <w:rPr>
          <w:rFonts w:eastAsia="Book Antiqua"/>
        </w:rPr>
        <w:t>24. The Government has allocated these savings over 4 years rather than 3 (2023</w:t>
      </w:r>
      <w:r w:rsidR="00D25E5B">
        <w:rPr>
          <w:rFonts w:eastAsia="Book Antiqua"/>
        </w:rPr>
        <w:t>–</w:t>
      </w:r>
      <w:r w:rsidRPr="003F727C">
        <w:rPr>
          <w:rFonts w:eastAsia="Book Antiqua"/>
        </w:rPr>
        <w:t>24 to 2026</w:t>
      </w:r>
      <w:r w:rsidR="00D25E5B">
        <w:rPr>
          <w:rFonts w:eastAsia="Book Antiqua"/>
        </w:rPr>
        <w:t>–</w:t>
      </w:r>
      <w:r w:rsidRPr="003F727C">
        <w:rPr>
          <w:rFonts w:eastAsia="Book Antiqua"/>
        </w:rPr>
        <w:t>27), with no net impact on underlying cash</w:t>
      </w:r>
      <w:r w:rsidR="00D34B95">
        <w:rPr>
          <w:rFonts w:eastAsia="Book Antiqua"/>
        </w:rPr>
        <w:t xml:space="preserve">. </w:t>
      </w:r>
    </w:p>
    <w:p w14:paraId="637DE572" w14:textId="77777777" w:rsidR="008F0567" w:rsidRDefault="00445C2D" w:rsidP="00445C2D">
      <w:pPr>
        <w:pStyle w:val="Bullet"/>
        <w:numPr>
          <w:ilvl w:val="0"/>
          <w:numId w:val="0"/>
        </w:numPr>
        <w:rPr>
          <w:rFonts w:asciiTheme="minorHAnsi" w:hAnsiTheme="minorHAnsi"/>
          <w:szCs w:val="19"/>
        </w:rPr>
      </w:pPr>
      <w:r w:rsidRPr="006606A9">
        <w:rPr>
          <w:rFonts w:asciiTheme="minorHAnsi" w:hAnsiTheme="minorHAnsi"/>
          <w:szCs w:val="19"/>
        </w:rPr>
        <w:t>The Contingency Reserve also includes estimates for policy decisions that have been announced but cannot yet be included in entity estimates, usually due to some uncertainty as to their final cost and/or outcomes, or as they are subject to negotiations.</w:t>
      </w:r>
    </w:p>
    <w:p w14:paraId="0C639218" w14:textId="34F2D90F" w:rsidR="001710EC" w:rsidRDefault="001710EC" w:rsidP="00445C2D">
      <w:pPr>
        <w:pStyle w:val="Bullet"/>
        <w:numPr>
          <w:ilvl w:val="0"/>
          <w:numId w:val="0"/>
        </w:numPr>
        <w:rPr>
          <w:rFonts w:asciiTheme="minorHAnsi" w:hAnsiTheme="minorHAnsi"/>
          <w:szCs w:val="19"/>
        </w:rPr>
      </w:pPr>
      <w:r>
        <w:rPr>
          <w:rFonts w:asciiTheme="minorHAnsi" w:hAnsiTheme="minorHAnsi"/>
          <w:szCs w:val="19"/>
        </w:rPr>
        <w:br w:type="page"/>
      </w:r>
    </w:p>
    <w:p w14:paraId="62E86661" w14:textId="77777777" w:rsidR="00445C2D" w:rsidRPr="006606A9" w:rsidRDefault="00445C2D" w:rsidP="00445C2D">
      <w:pPr>
        <w:pStyle w:val="Bullet"/>
        <w:numPr>
          <w:ilvl w:val="0"/>
          <w:numId w:val="0"/>
        </w:numPr>
        <w:rPr>
          <w:rFonts w:asciiTheme="minorHAnsi" w:hAnsiTheme="minorHAnsi"/>
          <w:szCs w:val="19"/>
        </w:rPr>
      </w:pPr>
      <w:r w:rsidRPr="006606A9">
        <w:rPr>
          <w:rFonts w:asciiTheme="minorHAnsi" w:hAnsiTheme="minorHAnsi"/>
          <w:szCs w:val="19"/>
        </w:rPr>
        <w:lastRenderedPageBreak/>
        <w:t>In general, the Contingency Reserve can include:</w:t>
      </w:r>
    </w:p>
    <w:p w14:paraId="08AC71E8" w14:textId="40FD465D" w:rsidR="00445C2D" w:rsidRPr="006606A9" w:rsidRDefault="00445C2D" w:rsidP="00445C2D">
      <w:pPr>
        <w:pStyle w:val="Bullet"/>
        <w:rPr>
          <w:rFonts w:asciiTheme="minorHAnsi" w:hAnsiTheme="minorHAnsi"/>
          <w:szCs w:val="19"/>
        </w:rPr>
      </w:pPr>
      <w:r w:rsidRPr="006606A9">
        <w:rPr>
          <w:rFonts w:asciiTheme="minorHAnsi" w:hAnsiTheme="minorHAnsi"/>
          <w:szCs w:val="19"/>
        </w:rPr>
        <w:t>Commercial</w:t>
      </w:r>
      <w:r w:rsidR="00D34B95">
        <w:rPr>
          <w:rFonts w:asciiTheme="minorHAnsi" w:hAnsiTheme="minorHAnsi"/>
          <w:szCs w:val="19"/>
        </w:rPr>
        <w:noBreakHyphen/>
      </w:r>
      <w:r w:rsidRPr="006606A9">
        <w:rPr>
          <w:rFonts w:asciiTheme="minorHAnsi" w:hAnsiTheme="minorHAnsi"/>
          <w:szCs w:val="19"/>
        </w:rPr>
        <w:t>in</w:t>
      </w:r>
      <w:r w:rsidR="00D34B95">
        <w:rPr>
          <w:rFonts w:asciiTheme="minorHAnsi" w:hAnsiTheme="minorHAnsi"/>
          <w:szCs w:val="19"/>
        </w:rPr>
        <w:noBreakHyphen/>
      </w:r>
      <w:r w:rsidRPr="006606A9">
        <w:rPr>
          <w:rFonts w:asciiTheme="minorHAnsi" w:hAnsiTheme="minorHAnsi"/>
          <w:szCs w:val="19"/>
        </w:rPr>
        <w:t>confidence and national security</w:t>
      </w:r>
      <w:r w:rsidR="00D34B95">
        <w:rPr>
          <w:rFonts w:asciiTheme="minorHAnsi" w:hAnsiTheme="minorHAnsi"/>
          <w:szCs w:val="19"/>
        </w:rPr>
        <w:noBreakHyphen/>
      </w:r>
      <w:r w:rsidRPr="006606A9">
        <w:rPr>
          <w:rFonts w:asciiTheme="minorHAnsi" w:hAnsiTheme="minorHAnsi"/>
          <w:szCs w:val="19"/>
        </w:rPr>
        <w:t>in</w:t>
      </w:r>
      <w:r w:rsidR="00D34B95">
        <w:rPr>
          <w:rFonts w:asciiTheme="minorHAnsi" w:hAnsiTheme="minorHAnsi"/>
          <w:szCs w:val="19"/>
        </w:rPr>
        <w:noBreakHyphen/>
      </w:r>
      <w:r w:rsidRPr="006606A9">
        <w:rPr>
          <w:rFonts w:asciiTheme="minorHAnsi" w:hAnsiTheme="minorHAnsi"/>
          <w:szCs w:val="19"/>
        </w:rPr>
        <w:t>confidence items that cannot be disclosed separately and programs that are yet to be renegotiated with state and territory governments</w:t>
      </w:r>
    </w:p>
    <w:p w14:paraId="5A9A7C83" w14:textId="07C8E4C6" w:rsidR="00445C2D" w:rsidRPr="006606A9" w:rsidRDefault="00445C2D" w:rsidP="00445C2D">
      <w:pPr>
        <w:pStyle w:val="Bullet"/>
        <w:rPr>
          <w:rFonts w:asciiTheme="minorHAnsi" w:hAnsiTheme="minorHAnsi"/>
          <w:szCs w:val="19"/>
        </w:rPr>
      </w:pPr>
      <w:r w:rsidRPr="006606A9">
        <w:rPr>
          <w:rFonts w:asciiTheme="minorHAnsi" w:hAnsiTheme="minorHAnsi"/>
          <w:szCs w:val="19"/>
        </w:rPr>
        <w:t>the effect, on the budget and forward estimates, of economic parameter revisions received late in the process and hence not able to be allocated to individual entities or functions</w:t>
      </w:r>
    </w:p>
    <w:p w14:paraId="73A7A65F" w14:textId="63E29DB4" w:rsidR="00445C2D" w:rsidRPr="006606A9" w:rsidRDefault="00445C2D" w:rsidP="00445C2D">
      <w:pPr>
        <w:pStyle w:val="Bullet"/>
        <w:rPr>
          <w:rFonts w:asciiTheme="minorHAnsi" w:eastAsia="Book Antiqua" w:hAnsiTheme="minorHAnsi"/>
          <w:szCs w:val="19"/>
        </w:rPr>
      </w:pPr>
      <w:r w:rsidRPr="006606A9">
        <w:rPr>
          <w:rFonts w:asciiTheme="minorHAnsi" w:hAnsiTheme="minorHAnsi"/>
          <w:szCs w:val="19"/>
        </w:rPr>
        <w:t>decisions taken but not yet announced by the Government, and decisions made too late for inclusion against individual entity estimates</w:t>
      </w:r>
    </w:p>
    <w:p w14:paraId="01B43AE7" w14:textId="01A6833A" w:rsidR="00B676A2" w:rsidRPr="00842CC7" w:rsidRDefault="00445C2D" w:rsidP="00A32E2C">
      <w:pPr>
        <w:pStyle w:val="Bullet"/>
        <w:rPr>
          <w:rStyle w:val="Heading2Char"/>
          <w:rFonts w:ascii="Book Antiqua" w:eastAsia="Book Antiqua" w:hAnsi="Book Antiqua"/>
          <w:b w:val="0"/>
          <w:sz w:val="19"/>
        </w:rPr>
      </w:pPr>
      <w:r w:rsidRPr="006606A9">
        <w:rPr>
          <w:rFonts w:asciiTheme="minorHAnsi" w:hAnsiTheme="minorHAnsi"/>
          <w:szCs w:val="19"/>
        </w:rPr>
        <w:t>provisions for other specific events and pressures that are reasonably expected to affect the budget estimates</w:t>
      </w:r>
      <w:r>
        <w:rPr>
          <w:rFonts w:asciiTheme="minorHAnsi" w:hAnsiTheme="minorHAnsi"/>
          <w:szCs w:val="19"/>
        </w:rPr>
        <w:t>, including the continuation of terminating measures</w:t>
      </w:r>
      <w:r w:rsidRPr="006606A9">
        <w:rPr>
          <w:rFonts w:asciiTheme="minorHAnsi" w:hAnsiTheme="minorHAnsi"/>
          <w:szCs w:val="19"/>
        </w:rPr>
        <w:t>.</w:t>
      </w:r>
    </w:p>
    <w:p w14:paraId="435A09EA" w14:textId="77777777" w:rsidR="00476844" w:rsidRPr="00C3055E" w:rsidRDefault="00476844" w:rsidP="00C3055E">
      <w:r>
        <w:rPr>
          <w:rStyle w:val="Heading2Char"/>
        </w:rPr>
        <w:br w:type="page"/>
      </w:r>
    </w:p>
    <w:p w14:paraId="4E09D666" w14:textId="009A87D8" w:rsidR="00C855DF" w:rsidRPr="000177D7" w:rsidRDefault="00C855DF" w:rsidP="00B676A2">
      <w:pPr>
        <w:rPr>
          <w:rFonts w:ascii="Arial (bold)" w:hAnsi="Arial (bold)"/>
        </w:rPr>
      </w:pPr>
      <w:bookmarkStart w:id="158" w:name="_Toc134169627"/>
      <w:r w:rsidRPr="000177D7">
        <w:rPr>
          <w:rStyle w:val="Heading2Char"/>
        </w:rPr>
        <w:lastRenderedPageBreak/>
        <w:t>General government net capital investment</w:t>
      </w:r>
      <w:bookmarkEnd w:id="155"/>
      <w:bookmarkEnd w:id="156"/>
      <w:bookmarkEnd w:id="158"/>
    </w:p>
    <w:p w14:paraId="02B57AD5" w14:textId="540489F9" w:rsidR="00445C2D" w:rsidRDefault="00445C2D" w:rsidP="00445C2D">
      <w:pPr>
        <w:rPr>
          <w:sz w:val="22"/>
        </w:rPr>
      </w:pPr>
      <w:bookmarkStart w:id="159" w:name="_Toc4577283"/>
      <w:bookmarkStart w:id="160" w:name="_Toc4689195"/>
      <w:bookmarkStart w:id="161" w:name="_Toc4577284"/>
      <w:bookmarkStart w:id="162" w:name="_Toc4689196"/>
      <w:bookmarkStart w:id="163" w:name="_Toc70698156"/>
      <w:r>
        <w:t>Net capital investment is broadly defined as the sale and acquisition of non</w:t>
      </w:r>
      <w:r w:rsidR="00D34B95">
        <w:noBreakHyphen/>
      </w:r>
      <w:r>
        <w:t>financial assets, less depreciation expenses. It provides a measure of the overall growth in capital assets (including buildings and infrastructure, specialist military equipment</w:t>
      </w:r>
      <w:r w:rsidR="00E75A1D">
        <w:t>,</w:t>
      </w:r>
      <w:r>
        <w:t xml:space="preserve"> and computer software) after taking into account depreciation and amortisation as previously acquired assets age.</w:t>
      </w:r>
    </w:p>
    <w:p w14:paraId="3C0C8BBC" w14:textId="4746778F" w:rsidR="00445C2D" w:rsidRPr="000177D7" w:rsidRDefault="00445C2D" w:rsidP="00445C2D">
      <w:pPr>
        <w:rPr>
          <w:rFonts w:ascii="Calibri" w:hAnsi="Calibri"/>
        </w:rPr>
      </w:pPr>
      <w:r>
        <w:t xml:space="preserve">Government capital spending involves acquisition of physical assets, financial assets and provision of grants and subsidies to others (primarily state and territory governments), which they then use to acquire assets. </w:t>
      </w:r>
      <w:r w:rsidRPr="000177D7">
        <w:t>Government capital spending involves acquisition of physical assets, financial assets and provision of grants and subsidies to others (primarily state and territory governments), which they then use to acquire assets.</w:t>
      </w:r>
    </w:p>
    <w:p w14:paraId="48596C7A" w14:textId="09A80151" w:rsidR="00445C2D" w:rsidRDefault="00445C2D" w:rsidP="00445C2D">
      <w:pPr>
        <w:rPr>
          <w:sz w:val="22"/>
        </w:rPr>
      </w:pPr>
      <w:r>
        <w:t>Australian Government general government sector (GGS) net capital investment is expected to be $1</w:t>
      </w:r>
      <w:r w:rsidR="00A44D3B">
        <w:t>0.4</w:t>
      </w:r>
      <w:r>
        <w:t> billion in 2023</w:t>
      </w:r>
      <w:r w:rsidR="00D25E5B">
        <w:rPr>
          <w:lang w:val="en-US"/>
        </w:rPr>
        <w:t>–</w:t>
      </w:r>
      <w:r>
        <w:t xml:space="preserve">24, </w:t>
      </w:r>
      <w:r w:rsidR="00A44D3B">
        <w:t>which is in line with the</w:t>
      </w:r>
      <w:r>
        <w:t xml:space="preserve"> net capital investment in 2022</w:t>
      </w:r>
      <w:r w:rsidR="00D25E5B">
        <w:t>–</w:t>
      </w:r>
      <w:r>
        <w:t>23. This reflects reprioritised investments in military capabilities by the Department of Defence to support the implementation of the Government</w:t>
      </w:r>
      <w:r w:rsidR="00D34B95">
        <w:t>’</w:t>
      </w:r>
      <w:r>
        <w:t>s response to the</w:t>
      </w:r>
      <w:r>
        <w:rPr>
          <w:i/>
          <w:iCs/>
        </w:rPr>
        <w:t xml:space="preserve"> Defence Strategic Review </w:t>
      </w:r>
      <w:r>
        <w:t>and</w:t>
      </w:r>
      <w:r>
        <w:rPr>
          <w:i/>
          <w:iCs/>
        </w:rPr>
        <w:t xml:space="preserve"> </w:t>
      </w:r>
      <w:r>
        <w:t xml:space="preserve">the achievement of an Integrated Force. </w:t>
      </w:r>
    </w:p>
    <w:p w14:paraId="29A34FED" w14:textId="77777777" w:rsidR="00445C2D" w:rsidRPr="000177D7" w:rsidRDefault="00445C2D" w:rsidP="00445C2D">
      <w:r w:rsidRPr="000177D7">
        <w:t>Details of movements are further explained in the following section.</w:t>
      </w:r>
    </w:p>
    <w:p w14:paraId="7E30EB60" w14:textId="655AF4DA" w:rsidR="00D466AA" w:rsidRDefault="00C855DF" w:rsidP="00E210CA">
      <w:pPr>
        <w:pStyle w:val="TableHeading"/>
        <w:rPr>
          <w:rFonts w:asciiTheme="minorHAnsi" w:eastAsiaTheme="minorHAnsi" w:hAnsiTheme="minorHAnsi" w:cstheme="minorBidi"/>
          <w:sz w:val="22"/>
          <w:szCs w:val="22"/>
          <w:lang w:eastAsia="en-US"/>
        </w:rPr>
      </w:pPr>
      <w:r w:rsidRPr="000177D7">
        <w:t>Table 6.18: Estimates of total net capital investment</w:t>
      </w:r>
      <w:bookmarkStart w:id="164" w:name="_1727774390"/>
      <w:bookmarkEnd w:id="164"/>
    </w:p>
    <w:tbl>
      <w:tblPr>
        <w:tblW w:w="5000" w:type="pct"/>
        <w:tblCellMar>
          <w:left w:w="0" w:type="dxa"/>
          <w:right w:w="28" w:type="dxa"/>
        </w:tblCellMar>
        <w:tblLook w:val="04A0" w:firstRow="1" w:lastRow="0" w:firstColumn="1" w:lastColumn="0" w:noHBand="0" w:noVBand="1"/>
      </w:tblPr>
      <w:tblGrid>
        <w:gridCol w:w="2013"/>
        <w:gridCol w:w="1484"/>
        <w:gridCol w:w="828"/>
        <w:gridCol w:w="73"/>
        <w:gridCol w:w="828"/>
        <w:gridCol w:w="828"/>
        <w:gridCol w:w="828"/>
        <w:gridCol w:w="828"/>
      </w:tblGrid>
      <w:tr w:rsidR="00E27BBA" w:rsidRPr="00D466AA" w14:paraId="11334D9A" w14:textId="77777777" w:rsidTr="006E0E3C">
        <w:trPr>
          <w:trHeight w:hRule="exact" w:val="225"/>
        </w:trPr>
        <w:tc>
          <w:tcPr>
            <w:tcW w:w="1305" w:type="pct"/>
            <w:tcBorders>
              <w:top w:val="single" w:sz="4" w:space="0" w:color="002A54" w:themeColor="text2"/>
              <w:left w:val="nil"/>
              <w:bottom w:val="nil"/>
              <w:right w:val="nil"/>
            </w:tcBorders>
            <w:shd w:val="clear" w:color="000000" w:fill="FFFFFF"/>
            <w:noWrap/>
            <w:vAlign w:val="center"/>
            <w:hideMark/>
          </w:tcPr>
          <w:p w14:paraId="056DE611" w14:textId="311B44F3" w:rsidR="00D466AA" w:rsidRPr="00D466AA" w:rsidRDefault="00D466AA">
            <w:pPr>
              <w:rPr>
                <w:rFonts w:ascii="Arial" w:hAnsi="Arial" w:cs="Arial"/>
                <w:color w:val="000000"/>
                <w:sz w:val="16"/>
                <w:szCs w:val="16"/>
              </w:rPr>
            </w:pPr>
            <w:r w:rsidRPr="00D466AA">
              <w:rPr>
                <w:rFonts w:ascii="Arial" w:hAnsi="Arial" w:cs="Arial"/>
                <w:color w:val="000000"/>
                <w:sz w:val="16"/>
                <w:szCs w:val="16"/>
              </w:rPr>
              <w:t> </w:t>
            </w:r>
          </w:p>
        </w:tc>
        <w:tc>
          <w:tcPr>
            <w:tcW w:w="962" w:type="pct"/>
            <w:tcBorders>
              <w:top w:val="single" w:sz="4" w:space="0" w:color="002A54" w:themeColor="text2"/>
              <w:left w:val="nil"/>
              <w:bottom w:val="single" w:sz="4" w:space="0" w:color="002A54" w:themeColor="text2"/>
              <w:right w:val="nil"/>
            </w:tcBorders>
            <w:shd w:val="clear" w:color="000000" w:fill="FFFFFF"/>
            <w:noWrap/>
            <w:vAlign w:val="center"/>
            <w:hideMark/>
          </w:tcPr>
          <w:p w14:paraId="641FDFA2"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October Budget</w:t>
            </w:r>
          </w:p>
        </w:tc>
        <w:tc>
          <w:tcPr>
            <w:tcW w:w="537" w:type="pct"/>
            <w:tcBorders>
              <w:top w:val="single" w:sz="4" w:space="0" w:color="002A54" w:themeColor="text2"/>
              <w:left w:val="nil"/>
              <w:bottom w:val="single" w:sz="4" w:space="0" w:color="002A54" w:themeColor="text2"/>
              <w:right w:val="nil"/>
            </w:tcBorders>
            <w:shd w:val="clear" w:color="000000" w:fill="FFFFFF"/>
            <w:noWrap/>
            <w:vAlign w:val="center"/>
            <w:hideMark/>
          </w:tcPr>
          <w:p w14:paraId="35D3324D" w14:textId="77777777" w:rsidR="00D466AA" w:rsidRPr="00D466AA" w:rsidRDefault="00D466AA" w:rsidP="00D466AA">
            <w:pPr>
              <w:spacing w:before="0" w:after="0" w:line="240" w:lineRule="auto"/>
              <w:jc w:val="center"/>
              <w:rPr>
                <w:rFonts w:ascii="Arial" w:hAnsi="Arial" w:cs="Arial"/>
                <w:sz w:val="16"/>
                <w:szCs w:val="16"/>
              </w:rPr>
            </w:pPr>
            <w:r w:rsidRPr="00D466AA">
              <w:rPr>
                <w:rFonts w:ascii="Arial" w:hAnsi="Arial" w:cs="Arial"/>
                <w:sz w:val="16"/>
                <w:szCs w:val="16"/>
              </w:rPr>
              <w:t>Revised</w:t>
            </w:r>
          </w:p>
        </w:tc>
        <w:tc>
          <w:tcPr>
            <w:tcW w:w="47" w:type="pct"/>
            <w:tcBorders>
              <w:top w:val="single" w:sz="4" w:space="0" w:color="002A54" w:themeColor="text2"/>
              <w:left w:val="nil"/>
              <w:bottom w:val="nil"/>
              <w:right w:val="nil"/>
            </w:tcBorders>
            <w:shd w:val="clear" w:color="000000" w:fill="FFFFFF"/>
            <w:noWrap/>
            <w:vAlign w:val="center"/>
            <w:hideMark/>
          </w:tcPr>
          <w:p w14:paraId="023D95C2"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2148" w:type="pct"/>
            <w:gridSpan w:val="4"/>
            <w:tcBorders>
              <w:top w:val="single" w:sz="4" w:space="0" w:color="002A54" w:themeColor="text2"/>
              <w:left w:val="nil"/>
              <w:bottom w:val="single" w:sz="4" w:space="0" w:color="002A54" w:themeColor="text2"/>
              <w:right w:val="nil"/>
            </w:tcBorders>
            <w:shd w:val="clear" w:color="000000" w:fill="FFFFFF"/>
            <w:noWrap/>
            <w:vAlign w:val="center"/>
            <w:hideMark/>
          </w:tcPr>
          <w:p w14:paraId="0FA6E887" w14:textId="77777777" w:rsidR="00D466AA" w:rsidRPr="00D466AA" w:rsidRDefault="00D466AA" w:rsidP="00D466AA">
            <w:pPr>
              <w:spacing w:before="0" w:after="0" w:line="240" w:lineRule="auto"/>
              <w:jc w:val="center"/>
              <w:rPr>
                <w:rFonts w:ascii="Arial" w:hAnsi="Arial" w:cs="Arial"/>
                <w:color w:val="000000"/>
                <w:sz w:val="16"/>
                <w:szCs w:val="16"/>
              </w:rPr>
            </w:pPr>
            <w:r w:rsidRPr="00D466AA">
              <w:rPr>
                <w:rFonts w:ascii="Arial" w:hAnsi="Arial" w:cs="Arial"/>
                <w:color w:val="000000"/>
                <w:sz w:val="16"/>
                <w:szCs w:val="16"/>
              </w:rPr>
              <w:t>Estimates</w:t>
            </w:r>
          </w:p>
        </w:tc>
      </w:tr>
      <w:tr w:rsidR="00D466AA" w:rsidRPr="00D466AA" w14:paraId="30CF81FA" w14:textId="77777777" w:rsidTr="006E0E3C">
        <w:trPr>
          <w:trHeight w:hRule="exact" w:val="225"/>
        </w:trPr>
        <w:tc>
          <w:tcPr>
            <w:tcW w:w="1305" w:type="pct"/>
            <w:tcBorders>
              <w:top w:val="nil"/>
              <w:left w:val="nil"/>
              <w:bottom w:val="nil"/>
              <w:right w:val="nil"/>
            </w:tcBorders>
            <w:shd w:val="clear" w:color="000000" w:fill="FFFFFF"/>
            <w:noWrap/>
            <w:vAlign w:val="center"/>
            <w:hideMark/>
          </w:tcPr>
          <w:p w14:paraId="7834CD28"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962" w:type="pct"/>
            <w:tcBorders>
              <w:top w:val="single" w:sz="4" w:space="0" w:color="002A54" w:themeColor="text2"/>
              <w:left w:val="nil"/>
              <w:bottom w:val="single" w:sz="4" w:space="0" w:color="002A54" w:themeColor="text2"/>
              <w:right w:val="nil"/>
            </w:tcBorders>
            <w:shd w:val="clear" w:color="000000" w:fill="FFFFFF"/>
            <w:noWrap/>
            <w:vAlign w:val="center"/>
            <w:hideMark/>
          </w:tcPr>
          <w:p w14:paraId="1CAF6AEC"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2022–23</w:t>
            </w:r>
          </w:p>
        </w:tc>
        <w:tc>
          <w:tcPr>
            <w:tcW w:w="537" w:type="pct"/>
            <w:tcBorders>
              <w:top w:val="single" w:sz="4" w:space="0" w:color="002A54" w:themeColor="text2"/>
              <w:left w:val="nil"/>
              <w:bottom w:val="single" w:sz="4" w:space="0" w:color="002A54" w:themeColor="text2"/>
              <w:right w:val="nil"/>
            </w:tcBorders>
            <w:shd w:val="clear" w:color="000000" w:fill="FFFFFF"/>
            <w:noWrap/>
            <w:vAlign w:val="center"/>
            <w:hideMark/>
          </w:tcPr>
          <w:p w14:paraId="10A5AF1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2022–23</w:t>
            </w:r>
          </w:p>
        </w:tc>
        <w:tc>
          <w:tcPr>
            <w:tcW w:w="47" w:type="pct"/>
            <w:tcBorders>
              <w:top w:val="nil"/>
              <w:left w:val="nil"/>
              <w:bottom w:val="nil"/>
              <w:right w:val="nil"/>
            </w:tcBorders>
            <w:shd w:val="clear" w:color="000000" w:fill="FFFFFF"/>
            <w:noWrap/>
            <w:vAlign w:val="center"/>
            <w:hideMark/>
          </w:tcPr>
          <w:p w14:paraId="3F3AA02E"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c>
          <w:tcPr>
            <w:tcW w:w="537" w:type="pct"/>
            <w:tcBorders>
              <w:top w:val="single" w:sz="4" w:space="0" w:color="002A54" w:themeColor="text2"/>
              <w:left w:val="nil"/>
              <w:bottom w:val="single" w:sz="4" w:space="0" w:color="002A54" w:themeColor="text2"/>
              <w:right w:val="nil"/>
            </w:tcBorders>
            <w:shd w:val="clear" w:color="000000" w:fill="E6F2FF"/>
            <w:noWrap/>
            <w:vAlign w:val="center"/>
            <w:hideMark/>
          </w:tcPr>
          <w:p w14:paraId="471FDF99"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2023–24</w:t>
            </w:r>
          </w:p>
        </w:tc>
        <w:tc>
          <w:tcPr>
            <w:tcW w:w="537" w:type="pct"/>
            <w:tcBorders>
              <w:top w:val="single" w:sz="4" w:space="0" w:color="002A54" w:themeColor="text2"/>
              <w:left w:val="nil"/>
              <w:bottom w:val="single" w:sz="4" w:space="0" w:color="002A54" w:themeColor="text2"/>
              <w:right w:val="nil"/>
            </w:tcBorders>
            <w:shd w:val="clear" w:color="000000" w:fill="FFFFFF"/>
            <w:noWrap/>
            <w:vAlign w:val="center"/>
            <w:hideMark/>
          </w:tcPr>
          <w:p w14:paraId="2CD1D71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2024–25</w:t>
            </w:r>
          </w:p>
        </w:tc>
        <w:tc>
          <w:tcPr>
            <w:tcW w:w="537" w:type="pct"/>
            <w:tcBorders>
              <w:top w:val="single" w:sz="4" w:space="0" w:color="002A54" w:themeColor="text2"/>
              <w:left w:val="nil"/>
              <w:bottom w:val="single" w:sz="4" w:space="0" w:color="002A54" w:themeColor="text2"/>
              <w:right w:val="nil"/>
            </w:tcBorders>
            <w:shd w:val="clear" w:color="000000" w:fill="FFFFFF"/>
            <w:noWrap/>
            <w:vAlign w:val="center"/>
            <w:hideMark/>
          </w:tcPr>
          <w:p w14:paraId="09352D0E"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2025–26</w:t>
            </w:r>
          </w:p>
        </w:tc>
        <w:tc>
          <w:tcPr>
            <w:tcW w:w="537" w:type="pct"/>
            <w:tcBorders>
              <w:top w:val="single" w:sz="4" w:space="0" w:color="002A54" w:themeColor="text2"/>
              <w:left w:val="nil"/>
              <w:bottom w:val="single" w:sz="4" w:space="0" w:color="002A54" w:themeColor="text2"/>
              <w:right w:val="nil"/>
            </w:tcBorders>
            <w:shd w:val="clear" w:color="000000" w:fill="FFFFFF"/>
            <w:noWrap/>
            <w:vAlign w:val="center"/>
            <w:hideMark/>
          </w:tcPr>
          <w:p w14:paraId="580E1F3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2026–27</w:t>
            </w:r>
          </w:p>
        </w:tc>
      </w:tr>
      <w:tr w:rsidR="00D466AA" w:rsidRPr="00D466AA" w14:paraId="282CACBF" w14:textId="77777777" w:rsidTr="006E0E3C">
        <w:trPr>
          <w:trHeight w:hRule="exact" w:val="225"/>
        </w:trPr>
        <w:tc>
          <w:tcPr>
            <w:tcW w:w="1305" w:type="pct"/>
            <w:tcBorders>
              <w:top w:val="nil"/>
              <w:left w:val="nil"/>
              <w:bottom w:val="nil"/>
              <w:right w:val="nil"/>
            </w:tcBorders>
            <w:shd w:val="clear" w:color="000000" w:fill="FFFFFF"/>
            <w:noWrap/>
            <w:vAlign w:val="center"/>
            <w:hideMark/>
          </w:tcPr>
          <w:p w14:paraId="23BA323B" w14:textId="77777777" w:rsidR="00D466AA" w:rsidRPr="00D466AA" w:rsidRDefault="00D466AA" w:rsidP="00D466AA">
            <w:pPr>
              <w:spacing w:before="0" w:after="0" w:line="240" w:lineRule="auto"/>
              <w:rPr>
                <w:rFonts w:ascii="Arial" w:hAnsi="Arial" w:cs="Arial"/>
                <w:b/>
                <w:bCs/>
                <w:color w:val="000000"/>
                <w:sz w:val="16"/>
                <w:szCs w:val="16"/>
              </w:rPr>
            </w:pPr>
            <w:r w:rsidRPr="00D466AA">
              <w:rPr>
                <w:rFonts w:ascii="Arial" w:hAnsi="Arial" w:cs="Arial"/>
                <w:b/>
                <w:bCs/>
                <w:color w:val="000000"/>
                <w:sz w:val="16"/>
                <w:szCs w:val="16"/>
              </w:rPr>
              <w:t xml:space="preserve">Total net capital </w:t>
            </w:r>
          </w:p>
        </w:tc>
        <w:tc>
          <w:tcPr>
            <w:tcW w:w="962" w:type="pct"/>
            <w:tcBorders>
              <w:top w:val="single" w:sz="4" w:space="0" w:color="002A54" w:themeColor="text2"/>
              <w:left w:val="nil"/>
              <w:bottom w:val="nil"/>
              <w:right w:val="nil"/>
            </w:tcBorders>
            <w:shd w:val="clear" w:color="000000" w:fill="FFFFFF"/>
            <w:noWrap/>
            <w:vAlign w:val="center"/>
            <w:hideMark/>
          </w:tcPr>
          <w:p w14:paraId="3925D62E"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537" w:type="pct"/>
            <w:tcBorders>
              <w:top w:val="single" w:sz="4" w:space="0" w:color="002A54" w:themeColor="text2"/>
              <w:left w:val="nil"/>
              <w:bottom w:val="nil"/>
              <w:right w:val="nil"/>
            </w:tcBorders>
            <w:shd w:val="clear" w:color="000000" w:fill="FFFFFF"/>
            <w:noWrap/>
            <w:vAlign w:val="center"/>
            <w:hideMark/>
          </w:tcPr>
          <w:p w14:paraId="7B9666E4"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47" w:type="pct"/>
            <w:tcBorders>
              <w:top w:val="nil"/>
              <w:left w:val="nil"/>
              <w:bottom w:val="nil"/>
              <w:right w:val="nil"/>
            </w:tcBorders>
            <w:shd w:val="clear" w:color="000000" w:fill="FFFFFF"/>
            <w:noWrap/>
            <w:vAlign w:val="center"/>
            <w:hideMark/>
          </w:tcPr>
          <w:p w14:paraId="53F64445"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537" w:type="pct"/>
            <w:tcBorders>
              <w:top w:val="single" w:sz="4" w:space="0" w:color="002A54" w:themeColor="text2"/>
              <w:left w:val="nil"/>
              <w:bottom w:val="nil"/>
              <w:right w:val="nil"/>
            </w:tcBorders>
            <w:shd w:val="clear" w:color="000000" w:fill="E6F2FF"/>
            <w:noWrap/>
            <w:vAlign w:val="center"/>
            <w:hideMark/>
          </w:tcPr>
          <w:p w14:paraId="29A5E64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 </w:t>
            </w:r>
          </w:p>
        </w:tc>
        <w:tc>
          <w:tcPr>
            <w:tcW w:w="537" w:type="pct"/>
            <w:tcBorders>
              <w:top w:val="single" w:sz="4" w:space="0" w:color="002A54" w:themeColor="text2"/>
              <w:left w:val="nil"/>
              <w:bottom w:val="nil"/>
              <w:right w:val="nil"/>
            </w:tcBorders>
            <w:shd w:val="clear" w:color="000000" w:fill="FFFFFF"/>
            <w:noWrap/>
            <w:vAlign w:val="center"/>
            <w:hideMark/>
          </w:tcPr>
          <w:p w14:paraId="5C7F27A0"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 </w:t>
            </w:r>
          </w:p>
        </w:tc>
        <w:tc>
          <w:tcPr>
            <w:tcW w:w="537" w:type="pct"/>
            <w:tcBorders>
              <w:top w:val="single" w:sz="4" w:space="0" w:color="002A54" w:themeColor="text2"/>
              <w:left w:val="nil"/>
              <w:bottom w:val="nil"/>
              <w:right w:val="nil"/>
            </w:tcBorders>
            <w:shd w:val="clear" w:color="000000" w:fill="FFFFFF"/>
            <w:noWrap/>
            <w:vAlign w:val="center"/>
            <w:hideMark/>
          </w:tcPr>
          <w:p w14:paraId="1520011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 </w:t>
            </w:r>
          </w:p>
        </w:tc>
        <w:tc>
          <w:tcPr>
            <w:tcW w:w="537" w:type="pct"/>
            <w:tcBorders>
              <w:top w:val="single" w:sz="4" w:space="0" w:color="002A54" w:themeColor="text2"/>
              <w:left w:val="nil"/>
              <w:bottom w:val="nil"/>
              <w:right w:val="nil"/>
            </w:tcBorders>
            <w:shd w:val="clear" w:color="000000" w:fill="FFFFFF"/>
            <w:noWrap/>
            <w:vAlign w:val="center"/>
            <w:hideMark/>
          </w:tcPr>
          <w:p w14:paraId="07D597C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 </w:t>
            </w:r>
          </w:p>
        </w:tc>
      </w:tr>
      <w:tr w:rsidR="00D466AA" w:rsidRPr="00D466AA" w14:paraId="5E769D26" w14:textId="77777777" w:rsidTr="006E0E3C">
        <w:trPr>
          <w:trHeight w:hRule="exact" w:val="225"/>
        </w:trPr>
        <w:tc>
          <w:tcPr>
            <w:tcW w:w="1305" w:type="pct"/>
            <w:tcBorders>
              <w:top w:val="nil"/>
              <w:left w:val="nil"/>
              <w:right w:val="nil"/>
            </w:tcBorders>
            <w:shd w:val="clear" w:color="000000" w:fill="FFFFFF"/>
            <w:noWrap/>
            <w:vAlign w:val="center"/>
            <w:hideMark/>
          </w:tcPr>
          <w:p w14:paraId="54EBF41A" w14:textId="77777777" w:rsidR="00D466AA" w:rsidRPr="00D466AA" w:rsidRDefault="00D466AA" w:rsidP="001710EC">
            <w:pPr>
              <w:spacing w:before="0" w:after="0" w:line="240" w:lineRule="auto"/>
              <w:ind w:left="170"/>
              <w:rPr>
                <w:rFonts w:ascii="Arial" w:hAnsi="Arial" w:cs="Arial"/>
                <w:b/>
                <w:bCs/>
                <w:color w:val="000000"/>
                <w:sz w:val="16"/>
                <w:szCs w:val="16"/>
              </w:rPr>
            </w:pPr>
            <w:r w:rsidRPr="00D466AA">
              <w:rPr>
                <w:rFonts w:ascii="Arial" w:hAnsi="Arial" w:cs="Arial"/>
                <w:b/>
                <w:bCs/>
                <w:color w:val="000000"/>
                <w:sz w:val="16"/>
                <w:szCs w:val="16"/>
              </w:rPr>
              <w:t>investment ($m)</w:t>
            </w:r>
          </w:p>
        </w:tc>
        <w:tc>
          <w:tcPr>
            <w:tcW w:w="962" w:type="pct"/>
            <w:tcBorders>
              <w:top w:val="nil"/>
              <w:left w:val="nil"/>
              <w:right w:val="nil"/>
            </w:tcBorders>
            <w:shd w:val="clear" w:color="000000" w:fill="FFFFFF"/>
            <w:noWrap/>
            <w:vAlign w:val="center"/>
            <w:hideMark/>
          </w:tcPr>
          <w:p w14:paraId="7B0065AE"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12,781</w:t>
            </w:r>
          </w:p>
        </w:tc>
        <w:tc>
          <w:tcPr>
            <w:tcW w:w="537" w:type="pct"/>
            <w:tcBorders>
              <w:top w:val="nil"/>
              <w:left w:val="nil"/>
              <w:right w:val="nil"/>
            </w:tcBorders>
            <w:shd w:val="clear" w:color="000000" w:fill="FFFFFF"/>
            <w:noWrap/>
            <w:vAlign w:val="center"/>
            <w:hideMark/>
          </w:tcPr>
          <w:p w14:paraId="5949B50D"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10,441</w:t>
            </w:r>
          </w:p>
        </w:tc>
        <w:tc>
          <w:tcPr>
            <w:tcW w:w="47" w:type="pct"/>
            <w:tcBorders>
              <w:top w:val="nil"/>
              <w:left w:val="nil"/>
              <w:right w:val="nil"/>
            </w:tcBorders>
            <w:shd w:val="clear" w:color="000000" w:fill="FFFFFF"/>
            <w:noWrap/>
            <w:vAlign w:val="center"/>
            <w:hideMark/>
          </w:tcPr>
          <w:p w14:paraId="7BB3A2D7" w14:textId="77777777" w:rsidR="00D466AA" w:rsidRPr="00D466AA" w:rsidRDefault="00D466AA" w:rsidP="00D466AA">
            <w:pPr>
              <w:spacing w:before="0" w:after="0" w:line="240" w:lineRule="auto"/>
              <w:rPr>
                <w:rFonts w:ascii="Arial" w:hAnsi="Arial" w:cs="Arial"/>
                <w:b/>
                <w:bCs/>
                <w:sz w:val="16"/>
                <w:szCs w:val="16"/>
              </w:rPr>
            </w:pPr>
            <w:r w:rsidRPr="00D466AA">
              <w:rPr>
                <w:rFonts w:ascii="Arial" w:hAnsi="Arial" w:cs="Arial"/>
                <w:b/>
                <w:bCs/>
                <w:sz w:val="16"/>
                <w:szCs w:val="16"/>
              </w:rPr>
              <w:t> </w:t>
            </w:r>
          </w:p>
        </w:tc>
        <w:tc>
          <w:tcPr>
            <w:tcW w:w="537" w:type="pct"/>
            <w:tcBorders>
              <w:top w:val="nil"/>
              <w:left w:val="nil"/>
              <w:right w:val="nil"/>
            </w:tcBorders>
            <w:shd w:val="clear" w:color="000000" w:fill="E6F2FF"/>
            <w:noWrap/>
            <w:vAlign w:val="center"/>
            <w:hideMark/>
          </w:tcPr>
          <w:p w14:paraId="357AFA42"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10,431</w:t>
            </w:r>
          </w:p>
        </w:tc>
        <w:tc>
          <w:tcPr>
            <w:tcW w:w="537" w:type="pct"/>
            <w:tcBorders>
              <w:top w:val="nil"/>
              <w:left w:val="nil"/>
              <w:right w:val="nil"/>
            </w:tcBorders>
            <w:shd w:val="clear" w:color="000000" w:fill="FFFFFF"/>
            <w:noWrap/>
            <w:vAlign w:val="center"/>
            <w:hideMark/>
          </w:tcPr>
          <w:p w14:paraId="49DF7C09"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7,229</w:t>
            </w:r>
          </w:p>
        </w:tc>
        <w:tc>
          <w:tcPr>
            <w:tcW w:w="537" w:type="pct"/>
            <w:tcBorders>
              <w:top w:val="nil"/>
              <w:left w:val="nil"/>
              <w:right w:val="nil"/>
            </w:tcBorders>
            <w:shd w:val="clear" w:color="000000" w:fill="FFFFFF"/>
            <w:noWrap/>
            <w:vAlign w:val="center"/>
            <w:hideMark/>
          </w:tcPr>
          <w:p w14:paraId="1DA638BE"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5,449</w:t>
            </w:r>
          </w:p>
        </w:tc>
        <w:tc>
          <w:tcPr>
            <w:tcW w:w="537" w:type="pct"/>
            <w:tcBorders>
              <w:top w:val="nil"/>
              <w:left w:val="nil"/>
              <w:right w:val="nil"/>
            </w:tcBorders>
            <w:shd w:val="clear" w:color="000000" w:fill="FFFFFF"/>
            <w:noWrap/>
            <w:vAlign w:val="center"/>
            <w:hideMark/>
          </w:tcPr>
          <w:p w14:paraId="0CDB91D7"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9,271</w:t>
            </w:r>
          </w:p>
        </w:tc>
      </w:tr>
      <w:tr w:rsidR="00D466AA" w:rsidRPr="00D466AA" w14:paraId="6F26066D" w14:textId="77777777" w:rsidTr="006E0E3C">
        <w:trPr>
          <w:trHeight w:hRule="exact" w:val="225"/>
        </w:trPr>
        <w:tc>
          <w:tcPr>
            <w:tcW w:w="1305" w:type="pct"/>
            <w:tcBorders>
              <w:top w:val="nil"/>
              <w:left w:val="nil"/>
              <w:bottom w:val="single" w:sz="4" w:space="0" w:color="002A54" w:themeColor="text2"/>
              <w:right w:val="nil"/>
            </w:tcBorders>
            <w:shd w:val="clear" w:color="000000" w:fill="FFFFFF"/>
            <w:noWrap/>
            <w:vAlign w:val="center"/>
            <w:hideMark/>
          </w:tcPr>
          <w:p w14:paraId="0777B5EA"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Per cent of GDP</w:t>
            </w:r>
          </w:p>
        </w:tc>
        <w:tc>
          <w:tcPr>
            <w:tcW w:w="962" w:type="pct"/>
            <w:tcBorders>
              <w:top w:val="nil"/>
              <w:left w:val="nil"/>
              <w:bottom w:val="single" w:sz="4" w:space="0" w:color="002A54" w:themeColor="text2"/>
              <w:right w:val="nil"/>
            </w:tcBorders>
            <w:shd w:val="clear" w:color="000000" w:fill="FFFFFF"/>
            <w:noWrap/>
            <w:vAlign w:val="center"/>
            <w:hideMark/>
          </w:tcPr>
          <w:p w14:paraId="168A9632"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0.5</w:t>
            </w:r>
          </w:p>
        </w:tc>
        <w:tc>
          <w:tcPr>
            <w:tcW w:w="537" w:type="pct"/>
            <w:tcBorders>
              <w:top w:val="nil"/>
              <w:left w:val="nil"/>
              <w:bottom w:val="single" w:sz="4" w:space="0" w:color="002A54" w:themeColor="text2"/>
              <w:right w:val="nil"/>
            </w:tcBorders>
            <w:shd w:val="clear" w:color="000000" w:fill="FFFFFF"/>
            <w:noWrap/>
            <w:vAlign w:val="center"/>
            <w:hideMark/>
          </w:tcPr>
          <w:p w14:paraId="5DB0BAE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0.4</w:t>
            </w:r>
          </w:p>
        </w:tc>
        <w:tc>
          <w:tcPr>
            <w:tcW w:w="47" w:type="pct"/>
            <w:tcBorders>
              <w:top w:val="nil"/>
              <w:left w:val="nil"/>
              <w:bottom w:val="single" w:sz="4" w:space="0" w:color="002A54" w:themeColor="text2"/>
              <w:right w:val="nil"/>
            </w:tcBorders>
            <w:shd w:val="clear" w:color="000000" w:fill="FFFFFF"/>
            <w:noWrap/>
            <w:vAlign w:val="center"/>
            <w:hideMark/>
          </w:tcPr>
          <w:p w14:paraId="5FFE24D9"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537" w:type="pct"/>
            <w:tcBorders>
              <w:top w:val="nil"/>
              <w:left w:val="nil"/>
              <w:bottom w:val="single" w:sz="4" w:space="0" w:color="002A54" w:themeColor="text2"/>
              <w:right w:val="nil"/>
            </w:tcBorders>
            <w:shd w:val="clear" w:color="000000" w:fill="E6F2FF"/>
            <w:noWrap/>
            <w:vAlign w:val="center"/>
            <w:hideMark/>
          </w:tcPr>
          <w:p w14:paraId="33D8943D"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0.4</w:t>
            </w:r>
          </w:p>
        </w:tc>
        <w:tc>
          <w:tcPr>
            <w:tcW w:w="537" w:type="pct"/>
            <w:tcBorders>
              <w:top w:val="nil"/>
              <w:left w:val="nil"/>
              <w:bottom w:val="single" w:sz="4" w:space="0" w:color="002A54" w:themeColor="text2"/>
              <w:right w:val="nil"/>
            </w:tcBorders>
            <w:shd w:val="clear" w:color="000000" w:fill="FFFFFF"/>
            <w:noWrap/>
            <w:vAlign w:val="center"/>
            <w:hideMark/>
          </w:tcPr>
          <w:p w14:paraId="16BBC839"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0.3</w:t>
            </w:r>
          </w:p>
        </w:tc>
        <w:tc>
          <w:tcPr>
            <w:tcW w:w="537" w:type="pct"/>
            <w:tcBorders>
              <w:top w:val="nil"/>
              <w:left w:val="nil"/>
              <w:bottom w:val="single" w:sz="4" w:space="0" w:color="002A54" w:themeColor="text2"/>
              <w:right w:val="nil"/>
            </w:tcBorders>
            <w:shd w:val="clear" w:color="000000" w:fill="FFFFFF"/>
            <w:noWrap/>
            <w:vAlign w:val="center"/>
            <w:hideMark/>
          </w:tcPr>
          <w:p w14:paraId="3CFCE0F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0.2</w:t>
            </w:r>
          </w:p>
        </w:tc>
        <w:tc>
          <w:tcPr>
            <w:tcW w:w="537" w:type="pct"/>
            <w:tcBorders>
              <w:top w:val="nil"/>
              <w:left w:val="nil"/>
              <w:bottom w:val="single" w:sz="4" w:space="0" w:color="002A54" w:themeColor="text2"/>
              <w:right w:val="nil"/>
            </w:tcBorders>
            <w:shd w:val="clear" w:color="000000" w:fill="FFFFFF"/>
            <w:noWrap/>
            <w:vAlign w:val="center"/>
            <w:hideMark/>
          </w:tcPr>
          <w:p w14:paraId="4C4E33CC"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0.3</w:t>
            </w:r>
          </w:p>
        </w:tc>
      </w:tr>
    </w:tbl>
    <w:p w14:paraId="51AA9F45" w14:textId="3F13601C" w:rsidR="00A32E2C" w:rsidRDefault="00A32E2C" w:rsidP="00C855DF">
      <w:r>
        <w:br w:type="page"/>
      </w:r>
    </w:p>
    <w:p w14:paraId="19ACF734" w14:textId="48B13CAE" w:rsidR="00C855DF" w:rsidRPr="000177D7" w:rsidRDefault="00C855DF" w:rsidP="00C855DF">
      <w:pPr>
        <w:pStyle w:val="Heading3"/>
      </w:pPr>
      <w:bookmarkStart w:id="165" w:name="_Toc114047805"/>
      <w:bookmarkStart w:id="166" w:name="_Toc117358187"/>
      <w:bookmarkStart w:id="167" w:name="_Toc134169628"/>
      <w:bookmarkEnd w:id="159"/>
      <w:bookmarkEnd w:id="160"/>
      <w:r w:rsidRPr="000177D7">
        <w:lastRenderedPageBreak/>
        <w:t xml:space="preserve">Reconciliation of net capital investment since the </w:t>
      </w:r>
      <w:r w:rsidR="001652E8">
        <w:t>October</w:t>
      </w:r>
      <w:r w:rsidRPr="000177D7">
        <w:t xml:space="preserve"> Budget</w:t>
      </w:r>
      <w:bookmarkEnd w:id="165"/>
      <w:bookmarkEnd w:id="166"/>
      <w:bookmarkEnd w:id="167"/>
    </w:p>
    <w:bookmarkEnd w:id="161"/>
    <w:bookmarkEnd w:id="162"/>
    <w:bookmarkEnd w:id="163"/>
    <w:p w14:paraId="3368B161" w14:textId="77777777" w:rsidR="00842CC7" w:rsidRPr="000177D7" w:rsidRDefault="00842CC7" w:rsidP="00842CC7">
      <w:r w:rsidRPr="000177D7">
        <w:t xml:space="preserve">A reconciliation of the net capital investment estimates, showing the effect of policy decisions and parameter and other variations since the </w:t>
      </w:r>
      <w:r>
        <w:t>October</w:t>
      </w:r>
      <w:r w:rsidRPr="000177D7">
        <w:t xml:space="preserve"> Budget, is provided in Table 6.19.</w:t>
      </w:r>
    </w:p>
    <w:p w14:paraId="5ECC5EC5" w14:textId="61FDCB31" w:rsidR="00D466AA" w:rsidRDefault="00C855DF" w:rsidP="00E210CA">
      <w:pPr>
        <w:pStyle w:val="TableHeading"/>
        <w:rPr>
          <w:rFonts w:asciiTheme="minorHAnsi" w:eastAsiaTheme="minorHAnsi" w:hAnsiTheme="minorHAnsi" w:cstheme="minorBidi"/>
          <w:sz w:val="22"/>
          <w:szCs w:val="22"/>
          <w:lang w:eastAsia="en-US"/>
        </w:rPr>
      </w:pPr>
      <w:r w:rsidRPr="000177D7">
        <w:t>Table 6.19: Reconciliation of net capital investment estimate</w:t>
      </w:r>
      <w:bookmarkStart w:id="168" w:name="_1727774397"/>
      <w:bookmarkEnd w:id="168"/>
    </w:p>
    <w:tbl>
      <w:tblPr>
        <w:tblW w:w="5000" w:type="pct"/>
        <w:tblCellMar>
          <w:left w:w="0" w:type="dxa"/>
          <w:right w:w="28" w:type="dxa"/>
        </w:tblCellMar>
        <w:tblLook w:val="04A0" w:firstRow="1" w:lastRow="0" w:firstColumn="1" w:lastColumn="0" w:noHBand="0" w:noVBand="1"/>
      </w:tblPr>
      <w:tblGrid>
        <w:gridCol w:w="3987"/>
        <w:gridCol w:w="725"/>
        <w:gridCol w:w="725"/>
        <w:gridCol w:w="725"/>
        <w:gridCol w:w="726"/>
        <w:gridCol w:w="103"/>
        <w:gridCol w:w="719"/>
      </w:tblGrid>
      <w:tr w:rsidR="00D466AA" w:rsidRPr="00D466AA" w14:paraId="7BAACB73" w14:textId="77777777" w:rsidTr="00A0082A">
        <w:trPr>
          <w:trHeight w:hRule="exact" w:val="225"/>
        </w:trPr>
        <w:tc>
          <w:tcPr>
            <w:tcW w:w="2586" w:type="pct"/>
            <w:tcBorders>
              <w:top w:val="single" w:sz="4" w:space="0" w:color="293F5B"/>
              <w:left w:val="nil"/>
              <w:bottom w:val="nil"/>
              <w:right w:val="nil"/>
            </w:tcBorders>
            <w:shd w:val="clear" w:color="000000" w:fill="FFFFFF"/>
            <w:noWrap/>
            <w:vAlign w:val="center"/>
            <w:hideMark/>
          </w:tcPr>
          <w:p w14:paraId="5D92BD27" w14:textId="61D2607C" w:rsidR="00D466AA" w:rsidRPr="00D466AA" w:rsidRDefault="00D466AA" w:rsidP="00F13DC1">
            <w:pPr>
              <w:pStyle w:val="TableTextLeft"/>
              <w:rPr>
                <w:rFonts w:cs="Arial"/>
                <w:szCs w:val="16"/>
              </w:rPr>
            </w:pPr>
            <w:r w:rsidRPr="00D466AA">
              <w:t> </w:t>
            </w:r>
          </w:p>
        </w:tc>
        <w:tc>
          <w:tcPr>
            <w:tcW w:w="1881" w:type="pct"/>
            <w:gridSpan w:val="4"/>
            <w:tcBorders>
              <w:top w:val="single" w:sz="4" w:space="0" w:color="293F5B"/>
              <w:left w:val="nil"/>
              <w:bottom w:val="single" w:sz="4" w:space="0" w:color="000000"/>
              <w:right w:val="nil"/>
            </w:tcBorders>
            <w:shd w:val="clear" w:color="000000" w:fill="FFFFFF"/>
            <w:noWrap/>
            <w:vAlign w:val="center"/>
            <w:hideMark/>
          </w:tcPr>
          <w:p w14:paraId="616F7BD3" w14:textId="77777777" w:rsidR="00D466AA" w:rsidRPr="00D466AA" w:rsidRDefault="00D466AA" w:rsidP="00D466AA">
            <w:pPr>
              <w:spacing w:before="0" w:after="0" w:line="240" w:lineRule="auto"/>
              <w:jc w:val="center"/>
              <w:rPr>
                <w:rFonts w:ascii="Arial" w:hAnsi="Arial" w:cs="Arial"/>
                <w:sz w:val="16"/>
                <w:szCs w:val="16"/>
              </w:rPr>
            </w:pPr>
            <w:r w:rsidRPr="00D466AA">
              <w:rPr>
                <w:rFonts w:ascii="Arial" w:hAnsi="Arial" w:cs="Arial"/>
                <w:sz w:val="16"/>
                <w:szCs w:val="16"/>
              </w:rPr>
              <w:t>Estimates</w:t>
            </w:r>
          </w:p>
        </w:tc>
        <w:tc>
          <w:tcPr>
            <w:tcW w:w="67" w:type="pct"/>
            <w:tcBorders>
              <w:top w:val="single" w:sz="4" w:space="0" w:color="293F5B"/>
              <w:left w:val="nil"/>
              <w:bottom w:val="nil"/>
              <w:right w:val="nil"/>
            </w:tcBorders>
            <w:shd w:val="clear" w:color="000000" w:fill="FFFFFF"/>
            <w:noWrap/>
            <w:vAlign w:val="center"/>
            <w:hideMark/>
          </w:tcPr>
          <w:p w14:paraId="0CEE34C2"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296AA78E" w14:textId="77777777" w:rsidR="00D466AA" w:rsidRPr="00D466AA" w:rsidRDefault="00D466AA" w:rsidP="00D466AA">
            <w:pPr>
              <w:spacing w:before="0" w:after="0" w:line="240" w:lineRule="auto"/>
              <w:rPr>
                <w:rFonts w:ascii="Arial" w:hAnsi="Arial" w:cs="Arial"/>
                <w:sz w:val="16"/>
                <w:szCs w:val="16"/>
              </w:rPr>
            </w:pPr>
            <w:r w:rsidRPr="00D466AA">
              <w:rPr>
                <w:rFonts w:ascii="Arial" w:hAnsi="Arial" w:cs="Arial"/>
                <w:sz w:val="16"/>
                <w:szCs w:val="16"/>
              </w:rPr>
              <w:t> </w:t>
            </w:r>
          </w:p>
        </w:tc>
      </w:tr>
      <w:tr w:rsidR="00D466AA" w:rsidRPr="00D466AA" w14:paraId="543361C2" w14:textId="77777777" w:rsidTr="00A0082A">
        <w:trPr>
          <w:trHeight w:hRule="exact" w:val="225"/>
        </w:trPr>
        <w:tc>
          <w:tcPr>
            <w:tcW w:w="2586" w:type="pct"/>
            <w:tcBorders>
              <w:top w:val="nil"/>
              <w:left w:val="nil"/>
              <w:bottom w:val="nil"/>
              <w:right w:val="nil"/>
            </w:tcBorders>
            <w:shd w:val="clear" w:color="000000" w:fill="FFFFFF"/>
            <w:noWrap/>
            <w:vAlign w:val="bottom"/>
            <w:hideMark/>
          </w:tcPr>
          <w:p w14:paraId="624BE4F3" w14:textId="77777777" w:rsidR="00D466AA" w:rsidRPr="00D466AA" w:rsidRDefault="00D466AA" w:rsidP="00F13DC1">
            <w:pPr>
              <w:pStyle w:val="TableTextLeft"/>
              <w:rPr>
                <w:rFonts w:cs="Arial"/>
                <w:szCs w:val="16"/>
              </w:rPr>
            </w:pPr>
            <w:r w:rsidRPr="00D466AA">
              <w:t> </w:t>
            </w:r>
          </w:p>
        </w:tc>
        <w:tc>
          <w:tcPr>
            <w:tcW w:w="470" w:type="pct"/>
            <w:tcBorders>
              <w:top w:val="single" w:sz="4" w:space="0" w:color="293F5B"/>
              <w:left w:val="nil"/>
              <w:bottom w:val="nil"/>
              <w:right w:val="nil"/>
            </w:tcBorders>
            <w:shd w:val="clear" w:color="000000" w:fill="FFFFFF"/>
            <w:noWrap/>
            <w:vAlign w:val="center"/>
            <w:hideMark/>
          </w:tcPr>
          <w:p w14:paraId="149B26F5"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2022–23</w:t>
            </w:r>
          </w:p>
        </w:tc>
        <w:tc>
          <w:tcPr>
            <w:tcW w:w="470" w:type="pct"/>
            <w:tcBorders>
              <w:top w:val="single" w:sz="4" w:space="0" w:color="293F5B"/>
              <w:left w:val="nil"/>
              <w:bottom w:val="nil"/>
              <w:right w:val="nil"/>
            </w:tcBorders>
            <w:shd w:val="clear" w:color="000000" w:fill="E6F2FF"/>
            <w:noWrap/>
            <w:vAlign w:val="center"/>
            <w:hideMark/>
          </w:tcPr>
          <w:p w14:paraId="1F322EF7"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2023–24</w:t>
            </w:r>
          </w:p>
        </w:tc>
        <w:tc>
          <w:tcPr>
            <w:tcW w:w="470" w:type="pct"/>
            <w:tcBorders>
              <w:top w:val="single" w:sz="4" w:space="0" w:color="293F5B"/>
              <w:left w:val="nil"/>
              <w:bottom w:val="nil"/>
              <w:right w:val="nil"/>
            </w:tcBorders>
            <w:shd w:val="clear" w:color="000000" w:fill="FFFFFF"/>
            <w:noWrap/>
            <w:vAlign w:val="center"/>
            <w:hideMark/>
          </w:tcPr>
          <w:p w14:paraId="634088C7"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2024–25</w:t>
            </w:r>
          </w:p>
        </w:tc>
        <w:tc>
          <w:tcPr>
            <w:tcW w:w="470" w:type="pct"/>
            <w:tcBorders>
              <w:top w:val="single" w:sz="4" w:space="0" w:color="293F5B"/>
              <w:left w:val="nil"/>
              <w:bottom w:val="nil"/>
              <w:right w:val="nil"/>
            </w:tcBorders>
            <w:shd w:val="clear" w:color="000000" w:fill="FFFFFF"/>
            <w:noWrap/>
            <w:vAlign w:val="center"/>
            <w:hideMark/>
          </w:tcPr>
          <w:p w14:paraId="3DCC2C5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2025–26</w:t>
            </w:r>
          </w:p>
        </w:tc>
        <w:tc>
          <w:tcPr>
            <w:tcW w:w="67" w:type="pct"/>
            <w:tcBorders>
              <w:top w:val="nil"/>
              <w:left w:val="nil"/>
              <w:bottom w:val="nil"/>
              <w:right w:val="nil"/>
            </w:tcBorders>
            <w:shd w:val="clear" w:color="000000" w:fill="FFFFFF"/>
            <w:noWrap/>
            <w:vAlign w:val="center"/>
            <w:hideMark/>
          </w:tcPr>
          <w:p w14:paraId="5CCDA44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5823104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Total</w:t>
            </w:r>
          </w:p>
        </w:tc>
      </w:tr>
      <w:tr w:rsidR="00D466AA" w:rsidRPr="00D466AA" w14:paraId="09687BBF"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523A28A4" w14:textId="77777777" w:rsidR="00D466AA" w:rsidRPr="00D466AA" w:rsidRDefault="00D466AA" w:rsidP="00F13DC1">
            <w:pPr>
              <w:pStyle w:val="TableTextLeft"/>
              <w:rPr>
                <w:rFonts w:cs="Arial"/>
                <w:b/>
                <w:bCs/>
                <w:szCs w:val="16"/>
              </w:rPr>
            </w:pPr>
            <w:r w:rsidRPr="00D466AA">
              <w:rPr>
                <w:b/>
              </w:rPr>
              <w:t> </w:t>
            </w:r>
          </w:p>
        </w:tc>
        <w:tc>
          <w:tcPr>
            <w:tcW w:w="470" w:type="pct"/>
            <w:tcBorders>
              <w:top w:val="nil"/>
              <w:left w:val="nil"/>
              <w:bottom w:val="single" w:sz="4" w:space="0" w:color="293F5B"/>
              <w:right w:val="nil"/>
            </w:tcBorders>
            <w:shd w:val="clear" w:color="000000" w:fill="FFFFFF"/>
            <w:noWrap/>
            <w:vAlign w:val="center"/>
            <w:hideMark/>
          </w:tcPr>
          <w:p w14:paraId="1C35FB44"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470" w:type="pct"/>
            <w:tcBorders>
              <w:top w:val="nil"/>
              <w:left w:val="nil"/>
              <w:bottom w:val="single" w:sz="4" w:space="0" w:color="293F5B"/>
              <w:right w:val="nil"/>
            </w:tcBorders>
            <w:shd w:val="clear" w:color="000000" w:fill="E6F2FF"/>
            <w:noWrap/>
            <w:vAlign w:val="center"/>
            <w:hideMark/>
          </w:tcPr>
          <w:p w14:paraId="5DF51174"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470" w:type="pct"/>
            <w:tcBorders>
              <w:top w:val="nil"/>
              <w:left w:val="nil"/>
              <w:bottom w:val="single" w:sz="4" w:space="0" w:color="293F5B"/>
              <w:right w:val="nil"/>
            </w:tcBorders>
            <w:shd w:val="clear" w:color="000000" w:fill="FFFFFF"/>
            <w:noWrap/>
            <w:vAlign w:val="center"/>
            <w:hideMark/>
          </w:tcPr>
          <w:p w14:paraId="1DAB805C"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470" w:type="pct"/>
            <w:tcBorders>
              <w:top w:val="nil"/>
              <w:left w:val="nil"/>
              <w:bottom w:val="single" w:sz="4" w:space="0" w:color="293F5B"/>
              <w:right w:val="nil"/>
            </w:tcBorders>
            <w:shd w:val="clear" w:color="000000" w:fill="FFFFFF"/>
            <w:noWrap/>
            <w:vAlign w:val="center"/>
            <w:hideMark/>
          </w:tcPr>
          <w:p w14:paraId="57680E8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67" w:type="pct"/>
            <w:tcBorders>
              <w:top w:val="nil"/>
              <w:left w:val="nil"/>
              <w:bottom w:val="nil"/>
              <w:right w:val="nil"/>
            </w:tcBorders>
            <w:shd w:val="clear" w:color="000000" w:fill="FFFFFF"/>
            <w:noWrap/>
            <w:vAlign w:val="center"/>
            <w:hideMark/>
          </w:tcPr>
          <w:p w14:paraId="4E0156D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246D1FC5"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r>
      <w:tr w:rsidR="00D466AA" w:rsidRPr="00D466AA" w14:paraId="14C97827"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08600430" w14:textId="77777777" w:rsidR="00D466AA" w:rsidRPr="00D466AA" w:rsidRDefault="00D466AA" w:rsidP="00F13DC1">
            <w:pPr>
              <w:pStyle w:val="TableTextLeft"/>
              <w:rPr>
                <w:rFonts w:cs="Arial"/>
                <w:b/>
                <w:bCs/>
                <w:szCs w:val="16"/>
              </w:rPr>
            </w:pPr>
            <w:r w:rsidRPr="00D466AA">
              <w:rPr>
                <w:b/>
              </w:rPr>
              <w:t>2022–23 October Budget net capital investment</w:t>
            </w:r>
          </w:p>
        </w:tc>
        <w:tc>
          <w:tcPr>
            <w:tcW w:w="470" w:type="pct"/>
            <w:tcBorders>
              <w:top w:val="single" w:sz="4" w:space="0" w:color="293F5B"/>
              <w:left w:val="nil"/>
              <w:bottom w:val="nil"/>
              <w:right w:val="nil"/>
            </w:tcBorders>
            <w:shd w:val="clear" w:color="000000" w:fill="FFFFFF"/>
            <w:noWrap/>
            <w:vAlign w:val="center"/>
            <w:hideMark/>
          </w:tcPr>
          <w:p w14:paraId="668D68F2"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12,781</w:t>
            </w:r>
          </w:p>
        </w:tc>
        <w:tc>
          <w:tcPr>
            <w:tcW w:w="470" w:type="pct"/>
            <w:tcBorders>
              <w:top w:val="single" w:sz="4" w:space="0" w:color="293F5B"/>
              <w:left w:val="nil"/>
              <w:bottom w:val="nil"/>
              <w:right w:val="nil"/>
            </w:tcBorders>
            <w:shd w:val="clear" w:color="000000" w:fill="E6F2FF"/>
            <w:noWrap/>
            <w:vAlign w:val="center"/>
            <w:hideMark/>
          </w:tcPr>
          <w:p w14:paraId="59FFFF01"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11,883</w:t>
            </w:r>
          </w:p>
        </w:tc>
        <w:tc>
          <w:tcPr>
            <w:tcW w:w="470" w:type="pct"/>
            <w:tcBorders>
              <w:top w:val="single" w:sz="4" w:space="0" w:color="293F5B"/>
              <w:left w:val="nil"/>
              <w:bottom w:val="nil"/>
              <w:right w:val="nil"/>
            </w:tcBorders>
            <w:shd w:val="clear" w:color="000000" w:fill="FFFFFF"/>
            <w:noWrap/>
            <w:vAlign w:val="center"/>
            <w:hideMark/>
          </w:tcPr>
          <w:p w14:paraId="4CE6A334"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8,976</w:t>
            </w:r>
          </w:p>
        </w:tc>
        <w:tc>
          <w:tcPr>
            <w:tcW w:w="470" w:type="pct"/>
            <w:tcBorders>
              <w:top w:val="single" w:sz="4" w:space="0" w:color="293F5B"/>
              <w:left w:val="nil"/>
              <w:bottom w:val="nil"/>
              <w:right w:val="nil"/>
            </w:tcBorders>
            <w:shd w:val="clear" w:color="000000" w:fill="FFFFFF"/>
            <w:noWrap/>
            <w:vAlign w:val="center"/>
            <w:hideMark/>
          </w:tcPr>
          <w:p w14:paraId="470FD390"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9,939</w:t>
            </w:r>
          </w:p>
        </w:tc>
        <w:tc>
          <w:tcPr>
            <w:tcW w:w="67" w:type="pct"/>
            <w:tcBorders>
              <w:top w:val="nil"/>
              <w:left w:val="nil"/>
              <w:bottom w:val="nil"/>
              <w:right w:val="nil"/>
            </w:tcBorders>
            <w:shd w:val="clear" w:color="000000" w:fill="FFFFFF"/>
            <w:noWrap/>
            <w:vAlign w:val="center"/>
            <w:hideMark/>
          </w:tcPr>
          <w:p w14:paraId="453414B4" w14:textId="77777777" w:rsidR="00D466AA" w:rsidRPr="00D466AA" w:rsidRDefault="00D466AA" w:rsidP="00D466AA">
            <w:pPr>
              <w:spacing w:before="0" w:after="0" w:line="240" w:lineRule="auto"/>
              <w:rPr>
                <w:rFonts w:ascii="Arial" w:hAnsi="Arial" w:cs="Arial"/>
                <w:b/>
                <w:bCs/>
                <w:sz w:val="16"/>
                <w:szCs w:val="16"/>
              </w:rPr>
            </w:pPr>
            <w:r w:rsidRPr="00D466AA">
              <w:rPr>
                <w:rFonts w:ascii="Arial" w:hAnsi="Arial" w:cs="Arial"/>
                <w:b/>
                <w:bCs/>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7A0B0B9D"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43,578</w:t>
            </w:r>
          </w:p>
        </w:tc>
      </w:tr>
      <w:tr w:rsidR="00D466AA" w:rsidRPr="00D466AA" w14:paraId="6D5DFD9B" w14:textId="77777777" w:rsidTr="00A0082A">
        <w:trPr>
          <w:trHeight w:hRule="exact" w:val="60"/>
        </w:trPr>
        <w:tc>
          <w:tcPr>
            <w:tcW w:w="2586" w:type="pct"/>
            <w:tcBorders>
              <w:top w:val="nil"/>
              <w:left w:val="nil"/>
              <w:bottom w:val="nil"/>
              <w:right w:val="nil"/>
            </w:tcBorders>
            <w:shd w:val="clear" w:color="000000" w:fill="FFFFFF"/>
            <w:noWrap/>
            <w:vAlign w:val="center"/>
            <w:hideMark/>
          </w:tcPr>
          <w:p w14:paraId="10133C39" w14:textId="77777777" w:rsidR="00D466AA" w:rsidRPr="00D466AA" w:rsidRDefault="00D466AA" w:rsidP="00F13DC1">
            <w:pPr>
              <w:pStyle w:val="TableTextLeft"/>
              <w:rPr>
                <w:rFonts w:cs="Arial"/>
                <w:b/>
                <w:bCs/>
                <w:color w:val="0066CC"/>
                <w:szCs w:val="16"/>
              </w:rPr>
            </w:pPr>
            <w:r w:rsidRPr="00D466AA">
              <w:rPr>
                <w:b/>
                <w:color w:val="0066CC"/>
              </w:rPr>
              <w:t> </w:t>
            </w:r>
          </w:p>
        </w:tc>
        <w:tc>
          <w:tcPr>
            <w:tcW w:w="470" w:type="pct"/>
            <w:tcBorders>
              <w:top w:val="nil"/>
              <w:left w:val="nil"/>
              <w:bottom w:val="nil"/>
              <w:right w:val="nil"/>
            </w:tcBorders>
            <w:shd w:val="clear" w:color="000000" w:fill="FFFFFF"/>
            <w:noWrap/>
            <w:vAlign w:val="center"/>
            <w:hideMark/>
          </w:tcPr>
          <w:p w14:paraId="4CFA1832"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317F0690"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712B9854"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307FBC70"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2F6CDA26"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7DF9A5E3"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r>
      <w:tr w:rsidR="00D466AA" w:rsidRPr="00D466AA" w14:paraId="5405F465"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49D72529" w14:textId="77777777" w:rsidR="00D466AA" w:rsidRPr="00D466AA" w:rsidRDefault="00D466AA" w:rsidP="00F13DC1">
            <w:pPr>
              <w:pStyle w:val="TableTextLeft"/>
              <w:rPr>
                <w:rFonts w:cs="Arial"/>
                <w:b/>
                <w:bCs/>
                <w:szCs w:val="16"/>
              </w:rPr>
            </w:pPr>
            <w:r w:rsidRPr="00D466AA">
              <w:rPr>
                <w:b/>
              </w:rPr>
              <w:t>Changes from 2022–23 October Budget to</w:t>
            </w:r>
          </w:p>
        </w:tc>
        <w:tc>
          <w:tcPr>
            <w:tcW w:w="470" w:type="pct"/>
            <w:tcBorders>
              <w:top w:val="nil"/>
              <w:left w:val="nil"/>
              <w:bottom w:val="nil"/>
              <w:right w:val="nil"/>
            </w:tcBorders>
            <w:shd w:val="clear" w:color="000000" w:fill="FFFFFF"/>
            <w:noWrap/>
            <w:vAlign w:val="center"/>
            <w:hideMark/>
          </w:tcPr>
          <w:p w14:paraId="5DB9677D"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2CC41F32"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7AED9382"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0740D3F9"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5D10A0BE"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66" w:type="pct"/>
            <w:tcBorders>
              <w:top w:val="nil"/>
              <w:left w:val="nil"/>
              <w:bottom w:val="nil"/>
              <w:right w:val="nil"/>
            </w:tcBorders>
            <w:shd w:val="clear" w:color="000000" w:fill="FFFFFF"/>
            <w:noWrap/>
            <w:vAlign w:val="center"/>
            <w:hideMark/>
          </w:tcPr>
          <w:p w14:paraId="61F37615"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r>
      <w:tr w:rsidR="00D466AA" w:rsidRPr="00D466AA" w14:paraId="5E5DDAF9"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037DAEB2" w14:textId="77777777" w:rsidR="00D466AA" w:rsidRPr="00D466AA" w:rsidRDefault="00D466AA" w:rsidP="00A0082A">
            <w:pPr>
              <w:pStyle w:val="TableTextLeft"/>
              <w:ind w:left="170"/>
              <w:rPr>
                <w:rFonts w:cs="Arial"/>
                <w:b/>
                <w:bCs/>
                <w:szCs w:val="16"/>
              </w:rPr>
            </w:pPr>
            <w:r w:rsidRPr="00D466AA">
              <w:rPr>
                <w:b/>
              </w:rPr>
              <w:t>2023–24 Budget</w:t>
            </w:r>
          </w:p>
        </w:tc>
        <w:tc>
          <w:tcPr>
            <w:tcW w:w="470" w:type="pct"/>
            <w:tcBorders>
              <w:top w:val="nil"/>
              <w:left w:val="nil"/>
              <w:bottom w:val="nil"/>
              <w:right w:val="nil"/>
            </w:tcBorders>
            <w:shd w:val="clear" w:color="000000" w:fill="FFFFFF"/>
            <w:noWrap/>
            <w:vAlign w:val="center"/>
            <w:hideMark/>
          </w:tcPr>
          <w:p w14:paraId="07A39AA4" w14:textId="77777777" w:rsidR="00D466AA" w:rsidRPr="00D466AA" w:rsidRDefault="00D466AA" w:rsidP="00D466AA">
            <w:pPr>
              <w:spacing w:before="0" w:after="0" w:line="240" w:lineRule="auto"/>
              <w:rPr>
                <w:rFonts w:ascii="Arial" w:hAnsi="Arial" w:cs="Arial"/>
                <w:i/>
                <w:iCs/>
                <w:color w:val="0066CC"/>
                <w:sz w:val="16"/>
                <w:szCs w:val="16"/>
              </w:rPr>
            </w:pPr>
            <w:r w:rsidRPr="00D466AA">
              <w:rPr>
                <w:rFonts w:ascii="Arial" w:hAnsi="Arial" w:cs="Arial"/>
                <w:i/>
                <w:iCs/>
                <w:color w:val="0066CC"/>
                <w:sz w:val="16"/>
                <w:szCs w:val="16"/>
              </w:rPr>
              <w:t> </w:t>
            </w:r>
          </w:p>
        </w:tc>
        <w:tc>
          <w:tcPr>
            <w:tcW w:w="470" w:type="pct"/>
            <w:tcBorders>
              <w:top w:val="nil"/>
              <w:left w:val="nil"/>
              <w:bottom w:val="nil"/>
              <w:right w:val="nil"/>
            </w:tcBorders>
            <w:shd w:val="clear" w:color="000000" w:fill="E6F2FF"/>
            <w:noWrap/>
            <w:vAlign w:val="center"/>
            <w:hideMark/>
          </w:tcPr>
          <w:p w14:paraId="2A702CFE" w14:textId="77777777" w:rsidR="00D466AA" w:rsidRPr="00D466AA" w:rsidRDefault="00D466AA" w:rsidP="00D466AA">
            <w:pPr>
              <w:spacing w:before="0" w:after="0" w:line="240" w:lineRule="auto"/>
              <w:rPr>
                <w:rFonts w:ascii="Arial" w:hAnsi="Arial" w:cs="Arial"/>
                <w:i/>
                <w:iCs/>
                <w:color w:val="0066CC"/>
                <w:sz w:val="16"/>
                <w:szCs w:val="16"/>
              </w:rPr>
            </w:pPr>
            <w:r w:rsidRPr="00D466AA">
              <w:rPr>
                <w:rFonts w:ascii="Arial" w:hAnsi="Arial" w:cs="Arial"/>
                <w:i/>
                <w:iCs/>
                <w:color w:val="0066CC"/>
                <w:sz w:val="16"/>
                <w:szCs w:val="16"/>
              </w:rPr>
              <w:t> </w:t>
            </w:r>
          </w:p>
        </w:tc>
        <w:tc>
          <w:tcPr>
            <w:tcW w:w="470" w:type="pct"/>
            <w:tcBorders>
              <w:top w:val="nil"/>
              <w:left w:val="nil"/>
              <w:bottom w:val="nil"/>
              <w:right w:val="nil"/>
            </w:tcBorders>
            <w:shd w:val="clear" w:color="000000" w:fill="FFFFFF"/>
            <w:noWrap/>
            <w:vAlign w:val="center"/>
            <w:hideMark/>
          </w:tcPr>
          <w:p w14:paraId="2C7AD495" w14:textId="77777777" w:rsidR="00D466AA" w:rsidRPr="00D466AA" w:rsidRDefault="00D466AA" w:rsidP="00D466AA">
            <w:pPr>
              <w:spacing w:before="0" w:after="0" w:line="240" w:lineRule="auto"/>
              <w:rPr>
                <w:rFonts w:ascii="Arial" w:hAnsi="Arial" w:cs="Arial"/>
                <w:i/>
                <w:iCs/>
                <w:color w:val="0066CC"/>
                <w:sz w:val="16"/>
                <w:szCs w:val="16"/>
              </w:rPr>
            </w:pPr>
            <w:r w:rsidRPr="00D466AA">
              <w:rPr>
                <w:rFonts w:ascii="Arial" w:hAnsi="Arial" w:cs="Arial"/>
                <w:i/>
                <w:iCs/>
                <w:color w:val="0066CC"/>
                <w:sz w:val="16"/>
                <w:szCs w:val="16"/>
              </w:rPr>
              <w:t> </w:t>
            </w:r>
          </w:p>
        </w:tc>
        <w:tc>
          <w:tcPr>
            <w:tcW w:w="470" w:type="pct"/>
            <w:tcBorders>
              <w:top w:val="nil"/>
              <w:left w:val="nil"/>
              <w:bottom w:val="nil"/>
              <w:right w:val="nil"/>
            </w:tcBorders>
            <w:shd w:val="clear" w:color="000000" w:fill="FFFFFF"/>
            <w:noWrap/>
            <w:vAlign w:val="center"/>
            <w:hideMark/>
          </w:tcPr>
          <w:p w14:paraId="7F3A1677" w14:textId="77777777" w:rsidR="00D466AA" w:rsidRPr="00D466AA" w:rsidRDefault="00D466AA" w:rsidP="00D466AA">
            <w:pPr>
              <w:spacing w:before="0" w:after="0" w:line="240" w:lineRule="auto"/>
              <w:rPr>
                <w:rFonts w:ascii="Arial" w:hAnsi="Arial" w:cs="Arial"/>
                <w:i/>
                <w:iCs/>
                <w:color w:val="0066CC"/>
                <w:sz w:val="16"/>
                <w:szCs w:val="16"/>
              </w:rPr>
            </w:pPr>
            <w:r w:rsidRPr="00D466AA">
              <w:rPr>
                <w:rFonts w:ascii="Arial" w:hAnsi="Arial" w:cs="Arial"/>
                <w:i/>
                <w:iCs/>
                <w:color w:val="0066CC"/>
                <w:sz w:val="16"/>
                <w:szCs w:val="16"/>
              </w:rPr>
              <w:t> </w:t>
            </w:r>
          </w:p>
        </w:tc>
        <w:tc>
          <w:tcPr>
            <w:tcW w:w="67" w:type="pct"/>
            <w:tcBorders>
              <w:top w:val="nil"/>
              <w:left w:val="nil"/>
              <w:bottom w:val="nil"/>
              <w:right w:val="nil"/>
            </w:tcBorders>
            <w:shd w:val="clear" w:color="000000" w:fill="FFFFFF"/>
            <w:noWrap/>
            <w:vAlign w:val="center"/>
            <w:hideMark/>
          </w:tcPr>
          <w:p w14:paraId="727CD83A" w14:textId="77777777" w:rsidR="00D466AA" w:rsidRPr="00D466AA" w:rsidRDefault="00D466AA" w:rsidP="00D466AA">
            <w:pPr>
              <w:spacing w:before="0" w:after="0" w:line="240" w:lineRule="auto"/>
              <w:rPr>
                <w:rFonts w:ascii="Arial" w:hAnsi="Arial" w:cs="Arial"/>
                <w:i/>
                <w:iCs/>
                <w:color w:val="0066CC"/>
                <w:sz w:val="16"/>
                <w:szCs w:val="16"/>
              </w:rPr>
            </w:pPr>
            <w:r w:rsidRPr="00D466AA">
              <w:rPr>
                <w:rFonts w:ascii="Arial" w:hAnsi="Arial" w:cs="Arial"/>
                <w:i/>
                <w:iCs/>
                <w:color w:val="0066CC"/>
                <w:sz w:val="16"/>
                <w:szCs w:val="16"/>
              </w:rPr>
              <w:t> </w:t>
            </w:r>
          </w:p>
        </w:tc>
        <w:tc>
          <w:tcPr>
            <w:tcW w:w="466" w:type="pct"/>
            <w:tcBorders>
              <w:top w:val="nil"/>
              <w:left w:val="nil"/>
              <w:bottom w:val="nil"/>
              <w:right w:val="nil"/>
            </w:tcBorders>
            <w:shd w:val="clear" w:color="000000" w:fill="FFFFFF"/>
            <w:noWrap/>
            <w:vAlign w:val="center"/>
            <w:hideMark/>
          </w:tcPr>
          <w:p w14:paraId="3A8012CB"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r>
      <w:tr w:rsidR="00D466AA" w:rsidRPr="00D466AA" w14:paraId="3A7F5308"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51A66B81" w14:textId="77777777" w:rsidR="00D466AA" w:rsidRPr="00D466AA" w:rsidRDefault="00D466AA" w:rsidP="00F13DC1">
            <w:pPr>
              <w:pStyle w:val="TableTextLeft"/>
              <w:rPr>
                <w:rFonts w:cs="Arial"/>
                <w:szCs w:val="16"/>
              </w:rPr>
            </w:pPr>
            <w:r w:rsidRPr="00D466AA">
              <w:t>Effect of policy decisions(a)</w:t>
            </w:r>
          </w:p>
        </w:tc>
        <w:tc>
          <w:tcPr>
            <w:tcW w:w="470" w:type="pct"/>
            <w:tcBorders>
              <w:top w:val="nil"/>
              <w:left w:val="nil"/>
              <w:bottom w:val="nil"/>
              <w:right w:val="nil"/>
            </w:tcBorders>
            <w:shd w:val="clear" w:color="000000" w:fill="FFFFFF"/>
            <w:noWrap/>
            <w:vAlign w:val="center"/>
            <w:hideMark/>
          </w:tcPr>
          <w:p w14:paraId="78772706" w14:textId="0A7F61DE"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10</w:t>
            </w:r>
          </w:p>
        </w:tc>
        <w:tc>
          <w:tcPr>
            <w:tcW w:w="470" w:type="pct"/>
            <w:tcBorders>
              <w:top w:val="nil"/>
              <w:left w:val="nil"/>
              <w:bottom w:val="nil"/>
              <w:right w:val="nil"/>
            </w:tcBorders>
            <w:shd w:val="clear" w:color="000000" w:fill="E6F2FF"/>
            <w:noWrap/>
            <w:vAlign w:val="center"/>
            <w:hideMark/>
          </w:tcPr>
          <w:p w14:paraId="0E21185B"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734</w:t>
            </w:r>
          </w:p>
        </w:tc>
        <w:tc>
          <w:tcPr>
            <w:tcW w:w="470" w:type="pct"/>
            <w:tcBorders>
              <w:top w:val="nil"/>
              <w:left w:val="nil"/>
              <w:bottom w:val="nil"/>
              <w:right w:val="nil"/>
            </w:tcBorders>
            <w:shd w:val="clear" w:color="000000" w:fill="FFFFFF"/>
            <w:noWrap/>
            <w:vAlign w:val="center"/>
            <w:hideMark/>
          </w:tcPr>
          <w:p w14:paraId="26B0023F"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712</w:t>
            </w:r>
          </w:p>
        </w:tc>
        <w:tc>
          <w:tcPr>
            <w:tcW w:w="470" w:type="pct"/>
            <w:tcBorders>
              <w:top w:val="nil"/>
              <w:left w:val="nil"/>
              <w:bottom w:val="nil"/>
              <w:right w:val="nil"/>
            </w:tcBorders>
            <w:shd w:val="clear" w:color="000000" w:fill="FFFFFF"/>
            <w:noWrap/>
            <w:vAlign w:val="center"/>
            <w:hideMark/>
          </w:tcPr>
          <w:p w14:paraId="495304A7"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493</w:t>
            </w:r>
          </w:p>
        </w:tc>
        <w:tc>
          <w:tcPr>
            <w:tcW w:w="67" w:type="pct"/>
            <w:tcBorders>
              <w:top w:val="nil"/>
              <w:left w:val="nil"/>
              <w:bottom w:val="nil"/>
              <w:right w:val="nil"/>
            </w:tcBorders>
            <w:shd w:val="clear" w:color="000000" w:fill="FFFFFF"/>
            <w:noWrap/>
            <w:vAlign w:val="center"/>
            <w:hideMark/>
          </w:tcPr>
          <w:p w14:paraId="10E6456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6D002B05"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1,929</w:t>
            </w:r>
          </w:p>
        </w:tc>
      </w:tr>
      <w:tr w:rsidR="00D466AA" w:rsidRPr="00D466AA" w14:paraId="650ECBD6"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41A12941" w14:textId="77777777" w:rsidR="00D466AA" w:rsidRPr="00D466AA" w:rsidRDefault="00D466AA" w:rsidP="00F13DC1">
            <w:pPr>
              <w:pStyle w:val="TableTextLeft"/>
              <w:rPr>
                <w:rFonts w:cs="Arial"/>
                <w:szCs w:val="16"/>
              </w:rPr>
            </w:pPr>
            <w:r w:rsidRPr="00D466AA">
              <w:t>Effect of parameter and other variations</w:t>
            </w:r>
          </w:p>
        </w:tc>
        <w:tc>
          <w:tcPr>
            <w:tcW w:w="470" w:type="pct"/>
            <w:tcBorders>
              <w:top w:val="nil"/>
              <w:left w:val="nil"/>
              <w:bottom w:val="single" w:sz="4" w:space="0" w:color="293F5B"/>
              <w:right w:val="nil"/>
            </w:tcBorders>
            <w:shd w:val="clear" w:color="000000" w:fill="FFFFFF"/>
            <w:noWrap/>
            <w:vAlign w:val="center"/>
            <w:hideMark/>
          </w:tcPr>
          <w:p w14:paraId="5EB88A2A" w14:textId="7654515C"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2,329</w:t>
            </w:r>
          </w:p>
        </w:tc>
        <w:tc>
          <w:tcPr>
            <w:tcW w:w="470" w:type="pct"/>
            <w:tcBorders>
              <w:top w:val="nil"/>
              <w:left w:val="nil"/>
              <w:bottom w:val="single" w:sz="4" w:space="0" w:color="293F5B"/>
              <w:right w:val="nil"/>
            </w:tcBorders>
            <w:shd w:val="clear" w:color="000000" w:fill="E6F2FF"/>
            <w:noWrap/>
            <w:vAlign w:val="center"/>
            <w:hideMark/>
          </w:tcPr>
          <w:p w14:paraId="68994825" w14:textId="06209995"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2,187</w:t>
            </w:r>
          </w:p>
        </w:tc>
        <w:tc>
          <w:tcPr>
            <w:tcW w:w="470" w:type="pct"/>
            <w:tcBorders>
              <w:top w:val="nil"/>
              <w:left w:val="nil"/>
              <w:bottom w:val="single" w:sz="4" w:space="0" w:color="293F5B"/>
              <w:right w:val="nil"/>
            </w:tcBorders>
            <w:shd w:val="clear" w:color="000000" w:fill="FFFFFF"/>
            <w:noWrap/>
            <w:vAlign w:val="center"/>
            <w:hideMark/>
          </w:tcPr>
          <w:p w14:paraId="5B7199F1" w14:textId="2F5B302A"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2,458</w:t>
            </w:r>
          </w:p>
        </w:tc>
        <w:tc>
          <w:tcPr>
            <w:tcW w:w="470" w:type="pct"/>
            <w:tcBorders>
              <w:top w:val="nil"/>
              <w:left w:val="nil"/>
              <w:bottom w:val="single" w:sz="4" w:space="0" w:color="293F5B"/>
              <w:right w:val="nil"/>
            </w:tcBorders>
            <w:shd w:val="clear" w:color="000000" w:fill="FFFFFF"/>
            <w:noWrap/>
            <w:vAlign w:val="center"/>
            <w:hideMark/>
          </w:tcPr>
          <w:p w14:paraId="302B9EF9" w14:textId="19FBCCB6"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4,982</w:t>
            </w:r>
          </w:p>
        </w:tc>
        <w:tc>
          <w:tcPr>
            <w:tcW w:w="67" w:type="pct"/>
            <w:tcBorders>
              <w:top w:val="nil"/>
              <w:left w:val="nil"/>
              <w:bottom w:val="nil"/>
              <w:right w:val="nil"/>
            </w:tcBorders>
            <w:shd w:val="clear" w:color="000000" w:fill="FFFFFF"/>
            <w:noWrap/>
            <w:vAlign w:val="center"/>
            <w:hideMark/>
          </w:tcPr>
          <w:p w14:paraId="147E89EE"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557E3046" w14:textId="6C85E4FE"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11,956</w:t>
            </w:r>
          </w:p>
        </w:tc>
      </w:tr>
      <w:tr w:rsidR="00D466AA" w:rsidRPr="00D466AA" w14:paraId="649DD03A" w14:textId="77777777" w:rsidTr="00A0082A">
        <w:trPr>
          <w:trHeight w:hRule="exact" w:val="225"/>
        </w:trPr>
        <w:tc>
          <w:tcPr>
            <w:tcW w:w="2586" w:type="pct"/>
            <w:tcBorders>
              <w:top w:val="nil"/>
              <w:left w:val="nil"/>
              <w:bottom w:val="nil"/>
              <w:right w:val="nil"/>
            </w:tcBorders>
            <w:shd w:val="clear" w:color="000000" w:fill="FFFFFF"/>
            <w:noWrap/>
            <w:vAlign w:val="center"/>
            <w:hideMark/>
          </w:tcPr>
          <w:p w14:paraId="03AECBDA" w14:textId="77777777" w:rsidR="00D466AA" w:rsidRPr="00D466AA" w:rsidRDefault="00D466AA" w:rsidP="00F13DC1">
            <w:pPr>
              <w:pStyle w:val="TableTextLeft"/>
              <w:rPr>
                <w:rFonts w:cs="Arial"/>
                <w:b/>
                <w:bCs/>
                <w:szCs w:val="16"/>
              </w:rPr>
            </w:pPr>
            <w:r w:rsidRPr="00D466AA">
              <w:rPr>
                <w:b/>
              </w:rPr>
              <w:t>Total variations</w:t>
            </w:r>
          </w:p>
        </w:tc>
        <w:tc>
          <w:tcPr>
            <w:tcW w:w="470" w:type="pct"/>
            <w:tcBorders>
              <w:top w:val="single" w:sz="4" w:space="0" w:color="293F5B"/>
              <w:left w:val="nil"/>
              <w:bottom w:val="single" w:sz="4" w:space="0" w:color="293F5B"/>
              <w:right w:val="nil"/>
            </w:tcBorders>
            <w:shd w:val="clear" w:color="000000" w:fill="FFFFFF"/>
            <w:noWrap/>
            <w:vAlign w:val="center"/>
            <w:hideMark/>
          </w:tcPr>
          <w:p w14:paraId="63CF2E61" w14:textId="3BD06A72" w:rsidR="00D466AA" w:rsidRPr="00D466AA" w:rsidRDefault="00D34B95" w:rsidP="00D466AA">
            <w:pPr>
              <w:spacing w:before="0" w:after="0" w:line="240" w:lineRule="auto"/>
              <w:jc w:val="right"/>
              <w:rPr>
                <w:rFonts w:ascii="Arial" w:hAnsi="Arial" w:cs="Arial"/>
                <w:b/>
                <w:bCs/>
                <w:sz w:val="16"/>
                <w:szCs w:val="16"/>
              </w:rPr>
            </w:pPr>
            <w:r>
              <w:rPr>
                <w:rFonts w:ascii="Arial" w:hAnsi="Arial" w:cs="Arial"/>
                <w:b/>
                <w:bCs/>
                <w:sz w:val="16"/>
                <w:szCs w:val="16"/>
              </w:rPr>
              <w:noBreakHyphen/>
            </w:r>
            <w:r w:rsidR="00D466AA" w:rsidRPr="00D466AA">
              <w:rPr>
                <w:rFonts w:ascii="Arial" w:hAnsi="Arial" w:cs="Arial"/>
                <w:b/>
                <w:bCs/>
                <w:sz w:val="16"/>
                <w:szCs w:val="16"/>
              </w:rPr>
              <w:t>2,339</w:t>
            </w:r>
          </w:p>
        </w:tc>
        <w:tc>
          <w:tcPr>
            <w:tcW w:w="470" w:type="pct"/>
            <w:tcBorders>
              <w:top w:val="single" w:sz="4" w:space="0" w:color="293F5B"/>
              <w:left w:val="nil"/>
              <w:bottom w:val="single" w:sz="4" w:space="0" w:color="293F5B"/>
              <w:right w:val="nil"/>
            </w:tcBorders>
            <w:shd w:val="clear" w:color="000000" w:fill="E6F2FF"/>
            <w:noWrap/>
            <w:vAlign w:val="center"/>
            <w:hideMark/>
          </w:tcPr>
          <w:p w14:paraId="1E332452" w14:textId="5244318D" w:rsidR="00D466AA" w:rsidRPr="00D466AA" w:rsidRDefault="00D34B95" w:rsidP="00D466AA">
            <w:pPr>
              <w:spacing w:before="0" w:after="0" w:line="240" w:lineRule="auto"/>
              <w:jc w:val="right"/>
              <w:rPr>
                <w:rFonts w:ascii="Arial" w:hAnsi="Arial" w:cs="Arial"/>
                <w:b/>
                <w:bCs/>
                <w:sz w:val="16"/>
                <w:szCs w:val="16"/>
              </w:rPr>
            </w:pPr>
            <w:r>
              <w:rPr>
                <w:rFonts w:ascii="Arial" w:hAnsi="Arial" w:cs="Arial"/>
                <w:b/>
                <w:bCs/>
                <w:sz w:val="16"/>
                <w:szCs w:val="16"/>
              </w:rPr>
              <w:noBreakHyphen/>
            </w:r>
            <w:r w:rsidR="00D466AA" w:rsidRPr="00D466AA">
              <w:rPr>
                <w:rFonts w:ascii="Arial" w:hAnsi="Arial" w:cs="Arial"/>
                <w:b/>
                <w:bCs/>
                <w:sz w:val="16"/>
                <w:szCs w:val="16"/>
              </w:rPr>
              <w:t>1,452</w:t>
            </w:r>
          </w:p>
        </w:tc>
        <w:tc>
          <w:tcPr>
            <w:tcW w:w="470" w:type="pct"/>
            <w:tcBorders>
              <w:top w:val="single" w:sz="4" w:space="0" w:color="293F5B"/>
              <w:left w:val="nil"/>
              <w:bottom w:val="single" w:sz="4" w:space="0" w:color="293F5B"/>
              <w:right w:val="nil"/>
            </w:tcBorders>
            <w:shd w:val="clear" w:color="000000" w:fill="FFFFFF"/>
            <w:noWrap/>
            <w:vAlign w:val="center"/>
            <w:hideMark/>
          </w:tcPr>
          <w:p w14:paraId="2B05128A" w14:textId="00CB3AB4" w:rsidR="00D466AA" w:rsidRPr="00D466AA" w:rsidRDefault="00D34B95" w:rsidP="00D466AA">
            <w:pPr>
              <w:spacing w:before="0" w:after="0" w:line="240" w:lineRule="auto"/>
              <w:jc w:val="right"/>
              <w:rPr>
                <w:rFonts w:ascii="Arial" w:hAnsi="Arial" w:cs="Arial"/>
                <w:b/>
                <w:bCs/>
                <w:sz w:val="16"/>
                <w:szCs w:val="16"/>
              </w:rPr>
            </w:pPr>
            <w:r>
              <w:rPr>
                <w:rFonts w:ascii="Arial" w:hAnsi="Arial" w:cs="Arial"/>
                <w:b/>
                <w:bCs/>
                <w:sz w:val="16"/>
                <w:szCs w:val="16"/>
              </w:rPr>
              <w:noBreakHyphen/>
            </w:r>
            <w:r w:rsidR="00D466AA" w:rsidRPr="00D466AA">
              <w:rPr>
                <w:rFonts w:ascii="Arial" w:hAnsi="Arial" w:cs="Arial"/>
                <w:b/>
                <w:bCs/>
                <w:sz w:val="16"/>
                <w:szCs w:val="16"/>
              </w:rPr>
              <w:t>1,746</w:t>
            </w:r>
          </w:p>
        </w:tc>
        <w:tc>
          <w:tcPr>
            <w:tcW w:w="470" w:type="pct"/>
            <w:tcBorders>
              <w:top w:val="single" w:sz="4" w:space="0" w:color="293F5B"/>
              <w:left w:val="nil"/>
              <w:bottom w:val="single" w:sz="4" w:space="0" w:color="293F5B"/>
              <w:right w:val="nil"/>
            </w:tcBorders>
            <w:shd w:val="clear" w:color="000000" w:fill="FFFFFF"/>
            <w:noWrap/>
            <w:vAlign w:val="center"/>
            <w:hideMark/>
          </w:tcPr>
          <w:p w14:paraId="7CA50D2C" w14:textId="4B963B6A" w:rsidR="00D466AA" w:rsidRPr="00D466AA" w:rsidRDefault="00D34B95" w:rsidP="00D466AA">
            <w:pPr>
              <w:spacing w:before="0" w:after="0" w:line="240" w:lineRule="auto"/>
              <w:jc w:val="right"/>
              <w:rPr>
                <w:rFonts w:ascii="Arial" w:hAnsi="Arial" w:cs="Arial"/>
                <w:b/>
                <w:bCs/>
                <w:sz w:val="16"/>
                <w:szCs w:val="16"/>
              </w:rPr>
            </w:pPr>
            <w:r>
              <w:rPr>
                <w:rFonts w:ascii="Arial" w:hAnsi="Arial" w:cs="Arial"/>
                <w:b/>
                <w:bCs/>
                <w:sz w:val="16"/>
                <w:szCs w:val="16"/>
              </w:rPr>
              <w:noBreakHyphen/>
            </w:r>
            <w:r w:rsidR="00D466AA" w:rsidRPr="00D466AA">
              <w:rPr>
                <w:rFonts w:ascii="Arial" w:hAnsi="Arial" w:cs="Arial"/>
                <w:b/>
                <w:bCs/>
                <w:sz w:val="16"/>
                <w:szCs w:val="16"/>
              </w:rPr>
              <w:t>4,489</w:t>
            </w:r>
          </w:p>
        </w:tc>
        <w:tc>
          <w:tcPr>
            <w:tcW w:w="67" w:type="pct"/>
            <w:tcBorders>
              <w:top w:val="nil"/>
              <w:left w:val="nil"/>
              <w:bottom w:val="nil"/>
              <w:right w:val="nil"/>
            </w:tcBorders>
            <w:shd w:val="clear" w:color="000000" w:fill="FFFFFF"/>
            <w:noWrap/>
            <w:vAlign w:val="center"/>
            <w:hideMark/>
          </w:tcPr>
          <w:p w14:paraId="62F75767" w14:textId="77777777" w:rsidR="00D466AA" w:rsidRPr="00D466AA" w:rsidRDefault="00D466AA" w:rsidP="00D466AA">
            <w:pPr>
              <w:spacing w:before="0" w:after="0" w:line="240" w:lineRule="auto"/>
              <w:rPr>
                <w:rFonts w:ascii="Arial" w:hAnsi="Arial" w:cs="Arial"/>
                <w:b/>
                <w:bCs/>
                <w:sz w:val="16"/>
                <w:szCs w:val="16"/>
              </w:rPr>
            </w:pPr>
            <w:r w:rsidRPr="00D466AA">
              <w:rPr>
                <w:rFonts w:ascii="Arial" w:hAnsi="Arial" w:cs="Arial"/>
                <w:b/>
                <w:bCs/>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45E10586" w14:textId="030AD378" w:rsidR="00D466AA" w:rsidRPr="00D466AA" w:rsidRDefault="00D34B95" w:rsidP="00D466AA">
            <w:pPr>
              <w:spacing w:before="0" w:after="0" w:line="240" w:lineRule="auto"/>
              <w:jc w:val="right"/>
              <w:rPr>
                <w:rFonts w:ascii="Arial" w:hAnsi="Arial" w:cs="Arial"/>
                <w:b/>
                <w:bCs/>
                <w:sz w:val="16"/>
                <w:szCs w:val="16"/>
              </w:rPr>
            </w:pPr>
            <w:r>
              <w:rPr>
                <w:rFonts w:ascii="Arial" w:hAnsi="Arial" w:cs="Arial"/>
                <w:b/>
                <w:bCs/>
                <w:sz w:val="16"/>
                <w:szCs w:val="16"/>
              </w:rPr>
              <w:noBreakHyphen/>
            </w:r>
            <w:r w:rsidR="00D466AA" w:rsidRPr="00D466AA">
              <w:rPr>
                <w:rFonts w:ascii="Arial" w:hAnsi="Arial" w:cs="Arial"/>
                <w:b/>
                <w:bCs/>
                <w:sz w:val="16"/>
                <w:szCs w:val="16"/>
              </w:rPr>
              <w:t>10,028</w:t>
            </w:r>
          </w:p>
        </w:tc>
      </w:tr>
      <w:tr w:rsidR="00D466AA" w:rsidRPr="00D466AA" w14:paraId="5738AA44" w14:textId="77777777" w:rsidTr="00A0082A">
        <w:trPr>
          <w:trHeight w:hRule="exact" w:val="60"/>
        </w:trPr>
        <w:tc>
          <w:tcPr>
            <w:tcW w:w="2586" w:type="pct"/>
            <w:tcBorders>
              <w:top w:val="nil"/>
              <w:left w:val="nil"/>
              <w:bottom w:val="nil"/>
              <w:right w:val="nil"/>
            </w:tcBorders>
            <w:shd w:val="clear" w:color="000000" w:fill="FFFFFF"/>
            <w:noWrap/>
            <w:vAlign w:val="center"/>
            <w:hideMark/>
          </w:tcPr>
          <w:p w14:paraId="154A2627" w14:textId="77777777" w:rsidR="00D466AA" w:rsidRPr="00D466AA" w:rsidRDefault="00D466AA" w:rsidP="00F13DC1">
            <w:pPr>
              <w:pStyle w:val="TableTextLeft"/>
              <w:rPr>
                <w:rFonts w:cs="Arial"/>
                <w:b/>
                <w:bCs/>
                <w:color w:val="0066CC"/>
                <w:szCs w:val="16"/>
              </w:rPr>
            </w:pPr>
            <w:r w:rsidRPr="00D466AA">
              <w:rPr>
                <w:b/>
                <w:color w:val="0066CC"/>
              </w:rPr>
              <w:t> </w:t>
            </w:r>
          </w:p>
        </w:tc>
        <w:tc>
          <w:tcPr>
            <w:tcW w:w="470" w:type="pct"/>
            <w:tcBorders>
              <w:top w:val="nil"/>
              <w:left w:val="nil"/>
              <w:bottom w:val="nil"/>
              <w:right w:val="nil"/>
            </w:tcBorders>
            <w:shd w:val="clear" w:color="000000" w:fill="FFFFFF"/>
            <w:noWrap/>
            <w:vAlign w:val="center"/>
            <w:hideMark/>
          </w:tcPr>
          <w:p w14:paraId="58A65AEB"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E6F2FF"/>
            <w:noWrap/>
            <w:vAlign w:val="center"/>
            <w:hideMark/>
          </w:tcPr>
          <w:p w14:paraId="00FABE6B"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2E67C891"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70" w:type="pct"/>
            <w:tcBorders>
              <w:top w:val="nil"/>
              <w:left w:val="nil"/>
              <w:bottom w:val="nil"/>
              <w:right w:val="nil"/>
            </w:tcBorders>
            <w:shd w:val="clear" w:color="000000" w:fill="FFFFFF"/>
            <w:noWrap/>
            <w:vAlign w:val="center"/>
            <w:hideMark/>
          </w:tcPr>
          <w:p w14:paraId="5E863745"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67" w:type="pct"/>
            <w:tcBorders>
              <w:top w:val="nil"/>
              <w:left w:val="nil"/>
              <w:bottom w:val="nil"/>
              <w:right w:val="nil"/>
            </w:tcBorders>
            <w:shd w:val="clear" w:color="000000" w:fill="FFFFFF"/>
            <w:noWrap/>
            <w:vAlign w:val="center"/>
            <w:hideMark/>
          </w:tcPr>
          <w:p w14:paraId="5E033A2E" w14:textId="77777777" w:rsidR="00D466AA" w:rsidRPr="00D466AA" w:rsidRDefault="00D466AA" w:rsidP="00D466AA">
            <w:pPr>
              <w:spacing w:before="0" w:after="0" w:line="240" w:lineRule="auto"/>
              <w:rPr>
                <w:rFonts w:ascii="Arial" w:hAnsi="Arial" w:cs="Arial"/>
                <w:color w:val="0066CC"/>
                <w:sz w:val="16"/>
                <w:szCs w:val="16"/>
              </w:rPr>
            </w:pPr>
            <w:r w:rsidRPr="00D466AA">
              <w:rPr>
                <w:rFonts w:ascii="Arial" w:hAnsi="Arial" w:cs="Arial"/>
                <w:color w:val="0066CC"/>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3CDBCC48"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 </w:t>
            </w:r>
          </w:p>
        </w:tc>
      </w:tr>
      <w:tr w:rsidR="00D466AA" w:rsidRPr="00D466AA" w14:paraId="32255A6D" w14:textId="77777777" w:rsidTr="00A0082A">
        <w:trPr>
          <w:trHeight w:hRule="exact" w:val="225"/>
        </w:trPr>
        <w:tc>
          <w:tcPr>
            <w:tcW w:w="2586" w:type="pct"/>
            <w:tcBorders>
              <w:top w:val="nil"/>
              <w:left w:val="nil"/>
              <w:bottom w:val="single" w:sz="4" w:space="0" w:color="293F5B"/>
              <w:right w:val="nil"/>
            </w:tcBorders>
            <w:shd w:val="clear" w:color="000000" w:fill="FFFFFF"/>
            <w:noWrap/>
            <w:vAlign w:val="center"/>
            <w:hideMark/>
          </w:tcPr>
          <w:p w14:paraId="33E8D0D0" w14:textId="77777777" w:rsidR="00D466AA" w:rsidRPr="00D466AA" w:rsidRDefault="00D466AA" w:rsidP="00F13DC1">
            <w:pPr>
              <w:pStyle w:val="TableTextLeft"/>
              <w:rPr>
                <w:rFonts w:cs="Arial"/>
                <w:b/>
                <w:bCs/>
                <w:szCs w:val="16"/>
              </w:rPr>
            </w:pPr>
            <w:r w:rsidRPr="00D466AA">
              <w:rPr>
                <w:b/>
              </w:rPr>
              <w:t>2023–24 Budget net capital investment</w:t>
            </w:r>
          </w:p>
        </w:tc>
        <w:tc>
          <w:tcPr>
            <w:tcW w:w="470" w:type="pct"/>
            <w:tcBorders>
              <w:top w:val="nil"/>
              <w:left w:val="nil"/>
              <w:bottom w:val="single" w:sz="4" w:space="0" w:color="293F5B"/>
              <w:right w:val="nil"/>
            </w:tcBorders>
            <w:shd w:val="clear" w:color="000000" w:fill="FFFFFF"/>
            <w:noWrap/>
            <w:vAlign w:val="center"/>
            <w:hideMark/>
          </w:tcPr>
          <w:p w14:paraId="059F9ACD"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10,441</w:t>
            </w:r>
          </w:p>
        </w:tc>
        <w:tc>
          <w:tcPr>
            <w:tcW w:w="470" w:type="pct"/>
            <w:tcBorders>
              <w:top w:val="nil"/>
              <w:left w:val="nil"/>
              <w:bottom w:val="single" w:sz="4" w:space="0" w:color="293F5B"/>
              <w:right w:val="nil"/>
            </w:tcBorders>
            <w:shd w:val="clear" w:color="000000" w:fill="E6F2FF"/>
            <w:noWrap/>
            <w:vAlign w:val="center"/>
            <w:hideMark/>
          </w:tcPr>
          <w:p w14:paraId="570258C7"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10,431</w:t>
            </w:r>
          </w:p>
        </w:tc>
        <w:tc>
          <w:tcPr>
            <w:tcW w:w="470" w:type="pct"/>
            <w:tcBorders>
              <w:top w:val="nil"/>
              <w:left w:val="nil"/>
              <w:bottom w:val="single" w:sz="4" w:space="0" w:color="293F5B"/>
              <w:right w:val="nil"/>
            </w:tcBorders>
            <w:shd w:val="clear" w:color="000000" w:fill="FFFFFF"/>
            <w:noWrap/>
            <w:vAlign w:val="center"/>
            <w:hideMark/>
          </w:tcPr>
          <w:p w14:paraId="1014ADE0"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7,229</w:t>
            </w:r>
          </w:p>
        </w:tc>
        <w:tc>
          <w:tcPr>
            <w:tcW w:w="470" w:type="pct"/>
            <w:tcBorders>
              <w:top w:val="nil"/>
              <w:left w:val="nil"/>
              <w:bottom w:val="single" w:sz="4" w:space="0" w:color="293F5B"/>
              <w:right w:val="nil"/>
            </w:tcBorders>
            <w:shd w:val="clear" w:color="000000" w:fill="FFFFFF"/>
            <w:noWrap/>
            <w:vAlign w:val="center"/>
            <w:hideMark/>
          </w:tcPr>
          <w:p w14:paraId="045F2D37"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5,449</w:t>
            </w:r>
          </w:p>
        </w:tc>
        <w:tc>
          <w:tcPr>
            <w:tcW w:w="67" w:type="pct"/>
            <w:tcBorders>
              <w:top w:val="nil"/>
              <w:left w:val="nil"/>
              <w:bottom w:val="single" w:sz="4" w:space="0" w:color="293F5B"/>
              <w:right w:val="nil"/>
            </w:tcBorders>
            <w:shd w:val="clear" w:color="000000" w:fill="FFFFFF"/>
            <w:noWrap/>
            <w:vAlign w:val="center"/>
            <w:hideMark/>
          </w:tcPr>
          <w:p w14:paraId="52564B5B" w14:textId="77777777" w:rsidR="00D466AA" w:rsidRPr="00D466AA" w:rsidRDefault="00D466AA" w:rsidP="00D466AA">
            <w:pPr>
              <w:spacing w:before="0" w:after="0" w:line="240" w:lineRule="auto"/>
              <w:rPr>
                <w:rFonts w:ascii="Arial" w:hAnsi="Arial" w:cs="Arial"/>
                <w:b/>
                <w:bCs/>
                <w:sz w:val="16"/>
                <w:szCs w:val="16"/>
              </w:rPr>
            </w:pPr>
            <w:r w:rsidRPr="00D466AA">
              <w:rPr>
                <w:rFonts w:ascii="Arial" w:hAnsi="Arial" w:cs="Arial"/>
                <w:b/>
                <w:bCs/>
                <w:sz w:val="16"/>
                <w:szCs w:val="16"/>
              </w:rPr>
              <w:t> </w:t>
            </w:r>
          </w:p>
        </w:tc>
        <w:tc>
          <w:tcPr>
            <w:tcW w:w="466" w:type="pct"/>
            <w:tcBorders>
              <w:top w:val="nil"/>
              <w:left w:val="nil"/>
              <w:bottom w:val="single" w:sz="4" w:space="0" w:color="293F5B"/>
              <w:right w:val="nil"/>
            </w:tcBorders>
            <w:shd w:val="clear" w:color="000000" w:fill="FFFFFF"/>
            <w:noWrap/>
            <w:vAlign w:val="center"/>
            <w:hideMark/>
          </w:tcPr>
          <w:p w14:paraId="5395BA9F"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33,550</w:t>
            </w:r>
          </w:p>
        </w:tc>
      </w:tr>
    </w:tbl>
    <w:p w14:paraId="3721A86A" w14:textId="58A58C22" w:rsidR="00C855DF" w:rsidRPr="000177D7" w:rsidRDefault="00C855DF" w:rsidP="00173739">
      <w:pPr>
        <w:pStyle w:val="ChartandTableFootnoteAlpha"/>
        <w:numPr>
          <w:ilvl w:val="0"/>
          <w:numId w:val="8"/>
        </w:numPr>
        <w:rPr>
          <w:color w:val="auto"/>
        </w:rPr>
      </w:pPr>
      <w:r w:rsidRPr="000177D7">
        <w:rPr>
          <w:color w:val="auto"/>
        </w:rPr>
        <w:t>Excludes secondary impacts on public debt interest of policy decisions and offsets from the Contingency Reserve for decisions taken.</w:t>
      </w:r>
    </w:p>
    <w:p w14:paraId="2146AB06" w14:textId="77777777" w:rsidR="00C855DF" w:rsidRPr="000177D7" w:rsidRDefault="00C855DF" w:rsidP="00C855DF">
      <w:pPr>
        <w:pStyle w:val="TableLine"/>
      </w:pPr>
    </w:p>
    <w:p w14:paraId="00AAD801" w14:textId="2A988ED9" w:rsidR="00842CC7" w:rsidRPr="000177D7" w:rsidRDefault="00445C2D" w:rsidP="00842CC7">
      <w:bookmarkStart w:id="169" w:name="_Toc99203695"/>
      <w:bookmarkStart w:id="170" w:name="_Toc117358188"/>
      <w:r w:rsidRPr="000177D7">
        <w:t xml:space="preserve">Forecast net capital </w:t>
      </w:r>
      <w:r w:rsidRPr="0021687D">
        <w:t>investment for 2023</w:t>
      </w:r>
      <w:r w:rsidR="00D25E5B">
        <w:rPr>
          <w:rFonts w:eastAsia="Book Antiqua" w:cs="Book Antiqua"/>
          <w:lang w:val="en-US"/>
        </w:rPr>
        <w:t>–</w:t>
      </w:r>
      <w:r w:rsidRPr="0021687D">
        <w:t xml:space="preserve">24 has </w:t>
      </w:r>
      <w:r w:rsidR="006B0954">
        <w:t xml:space="preserve">decreased by </w:t>
      </w:r>
      <w:r w:rsidRPr="0021687D">
        <w:t>$1.</w:t>
      </w:r>
      <w:r w:rsidR="00A44D3B" w:rsidRPr="0021687D">
        <w:t>5</w:t>
      </w:r>
      <w:r w:rsidR="00E210CA">
        <w:t> </w:t>
      </w:r>
      <w:r w:rsidRPr="0021687D">
        <w:t>billion since the October</w:t>
      </w:r>
      <w:r w:rsidR="00BC2A6A">
        <w:t xml:space="preserve"> </w:t>
      </w:r>
      <w:r w:rsidRPr="0021687D">
        <w:t>Budget. This</w:t>
      </w:r>
      <w:r w:rsidRPr="0021687D" w:rsidDel="00EB4376">
        <w:t xml:space="preserve"> </w:t>
      </w:r>
      <w:r w:rsidR="006B0954">
        <w:t>decrease</w:t>
      </w:r>
      <w:r w:rsidRPr="0021687D">
        <w:t xml:space="preserve"> is driven by a </w:t>
      </w:r>
      <w:r w:rsidR="00A44D3B" w:rsidRPr="0021687D">
        <w:t>dec</w:t>
      </w:r>
      <w:r w:rsidRPr="0021687D">
        <w:t>rease of $</w:t>
      </w:r>
      <w:r w:rsidR="00A44D3B" w:rsidRPr="0021687D">
        <w:t>2.2</w:t>
      </w:r>
      <w:r w:rsidR="00E210CA">
        <w:t> </w:t>
      </w:r>
      <w:r w:rsidRPr="0021687D">
        <w:t xml:space="preserve">billion </w:t>
      </w:r>
      <w:r w:rsidR="006B0954">
        <w:t>from</w:t>
      </w:r>
      <w:r w:rsidRPr="0021687D">
        <w:t xml:space="preserve"> a result</w:t>
      </w:r>
      <w:r w:rsidRPr="000177D7">
        <w:t xml:space="preserve"> of parameter and other variations</w:t>
      </w:r>
      <w:r w:rsidR="00E75A1D">
        <w:t xml:space="preserve"> partially offset by an </w:t>
      </w:r>
      <w:r w:rsidR="006B0954">
        <w:t>increase from</w:t>
      </w:r>
      <w:r w:rsidRPr="0021687D">
        <w:t xml:space="preserve"> policy decisions of $</w:t>
      </w:r>
      <w:r w:rsidR="00A44D3B" w:rsidRPr="0021687D">
        <w:t>0.7</w:t>
      </w:r>
      <w:r w:rsidR="00210671">
        <w:t> </w:t>
      </w:r>
      <w:r w:rsidR="00A44D3B" w:rsidRPr="0021687D">
        <w:t>b</w:t>
      </w:r>
      <w:r w:rsidRPr="0021687D">
        <w:t>illion</w:t>
      </w:r>
      <w:r w:rsidRPr="000177D7">
        <w:t>.</w:t>
      </w:r>
    </w:p>
    <w:p w14:paraId="6B412B75" w14:textId="77777777" w:rsidR="00842CC7" w:rsidRPr="00BC2A6A" w:rsidRDefault="00842CC7" w:rsidP="00BC2A6A">
      <w:r>
        <w:br w:type="page"/>
      </w:r>
    </w:p>
    <w:p w14:paraId="6C8DB4CD" w14:textId="1E3B7D43" w:rsidR="00C855DF" w:rsidRPr="000177D7" w:rsidRDefault="00C855DF" w:rsidP="00C855DF">
      <w:pPr>
        <w:pStyle w:val="Heading3"/>
      </w:pPr>
      <w:bookmarkStart w:id="171" w:name="_Toc134169629"/>
      <w:r w:rsidRPr="000177D7">
        <w:lastRenderedPageBreak/>
        <w:t>Net capital investment estimates by function</w:t>
      </w:r>
      <w:bookmarkEnd w:id="169"/>
      <w:bookmarkEnd w:id="170"/>
      <w:bookmarkEnd w:id="171"/>
    </w:p>
    <w:p w14:paraId="2544A61F" w14:textId="16C1575B" w:rsidR="00842CC7" w:rsidRPr="000177D7" w:rsidRDefault="00842CC7" w:rsidP="00842CC7">
      <w:r w:rsidRPr="000177D7">
        <w:t>Estimates for Australian Government general government sector net capital investment by function for the period 202</w:t>
      </w:r>
      <w:r>
        <w:t>2</w:t>
      </w:r>
      <w:r w:rsidR="00D25E5B">
        <w:rPr>
          <w:rFonts w:eastAsia="Book Antiqua" w:cs="Book Antiqua"/>
          <w:lang w:val="en-US"/>
        </w:rPr>
        <w:t>–</w:t>
      </w:r>
      <w:r w:rsidRPr="000177D7">
        <w:t>2</w:t>
      </w:r>
      <w:r>
        <w:t>3</w:t>
      </w:r>
      <w:r w:rsidRPr="000177D7">
        <w:t xml:space="preserve"> to 202</w:t>
      </w:r>
      <w:r>
        <w:t>6</w:t>
      </w:r>
      <w:r w:rsidR="00D25E5B">
        <w:rPr>
          <w:rFonts w:eastAsia="Book Antiqua" w:cs="Book Antiqua"/>
          <w:lang w:val="en-US"/>
        </w:rPr>
        <w:t>–</w:t>
      </w:r>
      <w:r w:rsidRPr="000177D7">
        <w:t>2</w:t>
      </w:r>
      <w:r>
        <w:t>7</w:t>
      </w:r>
      <w:r w:rsidRPr="000177D7">
        <w:t xml:space="preserve"> are provided in Table 6.20.</w:t>
      </w:r>
    </w:p>
    <w:p w14:paraId="304E9EF1" w14:textId="6C230F6A" w:rsidR="00D466AA" w:rsidRDefault="00C855DF" w:rsidP="00210671">
      <w:pPr>
        <w:pStyle w:val="TableHeading"/>
        <w:rPr>
          <w:rFonts w:asciiTheme="minorHAnsi" w:eastAsiaTheme="minorHAnsi" w:hAnsiTheme="minorHAnsi" w:cstheme="minorBidi"/>
          <w:sz w:val="22"/>
          <w:szCs w:val="22"/>
          <w:lang w:eastAsia="en-US"/>
        </w:rPr>
      </w:pPr>
      <w:r w:rsidRPr="000177D7">
        <w:t>Table 6.20: Estimates of net capital investment by function</w:t>
      </w:r>
      <w:bookmarkStart w:id="172" w:name="_1727774405"/>
      <w:bookmarkEnd w:id="172"/>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D466AA" w:rsidRPr="00D466AA" w14:paraId="19C40AAA" w14:textId="77777777" w:rsidTr="001710EC">
        <w:trPr>
          <w:trHeight w:hRule="exact" w:val="225"/>
        </w:trPr>
        <w:tc>
          <w:tcPr>
            <w:tcW w:w="2388" w:type="pct"/>
            <w:tcBorders>
              <w:top w:val="single" w:sz="4" w:space="0" w:color="293F5B"/>
              <w:left w:val="nil"/>
              <w:bottom w:val="nil"/>
              <w:right w:val="nil"/>
            </w:tcBorders>
            <w:shd w:val="clear" w:color="000000" w:fill="FFFFFF"/>
            <w:noWrap/>
            <w:vAlign w:val="center"/>
            <w:hideMark/>
          </w:tcPr>
          <w:p w14:paraId="2111826A" w14:textId="05B29D71" w:rsidR="00D466AA" w:rsidRPr="00D466AA" w:rsidRDefault="00D466AA" w:rsidP="00F13DC1">
            <w:pPr>
              <w:pStyle w:val="TableTextLeft"/>
            </w:pPr>
            <w:r w:rsidRPr="00D466AA">
              <w:t> </w:t>
            </w:r>
          </w:p>
        </w:tc>
        <w:tc>
          <w:tcPr>
            <w:tcW w:w="2612" w:type="pct"/>
            <w:gridSpan w:val="5"/>
            <w:tcBorders>
              <w:top w:val="single" w:sz="4" w:space="0" w:color="293F5B"/>
              <w:left w:val="nil"/>
              <w:bottom w:val="single" w:sz="4" w:space="0" w:color="293F5B"/>
              <w:right w:val="nil"/>
            </w:tcBorders>
            <w:shd w:val="clear" w:color="000000" w:fill="FFFFFF"/>
            <w:noWrap/>
            <w:vAlign w:val="center"/>
            <w:hideMark/>
          </w:tcPr>
          <w:p w14:paraId="37C4F3A6" w14:textId="77777777" w:rsidR="00D466AA" w:rsidRPr="00D466AA" w:rsidRDefault="00D466AA" w:rsidP="00D466AA">
            <w:pPr>
              <w:spacing w:before="0" w:after="0" w:line="240" w:lineRule="auto"/>
              <w:jc w:val="center"/>
              <w:rPr>
                <w:rFonts w:ascii="Arial" w:hAnsi="Arial" w:cs="Arial"/>
                <w:sz w:val="16"/>
                <w:szCs w:val="16"/>
              </w:rPr>
            </w:pPr>
            <w:r w:rsidRPr="00D466AA">
              <w:rPr>
                <w:rFonts w:ascii="Arial" w:hAnsi="Arial" w:cs="Arial"/>
                <w:sz w:val="16"/>
                <w:szCs w:val="16"/>
              </w:rPr>
              <w:t>Estimates</w:t>
            </w:r>
          </w:p>
        </w:tc>
      </w:tr>
      <w:tr w:rsidR="00D466AA" w:rsidRPr="00D466AA" w14:paraId="2FA8598C"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0D9C9B1" w14:textId="77777777" w:rsidR="00D466AA" w:rsidRPr="00D466AA" w:rsidRDefault="00D466AA" w:rsidP="00F13DC1">
            <w:pPr>
              <w:pStyle w:val="TableTextLeft"/>
            </w:pPr>
            <w:r w:rsidRPr="00D466AA">
              <w:t> </w:t>
            </w:r>
          </w:p>
        </w:tc>
        <w:tc>
          <w:tcPr>
            <w:tcW w:w="523" w:type="pct"/>
            <w:tcBorders>
              <w:top w:val="nil"/>
              <w:left w:val="nil"/>
              <w:bottom w:val="nil"/>
              <w:right w:val="nil"/>
            </w:tcBorders>
            <w:shd w:val="clear" w:color="000000" w:fill="FFFFFF"/>
            <w:noWrap/>
            <w:vAlign w:val="center"/>
            <w:hideMark/>
          </w:tcPr>
          <w:p w14:paraId="0E1B4C0B"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2022–23</w:t>
            </w:r>
          </w:p>
        </w:tc>
        <w:tc>
          <w:tcPr>
            <w:tcW w:w="522" w:type="pct"/>
            <w:tcBorders>
              <w:top w:val="nil"/>
              <w:left w:val="nil"/>
              <w:bottom w:val="nil"/>
              <w:right w:val="nil"/>
            </w:tcBorders>
            <w:shd w:val="clear" w:color="000000" w:fill="E6F2FF"/>
            <w:noWrap/>
            <w:vAlign w:val="center"/>
            <w:hideMark/>
          </w:tcPr>
          <w:p w14:paraId="4840F313"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2023–24</w:t>
            </w:r>
          </w:p>
        </w:tc>
        <w:tc>
          <w:tcPr>
            <w:tcW w:w="522" w:type="pct"/>
            <w:tcBorders>
              <w:top w:val="nil"/>
              <w:left w:val="nil"/>
              <w:bottom w:val="nil"/>
              <w:right w:val="nil"/>
            </w:tcBorders>
            <w:shd w:val="clear" w:color="000000" w:fill="FFFFFF"/>
            <w:noWrap/>
            <w:vAlign w:val="center"/>
            <w:hideMark/>
          </w:tcPr>
          <w:p w14:paraId="7EB9F8C4"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2024–25</w:t>
            </w:r>
          </w:p>
        </w:tc>
        <w:tc>
          <w:tcPr>
            <w:tcW w:w="522" w:type="pct"/>
            <w:tcBorders>
              <w:top w:val="nil"/>
              <w:left w:val="nil"/>
              <w:bottom w:val="nil"/>
              <w:right w:val="nil"/>
            </w:tcBorders>
            <w:shd w:val="clear" w:color="000000" w:fill="FFFFFF"/>
            <w:noWrap/>
            <w:vAlign w:val="center"/>
            <w:hideMark/>
          </w:tcPr>
          <w:p w14:paraId="3F89616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2025–26</w:t>
            </w:r>
          </w:p>
        </w:tc>
        <w:tc>
          <w:tcPr>
            <w:tcW w:w="522" w:type="pct"/>
            <w:tcBorders>
              <w:top w:val="nil"/>
              <w:left w:val="nil"/>
              <w:bottom w:val="nil"/>
              <w:right w:val="nil"/>
            </w:tcBorders>
            <w:shd w:val="clear" w:color="000000" w:fill="FFFFFF"/>
            <w:noWrap/>
            <w:vAlign w:val="center"/>
            <w:hideMark/>
          </w:tcPr>
          <w:p w14:paraId="1469888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2026–27</w:t>
            </w:r>
          </w:p>
        </w:tc>
      </w:tr>
      <w:tr w:rsidR="00D466AA" w:rsidRPr="00D466AA" w14:paraId="148B747D"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68801EE8"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162E9C5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152FE12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8DDC6E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1F2439B4"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4BC6613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r>
      <w:tr w:rsidR="00D466AA" w:rsidRPr="00D466AA" w14:paraId="054B8CDD"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4500912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General public services</w:t>
            </w:r>
          </w:p>
        </w:tc>
        <w:tc>
          <w:tcPr>
            <w:tcW w:w="523" w:type="pct"/>
            <w:tcBorders>
              <w:top w:val="nil"/>
              <w:left w:val="nil"/>
              <w:bottom w:val="nil"/>
              <w:right w:val="nil"/>
            </w:tcBorders>
            <w:shd w:val="clear" w:color="000000" w:fill="FFFFFF"/>
            <w:noWrap/>
            <w:vAlign w:val="center"/>
            <w:hideMark/>
          </w:tcPr>
          <w:p w14:paraId="41CDC31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477</w:t>
            </w:r>
          </w:p>
        </w:tc>
        <w:tc>
          <w:tcPr>
            <w:tcW w:w="522" w:type="pct"/>
            <w:tcBorders>
              <w:top w:val="nil"/>
              <w:left w:val="nil"/>
              <w:bottom w:val="nil"/>
              <w:right w:val="nil"/>
            </w:tcBorders>
            <w:shd w:val="clear" w:color="000000" w:fill="E6F2FF"/>
            <w:noWrap/>
            <w:vAlign w:val="center"/>
            <w:hideMark/>
          </w:tcPr>
          <w:p w14:paraId="0DC2F49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308</w:t>
            </w:r>
          </w:p>
        </w:tc>
        <w:tc>
          <w:tcPr>
            <w:tcW w:w="522" w:type="pct"/>
            <w:tcBorders>
              <w:top w:val="nil"/>
              <w:left w:val="nil"/>
              <w:bottom w:val="nil"/>
              <w:right w:val="nil"/>
            </w:tcBorders>
            <w:shd w:val="clear" w:color="000000" w:fill="FFFFFF"/>
            <w:noWrap/>
            <w:vAlign w:val="center"/>
            <w:hideMark/>
          </w:tcPr>
          <w:p w14:paraId="0B2F3D60"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700</w:t>
            </w:r>
          </w:p>
        </w:tc>
        <w:tc>
          <w:tcPr>
            <w:tcW w:w="522" w:type="pct"/>
            <w:tcBorders>
              <w:top w:val="nil"/>
              <w:left w:val="nil"/>
              <w:bottom w:val="nil"/>
              <w:right w:val="nil"/>
            </w:tcBorders>
            <w:shd w:val="clear" w:color="000000" w:fill="FFFFFF"/>
            <w:noWrap/>
            <w:vAlign w:val="center"/>
            <w:hideMark/>
          </w:tcPr>
          <w:p w14:paraId="2E523589" w14:textId="53D1670E"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185</w:t>
            </w:r>
          </w:p>
        </w:tc>
        <w:tc>
          <w:tcPr>
            <w:tcW w:w="522" w:type="pct"/>
            <w:tcBorders>
              <w:top w:val="nil"/>
              <w:left w:val="nil"/>
              <w:bottom w:val="nil"/>
              <w:right w:val="nil"/>
            </w:tcBorders>
            <w:shd w:val="clear" w:color="000000" w:fill="FFFFFF"/>
            <w:noWrap/>
            <w:vAlign w:val="center"/>
            <w:hideMark/>
          </w:tcPr>
          <w:p w14:paraId="22DCA25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438</w:t>
            </w:r>
          </w:p>
        </w:tc>
      </w:tr>
      <w:tr w:rsidR="00D466AA" w:rsidRPr="00D466AA" w14:paraId="123B89A4"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3E67BDCC"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Defence</w:t>
            </w:r>
          </w:p>
        </w:tc>
        <w:tc>
          <w:tcPr>
            <w:tcW w:w="523" w:type="pct"/>
            <w:tcBorders>
              <w:top w:val="nil"/>
              <w:left w:val="nil"/>
              <w:bottom w:val="nil"/>
              <w:right w:val="nil"/>
            </w:tcBorders>
            <w:shd w:val="clear" w:color="000000" w:fill="FFFFFF"/>
            <w:noWrap/>
            <w:vAlign w:val="center"/>
            <w:hideMark/>
          </w:tcPr>
          <w:p w14:paraId="2CE907D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8,592</w:t>
            </w:r>
          </w:p>
        </w:tc>
        <w:tc>
          <w:tcPr>
            <w:tcW w:w="522" w:type="pct"/>
            <w:tcBorders>
              <w:top w:val="nil"/>
              <w:left w:val="nil"/>
              <w:bottom w:val="nil"/>
              <w:right w:val="nil"/>
            </w:tcBorders>
            <w:shd w:val="clear" w:color="000000" w:fill="E6F2FF"/>
            <w:noWrap/>
            <w:vAlign w:val="center"/>
            <w:hideMark/>
          </w:tcPr>
          <w:p w14:paraId="02DE769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8,768</w:t>
            </w:r>
          </w:p>
        </w:tc>
        <w:tc>
          <w:tcPr>
            <w:tcW w:w="522" w:type="pct"/>
            <w:tcBorders>
              <w:top w:val="nil"/>
              <w:left w:val="nil"/>
              <w:bottom w:val="nil"/>
              <w:right w:val="nil"/>
            </w:tcBorders>
            <w:shd w:val="clear" w:color="000000" w:fill="FFFFFF"/>
            <w:noWrap/>
            <w:vAlign w:val="center"/>
            <w:hideMark/>
          </w:tcPr>
          <w:p w14:paraId="2B7803C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8,695</w:t>
            </w:r>
          </w:p>
        </w:tc>
        <w:tc>
          <w:tcPr>
            <w:tcW w:w="522" w:type="pct"/>
            <w:tcBorders>
              <w:top w:val="nil"/>
              <w:left w:val="nil"/>
              <w:bottom w:val="nil"/>
              <w:right w:val="nil"/>
            </w:tcBorders>
            <w:shd w:val="clear" w:color="000000" w:fill="FFFFFF"/>
            <w:noWrap/>
            <w:vAlign w:val="center"/>
            <w:hideMark/>
          </w:tcPr>
          <w:p w14:paraId="3636A8DE"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6,293</w:t>
            </w:r>
          </w:p>
        </w:tc>
        <w:tc>
          <w:tcPr>
            <w:tcW w:w="522" w:type="pct"/>
            <w:tcBorders>
              <w:top w:val="nil"/>
              <w:left w:val="nil"/>
              <w:bottom w:val="nil"/>
              <w:right w:val="nil"/>
            </w:tcBorders>
            <w:shd w:val="clear" w:color="000000" w:fill="FFFFFF"/>
            <w:noWrap/>
            <w:vAlign w:val="center"/>
            <w:hideMark/>
          </w:tcPr>
          <w:p w14:paraId="69F90B83"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9,958</w:t>
            </w:r>
          </w:p>
        </w:tc>
      </w:tr>
      <w:tr w:rsidR="00D466AA" w:rsidRPr="00D466AA" w14:paraId="11539A1A"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11C2562"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Public order and safety</w:t>
            </w:r>
          </w:p>
        </w:tc>
        <w:tc>
          <w:tcPr>
            <w:tcW w:w="523" w:type="pct"/>
            <w:tcBorders>
              <w:top w:val="nil"/>
              <w:left w:val="nil"/>
              <w:bottom w:val="nil"/>
              <w:right w:val="nil"/>
            </w:tcBorders>
            <w:shd w:val="clear" w:color="000000" w:fill="FFFFFF"/>
            <w:noWrap/>
            <w:vAlign w:val="center"/>
            <w:hideMark/>
          </w:tcPr>
          <w:p w14:paraId="7FD2DB0B" w14:textId="692A3CD4"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59</w:t>
            </w:r>
          </w:p>
        </w:tc>
        <w:tc>
          <w:tcPr>
            <w:tcW w:w="522" w:type="pct"/>
            <w:tcBorders>
              <w:top w:val="nil"/>
              <w:left w:val="nil"/>
              <w:bottom w:val="nil"/>
              <w:right w:val="nil"/>
            </w:tcBorders>
            <w:shd w:val="clear" w:color="000000" w:fill="E6F2FF"/>
            <w:noWrap/>
            <w:vAlign w:val="center"/>
            <w:hideMark/>
          </w:tcPr>
          <w:p w14:paraId="572A28E9" w14:textId="2076EC46"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83</w:t>
            </w:r>
          </w:p>
        </w:tc>
        <w:tc>
          <w:tcPr>
            <w:tcW w:w="522" w:type="pct"/>
            <w:tcBorders>
              <w:top w:val="nil"/>
              <w:left w:val="nil"/>
              <w:bottom w:val="nil"/>
              <w:right w:val="nil"/>
            </w:tcBorders>
            <w:shd w:val="clear" w:color="000000" w:fill="FFFFFF"/>
            <w:noWrap/>
            <w:vAlign w:val="center"/>
            <w:hideMark/>
          </w:tcPr>
          <w:p w14:paraId="07704C7D" w14:textId="42CFE103"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210</w:t>
            </w:r>
          </w:p>
        </w:tc>
        <w:tc>
          <w:tcPr>
            <w:tcW w:w="522" w:type="pct"/>
            <w:tcBorders>
              <w:top w:val="nil"/>
              <w:left w:val="nil"/>
              <w:bottom w:val="nil"/>
              <w:right w:val="nil"/>
            </w:tcBorders>
            <w:shd w:val="clear" w:color="000000" w:fill="FFFFFF"/>
            <w:noWrap/>
            <w:vAlign w:val="center"/>
            <w:hideMark/>
          </w:tcPr>
          <w:p w14:paraId="7A3302B7" w14:textId="352626B2"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139</w:t>
            </w:r>
          </w:p>
        </w:tc>
        <w:tc>
          <w:tcPr>
            <w:tcW w:w="522" w:type="pct"/>
            <w:tcBorders>
              <w:top w:val="nil"/>
              <w:left w:val="nil"/>
              <w:bottom w:val="nil"/>
              <w:right w:val="nil"/>
            </w:tcBorders>
            <w:shd w:val="clear" w:color="000000" w:fill="FFFFFF"/>
            <w:noWrap/>
            <w:vAlign w:val="center"/>
            <w:hideMark/>
          </w:tcPr>
          <w:p w14:paraId="11FC263D" w14:textId="131FE488"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225</w:t>
            </w:r>
          </w:p>
        </w:tc>
      </w:tr>
      <w:tr w:rsidR="00D466AA" w:rsidRPr="00D466AA" w14:paraId="5AFC0A9E"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4F4B83CD"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Education</w:t>
            </w:r>
          </w:p>
        </w:tc>
        <w:tc>
          <w:tcPr>
            <w:tcW w:w="523" w:type="pct"/>
            <w:tcBorders>
              <w:top w:val="nil"/>
              <w:left w:val="nil"/>
              <w:bottom w:val="nil"/>
              <w:right w:val="nil"/>
            </w:tcBorders>
            <w:shd w:val="clear" w:color="000000" w:fill="FFFFFF"/>
            <w:noWrap/>
            <w:vAlign w:val="center"/>
            <w:hideMark/>
          </w:tcPr>
          <w:p w14:paraId="1F0C3DB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24</w:t>
            </w:r>
          </w:p>
        </w:tc>
        <w:tc>
          <w:tcPr>
            <w:tcW w:w="522" w:type="pct"/>
            <w:tcBorders>
              <w:top w:val="nil"/>
              <w:left w:val="nil"/>
              <w:bottom w:val="nil"/>
              <w:right w:val="nil"/>
            </w:tcBorders>
            <w:shd w:val="clear" w:color="000000" w:fill="E6F2FF"/>
            <w:noWrap/>
            <w:vAlign w:val="center"/>
            <w:hideMark/>
          </w:tcPr>
          <w:p w14:paraId="33A7908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36</w:t>
            </w:r>
          </w:p>
        </w:tc>
        <w:tc>
          <w:tcPr>
            <w:tcW w:w="522" w:type="pct"/>
            <w:tcBorders>
              <w:top w:val="nil"/>
              <w:left w:val="nil"/>
              <w:bottom w:val="nil"/>
              <w:right w:val="nil"/>
            </w:tcBorders>
            <w:shd w:val="clear" w:color="000000" w:fill="FFFFFF"/>
            <w:noWrap/>
            <w:vAlign w:val="center"/>
            <w:hideMark/>
          </w:tcPr>
          <w:p w14:paraId="3E618EF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43</w:t>
            </w:r>
          </w:p>
        </w:tc>
        <w:tc>
          <w:tcPr>
            <w:tcW w:w="522" w:type="pct"/>
            <w:tcBorders>
              <w:top w:val="nil"/>
              <w:left w:val="nil"/>
              <w:bottom w:val="nil"/>
              <w:right w:val="nil"/>
            </w:tcBorders>
            <w:shd w:val="clear" w:color="000000" w:fill="FFFFFF"/>
            <w:noWrap/>
            <w:vAlign w:val="center"/>
            <w:hideMark/>
          </w:tcPr>
          <w:p w14:paraId="3FB5C15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42</w:t>
            </w:r>
          </w:p>
        </w:tc>
        <w:tc>
          <w:tcPr>
            <w:tcW w:w="522" w:type="pct"/>
            <w:tcBorders>
              <w:top w:val="nil"/>
              <w:left w:val="nil"/>
              <w:bottom w:val="nil"/>
              <w:right w:val="nil"/>
            </w:tcBorders>
            <w:shd w:val="clear" w:color="000000" w:fill="FFFFFF"/>
            <w:noWrap/>
            <w:vAlign w:val="center"/>
            <w:hideMark/>
          </w:tcPr>
          <w:p w14:paraId="3AC60D6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13</w:t>
            </w:r>
          </w:p>
        </w:tc>
      </w:tr>
      <w:tr w:rsidR="00D466AA" w:rsidRPr="00D466AA" w14:paraId="0A0443F8"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2303B13"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Health</w:t>
            </w:r>
          </w:p>
        </w:tc>
        <w:tc>
          <w:tcPr>
            <w:tcW w:w="523" w:type="pct"/>
            <w:tcBorders>
              <w:top w:val="nil"/>
              <w:left w:val="nil"/>
              <w:bottom w:val="nil"/>
              <w:right w:val="nil"/>
            </w:tcBorders>
            <w:shd w:val="clear" w:color="000000" w:fill="FFFFFF"/>
            <w:noWrap/>
            <w:vAlign w:val="center"/>
            <w:hideMark/>
          </w:tcPr>
          <w:p w14:paraId="5F56FC0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411</w:t>
            </w:r>
          </w:p>
        </w:tc>
        <w:tc>
          <w:tcPr>
            <w:tcW w:w="522" w:type="pct"/>
            <w:tcBorders>
              <w:top w:val="nil"/>
              <w:left w:val="nil"/>
              <w:bottom w:val="nil"/>
              <w:right w:val="nil"/>
            </w:tcBorders>
            <w:shd w:val="clear" w:color="000000" w:fill="E6F2FF"/>
            <w:noWrap/>
            <w:vAlign w:val="center"/>
            <w:hideMark/>
          </w:tcPr>
          <w:p w14:paraId="271068BF" w14:textId="0DDEB15E"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379</w:t>
            </w:r>
          </w:p>
        </w:tc>
        <w:tc>
          <w:tcPr>
            <w:tcW w:w="522" w:type="pct"/>
            <w:tcBorders>
              <w:top w:val="nil"/>
              <w:left w:val="nil"/>
              <w:bottom w:val="nil"/>
              <w:right w:val="nil"/>
            </w:tcBorders>
            <w:shd w:val="clear" w:color="000000" w:fill="FFFFFF"/>
            <w:noWrap/>
            <w:vAlign w:val="center"/>
            <w:hideMark/>
          </w:tcPr>
          <w:p w14:paraId="3B8F420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10</w:t>
            </w:r>
          </w:p>
        </w:tc>
        <w:tc>
          <w:tcPr>
            <w:tcW w:w="522" w:type="pct"/>
            <w:tcBorders>
              <w:top w:val="nil"/>
              <w:left w:val="nil"/>
              <w:bottom w:val="nil"/>
              <w:right w:val="nil"/>
            </w:tcBorders>
            <w:shd w:val="clear" w:color="000000" w:fill="FFFFFF"/>
            <w:noWrap/>
            <w:vAlign w:val="center"/>
            <w:hideMark/>
          </w:tcPr>
          <w:p w14:paraId="01E5BE53" w14:textId="49B7643C"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69</w:t>
            </w:r>
          </w:p>
        </w:tc>
        <w:tc>
          <w:tcPr>
            <w:tcW w:w="522" w:type="pct"/>
            <w:tcBorders>
              <w:top w:val="nil"/>
              <w:left w:val="nil"/>
              <w:bottom w:val="nil"/>
              <w:right w:val="nil"/>
            </w:tcBorders>
            <w:shd w:val="clear" w:color="000000" w:fill="FFFFFF"/>
            <w:noWrap/>
            <w:vAlign w:val="center"/>
            <w:hideMark/>
          </w:tcPr>
          <w:p w14:paraId="65C32235" w14:textId="13EF2572"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83</w:t>
            </w:r>
          </w:p>
        </w:tc>
      </w:tr>
      <w:tr w:rsidR="00D466AA" w:rsidRPr="00D466AA" w14:paraId="3ED65C1D"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60B03D1C"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Social security and welfare</w:t>
            </w:r>
          </w:p>
        </w:tc>
        <w:tc>
          <w:tcPr>
            <w:tcW w:w="523" w:type="pct"/>
            <w:tcBorders>
              <w:top w:val="nil"/>
              <w:left w:val="nil"/>
              <w:bottom w:val="nil"/>
              <w:right w:val="nil"/>
            </w:tcBorders>
            <w:shd w:val="clear" w:color="000000" w:fill="FFFFFF"/>
            <w:noWrap/>
            <w:vAlign w:val="center"/>
            <w:hideMark/>
          </w:tcPr>
          <w:p w14:paraId="642547F7"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253</w:t>
            </w:r>
          </w:p>
        </w:tc>
        <w:tc>
          <w:tcPr>
            <w:tcW w:w="522" w:type="pct"/>
            <w:tcBorders>
              <w:top w:val="nil"/>
              <w:left w:val="nil"/>
              <w:bottom w:val="nil"/>
              <w:right w:val="nil"/>
            </w:tcBorders>
            <w:shd w:val="clear" w:color="000000" w:fill="E6F2FF"/>
            <w:noWrap/>
            <w:vAlign w:val="center"/>
            <w:hideMark/>
          </w:tcPr>
          <w:p w14:paraId="0546C50C" w14:textId="34B6A41C"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95</w:t>
            </w:r>
          </w:p>
        </w:tc>
        <w:tc>
          <w:tcPr>
            <w:tcW w:w="522" w:type="pct"/>
            <w:tcBorders>
              <w:top w:val="nil"/>
              <w:left w:val="nil"/>
              <w:bottom w:val="nil"/>
              <w:right w:val="nil"/>
            </w:tcBorders>
            <w:shd w:val="clear" w:color="000000" w:fill="FFFFFF"/>
            <w:noWrap/>
            <w:vAlign w:val="center"/>
            <w:hideMark/>
          </w:tcPr>
          <w:p w14:paraId="07020992" w14:textId="0A62743A"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262</w:t>
            </w:r>
          </w:p>
        </w:tc>
        <w:tc>
          <w:tcPr>
            <w:tcW w:w="522" w:type="pct"/>
            <w:tcBorders>
              <w:top w:val="nil"/>
              <w:left w:val="nil"/>
              <w:bottom w:val="nil"/>
              <w:right w:val="nil"/>
            </w:tcBorders>
            <w:shd w:val="clear" w:color="000000" w:fill="FFFFFF"/>
            <w:noWrap/>
            <w:vAlign w:val="center"/>
            <w:hideMark/>
          </w:tcPr>
          <w:p w14:paraId="7435DFF5" w14:textId="040EB93F"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510</w:t>
            </w:r>
          </w:p>
        </w:tc>
        <w:tc>
          <w:tcPr>
            <w:tcW w:w="522" w:type="pct"/>
            <w:tcBorders>
              <w:top w:val="nil"/>
              <w:left w:val="nil"/>
              <w:bottom w:val="nil"/>
              <w:right w:val="nil"/>
            </w:tcBorders>
            <w:shd w:val="clear" w:color="000000" w:fill="FFFFFF"/>
            <w:noWrap/>
            <w:vAlign w:val="center"/>
            <w:hideMark/>
          </w:tcPr>
          <w:p w14:paraId="51DDA381" w14:textId="527F40FD"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453</w:t>
            </w:r>
          </w:p>
        </w:tc>
      </w:tr>
      <w:tr w:rsidR="00D466AA" w:rsidRPr="00D466AA" w14:paraId="51129B03"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40988C9E"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Housing and community amenities</w:t>
            </w:r>
          </w:p>
        </w:tc>
        <w:tc>
          <w:tcPr>
            <w:tcW w:w="523" w:type="pct"/>
            <w:tcBorders>
              <w:top w:val="nil"/>
              <w:left w:val="nil"/>
              <w:bottom w:val="nil"/>
              <w:right w:val="nil"/>
            </w:tcBorders>
            <w:shd w:val="clear" w:color="000000" w:fill="FFFFFF"/>
            <w:noWrap/>
            <w:vAlign w:val="center"/>
            <w:hideMark/>
          </w:tcPr>
          <w:p w14:paraId="3757593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468</w:t>
            </w:r>
          </w:p>
        </w:tc>
        <w:tc>
          <w:tcPr>
            <w:tcW w:w="522" w:type="pct"/>
            <w:tcBorders>
              <w:top w:val="nil"/>
              <w:left w:val="nil"/>
              <w:bottom w:val="nil"/>
              <w:right w:val="nil"/>
            </w:tcBorders>
            <w:shd w:val="clear" w:color="000000" w:fill="E6F2FF"/>
            <w:noWrap/>
            <w:vAlign w:val="center"/>
            <w:hideMark/>
          </w:tcPr>
          <w:p w14:paraId="2D05BE2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284</w:t>
            </w:r>
          </w:p>
        </w:tc>
        <w:tc>
          <w:tcPr>
            <w:tcW w:w="522" w:type="pct"/>
            <w:tcBorders>
              <w:top w:val="nil"/>
              <w:left w:val="nil"/>
              <w:bottom w:val="nil"/>
              <w:right w:val="nil"/>
            </w:tcBorders>
            <w:shd w:val="clear" w:color="000000" w:fill="FFFFFF"/>
            <w:noWrap/>
            <w:vAlign w:val="center"/>
            <w:hideMark/>
          </w:tcPr>
          <w:p w14:paraId="505D136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11</w:t>
            </w:r>
          </w:p>
        </w:tc>
        <w:tc>
          <w:tcPr>
            <w:tcW w:w="522" w:type="pct"/>
            <w:tcBorders>
              <w:top w:val="nil"/>
              <w:left w:val="nil"/>
              <w:bottom w:val="nil"/>
              <w:right w:val="nil"/>
            </w:tcBorders>
            <w:shd w:val="clear" w:color="000000" w:fill="FFFFFF"/>
            <w:noWrap/>
            <w:vAlign w:val="center"/>
            <w:hideMark/>
          </w:tcPr>
          <w:p w14:paraId="1DBED8A0"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30</w:t>
            </w:r>
          </w:p>
        </w:tc>
        <w:tc>
          <w:tcPr>
            <w:tcW w:w="522" w:type="pct"/>
            <w:tcBorders>
              <w:top w:val="nil"/>
              <w:left w:val="nil"/>
              <w:bottom w:val="nil"/>
              <w:right w:val="nil"/>
            </w:tcBorders>
            <w:shd w:val="clear" w:color="000000" w:fill="FFFFFF"/>
            <w:noWrap/>
            <w:vAlign w:val="center"/>
            <w:hideMark/>
          </w:tcPr>
          <w:p w14:paraId="3D89230E" w14:textId="7E9BA413"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29</w:t>
            </w:r>
          </w:p>
        </w:tc>
      </w:tr>
      <w:tr w:rsidR="00D466AA" w:rsidRPr="00D466AA" w14:paraId="5885255A"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51D1B481"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Recreation and culture</w:t>
            </w:r>
          </w:p>
        </w:tc>
        <w:tc>
          <w:tcPr>
            <w:tcW w:w="523" w:type="pct"/>
            <w:tcBorders>
              <w:top w:val="nil"/>
              <w:left w:val="nil"/>
              <w:bottom w:val="nil"/>
              <w:right w:val="nil"/>
            </w:tcBorders>
            <w:shd w:val="clear" w:color="000000" w:fill="FFFFFF"/>
            <w:noWrap/>
            <w:vAlign w:val="center"/>
            <w:hideMark/>
          </w:tcPr>
          <w:p w14:paraId="7506A0B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186</w:t>
            </w:r>
          </w:p>
        </w:tc>
        <w:tc>
          <w:tcPr>
            <w:tcW w:w="522" w:type="pct"/>
            <w:tcBorders>
              <w:top w:val="nil"/>
              <w:left w:val="nil"/>
              <w:bottom w:val="nil"/>
              <w:right w:val="nil"/>
            </w:tcBorders>
            <w:shd w:val="clear" w:color="000000" w:fill="E6F2FF"/>
            <w:noWrap/>
            <w:vAlign w:val="center"/>
            <w:hideMark/>
          </w:tcPr>
          <w:p w14:paraId="1A505CE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396</w:t>
            </w:r>
          </w:p>
        </w:tc>
        <w:tc>
          <w:tcPr>
            <w:tcW w:w="522" w:type="pct"/>
            <w:tcBorders>
              <w:top w:val="nil"/>
              <w:left w:val="nil"/>
              <w:bottom w:val="nil"/>
              <w:right w:val="nil"/>
            </w:tcBorders>
            <w:shd w:val="clear" w:color="000000" w:fill="FFFFFF"/>
            <w:noWrap/>
            <w:vAlign w:val="center"/>
            <w:hideMark/>
          </w:tcPr>
          <w:p w14:paraId="1807F9D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256</w:t>
            </w:r>
          </w:p>
        </w:tc>
        <w:tc>
          <w:tcPr>
            <w:tcW w:w="522" w:type="pct"/>
            <w:tcBorders>
              <w:top w:val="nil"/>
              <w:left w:val="nil"/>
              <w:bottom w:val="nil"/>
              <w:right w:val="nil"/>
            </w:tcBorders>
            <w:shd w:val="clear" w:color="000000" w:fill="FFFFFF"/>
            <w:noWrap/>
            <w:vAlign w:val="center"/>
            <w:hideMark/>
          </w:tcPr>
          <w:p w14:paraId="05082EE8" w14:textId="72DB1E63"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32</w:t>
            </w:r>
          </w:p>
        </w:tc>
        <w:tc>
          <w:tcPr>
            <w:tcW w:w="522" w:type="pct"/>
            <w:tcBorders>
              <w:top w:val="nil"/>
              <w:left w:val="nil"/>
              <w:bottom w:val="nil"/>
              <w:right w:val="nil"/>
            </w:tcBorders>
            <w:shd w:val="clear" w:color="000000" w:fill="FFFFFF"/>
            <w:noWrap/>
            <w:vAlign w:val="center"/>
            <w:hideMark/>
          </w:tcPr>
          <w:p w14:paraId="25FC3B8C" w14:textId="66DD60B7"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106</w:t>
            </w:r>
          </w:p>
        </w:tc>
      </w:tr>
      <w:tr w:rsidR="00D466AA" w:rsidRPr="00D466AA" w14:paraId="0176663D"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06F6D014"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Fuel and energy</w:t>
            </w:r>
          </w:p>
        </w:tc>
        <w:tc>
          <w:tcPr>
            <w:tcW w:w="523" w:type="pct"/>
            <w:tcBorders>
              <w:top w:val="nil"/>
              <w:left w:val="nil"/>
              <w:bottom w:val="nil"/>
              <w:right w:val="nil"/>
            </w:tcBorders>
            <w:shd w:val="clear" w:color="000000" w:fill="FFFFFF"/>
            <w:noWrap/>
            <w:vAlign w:val="center"/>
            <w:hideMark/>
          </w:tcPr>
          <w:p w14:paraId="459955B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14</w:t>
            </w:r>
          </w:p>
        </w:tc>
        <w:tc>
          <w:tcPr>
            <w:tcW w:w="522" w:type="pct"/>
            <w:tcBorders>
              <w:top w:val="nil"/>
              <w:left w:val="nil"/>
              <w:bottom w:val="nil"/>
              <w:right w:val="nil"/>
            </w:tcBorders>
            <w:shd w:val="clear" w:color="000000" w:fill="E6F2FF"/>
            <w:noWrap/>
            <w:vAlign w:val="center"/>
            <w:hideMark/>
          </w:tcPr>
          <w:p w14:paraId="267983F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w:t>
            </w:r>
          </w:p>
        </w:tc>
        <w:tc>
          <w:tcPr>
            <w:tcW w:w="522" w:type="pct"/>
            <w:tcBorders>
              <w:top w:val="nil"/>
              <w:left w:val="nil"/>
              <w:bottom w:val="nil"/>
              <w:right w:val="nil"/>
            </w:tcBorders>
            <w:shd w:val="clear" w:color="000000" w:fill="FFFFFF"/>
            <w:noWrap/>
            <w:vAlign w:val="center"/>
            <w:hideMark/>
          </w:tcPr>
          <w:p w14:paraId="1EC8E065" w14:textId="4869F6F8"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3</w:t>
            </w:r>
          </w:p>
        </w:tc>
        <w:tc>
          <w:tcPr>
            <w:tcW w:w="522" w:type="pct"/>
            <w:tcBorders>
              <w:top w:val="nil"/>
              <w:left w:val="nil"/>
              <w:bottom w:val="nil"/>
              <w:right w:val="nil"/>
            </w:tcBorders>
            <w:shd w:val="clear" w:color="000000" w:fill="FFFFFF"/>
            <w:noWrap/>
            <w:vAlign w:val="center"/>
            <w:hideMark/>
          </w:tcPr>
          <w:p w14:paraId="1B553C9D"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0</w:t>
            </w:r>
          </w:p>
        </w:tc>
        <w:tc>
          <w:tcPr>
            <w:tcW w:w="522" w:type="pct"/>
            <w:tcBorders>
              <w:top w:val="nil"/>
              <w:left w:val="nil"/>
              <w:bottom w:val="nil"/>
              <w:right w:val="nil"/>
            </w:tcBorders>
            <w:shd w:val="clear" w:color="000000" w:fill="FFFFFF"/>
            <w:noWrap/>
            <w:vAlign w:val="center"/>
            <w:hideMark/>
          </w:tcPr>
          <w:p w14:paraId="3003162C" w14:textId="0678D833"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9</w:t>
            </w:r>
          </w:p>
        </w:tc>
      </w:tr>
      <w:tr w:rsidR="00D466AA" w:rsidRPr="00D466AA" w14:paraId="27F3B82A"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363CD3E1"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Agriculture, forestry and fishing</w:t>
            </w:r>
          </w:p>
        </w:tc>
        <w:tc>
          <w:tcPr>
            <w:tcW w:w="523" w:type="pct"/>
            <w:tcBorders>
              <w:top w:val="nil"/>
              <w:left w:val="nil"/>
              <w:bottom w:val="nil"/>
              <w:right w:val="nil"/>
            </w:tcBorders>
            <w:shd w:val="clear" w:color="000000" w:fill="FFFFFF"/>
            <w:noWrap/>
            <w:vAlign w:val="center"/>
            <w:hideMark/>
          </w:tcPr>
          <w:p w14:paraId="56992E8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50</w:t>
            </w:r>
          </w:p>
        </w:tc>
        <w:tc>
          <w:tcPr>
            <w:tcW w:w="522" w:type="pct"/>
            <w:tcBorders>
              <w:top w:val="nil"/>
              <w:left w:val="nil"/>
              <w:bottom w:val="nil"/>
              <w:right w:val="nil"/>
            </w:tcBorders>
            <w:shd w:val="clear" w:color="000000" w:fill="E6F2FF"/>
            <w:noWrap/>
            <w:vAlign w:val="center"/>
            <w:hideMark/>
          </w:tcPr>
          <w:p w14:paraId="4D9B343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386</w:t>
            </w:r>
          </w:p>
        </w:tc>
        <w:tc>
          <w:tcPr>
            <w:tcW w:w="522" w:type="pct"/>
            <w:tcBorders>
              <w:top w:val="nil"/>
              <w:left w:val="nil"/>
              <w:bottom w:val="nil"/>
              <w:right w:val="nil"/>
            </w:tcBorders>
            <w:shd w:val="clear" w:color="000000" w:fill="FFFFFF"/>
            <w:noWrap/>
            <w:vAlign w:val="center"/>
            <w:hideMark/>
          </w:tcPr>
          <w:p w14:paraId="562F9BF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w:t>
            </w:r>
          </w:p>
        </w:tc>
        <w:tc>
          <w:tcPr>
            <w:tcW w:w="522" w:type="pct"/>
            <w:tcBorders>
              <w:top w:val="nil"/>
              <w:left w:val="nil"/>
              <w:bottom w:val="nil"/>
              <w:right w:val="nil"/>
            </w:tcBorders>
            <w:shd w:val="clear" w:color="000000" w:fill="FFFFFF"/>
            <w:noWrap/>
            <w:vAlign w:val="center"/>
            <w:hideMark/>
          </w:tcPr>
          <w:p w14:paraId="7B7E4497" w14:textId="6DC3068A"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37</w:t>
            </w:r>
          </w:p>
        </w:tc>
        <w:tc>
          <w:tcPr>
            <w:tcW w:w="522" w:type="pct"/>
            <w:tcBorders>
              <w:top w:val="nil"/>
              <w:left w:val="nil"/>
              <w:bottom w:val="nil"/>
              <w:right w:val="nil"/>
            </w:tcBorders>
            <w:shd w:val="clear" w:color="000000" w:fill="FFFFFF"/>
            <w:noWrap/>
            <w:vAlign w:val="center"/>
            <w:hideMark/>
          </w:tcPr>
          <w:p w14:paraId="361A3F1B" w14:textId="14EC3824"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44</w:t>
            </w:r>
          </w:p>
        </w:tc>
      </w:tr>
      <w:tr w:rsidR="00D466AA" w:rsidRPr="00D466AA" w14:paraId="436241F1"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4BECF66E"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Mining, manufacturing and construction</w:t>
            </w:r>
          </w:p>
        </w:tc>
        <w:tc>
          <w:tcPr>
            <w:tcW w:w="523" w:type="pct"/>
            <w:tcBorders>
              <w:top w:val="nil"/>
              <w:left w:val="nil"/>
              <w:bottom w:val="nil"/>
              <w:right w:val="nil"/>
            </w:tcBorders>
            <w:shd w:val="clear" w:color="000000" w:fill="FFFFFF"/>
            <w:noWrap/>
            <w:vAlign w:val="center"/>
            <w:hideMark/>
          </w:tcPr>
          <w:p w14:paraId="5CB6A543" w14:textId="3A45D292"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21</w:t>
            </w:r>
          </w:p>
        </w:tc>
        <w:tc>
          <w:tcPr>
            <w:tcW w:w="522" w:type="pct"/>
            <w:tcBorders>
              <w:top w:val="nil"/>
              <w:left w:val="nil"/>
              <w:bottom w:val="nil"/>
              <w:right w:val="nil"/>
            </w:tcBorders>
            <w:shd w:val="clear" w:color="000000" w:fill="E6F2FF"/>
            <w:noWrap/>
            <w:vAlign w:val="center"/>
            <w:hideMark/>
          </w:tcPr>
          <w:p w14:paraId="65EEEA3B" w14:textId="17ABCFC7"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3</w:t>
            </w:r>
          </w:p>
        </w:tc>
        <w:tc>
          <w:tcPr>
            <w:tcW w:w="522" w:type="pct"/>
            <w:tcBorders>
              <w:top w:val="nil"/>
              <w:left w:val="nil"/>
              <w:bottom w:val="nil"/>
              <w:right w:val="nil"/>
            </w:tcBorders>
            <w:shd w:val="clear" w:color="000000" w:fill="FFFFFF"/>
            <w:noWrap/>
            <w:vAlign w:val="center"/>
            <w:hideMark/>
          </w:tcPr>
          <w:p w14:paraId="199CD30B" w14:textId="29779F34"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26</w:t>
            </w:r>
          </w:p>
        </w:tc>
        <w:tc>
          <w:tcPr>
            <w:tcW w:w="522" w:type="pct"/>
            <w:tcBorders>
              <w:top w:val="nil"/>
              <w:left w:val="nil"/>
              <w:bottom w:val="nil"/>
              <w:right w:val="nil"/>
            </w:tcBorders>
            <w:shd w:val="clear" w:color="000000" w:fill="FFFFFF"/>
            <w:noWrap/>
            <w:vAlign w:val="center"/>
            <w:hideMark/>
          </w:tcPr>
          <w:p w14:paraId="30591F45" w14:textId="00669898"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23</w:t>
            </w:r>
          </w:p>
        </w:tc>
        <w:tc>
          <w:tcPr>
            <w:tcW w:w="522" w:type="pct"/>
            <w:tcBorders>
              <w:top w:val="nil"/>
              <w:left w:val="nil"/>
              <w:bottom w:val="nil"/>
              <w:right w:val="nil"/>
            </w:tcBorders>
            <w:shd w:val="clear" w:color="000000" w:fill="FFFFFF"/>
            <w:noWrap/>
            <w:vAlign w:val="center"/>
            <w:hideMark/>
          </w:tcPr>
          <w:p w14:paraId="66115E79" w14:textId="335C17C9"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30</w:t>
            </w:r>
          </w:p>
        </w:tc>
      </w:tr>
      <w:tr w:rsidR="00D466AA" w:rsidRPr="00D466AA" w14:paraId="04B28F07"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2B88894D"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Transport and communication</w:t>
            </w:r>
          </w:p>
        </w:tc>
        <w:tc>
          <w:tcPr>
            <w:tcW w:w="523" w:type="pct"/>
            <w:tcBorders>
              <w:top w:val="nil"/>
              <w:left w:val="nil"/>
              <w:bottom w:val="nil"/>
              <w:right w:val="nil"/>
            </w:tcBorders>
            <w:shd w:val="clear" w:color="000000" w:fill="FFFFFF"/>
            <w:noWrap/>
            <w:vAlign w:val="center"/>
            <w:hideMark/>
          </w:tcPr>
          <w:p w14:paraId="30082524" w14:textId="51A9CA33"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27</w:t>
            </w:r>
          </w:p>
        </w:tc>
        <w:tc>
          <w:tcPr>
            <w:tcW w:w="522" w:type="pct"/>
            <w:tcBorders>
              <w:top w:val="nil"/>
              <w:left w:val="nil"/>
              <w:bottom w:val="nil"/>
              <w:right w:val="nil"/>
            </w:tcBorders>
            <w:shd w:val="clear" w:color="000000" w:fill="E6F2FF"/>
            <w:noWrap/>
            <w:vAlign w:val="center"/>
            <w:hideMark/>
          </w:tcPr>
          <w:p w14:paraId="4385AB9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144</w:t>
            </w:r>
          </w:p>
        </w:tc>
        <w:tc>
          <w:tcPr>
            <w:tcW w:w="522" w:type="pct"/>
            <w:tcBorders>
              <w:top w:val="nil"/>
              <w:left w:val="nil"/>
              <w:bottom w:val="nil"/>
              <w:right w:val="nil"/>
            </w:tcBorders>
            <w:shd w:val="clear" w:color="000000" w:fill="FFFFFF"/>
            <w:noWrap/>
            <w:vAlign w:val="center"/>
            <w:hideMark/>
          </w:tcPr>
          <w:p w14:paraId="7A13E38A" w14:textId="2C2DB6C0"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2,152</w:t>
            </w:r>
          </w:p>
        </w:tc>
        <w:tc>
          <w:tcPr>
            <w:tcW w:w="522" w:type="pct"/>
            <w:tcBorders>
              <w:top w:val="nil"/>
              <w:left w:val="nil"/>
              <w:bottom w:val="nil"/>
              <w:right w:val="nil"/>
            </w:tcBorders>
            <w:shd w:val="clear" w:color="000000" w:fill="FFFFFF"/>
            <w:noWrap/>
            <w:vAlign w:val="center"/>
            <w:hideMark/>
          </w:tcPr>
          <w:p w14:paraId="680D2DBA" w14:textId="5F0A27F1"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52</w:t>
            </w:r>
          </w:p>
        </w:tc>
        <w:tc>
          <w:tcPr>
            <w:tcW w:w="522" w:type="pct"/>
            <w:tcBorders>
              <w:top w:val="nil"/>
              <w:left w:val="nil"/>
              <w:bottom w:val="nil"/>
              <w:right w:val="nil"/>
            </w:tcBorders>
            <w:shd w:val="clear" w:color="000000" w:fill="FFFFFF"/>
            <w:noWrap/>
            <w:vAlign w:val="center"/>
            <w:hideMark/>
          </w:tcPr>
          <w:p w14:paraId="5CA01781" w14:textId="791393D2"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87</w:t>
            </w:r>
          </w:p>
        </w:tc>
      </w:tr>
      <w:tr w:rsidR="00D466AA" w:rsidRPr="00D466AA" w14:paraId="546CFAB6"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5125A6E1"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Other economic affairs</w:t>
            </w:r>
          </w:p>
        </w:tc>
        <w:tc>
          <w:tcPr>
            <w:tcW w:w="523" w:type="pct"/>
            <w:tcBorders>
              <w:top w:val="nil"/>
              <w:left w:val="nil"/>
              <w:bottom w:val="nil"/>
              <w:right w:val="nil"/>
            </w:tcBorders>
            <w:shd w:val="clear" w:color="000000" w:fill="FFFFFF"/>
            <w:noWrap/>
            <w:vAlign w:val="center"/>
            <w:hideMark/>
          </w:tcPr>
          <w:p w14:paraId="2C7FED7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82</w:t>
            </w:r>
          </w:p>
        </w:tc>
        <w:tc>
          <w:tcPr>
            <w:tcW w:w="522" w:type="pct"/>
            <w:tcBorders>
              <w:top w:val="nil"/>
              <w:left w:val="nil"/>
              <w:bottom w:val="nil"/>
              <w:right w:val="nil"/>
            </w:tcBorders>
            <w:shd w:val="clear" w:color="000000" w:fill="E6F2FF"/>
            <w:noWrap/>
            <w:vAlign w:val="center"/>
            <w:hideMark/>
          </w:tcPr>
          <w:p w14:paraId="42C4CA83" w14:textId="464FE742"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52</w:t>
            </w:r>
          </w:p>
        </w:tc>
        <w:tc>
          <w:tcPr>
            <w:tcW w:w="522" w:type="pct"/>
            <w:tcBorders>
              <w:top w:val="nil"/>
              <w:left w:val="nil"/>
              <w:bottom w:val="nil"/>
              <w:right w:val="nil"/>
            </w:tcBorders>
            <w:shd w:val="clear" w:color="000000" w:fill="FFFFFF"/>
            <w:noWrap/>
            <w:vAlign w:val="center"/>
            <w:hideMark/>
          </w:tcPr>
          <w:p w14:paraId="1299E1DA" w14:textId="609E4ABF"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250</w:t>
            </w:r>
          </w:p>
        </w:tc>
        <w:tc>
          <w:tcPr>
            <w:tcW w:w="522" w:type="pct"/>
            <w:tcBorders>
              <w:top w:val="nil"/>
              <w:left w:val="nil"/>
              <w:bottom w:val="nil"/>
              <w:right w:val="nil"/>
            </w:tcBorders>
            <w:shd w:val="clear" w:color="000000" w:fill="FFFFFF"/>
            <w:noWrap/>
            <w:vAlign w:val="center"/>
            <w:hideMark/>
          </w:tcPr>
          <w:p w14:paraId="347A2F01" w14:textId="14117A31"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269</w:t>
            </w:r>
          </w:p>
        </w:tc>
        <w:tc>
          <w:tcPr>
            <w:tcW w:w="522" w:type="pct"/>
            <w:tcBorders>
              <w:top w:val="nil"/>
              <w:left w:val="nil"/>
              <w:bottom w:val="nil"/>
              <w:right w:val="nil"/>
            </w:tcBorders>
            <w:shd w:val="clear" w:color="000000" w:fill="FFFFFF"/>
            <w:noWrap/>
            <w:vAlign w:val="center"/>
            <w:hideMark/>
          </w:tcPr>
          <w:p w14:paraId="4E6A05CA" w14:textId="1A42192A" w:rsidR="00D466AA" w:rsidRPr="00D466AA" w:rsidRDefault="00D34B95" w:rsidP="00D466AA">
            <w:pPr>
              <w:spacing w:before="0" w:after="0" w:line="240" w:lineRule="auto"/>
              <w:jc w:val="right"/>
              <w:rPr>
                <w:rFonts w:ascii="Arial" w:hAnsi="Arial" w:cs="Arial"/>
                <w:sz w:val="16"/>
                <w:szCs w:val="16"/>
              </w:rPr>
            </w:pPr>
            <w:r>
              <w:rPr>
                <w:rFonts w:ascii="Arial" w:hAnsi="Arial" w:cs="Arial"/>
                <w:sz w:val="16"/>
                <w:szCs w:val="16"/>
              </w:rPr>
              <w:noBreakHyphen/>
            </w:r>
            <w:r w:rsidR="00D466AA" w:rsidRPr="00D466AA">
              <w:rPr>
                <w:rFonts w:ascii="Arial" w:hAnsi="Arial" w:cs="Arial"/>
                <w:sz w:val="16"/>
                <w:szCs w:val="16"/>
              </w:rPr>
              <w:t>413</w:t>
            </w:r>
          </w:p>
        </w:tc>
      </w:tr>
      <w:tr w:rsidR="00D466AA" w:rsidRPr="00D466AA" w14:paraId="35B7C18F"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73DAFA45"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Other purposes</w:t>
            </w:r>
          </w:p>
        </w:tc>
        <w:tc>
          <w:tcPr>
            <w:tcW w:w="523" w:type="pct"/>
            <w:tcBorders>
              <w:top w:val="nil"/>
              <w:left w:val="nil"/>
              <w:bottom w:val="single" w:sz="4" w:space="0" w:color="293F5B"/>
              <w:right w:val="nil"/>
            </w:tcBorders>
            <w:shd w:val="clear" w:color="000000" w:fill="FFFFFF"/>
            <w:noWrap/>
            <w:vAlign w:val="center"/>
            <w:hideMark/>
          </w:tcPr>
          <w:p w14:paraId="32C02752" w14:textId="577C3E2B" w:rsidR="00D466AA" w:rsidRPr="00D466AA" w:rsidRDefault="00D34B95" w:rsidP="00D466A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466AA" w:rsidRPr="00D466AA">
              <w:rPr>
                <w:rFonts w:ascii="Arial" w:hAnsi="Arial" w:cs="Arial"/>
                <w:color w:val="000000"/>
                <w:sz w:val="16"/>
                <w:szCs w:val="16"/>
              </w:rPr>
              <w:t>8</w:t>
            </w:r>
          </w:p>
        </w:tc>
        <w:tc>
          <w:tcPr>
            <w:tcW w:w="522" w:type="pct"/>
            <w:tcBorders>
              <w:top w:val="nil"/>
              <w:left w:val="nil"/>
              <w:bottom w:val="single" w:sz="4" w:space="0" w:color="293F5B"/>
              <w:right w:val="nil"/>
            </w:tcBorders>
            <w:shd w:val="clear" w:color="000000" w:fill="E6F2FF"/>
            <w:noWrap/>
            <w:vAlign w:val="center"/>
            <w:hideMark/>
          </w:tcPr>
          <w:p w14:paraId="10B1512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719</w:t>
            </w:r>
          </w:p>
        </w:tc>
        <w:tc>
          <w:tcPr>
            <w:tcW w:w="522" w:type="pct"/>
            <w:tcBorders>
              <w:top w:val="nil"/>
              <w:left w:val="nil"/>
              <w:bottom w:val="single" w:sz="4" w:space="0" w:color="293F5B"/>
              <w:right w:val="nil"/>
            </w:tcBorders>
            <w:shd w:val="clear" w:color="000000" w:fill="FFFFFF"/>
            <w:noWrap/>
            <w:vAlign w:val="center"/>
            <w:hideMark/>
          </w:tcPr>
          <w:p w14:paraId="7D8403C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415</w:t>
            </w:r>
          </w:p>
        </w:tc>
        <w:tc>
          <w:tcPr>
            <w:tcW w:w="522" w:type="pct"/>
            <w:tcBorders>
              <w:top w:val="nil"/>
              <w:left w:val="nil"/>
              <w:bottom w:val="single" w:sz="4" w:space="0" w:color="293F5B"/>
              <w:right w:val="nil"/>
            </w:tcBorders>
            <w:shd w:val="clear" w:color="000000" w:fill="FFFFFF"/>
            <w:noWrap/>
            <w:vAlign w:val="center"/>
            <w:hideMark/>
          </w:tcPr>
          <w:p w14:paraId="4C913691"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399</w:t>
            </w:r>
          </w:p>
        </w:tc>
        <w:tc>
          <w:tcPr>
            <w:tcW w:w="522" w:type="pct"/>
            <w:tcBorders>
              <w:top w:val="nil"/>
              <w:left w:val="nil"/>
              <w:bottom w:val="single" w:sz="4" w:space="0" w:color="293F5B"/>
              <w:right w:val="nil"/>
            </w:tcBorders>
            <w:shd w:val="clear" w:color="000000" w:fill="FFFFFF"/>
            <w:noWrap/>
            <w:vAlign w:val="center"/>
            <w:hideMark/>
          </w:tcPr>
          <w:p w14:paraId="79E733B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340</w:t>
            </w:r>
          </w:p>
        </w:tc>
      </w:tr>
      <w:tr w:rsidR="00D466AA" w:rsidRPr="00D466AA" w14:paraId="32ECC684" w14:textId="77777777" w:rsidTr="001710EC">
        <w:trPr>
          <w:trHeight w:hRule="exact" w:val="225"/>
        </w:trPr>
        <w:tc>
          <w:tcPr>
            <w:tcW w:w="2388" w:type="pct"/>
            <w:tcBorders>
              <w:top w:val="nil"/>
              <w:left w:val="nil"/>
              <w:bottom w:val="single" w:sz="4" w:space="0" w:color="293F5B"/>
              <w:right w:val="nil"/>
            </w:tcBorders>
            <w:shd w:val="clear" w:color="000000" w:fill="FFFFFF"/>
            <w:noWrap/>
            <w:vAlign w:val="center"/>
            <w:hideMark/>
          </w:tcPr>
          <w:p w14:paraId="658948EA" w14:textId="77777777" w:rsidR="00D466AA" w:rsidRPr="00D466AA" w:rsidRDefault="00D466AA" w:rsidP="00D466AA">
            <w:pPr>
              <w:spacing w:before="0" w:after="0" w:line="240" w:lineRule="auto"/>
              <w:rPr>
                <w:rFonts w:ascii="Arial" w:hAnsi="Arial" w:cs="Arial"/>
                <w:b/>
                <w:bCs/>
                <w:color w:val="000000"/>
                <w:sz w:val="16"/>
                <w:szCs w:val="16"/>
              </w:rPr>
            </w:pPr>
            <w:r w:rsidRPr="00D466AA">
              <w:rPr>
                <w:rFonts w:ascii="Arial" w:hAnsi="Arial" w:cs="Arial"/>
                <w:b/>
                <w:bCs/>
                <w:color w:val="000000"/>
                <w:sz w:val="16"/>
                <w:szCs w:val="16"/>
              </w:rPr>
              <w:t>Total net capital investment</w:t>
            </w:r>
          </w:p>
        </w:tc>
        <w:tc>
          <w:tcPr>
            <w:tcW w:w="523" w:type="pct"/>
            <w:tcBorders>
              <w:top w:val="nil"/>
              <w:left w:val="nil"/>
              <w:bottom w:val="single" w:sz="4" w:space="0" w:color="293F5B"/>
              <w:right w:val="nil"/>
            </w:tcBorders>
            <w:shd w:val="clear" w:color="000000" w:fill="FFFFFF"/>
            <w:noWrap/>
            <w:vAlign w:val="center"/>
            <w:hideMark/>
          </w:tcPr>
          <w:p w14:paraId="5EBF1B2A"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10,441</w:t>
            </w:r>
          </w:p>
        </w:tc>
        <w:tc>
          <w:tcPr>
            <w:tcW w:w="522" w:type="pct"/>
            <w:tcBorders>
              <w:top w:val="nil"/>
              <w:left w:val="nil"/>
              <w:bottom w:val="single" w:sz="4" w:space="0" w:color="293F5B"/>
              <w:right w:val="nil"/>
            </w:tcBorders>
            <w:shd w:val="clear" w:color="000000" w:fill="E6F2FF"/>
            <w:noWrap/>
            <w:vAlign w:val="center"/>
            <w:hideMark/>
          </w:tcPr>
          <w:p w14:paraId="6481F226"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10,431</w:t>
            </w:r>
          </w:p>
        </w:tc>
        <w:tc>
          <w:tcPr>
            <w:tcW w:w="522" w:type="pct"/>
            <w:tcBorders>
              <w:top w:val="nil"/>
              <w:left w:val="nil"/>
              <w:bottom w:val="single" w:sz="4" w:space="0" w:color="293F5B"/>
              <w:right w:val="nil"/>
            </w:tcBorders>
            <w:shd w:val="clear" w:color="000000" w:fill="FFFFFF"/>
            <w:noWrap/>
            <w:vAlign w:val="center"/>
            <w:hideMark/>
          </w:tcPr>
          <w:p w14:paraId="6833781D"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7,229</w:t>
            </w:r>
          </w:p>
        </w:tc>
        <w:tc>
          <w:tcPr>
            <w:tcW w:w="522" w:type="pct"/>
            <w:tcBorders>
              <w:top w:val="nil"/>
              <w:left w:val="nil"/>
              <w:bottom w:val="single" w:sz="4" w:space="0" w:color="293F5B"/>
              <w:right w:val="nil"/>
            </w:tcBorders>
            <w:shd w:val="clear" w:color="000000" w:fill="FFFFFF"/>
            <w:noWrap/>
            <w:vAlign w:val="center"/>
            <w:hideMark/>
          </w:tcPr>
          <w:p w14:paraId="1993E859"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5,449</w:t>
            </w:r>
          </w:p>
        </w:tc>
        <w:tc>
          <w:tcPr>
            <w:tcW w:w="522" w:type="pct"/>
            <w:tcBorders>
              <w:top w:val="nil"/>
              <w:left w:val="nil"/>
              <w:bottom w:val="single" w:sz="4" w:space="0" w:color="293F5B"/>
              <w:right w:val="nil"/>
            </w:tcBorders>
            <w:shd w:val="clear" w:color="000000" w:fill="FFFFFF"/>
            <w:noWrap/>
            <w:vAlign w:val="center"/>
            <w:hideMark/>
          </w:tcPr>
          <w:p w14:paraId="5A4562D1" w14:textId="77777777" w:rsidR="00D466AA" w:rsidRPr="00D466AA" w:rsidRDefault="00D466AA" w:rsidP="00D466AA">
            <w:pPr>
              <w:spacing w:before="0" w:after="0" w:line="240" w:lineRule="auto"/>
              <w:jc w:val="right"/>
              <w:rPr>
                <w:rFonts w:ascii="Arial" w:hAnsi="Arial" w:cs="Arial"/>
                <w:b/>
                <w:bCs/>
                <w:sz w:val="16"/>
                <w:szCs w:val="16"/>
              </w:rPr>
            </w:pPr>
            <w:r w:rsidRPr="00D466AA">
              <w:rPr>
                <w:rFonts w:ascii="Arial" w:hAnsi="Arial" w:cs="Arial"/>
                <w:b/>
                <w:bCs/>
                <w:sz w:val="16"/>
                <w:szCs w:val="16"/>
              </w:rPr>
              <w:t>9,271</w:t>
            </w:r>
          </w:p>
        </w:tc>
      </w:tr>
    </w:tbl>
    <w:p w14:paraId="5B15A4AC" w14:textId="0AC2BEEC" w:rsidR="00445C2D" w:rsidRPr="000177D7" w:rsidRDefault="00445C2D" w:rsidP="00445C2D">
      <w:r w:rsidRPr="000177D7">
        <w:t>A significant component of the Government</w:t>
      </w:r>
      <w:r w:rsidR="00D34B95">
        <w:t>’</w:t>
      </w:r>
      <w:r w:rsidRPr="000177D7">
        <w:t>s net capital investment occurs in the defence function and relates primarily to the acquisition of military equipment. Major factors contributing to changes in net capital investment, expected to occur in the following functions, include:</w:t>
      </w:r>
    </w:p>
    <w:p w14:paraId="685B4FD2" w14:textId="36606A7D" w:rsidR="00445C2D" w:rsidRDefault="00445C2D" w:rsidP="00445C2D">
      <w:pPr>
        <w:pStyle w:val="Bullet"/>
      </w:pPr>
      <w:r w:rsidRPr="000177D7">
        <w:rPr>
          <w:b/>
        </w:rPr>
        <w:t xml:space="preserve">General public services </w:t>
      </w:r>
      <w:r w:rsidR="00D25E5B">
        <w:t>–</w:t>
      </w:r>
      <w:r w:rsidRPr="000177D7">
        <w:rPr>
          <w:b/>
        </w:rPr>
        <w:t xml:space="preserve"> </w:t>
      </w:r>
      <w:r w:rsidRPr="000177D7">
        <w:t xml:space="preserve">the </w:t>
      </w:r>
      <w:r>
        <w:t>in</w:t>
      </w:r>
      <w:r w:rsidRPr="000177D7">
        <w:t>crease in net capital investment from 202</w:t>
      </w:r>
      <w:r>
        <w:t>3</w:t>
      </w:r>
      <w:r w:rsidR="00D25E5B">
        <w:rPr>
          <w:rFonts w:eastAsia="Book Antiqua" w:cs="Book Antiqua"/>
          <w:lang w:val="en-US"/>
        </w:rPr>
        <w:t>–</w:t>
      </w:r>
      <w:r w:rsidRPr="000177D7">
        <w:t>2</w:t>
      </w:r>
      <w:r>
        <w:t>4</w:t>
      </w:r>
      <w:r w:rsidRPr="000177D7">
        <w:t xml:space="preserve"> to </w:t>
      </w:r>
      <w:r w:rsidR="009D457B">
        <w:br/>
      </w:r>
      <w:r w:rsidRPr="000177D7">
        <w:t>202</w:t>
      </w:r>
      <w:r>
        <w:t>6</w:t>
      </w:r>
      <w:r w:rsidR="00D25E5B">
        <w:rPr>
          <w:rFonts w:eastAsia="Book Antiqua" w:cs="Book Antiqua"/>
          <w:lang w:val="en-US"/>
        </w:rPr>
        <w:t>–</w:t>
      </w:r>
      <w:r w:rsidRPr="000177D7">
        <w:t>2</w:t>
      </w:r>
      <w:r>
        <w:t>7</w:t>
      </w:r>
      <w:r w:rsidRPr="000177D7">
        <w:t xml:space="preserve"> largely reflects depreciation and amortisation of existing assets</w:t>
      </w:r>
      <w:r>
        <w:t>,</w:t>
      </w:r>
      <w:r w:rsidRPr="000177D7">
        <w:t xml:space="preserve"> and the timing of building and equipment purchases.</w:t>
      </w:r>
    </w:p>
    <w:p w14:paraId="1212165D" w14:textId="4B0F1DF1" w:rsidR="00445C2D" w:rsidRPr="000177D7" w:rsidRDefault="00445C2D" w:rsidP="00445C2D">
      <w:pPr>
        <w:pStyle w:val="Bullet"/>
      </w:pPr>
      <w:r w:rsidRPr="349259F4">
        <w:rPr>
          <w:b/>
          <w:bCs/>
        </w:rPr>
        <w:t>Defence</w:t>
      </w:r>
      <w:r>
        <w:t xml:space="preserve"> – the net capital investment from 2023</w:t>
      </w:r>
      <w:r w:rsidR="00DD3366">
        <w:rPr>
          <w:rFonts w:eastAsia="Book Antiqua" w:cs="Book Antiqua"/>
          <w:lang w:val="en-US"/>
        </w:rPr>
        <w:t>–</w:t>
      </w:r>
      <w:r>
        <w:t>24 to 2026</w:t>
      </w:r>
      <w:r w:rsidR="00DD3366">
        <w:rPr>
          <w:rFonts w:eastAsia="Book Antiqua" w:cs="Book Antiqua"/>
          <w:lang w:val="en-US"/>
        </w:rPr>
        <w:t>–</w:t>
      </w:r>
      <w:r>
        <w:t xml:space="preserve">27 reflects funding for capability investments. </w:t>
      </w:r>
      <w:bookmarkStart w:id="173" w:name="_Hlk133698085"/>
      <w:r>
        <w:t>The implementation of the Government</w:t>
      </w:r>
      <w:r w:rsidR="00D34B95">
        <w:t>’</w:t>
      </w:r>
      <w:r>
        <w:t>s response to the</w:t>
      </w:r>
      <w:r w:rsidRPr="349259F4">
        <w:rPr>
          <w:i/>
          <w:iCs/>
        </w:rPr>
        <w:t xml:space="preserve"> Defence Strategic Review</w:t>
      </w:r>
      <w:r>
        <w:rPr>
          <w:i/>
          <w:iCs/>
        </w:rPr>
        <w:t xml:space="preserve"> </w:t>
      </w:r>
      <w:r w:rsidRPr="00B93EE7">
        <w:t>and</w:t>
      </w:r>
      <w:r>
        <w:rPr>
          <w:i/>
          <w:iCs/>
        </w:rPr>
        <w:t xml:space="preserve"> </w:t>
      </w:r>
      <w:r>
        <w:t>the achievement of an Integrated Force</w:t>
      </w:r>
      <w:bookmarkEnd w:id="173"/>
      <w:r>
        <w:t xml:space="preserve"> will require reprioritisation of the Defence Integrated Investment Program and major investments in military capabilities such as ships, submarines, aircraft and missile systems, as well as enabling ICT capabilities, infrastructure and the Defence estate.</w:t>
      </w:r>
    </w:p>
    <w:p w14:paraId="5AF0B6EA" w14:textId="7EFC3AD7" w:rsidR="00445C2D" w:rsidRPr="000177D7" w:rsidRDefault="00445C2D" w:rsidP="00445C2D">
      <w:pPr>
        <w:pStyle w:val="Bullet"/>
      </w:pPr>
      <w:r w:rsidRPr="000177D7">
        <w:rPr>
          <w:b/>
        </w:rPr>
        <w:t>Health</w:t>
      </w:r>
      <w:r w:rsidRPr="000177D7">
        <w:t xml:space="preserve"> </w:t>
      </w:r>
      <w:r w:rsidR="00DD3366">
        <w:t>–</w:t>
      </w:r>
      <w:r w:rsidRPr="000177D7">
        <w:t xml:space="preserve"> the decrease in net capital investment from 202</w:t>
      </w:r>
      <w:r w:rsidR="00E75A1D">
        <w:t>2</w:t>
      </w:r>
      <w:r w:rsidR="00DD3366">
        <w:rPr>
          <w:rFonts w:eastAsia="Book Antiqua" w:cs="Book Antiqua"/>
          <w:lang w:val="en-US"/>
        </w:rPr>
        <w:t>–</w:t>
      </w:r>
      <w:r w:rsidRPr="000177D7">
        <w:t>2</w:t>
      </w:r>
      <w:r w:rsidR="00E75A1D">
        <w:t>3</w:t>
      </w:r>
      <w:r w:rsidRPr="000177D7">
        <w:t xml:space="preserve"> to 202</w:t>
      </w:r>
      <w:r>
        <w:t>6</w:t>
      </w:r>
      <w:r w:rsidR="00DD3366">
        <w:rPr>
          <w:rFonts w:eastAsia="Book Antiqua" w:cs="Book Antiqua"/>
          <w:lang w:val="en-US"/>
        </w:rPr>
        <w:t>–</w:t>
      </w:r>
      <w:r w:rsidRPr="000177D7">
        <w:t>2</w:t>
      </w:r>
      <w:r>
        <w:t>7</w:t>
      </w:r>
      <w:r w:rsidRPr="000177D7">
        <w:t xml:space="preserve"> largely reflects</w:t>
      </w:r>
      <w:r w:rsidRPr="000177D7" w:rsidDel="00DA7ADB">
        <w:t xml:space="preserve"> </w:t>
      </w:r>
      <w:r w:rsidRPr="000177D7">
        <w:t>the reductions in National Medical Stockpile procurements related to the COVID</w:t>
      </w:r>
      <w:r w:rsidR="00D34B95">
        <w:noBreakHyphen/>
      </w:r>
      <w:r w:rsidRPr="000177D7">
        <w:t>19 pandemic.</w:t>
      </w:r>
    </w:p>
    <w:p w14:paraId="5FA613A3" w14:textId="58664B61" w:rsidR="00445C2D" w:rsidRPr="000177D7" w:rsidRDefault="00445C2D" w:rsidP="00445C2D">
      <w:pPr>
        <w:pStyle w:val="Bullet"/>
      </w:pPr>
      <w:r w:rsidRPr="2F2DEA0D">
        <w:rPr>
          <w:b/>
          <w:bCs/>
        </w:rPr>
        <w:t>Social security and welfare</w:t>
      </w:r>
      <w:r>
        <w:t xml:space="preserve"> </w:t>
      </w:r>
      <w:r w:rsidR="00DD3366">
        <w:t>–</w:t>
      </w:r>
      <w:r>
        <w:t xml:space="preserve"> the decrease in net capital investment from 2022</w:t>
      </w:r>
      <w:r w:rsidR="00DD3366">
        <w:rPr>
          <w:rFonts w:eastAsia="Book Antiqua" w:cs="Book Antiqua"/>
          <w:lang w:val="en-US"/>
        </w:rPr>
        <w:t>–</w:t>
      </w:r>
      <w:r>
        <w:t>23 to 2026</w:t>
      </w:r>
      <w:r w:rsidR="00DD3366">
        <w:rPr>
          <w:rFonts w:eastAsia="Book Antiqua" w:cs="Book Antiqua"/>
          <w:lang w:val="en-US"/>
        </w:rPr>
        <w:t>–</w:t>
      </w:r>
      <w:r>
        <w:t>27 is largely driven by the depreciation of prior Commonwealth investments into Services Australia</w:t>
      </w:r>
      <w:r w:rsidR="00D34B95">
        <w:t>’</w:t>
      </w:r>
      <w:r>
        <w:t>s assets such as ICT capabilities and infrastructure. This is partially offset by Commonwealth investment in ICT capabilities and infrastructure.</w:t>
      </w:r>
    </w:p>
    <w:p w14:paraId="014C2BE3" w14:textId="692DB65F" w:rsidR="00445C2D" w:rsidRPr="000177D7" w:rsidRDefault="00445C2D" w:rsidP="00445C2D">
      <w:pPr>
        <w:pStyle w:val="Bullet"/>
      </w:pPr>
      <w:r w:rsidRPr="000177D7">
        <w:rPr>
          <w:b/>
        </w:rPr>
        <w:lastRenderedPageBreak/>
        <w:t>Housing and community amenities</w:t>
      </w:r>
      <w:r w:rsidRPr="000177D7">
        <w:t xml:space="preserve"> </w:t>
      </w:r>
      <w:r w:rsidR="00DD3366">
        <w:t>–</w:t>
      </w:r>
      <w:r w:rsidRPr="000177D7">
        <w:t xml:space="preserve"> the decrease in net capital investment in 2024</w:t>
      </w:r>
      <w:r w:rsidR="00DD3366">
        <w:rPr>
          <w:rFonts w:eastAsia="Book Antiqua" w:cs="Book Antiqua"/>
          <w:lang w:val="en-US"/>
        </w:rPr>
        <w:t>–</w:t>
      </w:r>
      <w:r w:rsidRPr="000177D7">
        <w:t>25 largely reflects a change in Defence Housing Australia</w:t>
      </w:r>
      <w:r w:rsidR="00D34B95">
        <w:t>’</w:t>
      </w:r>
      <w:r w:rsidRPr="000177D7">
        <w:t>s property investment strategy to better meet the housing needs of the Australian Defence Force.</w:t>
      </w:r>
    </w:p>
    <w:p w14:paraId="623C4482" w14:textId="1CAFD63C" w:rsidR="00445C2D" w:rsidRPr="000177D7" w:rsidRDefault="00445C2D" w:rsidP="00445C2D">
      <w:pPr>
        <w:pStyle w:val="Bullet"/>
      </w:pPr>
      <w:r w:rsidRPr="67B483EA">
        <w:rPr>
          <w:b/>
          <w:bCs/>
        </w:rPr>
        <w:t>Recreation and culture</w:t>
      </w:r>
      <w:r>
        <w:t xml:space="preserve"> </w:t>
      </w:r>
      <w:r w:rsidR="00DD3366">
        <w:t>–</w:t>
      </w:r>
      <w:r>
        <w:t xml:space="preserve"> the decrease in net capital investment from 2023</w:t>
      </w:r>
      <w:r w:rsidR="00DD3366">
        <w:t>–</w:t>
      </w:r>
      <w:r>
        <w:t xml:space="preserve">24 to </w:t>
      </w:r>
      <w:r>
        <w:br/>
        <w:t>2026</w:t>
      </w:r>
      <w:r w:rsidR="00DD3366">
        <w:rPr>
          <w:rFonts w:eastAsia="Book Antiqua" w:cs="Book Antiqua"/>
          <w:lang w:val="en-US"/>
        </w:rPr>
        <w:t>–</w:t>
      </w:r>
      <w:r>
        <w:t>27 reflects the expected completion of capital investments by the National Capital Authority, and up</w:t>
      </w:r>
      <w:r w:rsidR="00D34B95">
        <w:noBreakHyphen/>
      </w:r>
      <w:r>
        <w:t>front capital investment in infrastructure projects across sites managed by the Sydney Harbour Federation Trust and within the Mu</w:t>
      </w:r>
      <w:r w:rsidRPr="00B5590F">
        <w:rPr>
          <w:u w:val="single"/>
        </w:rPr>
        <w:t>t</w:t>
      </w:r>
      <w:r>
        <w:t>itjulu community in the Ulu</w:t>
      </w:r>
      <w:r w:rsidRPr="00B5590F">
        <w:rPr>
          <w:u w:val="single"/>
        </w:rPr>
        <w:t>r</w:t>
      </w:r>
      <w:r>
        <w:t>u</w:t>
      </w:r>
      <w:r w:rsidR="00D34B95">
        <w:noBreakHyphen/>
      </w:r>
      <w:r>
        <w:t xml:space="preserve">Kata </w:t>
      </w:r>
      <w:r w:rsidRPr="0021687D">
        <w:t>Tju</w:t>
      </w:r>
      <w:r w:rsidRPr="0021687D">
        <w:rPr>
          <w:u w:val="single"/>
        </w:rPr>
        <w:t>t</w:t>
      </w:r>
      <w:r w:rsidRPr="0021687D">
        <w:t>a National Park under the 2023</w:t>
      </w:r>
      <w:r w:rsidR="00DD3366">
        <w:t>–</w:t>
      </w:r>
      <w:r w:rsidRPr="0021687D">
        <w:t xml:space="preserve">24 Budget measures </w:t>
      </w:r>
      <w:r w:rsidR="0021687D" w:rsidRPr="0021687D">
        <w:rPr>
          <w:i/>
          <w:iCs/>
        </w:rPr>
        <w:t>Sydney</w:t>
      </w:r>
      <w:r w:rsidR="00623C2C">
        <w:rPr>
          <w:i/>
          <w:iCs/>
        </w:rPr>
        <w:t> </w:t>
      </w:r>
      <w:r w:rsidR="0021687D" w:rsidRPr="0021687D">
        <w:rPr>
          <w:i/>
          <w:iCs/>
        </w:rPr>
        <w:t xml:space="preserve">Harbour Federation Trust </w:t>
      </w:r>
      <w:r w:rsidR="00DD3366">
        <w:rPr>
          <w:i/>
          <w:iCs/>
        </w:rPr>
        <w:t>–</w:t>
      </w:r>
      <w:r w:rsidR="0021687D" w:rsidRPr="0021687D">
        <w:rPr>
          <w:i/>
          <w:iCs/>
        </w:rPr>
        <w:t xml:space="preserve"> infrastructure improvements</w:t>
      </w:r>
      <w:r w:rsidR="0021687D" w:rsidRPr="0021687D">
        <w:t xml:space="preserve"> and</w:t>
      </w:r>
      <w:r w:rsidR="0021687D" w:rsidRPr="0021687D">
        <w:rPr>
          <w:i/>
          <w:iCs/>
        </w:rPr>
        <w:t xml:space="preserve"> Protecting Australia</w:t>
      </w:r>
      <w:r w:rsidR="00D34B95">
        <w:rPr>
          <w:i/>
          <w:iCs/>
        </w:rPr>
        <w:t>’</w:t>
      </w:r>
      <w:r w:rsidR="0021687D" w:rsidRPr="0021687D">
        <w:rPr>
          <w:i/>
          <w:iCs/>
        </w:rPr>
        <w:t>s Iconic National Parks</w:t>
      </w:r>
      <w:r w:rsidRPr="0021687D">
        <w:rPr>
          <w:i/>
          <w:iCs/>
        </w:rPr>
        <w:t>.</w:t>
      </w:r>
      <w:r>
        <w:rPr>
          <w:i/>
          <w:iCs/>
        </w:rPr>
        <w:t xml:space="preserve"> </w:t>
      </w:r>
    </w:p>
    <w:p w14:paraId="3D1D0D0A" w14:textId="17670F84" w:rsidR="00445C2D" w:rsidRPr="000177D7" w:rsidRDefault="00445C2D" w:rsidP="00445C2D">
      <w:pPr>
        <w:pStyle w:val="Bullet"/>
      </w:pPr>
      <w:r w:rsidRPr="000177D7">
        <w:rPr>
          <w:b/>
        </w:rPr>
        <w:t>Transport and communication</w:t>
      </w:r>
      <w:r w:rsidRPr="000177D7">
        <w:t xml:space="preserve"> </w:t>
      </w:r>
      <w:r w:rsidR="00DD3366">
        <w:t>–</w:t>
      </w:r>
      <w:r w:rsidRPr="000177D7">
        <w:t xml:space="preserve"> the variable profile of net capital investment reflects the sale of non</w:t>
      </w:r>
      <w:r w:rsidR="00D34B95">
        <w:noBreakHyphen/>
      </w:r>
      <w:r w:rsidRPr="000177D7">
        <w:t>financial assets through the 850/900 MHz and 2.4 Gigahertz</w:t>
      </w:r>
      <w:r w:rsidR="00BC2A6A">
        <w:t xml:space="preserve"> </w:t>
      </w:r>
      <w:r w:rsidRPr="000177D7">
        <w:t>Spectrum</w:t>
      </w:r>
      <w:r w:rsidR="00BC2A6A">
        <w:t xml:space="preserve"> </w:t>
      </w:r>
      <w:r w:rsidRPr="000177D7">
        <w:t>Auctions.</w:t>
      </w:r>
    </w:p>
    <w:p w14:paraId="1E8A0776" w14:textId="2B823FA5" w:rsidR="00445C2D" w:rsidRDefault="00445C2D" w:rsidP="00445C2D">
      <w:pPr>
        <w:pStyle w:val="Bullet"/>
      </w:pPr>
      <w:r w:rsidRPr="00A365A4">
        <w:rPr>
          <w:b/>
          <w:bCs/>
        </w:rPr>
        <w:t>Other economic affairs</w:t>
      </w:r>
      <w:r w:rsidRPr="00A365A4">
        <w:t xml:space="preserve"> </w:t>
      </w:r>
      <w:r w:rsidR="00DD3366">
        <w:t>–</w:t>
      </w:r>
      <w:r>
        <w:t xml:space="preserve"> </w:t>
      </w:r>
      <w:r w:rsidRPr="00C14204">
        <w:t>the decrease in net capital investment from 2023</w:t>
      </w:r>
      <w:r w:rsidR="00DD3366">
        <w:rPr>
          <w:rFonts w:eastAsia="Book Antiqua" w:cs="Book Antiqua"/>
          <w:lang w:val="en-US"/>
        </w:rPr>
        <w:t>–</w:t>
      </w:r>
      <w:r w:rsidRPr="00C14204">
        <w:t>24 reflects the phasing down of investment under the second and third tranches of projects to strengthen the Bureau of Meteorology</w:t>
      </w:r>
      <w:r w:rsidR="00D34B95">
        <w:t>’</w:t>
      </w:r>
      <w:r w:rsidRPr="00C14204">
        <w:t>s ICT security and resilience, and observations network.</w:t>
      </w:r>
    </w:p>
    <w:p w14:paraId="5EE920DA" w14:textId="1A01D408" w:rsidR="00842CC7" w:rsidRPr="000177D7" w:rsidRDefault="00445C2D" w:rsidP="00445C2D">
      <w:pPr>
        <w:pStyle w:val="Bullet"/>
      </w:pPr>
      <w:r w:rsidRPr="000177D7">
        <w:rPr>
          <w:b/>
          <w:bCs/>
        </w:rPr>
        <w:t>Other purposes</w:t>
      </w:r>
      <w:r w:rsidRPr="000177D7">
        <w:t xml:space="preserve"> </w:t>
      </w:r>
      <w:r>
        <w:t>–</w:t>
      </w:r>
      <w:r w:rsidRPr="000177D7">
        <w:t xml:space="preserve"> the increase in net capital investment in 202</w:t>
      </w:r>
      <w:r>
        <w:t>3</w:t>
      </w:r>
      <w:r w:rsidR="00DD3366">
        <w:rPr>
          <w:rFonts w:eastAsia="Book Antiqua" w:cs="Book Antiqua"/>
          <w:lang w:val="en-US"/>
        </w:rPr>
        <w:t>–</w:t>
      </w:r>
      <w:r w:rsidRPr="000177D7">
        <w:t>2</w:t>
      </w:r>
      <w:r>
        <w:t>4</w:t>
      </w:r>
      <w:r w:rsidRPr="000177D7">
        <w:t xml:space="preserve"> reflects a provision for the procurement of additional COVID</w:t>
      </w:r>
      <w:r w:rsidR="00D34B95">
        <w:noBreakHyphen/>
      </w:r>
      <w:r w:rsidRPr="000177D7">
        <w:t xml:space="preserve">19 vaccines and treatments for the National Medical Stockpile in the October Budget measure </w:t>
      </w:r>
      <w:r w:rsidRPr="000177D7">
        <w:rPr>
          <w:i/>
        </w:rPr>
        <w:t>COVID</w:t>
      </w:r>
      <w:r w:rsidR="00D34B95">
        <w:rPr>
          <w:i/>
        </w:rPr>
        <w:noBreakHyphen/>
      </w:r>
      <w:r w:rsidRPr="000177D7">
        <w:rPr>
          <w:i/>
        </w:rPr>
        <w:t xml:space="preserve">19 Package </w:t>
      </w:r>
      <w:r w:rsidR="00DD3366">
        <w:rPr>
          <w:i/>
        </w:rPr>
        <w:t>–</w:t>
      </w:r>
      <w:r w:rsidRPr="000177D7">
        <w:rPr>
          <w:i/>
        </w:rPr>
        <w:t xml:space="preserve"> vaccines and treatments</w:t>
      </w:r>
      <w:r w:rsidRPr="000177D7">
        <w:t>.</w:t>
      </w:r>
      <w:r w:rsidR="00842CC7" w:rsidRPr="000177D7">
        <w:t xml:space="preserve"> </w:t>
      </w:r>
    </w:p>
    <w:p w14:paraId="6AB18A25" w14:textId="45295D32" w:rsidR="00C855DF" w:rsidRPr="000177D7" w:rsidRDefault="00C855DF" w:rsidP="00B676A2">
      <w:r w:rsidRPr="000177D7">
        <w:br w:type="page"/>
      </w:r>
    </w:p>
    <w:p w14:paraId="14A2BE42" w14:textId="0EC43F12" w:rsidR="00842CC7" w:rsidRPr="000177D7" w:rsidRDefault="00842CC7" w:rsidP="00842CC7">
      <w:r w:rsidRPr="000177D7">
        <w:lastRenderedPageBreak/>
        <w:t>Table 6.21 reports the acquisition of non</w:t>
      </w:r>
      <w:r w:rsidR="00D34B95">
        <w:noBreakHyphen/>
      </w:r>
      <w:r w:rsidRPr="000177D7">
        <w:t>financial assets by function before taking into account depreciation or amortisation.</w:t>
      </w:r>
    </w:p>
    <w:p w14:paraId="22F98E48" w14:textId="74C7BEF8" w:rsidR="00D466AA" w:rsidRDefault="00C855DF" w:rsidP="00623C2C">
      <w:pPr>
        <w:pStyle w:val="TableHeading"/>
        <w:rPr>
          <w:rFonts w:asciiTheme="minorHAnsi" w:eastAsiaTheme="minorHAnsi" w:hAnsiTheme="minorHAnsi" w:cstheme="minorBidi"/>
          <w:sz w:val="22"/>
          <w:szCs w:val="22"/>
          <w:lang w:eastAsia="en-US"/>
        </w:rPr>
      </w:pPr>
      <w:r w:rsidRPr="000177D7">
        <w:t>Table 6.21: Australian Government general government sector purchases of non</w:t>
      </w:r>
      <w:r w:rsidR="00D34B95">
        <w:noBreakHyphen/>
      </w:r>
      <w:r w:rsidRPr="000177D7">
        <w:t>financial assets by function</w:t>
      </w:r>
      <w:bookmarkStart w:id="174" w:name="_1727774413"/>
      <w:bookmarkEnd w:id="174"/>
    </w:p>
    <w:tbl>
      <w:tblPr>
        <w:tblW w:w="5000" w:type="pct"/>
        <w:tblCellMar>
          <w:left w:w="0" w:type="dxa"/>
          <w:right w:w="28" w:type="dxa"/>
        </w:tblCellMar>
        <w:tblLook w:val="04A0" w:firstRow="1" w:lastRow="0" w:firstColumn="1" w:lastColumn="0" w:noHBand="0" w:noVBand="1"/>
      </w:tblPr>
      <w:tblGrid>
        <w:gridCol w:w="3683"/>
        <w:gridCol w:w="806"/>
        <w:gridCol w:w="805"/>
        <w:gridCol w:w="805"/>
        <w:gridCol w:w="805"/>
        <w:gridCol w:w="806"/>
      </w:tblGrid>
      <w:tr w:rsidR="00D466AA" w:rsidRPr="00D466AA" w14:paraId="27552110" w14:textId="77777777" w:rsidTr="00D80099">
        <w:trPr>
          <w:trHeight w:hRule="exact" w:val="225"/>
        </w:trPr>
        <w:tc>
          <w:tcPr>
            <w:tcW w:w="2388" w:type="pct"/>
            <w:tcBorders>
              <w:top w:val="single" w:sz="4" w:space="0" w:color="002A54" w:themeColor="text2"/>
              <w:left w:val="nil"/>
              <w:bottom w:val="nil"/>
              <w:right w:val="nil"/>
            </w:tcBorders>
            <w:shd w:val="clear" w:color="000000" w:fill="FFFFFF"/>
            <w:noWrap/>
            <w:vAlign w:val="center"/>
            <w:hideMark/>
          </w:tcPr>
          <w:p w14:paraId="768AFEE3" w14:textId="00644D63" w:rsidR="00D466AA" w:rsidRPr="00D466AA" w:rsidRDefault="00D466AA">
            <w:pPr>
              <w:rPr>
                <w:rFonts w:ascii="Arial" w:hAnsi="Arial" w:cs="Arial"/>
                <w:color w:val="000000"/>
                <w:sz w:val="16"/>
                <w:szCs w:val="16"/>
              </w:rPr>
            </w:pPr>
            <w:r w:rsidRPr="00D466AA">
              <w:rPr>
                <w:rFonts w:ascii="Arial" w:hAnsi="Arial" w:cs="Arial"/>
                <w:color w:val="000000"/>
                <w:sz w:val="16"/>
                <w:szCs w:val="16"/>
              </w:rPr>
              <w:t> </w:t>
            </w:r>
          </w:p>
        </w:tc>
        <w:tc>
          <w:tcPr>
            <w:tcW w:w="2612" w:type="pct"/>
            <w:gridSpan w:val="5"/>
            <w:tcBorders>
              <w:top w:val="single" w:sz="4" w:space="0" w:color="002A54" w:themeColor="text2"/>
              <w:left w:val="nil"/>
              <w:bottom w:val="single" w:sz="4" w:space="0" w:color="002A54" w:themeColor="text2"/>
              <w:right w:val="nil"/>
            </w:tcBorders>
            <w:shd w:val="clear" w:color="000000" w:fill="FFFFFF"/>
            <w:noWrap/>
            <w:vAlign w:val="center"/>
            <w:hideMark/>
          </w:tcPr>
          <w:p w14:paraId="4D614306" w14:textId="77777777" w:rsidR="00D466AA" w:rsidRPr="00D466AA" w:rsidRDefault="00D466AA" w:rsidP="00D466AA">
            <w:pPr>
              <w:spacing w:before="0" w:after="0" w:line="240" w:lineRule="auto"/>
              <w:jc w:val="center"/>
              <w:rPr>
                <w:rFonts w:ascii="Arial" w:hAnsi="Arial" w:cs="Arial"/>
                <w:sz w:val="16"/>
                <w:szCs w:val="16"/>
              </w:rPr>
            </w:pPr>
            <w:r w:rsidRPr="00D466AA">
              <w:rPr>
                <w:rFonts w:ascii="Arial" w:hAnsi="Arial" w:cs="Arial"/>
                <w:sz w:val="16"/>
                <w:szCs w:val="16"/>
              </w:rPr>
              <w:t>Estimates</w:t>
            </w:r>
          </w:p>
        </w:tc>
      </w:tr>
      <w:tr w:rsidR="00D466AA" w:rsidRPr="00D466AA" w14:paraId="6FBA1F82" w14:textId="77777777" w:rsidTr="00D80099">
        <w:trPr>
          <w:trHeight w:hRule="exact" w:val="225"/>
        </w:trPr>
        <w:tc>
          <w:tcPr>
            <w:tcW w:w="2388" w:type="pct"/>
            <w:tcBorders>
              <w:top w:val="nil"/>
              <w:left w:val="nil"/>
              <w:bottom w:val="nil"/>
              <w:right w:val="nil"/>
            </w:tcBorders>
            <w:shd w:val="clear" w:color="000000" w:fill="FFFFFF"/>
            <w:noWrap/>
            <w:vAlign w:val="center"/>
            <w:hideMark/>
          </w:tcPr>
          <w:p w14:paraId="07E21B2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3" w:type="pct"/>
            <w:tcBorders>
              <w:top w:val="single" w:sz="4" w:space="0" w:color="002A54" w:themeColor="text2"/>
              <w:left w:val="nil"/>
              <w:bottom w:val="nil"/>
              <w:right w:val="nil"/>
            </w:tcBorders>
            <w:shd w:val="clear" w:color="000000" w:fill="FFFFFF"/>
            <w:noWrap/>
            <w:vAlign w:val="center"/>
            <w:hideMark/>
          </w:tcPr>
          <w:p w14:paraId="0838BE27"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2022–23</w:t>
            </w:r>
          </w:p>
        </w:tc>
        <w:tc>
          <w:tcPr>
            <w:tcW w:w="522" w:type="pct"/>
            <w:tcBorders>
              <w:top w:val="single" w:sz="4" w:space="0" w:color="002A54" w:themeColor="text2"/>
              <w:left w:val="nil"/>
              <w:bottom w:val="nil"/>
              <w:right w:val="nil"/>
            </w:tcBorders>
            <w:shd w:val="clear" w:color="000000" w:fill="E6F2FF"/>
            <w:noWrap/>
            <w:vAlign w:val="center"/>
            <w:hideMark/>
          </w:tcPr>
          <w:p w14:paraId="03E391DF"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2023–24</w:t>
            </w:r>
          </w:p>
        </w:tc>
        <w:tc>
          <w:tcPr>
            <w:tcW w:w="522" w:type="pct"/>
            <w:tcBorders>
              <w:top w:val="single" w:sz="4" w:space="0" w:color="002A54" w:themeColor="text2"/>
              <w:left w:val="nil"/>
              <w:bottom w:val="nil"/>
              <w:right w:val="nil"/>
            </w:tcBorders>
            <w:shd w:val="clear" w:color="000000" w:fill="FFFFFF"/>
            <w:noWrap/>
            <w:vAlign w:val="center"/>
            <w:hideMark/>
          </w:tcPr>
          <w:p w14:paraId="4C5FD83A"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2024–25</w:t>
            </w:r>
          </w:p>
        </w:tc>
        <w:tc>
          <w:tcPr>
            <w:tcW w:w="522" w:type="pct"/>
            <w:tcBorders>
              <w:top w:val="single" w:sz="4" w:space="0" w:color="002A54" w:themeColor="text2"/>
              <w:left w:val="nil"/>
              <w:bottom w:val="nil"/>
              <w:right w:val="nil"/>
            </w:tcBorders>
            <w:shd w:val="clear" w:color="000000" w:fill="FFFFFF"/>
            <w:noWrap/>
            <w:vAlign w:val="center"/>
            <w:hideMark/>
          </w:tcPr>
          <w:p w14:paraId="13F6F61A"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2025–26</w:t>
            </w:r>
          </w:p>
        </w:tc>
        <w:tc>
          <w:tcPr>
            <w:tcW w:w="522" w:type="pct"/>
            <w:tcBorders>
              <w:top w:val="single" w:sz="4" w:space="0" w:color="002A54" w:themeColor="text2"/>
              <w:left w:val="nil"/>
              <w:bottom w:val="nil"/>
              <w:right w:val="nil"/>
            </w:tcBorders>
            <w:shd w:val="clear" w:color="000000" w:fill="FFFFFF"/>
            <w:noWrap/>
            <w:vAlign w:val="center"/>
            <w:hideMark/>
          </w:tcPr>
          <w:p w14:paraId="044BEC6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2026–27</w:t>
            </w:r>
          </w:p>
        </w:tc>
      </w:tr>
      <w:tr w:rsidR="00D466AA" w:rsidRPr="00D466AA" w14:paraId="1BCCC60F"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5257BF7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0B5991E7"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E6F2FF"/>
            <w:noWrap/>
            <w:vAlign w:val="center"/>
            <w:hideMark/>
          </w:tcPr>
          <w:p w14:paraId="063EF19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37C6B07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5C6D1FDF"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c>
          <w:tcPr>
            <w:tcW w:w="522" w:type="pct"/>
            <w:tcBorders>
              <w:top w:val="nil"/>
              <w:left w:val="nil"/>
              <w:bottom w:val="single" w:sz="4" w:space="0" w:color="293F5B"/>
              <w:right w:val="nil"/>
            </w:tcBorders>
            <w:shd w:val="clear" w:color="000000" w:fill="FFFFFF"/>
            <w:noWrap/>
            <w:vAlign w:val="center"/>
            <w:hideMark/>
          </w:tcPr>
          <w:p w14:paraId="616C88E6" w14:textId="77777777" w:rsidR="00D466AA" w:rsidRPr="00D466AA" w:rsidRDefault="00D466AA" w:rsidP="00D466AA">
            <w:pPr>
              <w:spacing w:before="0" w:after="0" w:line="240" w:lineRule="auto"/>
              <w:jc w:val="right"/>
              <w:rPr>
                <w:rFonts w:ascii="Arial" w:hAnsi="Arial" w:cs="Arial"/>
                <w:sz w:val="16"/>
                <w:szCs w:val="16"/>
              </w:rPr>
            </w:pPr>
            <w:r w:rsidRPr="00D466AA">
              <w:rPr>
                <w:rFonts w:ascii="Arial" w:hAnsi="Arial" w:cs="Arial"/>
                <w:sz w:val="16"/>
                <w:szCs w:val="16"/>
              </w:rPr>
              <w:t>$m</w:t>
            </w:r>
          </w:p>
        </w:tc>
      </w:tr>
      <w:tr w:rsidR="00D466AA" w:rsidRPr="00D466AA" w14:paraId="3BCAB5B2"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9D6F383"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General public services</w:t>
            </w:r>
          </w:p>
        </w:tc>
        <w:tc>
          <w:tcPr>
            <w:tcW w:w="523" w:type="pct"/>
            <w:tcBorders>
              <w:top w:val="nil"/>
              <w:left w:val="nil"/>
              <w:bottom w:val="nil"/>
              <w:right w:val="nil"/>
            </w:tcBorders>
            <w:shd w:val="clear" w:color="000000" w:fill="FFFFFF"/>
            <w:noWrap/>
            <w:vAlign w:val="center"/>
            <w:hideMark/>
          </w:tcPr>
          <w:p w14:paraId="664895B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2,067</w:t>
            </w:r>
          </w:p>
        </w:tc>
        <w:tc>
          <w:tcPr>
            <w:tcW w:w="522" w:type="pct"/>
            <w:tcBorders>
              <w:top w:val="nil"/>
              <w:left w:val="nil"/>
              <w:bottom w:val="nil"/>
              <w:right w:val="nil"/>
            </w:tcBorders>
            <w:shd w:val="clear" w:color="000000" w:fill="E6F2FF"/>
            <w:noWrap/>
            <w:vAlign w:val="center"/>
            <w:hideMark/>
          </w:tcPr>
          <w:p w14:paraId="09A3B4D8"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1,849</w:t>
            </w:r>
          </w:p>
        </w:tc>
        <w:tc>
          <w:tcPr>
            <w:tcW w:w="522" w:type="pct"/>
            <w:tcBorders>
              <w:top w:val="nil"/>
              <w:left w:val="nil"/>
              <w:bottom w:val="nil"/>
              <w:right w:val="nil"/>
            </w:tcBorders>
            <w:shd w:val="clear" w:color="000000" w:fill="FFFFFF"/>
            <w:noWrap/>
            <w:vAlign w:val="center"/>
            <w:hideMark/>
          </w:tcPr>
          <w:p w14:paraId="685D7A8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2,273</w:t>
            </w:r>
          </w:p>
        </w:tc>
        <w:tc>
          <w:tcPr>
            <w:tcW w:w="522" w:type="pct"/>
            <w:tcBorders>
              <w:top w:val="nil"/>
              <w:left w:val="nil"/>
              <w:bottom w:val="nil"/>
              <w:right w:val="nil"/>
            </w:tcBorders>
            <w:shd w:val="clear" w:color="000000" w:fill="FFFFFF"/>
            <w:noWrap/>
            <w:vAlign w:val="center"/>
            <w:hideMark/>
          </w:tcPr>
          <w:p w14:paraId="6531EEB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1,605</w:t>
            </w:r>
          </w:p>
        </w:tc>
        <w:tc>
          <w:tcPr>
            <w:tcW w:w="522" w:type="pct"/>
            <w:tcBorders>
              <w:top w:val="nil"/>
              <w:left w:val="nil"/>
              <w:bottom w:val="nil"/>
              <w:right w:val="nil"/>
            </w:tcBorders>
            <w:shd w:val="clear" w:color="000000" w:fill="FFFFFF"/>
            <w:noWrap/>
            <w:vAlign w:val="center"/>
            <w:hideMark/>
          </w:tcPr>
          <w:p w14:paraId="479F0D3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2,034</w:t>
            </w:r>
          </w:p>
        </w:tc>
      </w:tr>
      <w:tr w:rsidR="00D466AA" w:rsidRPr="00D466AA" w14:paraId="457236E0"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6AA948C6"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Defence</w:t>
            </w:r>
          </w:p>
        </w:tc>
        <w:tc>
          <w:tcPr>
            <w:tcW w:w="523" w:type="pct"/>
            <w:tcBorders>
              <w:top w:val="nil"/>
              <w:left w:val="nil"/>
              <w:bottom w:val="nil"/>
              <w:right w:val="nil"/>
            </w:tcBorders>
            <w:shd w:val="clear" w:color="000000" w:fill="FFFFFF"/>
            <w:noWrap/>
            <w:vAlign w:val="center"/>
            <w:hideMark/>
          </w:tcPr>
          <w:p w14:paraId="7B59CF5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14,402</w:t>
            </w:r>
          </w:p>
        </w:tc>
        <w:tc>
          <w:tcPr>
            <w:tcW w:w="522" w:type="pct"/>
            <w:tcBorders>
              <w:top w:val="nil"/>
              <w:left w:val="nil"/>
              <w:bottom w:val="nil"/>
              <w:right w:val="nil"/>
            </w:tcBorders>
            <w:shd w:val="clear" w:color="000000" w:fill="E6F2FF"/>
            <w:noWrap/>
            <w:vAlign w:val="center"/>
            <w:hideMark/>
          </w:tcPr>
          <w:p w14:paraId="3F73F64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15,108</w:t>
            </w:r>
          </w:p>
        </w:tc>
        <w:tc>
          <w:tcPr>
            <w:tcW w:w="522" w:type="pct"/>
            <w:tcBorders>
              <w:top w:val="nil"/>
              <w:left w:val="nil"/>
              <w:bottom w:val="nil"/>
              <w:right w:val="nil"/>
            </w:tcBorders>
            <w:shd w:val="clear" w:color="000000" w:fill="FFFFFF"/>
            <w:noWrap/>
            <w:vAlign w:val="center"/>
            <w:hideMark/>
          </w:tcPr>
          <w:p w14:paraId="5EBCBCB7"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15,637</w:t>
            </w:r>
          </w:p>
        </w:tc>
        <w:tc>
          <w:tcPr>
            <w:tcW w:w="522" w:type="pct"/>
            <w:tcBorders>
              <w:top w:val="nil"/>
              <w:left w:val="nil"/>
              <w:bottom w:val="nil"/>
              <w:right w:val="nil"/>
            </w:tcBorders>
            <w:shd w:val="clear" w:color="000000" w:fill="FFFFFF"/>
            <w:noWrap/>
            <w:vAlign w:val="center"/>
            <w:hideMark/>
          </w:tcPr>
          <w:p w14:paraId="09A0A308"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13,798</w:t>
            </w:r>
          </w:p>
        </w:tc>
        <w:tc>
          <w:tcPr>
            <w:tcW w:w="522" w:type="pct"/>
            <w:tcBorders>
              <w:top w:val="nil"/>
              <w:left w:val="nil"/>
              <w:bottom w:val="nil"/>
              <w:right w:val="nil"/>
            </w:tcBorders>
            <w:shd w:val="clear" w:color="000000" w:fill="FFFFFF"/>
            <w:noWrap/>
            <w:vAlign w:val="center"/>
            <w:hideMark/>
          </w:tcPr>
          <w:p w14:paraId="729B289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18,135</w:t>
            </w:r>
          </w:p>
        </w:tc>
      </w:tr>
      <w:tr w:rsidR="00D466AA" w:rsidRPr="00D466AA" w14:paraId="5D1C12E9"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49B0046B"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Public order and safety</w:t>
            </w:r>
          </w:p>
        </w:tc>
        <w:tc>
          <w:tcPr>
            <w:tcW w:w="523" w:type="pct"/>
            <w:tcBorders>
              <w:top w:val="nil"/>
              <w:left w:val="nil"/>
              <w:bottom w:val="nil"/>
              <w:right w:val="nil"/>
            </w:tcBorders>
            <w:shd w:val="clear" w:color="000000" w:fill="FFFFFF"/>
            <w:noWrap/>
            <w:vAlign w:val="center"/>
            <w:hideMark/>
          </w:tcPr>
          <w:p w14:paraId="00A65CE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789</w:t>
            </w:r>
          </w:p>
        </w:tc>
        <w:tc>
          <w:tcPr>
            <w:tcW w:w="522" w:type="pct"/>
            <w:tcBorders>
              <w:top w:val="nil"/>
              <w:left w:val="nil"/>
              <w:bottom w:val="nil"/>
              <w:right w:val="nil"/>
            </w:tcBorders>
            <w:shd w:val="clear" w:color="000000" w:fill="E6F2FF"/>
            <w:noWrap/>
            <w:vAlign w:val="center"/>
            <w:hideMark/>
          </w:tcPr>
          <w:p w14:paraId="0947EB0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772</w:t>
            </w:r>
          </w:p>
        </w:tc>
        <w:tc>
          <w:tcPr>
            <w:tcW w:w="522" w:type="pct"/>
            <w:tcBorders>
              <w:top w:val="nil"/>
              <w:left w:val="nil"/>
              <w:bottom w:val="nil"/>
              <w:right w:val="nil"/>
            </w:tcBorders>
            <w:shd w:val="clear" w:color="000000" w:fill="FFFFFF"/>
            <w:noWrap/>
            <w:vAlign w:val="center"/>
            <w:hideMark/>
          </w:tcPr>
          <w:p w14:paraId="271154B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638</w:t>
            </w:r>
          </w:p>
        </w:tc>
        <w:tc>
          <w:tcPr>
            <w:tcW w:w="522" w:type="pct"/>
            <w:tcBorders>
              <w:top w:val="nil"/>
              <w:left w:val="nil"/>
              <w:bottom w:val="nil"/>
              <w:right w:val="nil"/>
            </w:tcBorders>
            <w:shd w:val="clear" w:color="000000" w:fill="FFFFFF"/>
            <w:noWrap/>
            <w:vAlign w:val="center"/>
            <w:hideMark/>
          </w:tcPr>
          <w:p w14:paraId="5EEB297C"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714</w:t>
            </w:r>
          </w:p>
        </w:tc>
        <w:tc>
          <w:tcPr>
            <w:tcW w:w="522" w:type="pct"/>
            <w:tcBorders>
              <w:top w:val="nil"/>
              <w:left w:val="nil"/>
              <w:bottom w:val="nil"/>
              <w:right w:val="nil"/>
            </w:tcBorders>
            <w:shd w:val="clear" w:color="000000" w:fill="FFFFFF"/>
            <w:noWrap/>
            <w:vAlign w:val="center"/>
            <w:hideMark/>
          </w:tcPr>
          <w:p w14:paraId="7EA3630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633</w:t>
            </w:r>
          </w:p>
        </w:tc>
      </w:tr>
      <w:tr w:rsidR="00D466AA" w:rsidRPr="00D466AA" w14:paraId="5E955E0A"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90E542E"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Education</w:t>
            </w:r>
          </w:p>
        </w:tc>
        <w:tc>
          <w:tcPr>
            <w:tcW w:w="523" w:type="pct"/>
            <w:tcBorders>
              <w:top w:val="nil"/>
              <w:left w:val="nil"/>
              <w:bottom w:val="nil"/>
              <w:right w:val="nil"/>
            </w:tcBorders>
            <w:shd w:val="clear" w:color="000000" w:fill="FFFFFF"/>
            <w:noWrap/>
            <w:vAlign w:val="center"/>
            <w:hideMark/>
          </w:tcPr>
          <w:p w14:paraId="55C032E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33</w:t>
            </w:r>
          </w:p>
        </w:tc>
        <w:tc>
          <w:tcPr>
            <w:tcW w:w="522" w:type="pct"/>
            <w:tcBorders>
              <w:top w:val="nil"/>
              <w:left w:val="nil"/>
              <w:bottom w:val="nil"/>
              <w:right w:val="nil"/>
            </w:tcBorders>
            <w:shd w:val="clear" w:color="000000" w:fill="E6F2FF"/>
            <w:noWrap/>
            <w:vAlign w:val="center"/>
            <w:hideMark/>
          </w:tcPr>
          <w:p w14:paraId="496D27EC"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44</w:t>
            </w:r>
          </w:p>
        </w:tc>
        <w:tc>
          <w:tcPr>
            <w:tcW w:w="522" w:type="pct"/>
            <w:tcBorders>
              <w:top w:val="nil"/>
              <w:left w:val="nil"/>
              <w:bottom w:val="nil"/>
              <w:right w:val="nil"/>
            </w:tcBorders>
            <w:shd w:val="clear" w:color="000000" w:fill="FFFFFF"/>
            <w:noWrap/>
            <w:vAlign w:val="center"/>
            <w:hideMark/>
          </w:tcPr>
          <w:p w14:paraId="7BA1736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51</w:t>
            </w:r>
          </w:p>
        </w:tc>
        <w:tc>
          <w:tcPr>
            <w:tcW w:w="522" w:type="pct"/>
            <w:tcBorders>
              <w:top w:val="nil"/>
              <w:left w:val="nil"/>
              <w:bottom w:val="nil"/>
              <w:right w:val="nil"/>
            </w:tcBorders>
            <w:shd w:val="clear" w:color="000000" w:fill="FFFFFF"/>
            <w:noWrap/>
            <w:vAlign w:val="center"/>
            <w:hideMark/>
          </w:tcPr>
          <w:p w14:paraId="7BD635F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50</w:t>
            </w:r>
          </w:p>
        </w:tc>
        <w:tc>
          <w:tcPr>
            <w:tcW w:w="522" w:type="pct"/>
            <w:tcBorders>
              <w:top w:val="nil"/>
              <w:left w:val="nil"/>
              <w:bottom w:val="nil"/>
              <w:right w:val="nil"/>
            </w:tcBorders>
            <w:shd w:val="clear" w:color="000000" w:fill="FFFFFF"/>
            <w:noWrap/>
            <w:vAlign w:val="center"/>
            <w:hideMark/>
          </w:tcPr>
          <w:p w14:paraId="63E18AC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20</w:t>
            </w:r>
          </w:p>
        </w:tc>
      </w:tr>
      <w:tr w:rsidR="00D466AA" w:rsidRPr="00D466AA" w14:paraId="24827920"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2345817F"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Health</w:t>
            </w:r>
          </w:p>
        </w:tc>
        <w:tc>
          <w:tcPr>
            <w:tcW w:w="523" w:type="pct"/>
            <w:tcBorders>
              <w:top w:val="nil"/>
              <w:left w:val="nil"/>
              <w:bottom w:val="nil"/>
              <w:right w:val="nil"/>
            </w:tcBorders>
            <w:shd w:val="clear" w:color="000000" w:fill="FFFFFF"/>
            <w:noWrap/>
            <w:vAlign w:val="center"/>
            <w:hideMark/>
          </w:tcPr>
          <w:p w14:paraId="3C85B32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497</w:t>
            </w:r>
          </w:p>
        </w:tc>
        <w:tc>
          <w:tcPr>
            <w:tcW w:w="522" w:type="pct"/>
            <w:tcBorders>
              <w:top w:val="nil"/>
              <w:left w:val="nil"/>
              <w:bottom w:val="nil"/>
              <w:right w:val="nil"/>
            </w:tcBorders>
            <w:shd w:val="clear" w:color="000000" w:fill="E6F2FF"/>
            <w:noWrap/>
            <w:vAlign w:val="center"/>
            <w:hideMark/>
          </w:tcPr>
          <w:p w14:paraId="703622EC"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246</w:t>
            </w:r>
          </w:p>
        </w:tc>
        <w:tc>
          <w:tcPr>
            <w:tcW w:w="522" w:type="pct"/>
            <w:tcBorders>
              <w:top w:val="nil"/>
              <w:left w:val="nil"/>
              <w:bottom w:val="nil"/>
              <w:right w:val="nil"/>
            </w:tcBorders>
            <w:shd w:val="clear" w:color="000000" w:fill="FFFFFF"/>
            <w:noWrap/>
            <w:vAlign w:val="center"/>
            <w:hideMark/>
          </w:tcPr>
          <w:p w14:paraId="67E6B670"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155</w:t>
            </w:r>
          </w:p>
        </w:tc>
        <w:tc>
          <w:tcPr>
            <w:tcW w:w="522" w:type="pct"/>
            <w:tcBorders>
              <w:top w:val="nil"/>
              <w:left w:val="nil"/>
              <w:bottom w:val="nil"/>
              <w:right w:val="nil"/>
            </w:tcBorders>
            <w:shd w:val="clear" w:color="000000" w:fill="FFFFFF"/>
            <w:noWrap/>
            <w:vAlign w:val="center"/>
            <w:hideMark/>
          </w:tcPr>
          <w:p w14:paraId="18F1C68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66</w:t>
            </w:r>
          </w:p>
        </w:tc>
        <w:tc>
          <w:tcPr>
            <w:tcW w:w="522" w:type="pct"/>
            <w:tcBorders>
              <w:top w:val="nil"/>
              <w:left w:val="nil"/>
              <w:bottom w:val="nil"/>
              <w:right w:val="nil"/>
            </w:tcBorders>
            <w:shd w:val="clear" w:color="000000" w:fill="FFFFFF"/>
            <w:noWrap/>
            <w:vAlign w:val="center"/>
            <w:hideMark/>
          </w:tcPr>
          <w:p w14:paraId="0E59C25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60</w:t>
            </w:r>
          </w:p>
        </w:tc>
      </w:tr>
      <w:tr w:rsidR="00D466AA" w:rsidRPr="00D466AA" w14:paraId="553664A0"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3C6D8675"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Social security and welfare</w:t>
            </w:r>
          </w:p>
        </w:tc>
        <w:tc>
          <w:tcPr>
            <w:tcW w:w="523" w:type="pct"/>
            <w:tcBorders>
              <w:top w:val="nil"/>
              <w:left w:val="nil"/>
              <w:bottom w:val="nil"/>
              <w:right w:val="nil"/>
            </w:tcBorders>
            <w:shd w:val="clear" w:color="000000" w:fill="FFFFFF"/>
            <w:noWrap/>
            <w:vAlign w:val="center"/>
            <w:hideMark/>
          </w:tcPr>
          <w:p w14:paraId="50CC1B6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1,245</w:t>
            </w:r>
          </w:p>
        </w:tc>
        <w:tc>
          <w:tcPr>
            <w:tcW w:w="522" w:type="pct"/>
            <w:tcBorders>
              <w:top w:val="nil"/>
              <w:left w:val="nil"/>
              <w:bottom w:val="nil"/>
              <w:right w:val="nil"/>
            </w:tcBorders>
            <w:shd w:val="clear" w:color="000000" w:fill="E6F2FF"/>
            <w:noWrap/>
            <w:vAlign w:val="center"/>
            <w:hideMark/>
          </w:tcPr>
          <w:p w14:paraId="41453E80"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866</w:t>
            </w:r>
          </w:p>
        </w:tc>
        <w:tc>
          <w:tcPr>
            <w:tcW w:w="522" w:type="pct"/>
            <w:tcBorders>
              <w:top w:val="nil"/>
              <w:left w:val="nil"/>
              <w:bottom w:val="nil"/>
              <w:right w:val="nil"/>
            </w:tcBorders>
            <w:shd w:val="clear" w:color="000000" w:fill="FFFFFF"/>
            <w:noWrap/>
            <w:vAlign w:val="center"/>
            <w:hideMark/>
          </w:tcPr>
          <w:p w14:paraId="187B91C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641</w:t>
            </w:r>
          </w:p>
        </w:tc>
        <w:tc>
          <w:tcPr>
            <w:tcW w:w="522" w:type="pct"/>
            <w:tcBorders>
              <w:top w:val="nil"/>
              <w:left w:val="nil"/>
              <w:bottom w:val="nil"/>
              <w:right w:val="nil"/>
            </w:tcBorders>
            <w:shd w:val="clear" w:color="000000" w:fill="FFFFFF"/>
            <w:noWrap/>
            <w:vAlign w:val="center"/>
            <w:hideMark/>
          </w:tcPr>
          <w:p w14:paraId="5794AB5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337</w:t>
            </w:r>
          </w:p>
        </w:tc>
        <w:tc>
          <w:tcPr>
            <w:tcW w:w="522" w:type="pct"/>
            <w:tcBorders>
              <w:top w:val="nil"/>
              <w:left w:val="nil"/>
              <w:bottom w:val="nil"/>
              <w:right w:val="nil"/>
            </w:tcBorders>
            <w:shd w:val="clear" w:color="000000" w:fill="FFFFFF"/>
            <w:noWrap/>
            <w:vAlign w:val="center"/>
            <w:hideMark/>
          </w:tcPr>
          <w:p w14:paraId="7D7D912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358</w:t>
            </w:r>
          </w:p>
        </w:tc>
      </w:tr>
      <w:tr w:rsidR="00D466AA" w:rsidRPr="00D466AA" w14:paraId="6578C01C"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22BF37D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Housing and community amenities</w:t>
            </w:r>
          </w:p>
        </w:tc>
        <w:tc>
          <w:tcPr>
            <w:tcW w:w="523" w:type="pct"/>
            <w:tcBorders>
              <w:top w:val="nil"/>
              <w:left w:val="nil"/>
              <w:bottom w:val="nil"/>
              <w:right w:val="nil"/>
            </w:tcBorders>
            <w:shd w:val="clear" w:color="000000" w:fill="FFFFFF"/>
            <w:noWrap/>
            <w:vAlign w:val="center"/>
            <w:hideMark/>
          </w:tcPr>
          <w:p w14:paraId="1CCE64F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886</w:t>
            </w:r>
          </w:p>
        </w:tc>
        <w:tc>
          <w:tcPr>
            <w:tcW w:w="522" w:type="pct"/>
            <w:tcBorders>
              <w:top w:val="nil"/>
              <w:left w:val="nil"/>
              <w:bottom w:val="nil"/>
              <w:right w:val="nil"/>
            </w:tcBorders>
            <w:shd w:val="clear" w:color="000000" w:fill="E6F2FF"/>
            <w:noWrap/>
            <w:vAlign w:val="center"/>
            <w:hideMark/>
          </w:tcPr>
          <w:p w14:paraId="3504F9A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474</w:t>
            </w:r>
          </w:p>
        </w:tc>
        <w:tc>
          <w:tcPr>
            <w:tcW w:w="522" w:type="pct"/>
            <w:tcBorders>
              <w:top w:val="nil"/>
              <w:left w:val="nil"/>
              <w:bottom w:val="nil"/>
              <w:right w:val="nil"/>
            </w:tcBorders>
            <w:shd w:val="clear" w:color="000000" w:fill="FFFFFF"/>
            <w:noWrap/>
            <w:vAlign w:val="center"/>
            <w:hideMark/>
          </w:tcPr>
          <w:p w14:paraId="1AE9666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432</w:t>
            </w:r>
          </w:p>
        </w:tc>
        <w:tc>
          <w:tcPr>
            <w:tcW w:w="522" w:type="pct"/>
            <w:tcBorders>
              <w:top w:val="nil"/>
              <w:left w:val="nil"/>
              <w:bottom w:val="nil"/>
              <w:right w:val="nil"/>
            </w:tcBorders>
            <w:shd w:val="clear" w:color="000000" w:fill="FFFFFF"/>
            <w:noWrap/>
            <w:vAlign w:val="center"/>
            <w:hideMark/>
          </w:tcPr>
          <w:p w14:paraId="070AAA9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370</w:t>
            </w:r>
          </w:p>
        </w:tc>
        <w:tc>
          <w:tcPr>
            <w:tcW w:w="522" w:type="pct"/>
            <w:tcBorders>
              <w:top w:val="nil"/>
              <w:left w:val="nil"/>
              <w:bottom w:val="nil"/>
              <w:right w:val="nil"/>
            </w:tcBorders>
            <w:shd w:val="clear" w:color="000000" w:fill="FFFFFF"/>
            <w:noWrap/>
            <w:vAlign w:val="center"/>
            <w:hideMark/>
          </w:tcPr>
          <w:p w14:paraId="3F3EC0D7"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377</w:t>
            </w:r>
          </w:p>
        </w:tc>
      </w:tr>
      <w:tr w:rsidR="00D466AA" w:rsidRPr="00D466AA" w14:paraId="6810508F"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646EE15D"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Recreation and culture</w:t>
            </w:r>
          </w:p>
        </w:tc>
        <w:tc>
          <w:tcPr>
            <w:tcW w:w="523" w:type="pct"/>
            <w:tcBorders>
              <w:top w:val="nil"/>
              <w:left w:val="nil"/>
              <w:bottom w:val="nil"/>
              <w:right w:val="nil"/>
            </w:tcBorders>
            <w:shd w:val="clear" w:color="000000" w:fill="FFFFFF"/>
            <w:noWrap/>
            <w:vAlign w:val="center"/>
            <w:hideMark/>
          </w:tcPr>
          <w:p w14:paraId="0CC89BE8"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718</w:t>
            </w:r>
          </w:p>
        </w:tc>
        <w:tc>
          <w:tcPr>
            <w:tcW w:w="522" w:type="pct"/>
            <w:tcBorders>
              <w:top w:val="nil"/>
              <w:left w:val="nil"/>
              <w:bottom w:val="nil"/>
              <w:right w:val="nil"/>
            </w:tcBorders>
            <w:shd w:val="clear" w:color="000000" w:fill="E6F2FF"/>
            <w:noWrap/>
            <w:vAlign w:val="center"/>
            <w:hideMark/>
          </w:tcPr>
          <w:p w14:paraId="0711D51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866</w:t>
            </w:r>
          </w:p>
        </w:tc>
        <w:tc>
          <w:tcPr>
            <w:tcW w:w="522" w:type="pct"/>
            <w:tcBorders>
              <w:top w:val="nil"/>
              <w:left w:val="nil"/>
              <w:bottom w:val="nil"/>
              <w:right w:val="nil"/>
            </w:tcBorders>
            <w:shd w:val="clear" w:color="000000" w:fill="FFFFFF"/>
            <w:noWrap/>
            <w:vAlign w:val="center"/>
            <w:hideMark/>
          </w:tcPr>
          <w:p w14:paraId="5227D97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740</w:t>
            </w:r>
          </w:p>
        </w:tc>
        <w:tc>
          <w:tcPr>
            <w:tcW w:w="522" w:type="pct"/>
            <w:tcBorders>
              <w:top w:val="nil"/>
              <w:left w:val="nil"/>
              <w:bottom w:val="nil"/>
              <w:right w:val="nil"/>
            </w:tcBorders>
            <w:shd w:val="clear" w:color="000000" w:fill="FFFFFF"/>
            <w:noWrap/>
            <w:vAlign w:val="center"/>
            <w:hideMark/>
          </w:tcPr>
          <w:p w14:paraId="5DCDD64F"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453</w:t>
            </w:r>
          </w:p>
        </w:tc>
        <w:tc>
          <w:tcPr>
            <w:tcW w:w="522" w:type="pct"/>
            <w:tcBorders>
              <w:top w:val="nil"/>
              <w:left w:val="nil"/>
              <w:bottom w:val="nil"/>
              <w:right w:val="nil"/>
            </w:tcBorders>
            <w:shd w:val="clear" w:color="000000" w:fill="FFFFFF"/>
            <w:noWrap/>
            <w:vAlign w:val="center"/>
            <w:hideMark/>
          </w:tcPr>
          <w:p w14:paraId="3CA3841E"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375</w:t>
            </w:r>
          </w:p>
        </w:tc>
      </w:tr>
      <w:tr w:rsidR="00D466AA" w:rsidRPr="00D466AA" w14:paraId="05E08F32"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54EF59BC"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Fuel and energy</w:t>
            </w:r>
          </w:p>
        </w:tc>
        <w:tc>
          <w:tcPr>
            <w:tcW w:w="523" w:type="pct"/>
            <w:tcBorders>
              <w:top w:val="nil"/>
              <w:left w:val="nil"/>
              <w:bottom w:val="nil"/>
              <w:right w:val="nil"/>
            </w:tcBorders>
            <w:shd w:val="clear" w:color="000000" w:fill="FFFFFF"/>
            <w:noWrap/>
            <w:vAlign w:val="center"/>
            <w:hideMark/>
          </w:tcPr>
          <w:p w14:paraId="7D526EB0"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46</w:t>
            </w:r>
          </w:p>
        </w:tc>
        <w:tc>
          <w:tcPr>
            <w:tcW w:w="522" w:type="pct"/>
            <w:tcBorders>
              <w:top w:val="nil"/>
              <w:left w:val="nil"/>
              <w:bottom w:val="nil"/>
              <w:right w:val="nil"/>
            </w:tcBorders>
            <w:shd w:val="clear" w:color="000000" w:fill="E6F2FF"/>
            <w:noWrap/>
            <w:vAlign w:val="center"/>
            <w:hideMark/>
          </w:tcPr>
          <w:p w14:paraId="5E6D5DA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13</w:t>
            </w:r>
          </w:p>
        </w:tc>
        <w:tc>
          <w:tcPr>
            <w:tcW w:w="522" w:type="pct"/>
            <w:tcBorders>
              <w:top w:val="nil"/>
              <w:left w:val="nil"/>
              <w:bottom w:val="nil"/>
              <w:right w:val="nil"/>
            </w:tcBorders>
            <w:shd w:val="clear" w:color="000000" w:fill="FFFFFF"/>
            <w:noWrap/>
            <w:vAlign w:val="center"/>
            <w:hideMark/>
          </w:tcPr>
          <w:p w14:paraId="24ADE7E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9</w:t>
            </w:r>
          </w:p>
        </w:tc>
        <w:tc>
          <w:tcPr>
            <w:tcW w:w="522" w:type="pct"/>
            <w:tcBorders>
              <w:top w:val="nil"/>
              <w:left w:val="nil"/>
              <w:bottom w:val="nil"/>
              <w:right w:val="nil"/>
            </w:tcBorders>
            <w:shd w:val="clear" w:color="000000" w:fill="FFFFFF"/>
            <w:noWrap/>
            <w:vAlign w:val="center"/>
            <w:hideMark/>
          </w:tcPr>
          <w:p w14:paraId="3EA6001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11</w:t>
            </w:r>
          </w:p>
        </w:tc>
        <w:tc>
          <w:tcPr>
            <w:tcW w:w="522" w:type="pct"/>
            <w:tcBorders>
              <w:top w:val="nil"/>
              <w:left w:val="nil"/>
              <w:bottom w:val="nil"/>
              <w:right w:val="nil"/>
            </w:tcBorders>
            <w:shd w:val="clear" w:color="000000" w:fill="FFFFFF"/>
            <w:noWrap/>
            <w:vAlign w:val="center"/>
            <w:hideMark/>
          </w:tcPr>
          <w:p w14:paraId="015DC87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w:t>
            </w:r>
          </w:p>
        </w:tc>
      </w:tr>
      <w:tr w:rsidR="00D466AA" w:rsidRPr="00D466AA" w14:paraId="78D93153"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12E21E5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Agriculture, forestry and fishing</w:t>
            </w:r>
          </w:p>
        </w:tc>
        <w:tc>
          <w:tcPr>
            <w:tcW w:w="523" w:type="pct"/>
            <w:tcBorders>
              <w:top w:val="nil"/>
              <w:left w:val="nil"/>
              <w:bottom w:val="nil"/>
              <w:right w:val="nil"/>
            </w:tcBorders>
            <w:shd w:val="clear" w:color="000000" w:fill="FFFFFF"/>
            <w:noWrap/>
            <w:vAlign w:val="center"/>
            <w:hideMark/>
          </w:tcPr>
          <w:p w14:paraId="07B30F9D"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149</w:t>
            </w:r>
          </w:p>
        </w:tc>
        <w:tc>
          <w:tcPr>
            <w:tcW w:w="522" w:type="pct"/>
            <w:tcBorders>
              <w:top w:val="nil"/>
              <w:left w:val="nil"/>
              <w:bottom w:val="nil"/>
              <w:right w:val="nil"/>
            </w:tcBorders>
            <w:shd w:val="clear" w:color="000000" w:fill="E6F2FF"/>
            <w:noWrap/>
            <w:vAlign w:val="center"/>
            <w:hideMark/>
          </w:tcPr>
          <w:p w14:paraId="7B6AB4F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486</w:t>
            </w:r>
          </w:p>
        </w:tc>
        <w:tc>
          <w:tcPr>
            <w:tcW w:w="522" w:type="pct"/>
            <w:tcBorders>
              <w:top w:val="nil"/>
              <w:left w:val="nil"/>
              <w:bottom w:val="nil"/>
              <w:right w:val="nil"/>
            </w:tcBorders>
            <w:shd w:val="clear" w:color="000000" w:fill="FFFFFF"/>
            <w:noWrap/>
            <w:vAlign w:val="center"/>
            <w:hideMark/>
          </w:tcPr>
          <w:p w14:paraId="47AE075C"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106</w:t>
            </w:r>
          </w:p>
        </w:tc>
        <w:tc>
          <w:tcPr>
            <w:tcW w:w="522" w:type="pct"/>
            <w:tcBorders>
              <w:top w:val="nil"/>
              <w:left w:val="nil"/>
              <w:bottom w:val="nil"/>
              <w:right w:val="nil"/>
            </w:tcBorders>
            <w:shd w:val="clear" w:color="000000" w:fill="FFFFFF"/>
            <w:noWrap/>
            <w:vAlign w:val="center"/>
            <w:hideMark/>
          </w:tcPr>
          <w:p w14:paraId="7A5D4257"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69</w:t>
            </w:r>
          </w:p>
        </w:tc>
        <w:tc>
          <w:tcPr>
            <w:tcW w:w="522" w:type="pct"/>
            <w:tcBorders>
              <w:top w:val="nil"/>
              <w:left w:val="nil"/>
              <w:bottom w:val="nil"/>
              <w:right w:val="nil"/>
            </w:tcBorders>
            <w:shd w:val="clear" w:color="000000" w:fill="FFFFFF"/>
            <w:noWrap/>
            <w:vAlign w:val="center"/>
            <w:hideMark/>
          </w:tcPr>
          <w:p w14:paraId="66C6EF5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61</w:t>
            </w:r>
          </w:p>
        </w:tc>
      </w:tr>
      <w:tr w:rsidR="00D466AA" w:rsidRPr="00D466AA" w14:paraId="4AAD9EE5"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3F4630FE"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Mining, manufacturing and construction</w:t>
            </w:r>
          </w:p>
        </w:tc>
        <w:tc>
          <w:tcPr>
            <w:tcW w:w="523" w:type="pct"/>
            <w:tcBorders>
              <w:top w:val="nil"/>
              <w:left w:val="nil"/>
              <w:bottom w:val="nil"/>
              <w:right w:val="nil"/>
            </w:tcBorders>
            <w:shd w:val="clear" w:color="000000" w:fill="FFFFFF"/>
            <w:noWrap/>
            <w:vAlign w:val="center"/>
            <w:hideMark/>
          </w:tcPr>
          <w:p w14:paraId="02D2533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17</w:t>
            </w:r>
          </w:p>
        </w:tc>
        <w:tc>
          <w:tcPr>
            <w:tcW w:w="522" w:type="pct"/>
            <w:tcBorders>
              <w:top w:val="nil"/>
              <w:left w:val="nil"/>
              <w:bottom w:val="nil"/>
              <w:right w:val="nil"/>
            </w:tcBorders>
            <w:shd w:val="clear" w:color="000000" w:fill="E6F2FF"/>
            <w:noWrap/>
            <w:vAlign w:val="center"/>
            <w:hideMark/>
          </w:tcPr>
          <w:p w14:paraId="59CF681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35</w:t>
            </w:r>
          </w:p>
        </w:tc>
        <w:tc>
          <w:tcPr>
            <w:tcW w:w="522" w:type="pct"/>
            <w:tcBorders>
              <w:top w:val="nil"/>
              <w:left w:val="nil"/>
              <w:bottom w:val="nil"/>
              <w:right w:val="nil"/>
            </w:tcBorders>
            <w:shd w:val="clear" w:color="000000" w:fill="FFFFFF"/>
            <w:noWrap/>
            <w:vAlign w:val="center"/>
            <w:hideMark/>
          </w:tcPr>
          <w:p w14:paraId="04D9A8B5"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14</w:t>
            </w:r>
          </w:p>
        </w:tc>
        <w:tc>
          <w:tcPr>
            <w:tcW w:w="522" w:type="pct"/>
            <w:tcBorders>
              <w:top w:val="nil"/>
              <w:left w:val="nil"/>
              <w:bottom w:val="nil"/>
              <w:right w:val="nil"/>
            </w:tcBorders>
            <w:shd w:val="clear" w:color="000000" w:fill="FFFFFF"/>
            <w:noWrap/>
            <w:vAlign w:val="center"/>
            <w:hideMark/>
          </w:tcPr>
          <w:p w14:paraId="2D29EA8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18</w:t>
            </w:r>
          </w:p>
        </w:tc>
        <w:tc>
          <w:tcPr>
            <w:tcW w:w="522" w:type="pct"/>
            <w:tcBorders>
              <w:top w:val="nil"/>
              <w:left w:val="nil"/>
              <w:bottom w:val="nil"/>
              <w:right w:val="nil"/>
            </w:tcBorders>
            <w:shd w:val="clear" w:color="000000" w:fill="FFFFFF"/>
            <w:noWrap/>
            <w:vAlign w:val="center"/>
            <w:hideMark/>
          </w:tcPr>
          <w:p w14:paraId="3C169DB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11</w:t>
            </w:r>
          </w:p>
        </w:tc>
      </w:tr>
      <w:tr w:rsidR="00D466AA" w:rsidRPr="00D466AA" w14:paraId="182D87B8"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01B5851F"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Transport and communication</w:t>
            </w:r>
          </w:p>
        </w:tc>
        <w:tc>
          <w:tcPr>
            <w:tcW w:w="523" w:type="pct"/>
            <w:tcBorders>
              <w:top w:val="nil"/>
              <w:left w:val="nil"/>
              <w:bottom w:val="nil"/>
              <w:right w:val="nil"/>
            </w:tcBorders>
            <w:shd w:val="clear" w:color="000000" w:fill="FFFFFF"/>
            <w:noWrap/>
            <w:vAlign w:val="center"/>
            <w:hideMark/>
          </w:tcPr>
          <w:p w14:paraId="2BC0A624"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96</w:t>
            </w:r>
          </w:p>
        </w:tc>
        <w:tc>
          <w:tcPr>
            <w:tcW w:w="522" w:type="pct"/>
            <w:tcBorders>
              <w:top w:val="nil"/>
              <w:left w:val="nil"/>
              <w:bottom w:val="nil"/>
              <w:right w:val="nil"/>
            </w:tcBorders>
            <w:shd w:val="clear" w:color="000000" w:fill="E6F2FF"/>
            <w:noWrap/>
            <w:vAlign w:val="center"/>
            <w:hideMark/>
          </w:tcPr>
          <w:p w14:paraId="18B28F8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271</w:t>
            </w:r>
          </w:p>
        </w:tc>
        <w:tc>
          <w:tcPr>
            <w:tcW w:w="522" w:type="pct"/>
            <w:tcBorders>
              <w:top w:val="nil"/>
              <w:left w:val="nil"/>
              <w:bottom w:val="nil"/>
              <w:right w:val="nil"/>
            </w:tcBorders>
            <w:shd w:val="clear" w:color="000000" w:fill="FFFFFF"/>
            <w:noWrap/>
            <w:vAlign w:val="center"/>
            <w:hideMark/>
          </w:tcPr>
          <w:p w14:paraId="1539978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72</w:t>
            </w:r>
          </w:p>
        </w:tc>
        <w:tc>
          <w:tcPr>
            <w:tcW w:w="522" w:type="pct"/>
            <w:tcBorders>
              <w:top w:val="nil"/>
              <w:left w:val="nil"/>
              <w:bottom w:val="nil"/>
              <w:right w:val="nil"/>
            </w:tcBorders>
            <w:shd w:val="clear" w:color="000000" w:fill="FFFFFF"/>
            <w:noWrap/>
            <w:vAlign w:val="center"/>
            <w:hideMark/>
          </w:tcPr>
          <w:p w14:paraId="5D76A2DB"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79</w:t>
            </w:r>
          </w:p>
        </w:tc>
        <w:tc>
          <w:tcPr>
            <w:tcW w:w="522" w:type="pct"/>
            <w:tcBorders>
              <w:top w:val="nil"/>
              <w:left w:val="nil"/>
              <w:bottom w:val="nil"/>
              <w:right w:val="nil"/>
            </w:tcBorders>
            <w:shd w:val="clear" w:color="000000" w:fill="FFFFFF"/>
            <w:noWrap/>
            <w:vAlign w:val="center"/>
            <w:hideMark/>
          </w:tcPr>
          <w:p w14:paraId="2B5287B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43</w:t>
            </w:r>
          </w:p>
        </w:tc>
      </w:tr>
      <w:tr w:rsidR="00D466AA" w:rsidRPr="00D466AA" w14:paraId="697AF732"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25BC6A92"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Other economic affairs</w:t>
            </w:r>
          </w:p>
        </w:tc>
        <w:tc>
          <w:tcPr>
            <w:tcW w:w="523" w:type="pct"/>
            <w:tcBorders>
              <w:top w:val="nil"/>
              <w:left w:val="nil"/>
              <w:bottom w:val="nil"/>
              <w:right w:val="nil"/>
            </w:tcBorders>
            <w:shd w:val="clear" w:color="000000" w:fill="FFFFFF"/>
            <w:noWrap/>
            <w:vAlign w:val="center"/>
            <w:hideMark/>
          </w:tcPr>
          <w:p w14:paraId="48513CE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943</w:t>
            </w:r>
          </w:p>
        </w:tc>
        <w:tc>
          <w:tcPr>
            <w:tcW w:w="522" w:type="pct"/>
            <w:tcBorders>
              <w:top w:val="nil"/>
              <w:left w:val="nil"/>
              <w:bottom w:val="nil"/>
              <w:right w:val="nil"/>
            </w:tcBorders>
            <w:shd w:val="clear" w:color="000000" w:fill="E6F2FF"/>
            <w:noWrap/>
            <w:vAlign w:val="center"/>
            <w:hideMark/>
          </w:tcPr>
          <w:p w14:paraId="6F995568"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821</w:t>
            </w:r>
          </w:p>
        </w:tc>
        <w:tc>
          <w:tcPr>
            <w:tcW w:w="522" w:type="pct"/>
            <w:tcBorders>
              <w:top w:val="nil"/>
              <w:left w:val="nil"/>
              <w:bottom w:val="nil"/>
              <w:right w:val="nil"/>
            </w:tcBorders>
            <w:shd w:val="clear" w:color="000000" w:fill="FFFFFF"/>
            <w:noWrap/>
            <w:vAlign w:val="center"/>
            <w:hideMark/>
          </w:tcPr>
          <w:p w14:paraId="686E7688"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651</w:t>
            </w:r>
          </w:p>
        </w:tc>
        <w:tc>
          <w:tcPr>
            <w:tcW w:w="522" w:type="pct"/>
            <w:tcBorders>
              <w:top w:val="nil"/>
              <w:left w:val="nil"/>
              <w:bottom w:val="nil"/>
              <w:right w:val="nil"/>
            </w:tcBorders>
            <w:shd w:val="clear" w:color="000000" w:fill="FFFFFF"/>
            <w:noWrap/>
            <w:vAlign w:val="center"/>
            <w:hideMark/>
          </w:tcPr>
          <w:p w14:paraId="70C63411"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621</w:t>
            </w:r>
          </w:p>
        </w:tc>
        <w:tc>
          <w:tcPr>
            <w:tcW w:w="522" w:type="pct"/>
            <w:tcBorders>
              <w:top w:val="nil"/>
              <w:left w:val="nil"/>
              <w:bottom w:val="nil"/>
              <w:right w:val="nil"/>
            </w:tcBorders>
            <w:shd w:val="clear" w:color="000000" w:fill="FFFFFF"/>
            <w:noWrap/>
            <w:vAlign w:val="center"/>
            <w:hideMark/>
          </w:tcPr>
          <w:p w14:paraId="7EC86942"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493</w:t>
            </w:r>
          </w:p>
        </w:tc>
      </w:tr>
      <w:tr w:rsidR="00D466AA" w:rsidRPr="00D466AA" w14:paraId="0A3FC2F1" w14:textId="77777777" w:rsidTr="001710EC">
        <w:trPr>
          <w:trHeight w:hRule="exact" w:val="225"/>
        </w:trPr>
        <w:tc>
          <w:tcPr>
            <w:tcW w:w="2388" w:type="pct"/>
            <w:tcBorders>
              <w:top w:val="nil"/>
              <w:left w:val="nil"/>
              <w:bottom w:val="nil"/>
              <w:right w:val="nil"/>
            </w:tcBorders>
            <w:shd w:val="clear" w:color="000000" w:fill="FFFFFF"/>
            <w:noWrap/>
            <w:vAlign w:val="center"/>
            <w:hideMark/>
          </w:tcPr>
          <w:p w14:paraId="2D6A1A7F"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Other purposes</w:t>
            </w:r>
          </w:p>
        </w:tc>
        <w:tc>
          <w:tcPr>
            <w:tcW w:w="523" w:type="pct"/>
            <w:tcBorders>
              <w:top w:val="nil"/>
              <w:left w:val="nil"/>
              <w:bottom w:val="nil"/>
              <w:right w:val="nil"/>
            </w:tcBorders>
            <w:shd w:val="clear" w:color="000000" w:fill="FFFFFF"/>
            <w:noWrap/>
            <w:vAlign w:val="center"/>
            <w:hideMark/>
          </w:tcPr>
          <w:p w14:paraId="5A87521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8</w:t>
            </w:r>
          </w:p>
        </w:tc>
        <w:tc>
          <w:tcPr>
            <w:tcW w:w="522" w:type="pct"/>
            <w:tcBorders>
              <w:top w:val="nil"/>
              <w:left w:val="nil"/>
              <w:bottom w:val="nil"/>
              <w:right w:val="nil"/>
            </w:tcBorders>
            <w:shd w:val="clear" w:color="000000" w:fill="E6F2FF"/>
            <w:noWrap/>
            <w:vAlign w:val="center"/>
            <w:hideMark/>
          </w:tcPr>
          <w:p w14:paraId="146592BA"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399</w:t>
            </w:r>
          </w:p>
        </w:tc>
        <w:tc>
          <w:tcPr>
            <w:tcW w:w="522" w:type="pct"/>
            <w:tcBorders>
              <w:top w:val="nil"/>
              <w:left w:val="nil"/>
              <w:bottom w:val="nil"/>
              <w:right w:val="nil"/>
            </w:tcBorders>
            <w:shd w:val="clear" w:color="000000" w:fill="FFFFFF"/>
            <w:noWrap/>
            <w:vAlign w:val="center"/>
            <w:hideMark/>
          </w:tcPr>
          <w:p w14:paraId="17BAB6E6"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417</w:t>
            </w:r>
          </w:p>
        </w:tc>
        <w:tc>
          <w:tcPr>
            <w:tcW w:w="522" w:type="pct"/>
            <w:tcBorders>
              <w:top w:val="nil"/>
              <w:left w:val="nil"/>
              <w:bottom w:val="nil"/>
              <w:right w:val="nil"/>
            </w:tcBorders>
            <w:shd w:val="clear" w:color="000000" w:fill="FFFFFF"/>
            <w:noWrap/>
            <w:vAlign w:val="center"/>
            <w:hideMark/>
          </w:tcPr>
          <w:p w14:paraId="71075A69"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401</w:t>
            </w:r>
          </w:p>
        </w:tc>
        <w:tc>
          <w:tcPr>
            <w:tcW w:w="522" w:type="pct"/>
            <w:tcBorders>
              <w:top w:val="nil"/>
              <w:left w:val="nil"/>
              <w:bottom w:val="nil"/>
              <w:right w:val="nil"/>
            </w:tcBorders>
            <w:shd w:val="clear" w:color="000000" w:fill="FFFFFF"/>
            <w:noWrap/>
            <w:vAlign w:val="center"/>
            <w:hideMark/>
          </w:tcPr>
          <w:p w14:paraId="42246B93" w14:textId="77777777" w:rsidR="00D466AA" w:rsidRPr="00D466AA" w:rsidRDefault="00D466AA" w:rsidP="00D466AA">
            <w:pPr>
              <w:spacing w:before="0" w:after="0" w:line="240" w:lineRule="auto"/>
              <w:jc w:val="right"/>
              <w:rPr>
                <w:rFonts w:ascii="Arial" w:hAnsi="Arial" w:cs="Arial"/>
                <w:color w:val="000000"/>
                <w:sz w:val="16"/>
                <w:szCs w:val="16"/>
              </w:rPr>
            </w:pPr>
            <w:r w:rsidRPr="00D466AA">
              <w:rPr>
                <w:rFonts w:ascii="Arial" w:hAnsi="Arial" w:cs="Arial"/>
                <w:color w:val="000000"/>
                <w:sz w:val="16"/>
                <w:szCs w:val="16"/>
              </w:rPr>
              <w:t>342</w:t>
            </w:r>
          </w:p>
        </w:tc>
      </w:tr>
      <w:tr w:rsidR="00D466AA" w:rsidRPr="00D466AA" w14:paraId="78B265B8" w14:textId="77777777" w:rsidTr="001710EC">
        <w:trPr>
          <w:trHeight w:hRule="exact" w:val="60"/>
        </w:trPr>
        <w:tc>
          <w:tcPr>
            <w:tcW w:w="2388" w:type="pct"/>
            <w:tcBorders>
              <w:top w:val="nil"/>
              <w:left w:val="nil"/>
              <w:bottom w:val="nil"/>
              <w:right w:val="nil"/>
            </w:tcBorders>
            <w:shd w:val="clear" w:color="000000" w:fill="FFFFFF"/>
            <w:noWrap/>
            <w:vAlign w:val="center"/>
            <w:hideMark/>
          </w:tcPr>
          <w:p w14:paraId="4B26578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3" w:type="pct"/>
            <w:tcBorders>
              <w:top w:val="nil"/>
              <w:left w:val="nil"/>
              <w:bottom w:val="single" w:sz="4" w:space="0" w:color="293F5B"/>
              <w:right w:val="nil"/>
            </w:tcBorders>
            <w:shd w:val="clear" w:color="000000" w:fill="FFFFFF"/>
            <w:noWrap/>
            <w:vAlign w:val="center"/>
            <w:hideMark/>
          </w:tcPr>
          <w:p w14:paraId="18F9279F"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E6F2FF"/>
            <w:noWrap/>
            <w:vAlign w:val="center"/>
            <w:hideMark/>
          </w:tcPr>
          <w:p w14:paraId="2971B41D"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0A177C9A"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4213DF09"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bottom w:val="single" w:sz="4" w:space="0" w:color="293F5B"/>
              <w:right w:val="nil"/>
            </w:tcBorders>
            <w:shd w:val="clear" w:color="000000" w:fill="FFFFFF"/>
            <w:noWrap/>
            <w:vAlign w:val="center"/>
            <w:hideMark/>
          </w:tcPr>
          <w:p w14:paraId="0F6033DD"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r>
      <w:tr w:rsidR="00D466AA" w:rsidRPr="00D466AA" w14:paraId="6F14985F" w14:textId="77777777" w:rsidTr="00F13DC1">
        <w:trPr>
          <w:trHeight w:hRule="exact" w:val="225"/>
        </w:trPr>
        <w:tc>
          <w:tcPr>
            <w:tcW w:w="2388" w:type="pct"/>
            <w:tcBorders>
              <w:top w:val="nil"/>
              <w:left w:val="nil"/>
              <w:right w:val="nil"/>
            </w:tcBorders>
            <w:shd w:val="clear" w:color="000000" w:fill="FFFFFF"/>
            <w:vAlign w:val="center"/>
            <w:hideMark/>
          </w:tcPr>
          <w:p w14:paraId="6EF54C23" w14:textId="77777777" w:rsidR="00D466AA" w:rsidRPr="00D466AA" w:rsidRDefault="00D466AA" w:rsidP="00D466AA">
            <w:pPr>
              <w:spacing w:before="0" w:after="0" w:line="240" w:lineRule="auto"/>
              <w:rPr>
                <w:rFonts w:ascii="Arial" w:hAnsi="Arial" w:cs="Arial"/>
                <w:b/>
                <w:bCs/>
                <w:color w:val="000000"/>
                <w:sz w:val="16"/>
                <w:szCs w:val="16"/>
              </w:rPr>
            </w:pPr>
            <w:r w:rsidRPr="00D466AA">
              <w:rPr>
                <w:rFonts w:ascii="Arial" w:hAnsi="Arial" w:cs="Arial"/>
                <w:b/>
                <w:bCs/>
                <w:color w:val="000000"/>
                <w:sz w:val="16"/>
                <w:szCs w:val="16"/>
              </w:rPr>
              <w:t xml:space="preserve">General government purchases </w:t>
            </w:r>
          </w:p>
        </w:tc>
        <w:tc>
          <w:tcPr>
            <w:tcW w:w="523" w:type="pct"/>
            <w:tcBorders>
              <w:top w:val="nil"/>
              <w:left w:val="nil"/>
              <w:right w:val="nil"/>
            </w:tcBorders>
            <w:shd w:val="clear" w:color="000000" w:fill="FFFFFF"/>
            <w:noWrap/>
            <w:vAlign w:val="center"/>
            <w:hideMark/>
          </w:tcPr>
          <w:p w14:paraId="5376C423"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right w:val="nil"/>
            </w:tcBorders>
            <w:shd w:val="clear" w:color="000000" w:fill="E6F2FF"/>
            <w:noWrap/>
            <w:vAlign w:val="center"/>
            <w:hideMark/>
          </w:tcPr>
          <w:p w14:paraId="0E4F6270"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right w:val="nil"/>
            </w:tcBorders>
            <w:shd w:val="clear" w:color="000000" w:fill="FFFFFF"/>
            <w:noWrap/>
            <w:vAlign w:val="center"/>
            <w:hideMark/>
          </w:tcPr>
          <w:p w14:paraId="16800F7F"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right w:val="nil"/>
            </w:tcBorders>
            <w:shd w:val="clear" w:color="000000" w:fill="FFFFFF"/>
            <w:noWrap/>
            <w:vAlign w:val="center"/>
            <w:hideMark/>
          </w:tcPr>
          <w:p w14:paraId="49DF4670"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c>
          <w:tcPr>
            <w:tcW w:w="522" w:type="pct"/>
            <w:tcBorders>
              <w:top w:val="nil"/>
              <w:left w:val="nil"/>
              <w:right w:val="nil"/>
            </w:tcBorders>
            <w:shd w:val="clear" w:color="000000" w:fill="FFFFFF"/>
            <w:noWrap/>
            <w:vAlign w:val="center"/>
            <w:hideMark/>
          </w:tcPr>
          <w:p w14:paraId="159E2596" w14:textId="77777777" w:rsidR="00D466AA" w:rsidRPr="00D466AA" w:rsidRDefault="00D466AA" w:rsidP="00D466AA">
            <w:pPr>
              <w:spacing w:before="0" w:after="0" w:line="240" w:lineRule="auto"/>
              <w:rPr>
                <w:rFonts w:ascii="Arial" w:hAnsi="Arial" w:cs="Arial"/>
                <w:color w:val="000000"/>
                <w:sz w:val="16"/>
                <w:szCs w:val="16"/>
              </w:rPr>
            </w:pPr>
            <w:r w:rsidRPr="00D466AA">
              <w:rPr>
                <w:rFonts w:ascii="Arial" w:hAnsi="Arial" w:cs="Arial"/>
                <w:color w:val="000000"/>
                <w:sz w:val="16"/>
                <w:szCs w:val="16"/>
              </w:rPr>
              <w:t> </w:t>
            </w:r>
          </w:p>
        </w:tc>
      </w:tr>
      <w:tr w:rsidR="00D466AA" w:rsidRPr="00D466AA" w14:paraId="4B18D455" w14:textId="77777777" w:rsidTr="00D80099">
        <w:trPr>
          <w:trHeight w:hRule="exact" w:val="225"/>
        </w:trPr>
        <w:tc>
          <w:tcPr>
            <w:tcW w:w="2388" w:type="pct"/>
            <w:tcBorders>
              <w:top w:val="nil"/>
              <w:left w:val="nil"/>
              <w:bottom w:val="single" w:sz="4" w:space="0" w:color="002A54" w:themeColor="text2"/>
              <w:right w:val="nil"/>
            </w:tcBorders>
            <w:shd w:val="clear" w:color="000000" w:fill="FFFFFF"/>
            <w:vAlign w:val="center"/>
            <w:hideMark/>
          </w:tcPr>
          <w:p w14:paraId="04266D26" w14:textId="2C2D99C0" w:rsidR="00D466AA" w:rsidRPr="00D466AA" w:rsidRDefault="00D466AA" w:rsidP="001710EC">
            <w:pPr>
              <w:spacing w:before="0" w:after="0" w:line="240" w:lineRule="auto"/>
              <w:ind w:left="170"/>
              <w:rPr>
                <w:rFonts w:ascii="Arial" w:hAnsi="Arial" w:cs="Arial"/>
                <w:b/>
                <w:bCs/>
                <w:color w:val="000000"/>
                <w:sz w:val="16"/>
                <w:szCs w:val="16"/>
              </w:rPr>
            </w:pPr>
            <w:r w:rsidRPr="00D466AA">
              <w:rPr>
                <w:rFonts w:ascii="Arial" w:hAnsi="Arial" w:cs="Arial"/>
                <w:b/>
                <w:bCs/>
                <w:color w:val="000000"/>
                <w:sz w:val="16"/>
                <w:szCs w:val="16"/>
              </w:rPr>
              <w:t>of non</w:t>
            </w:r>
            <w:r w:rsidR="00D34B95">
              <w:rPr>
                <w:rFonts w:ascii="Arial" w:hAnsi="Arial" w:cs="Arial"/>
                <w:b/>
                <w:bCs/>
                <w:color w:val="000000"/>
                <w:sz w:val="16"/>
                <w:szCs w:val="16"/>
              </w:rPr>
              <w:noBreakHyphen/>
            </w:r>
            <w:r w:rsidRPr="00D466AA">
              <w:rPr>
                <w:rFonts w:ascii="Arial" w:hAnsi="Arial" w:cs="Arial"/>
                <w:b/>
                <w:bCs/>
                <w:color w:val="000000"/>
                <w:sz w:val="16"/>
                <w:szCs w:val="16"/>
              </w:rPr>
              <w:t>financial assets</w:t>
            </w:r>
          </w:p>
        </w:tc>
        <w:tc>
          <w:tcPr>
            <w:tcW w:w="523" w:type="pct"/>
            <w:tcBorders>
              <w:top w:val="nil"/>
              <w:left w:val="nil"/>
              <w:bottom w:val="single" w:sz="4" w:space="0" w:color="002A54" w:themeColor="text2"/>
              <w:right w:val="nil"/>
            </w:tcBorders>
            <w:shd w:val="clear" w:color="000000" w:fill="FFFFFF"/>
            <w:noWrap/>
            <w:vAlign w:val="center"/>
            <w:hideMark/>
          </w:tcPr>
          <w:p w14:paraId="51360F5D"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21,897</w:t>
            </w:r>
          </w:p>
        </w:tc>
        <w:tc>
          <w:tcPr>
            <w:tcW w:w="522" w:type="pct"/>
            <w:tcBorders>
              <w:top w:val="nil"/>
              <w:left w:val="nil"/>
              <w:bottom w:val="single" w:sz="4" w:space="0" w:color="002A54" w:themeColor="text2"/>
              <w:right w:val="nil"/>
            </w:tcBorders>
            <w:shd w:val="clear" w:color="000000" w:fill="E6F2FF"/>
            <w:noWrap/>
            <w:vAlign w:val="center"/>
            <w:hideMark/>
          </w:tcPr>
          <w:p w14:paraId="21F84458"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22,251</w:t>
            </w:r>
          </w:p>
        </w:tc>
        <w:tc>
          <w:tcPr>
            <w:tcW w:w="522" w:type="pct"/>
            <w:tcBorders>
              <w:top w:val="nil"/>
              <w:left w:val="nil"/>
              <w:bottom w:val="single" w:sz="4" w:space="0" w:color="002A54" w:themeColor="text2"/>
              <w:right w:val="nil"/>
            </w:tcBorders>
            <w:shd w:val="clear" w:color="000000" w:fill="FFFFFF"/>
            <w:noWrap/>
            <w:vAlign w:val="center"/>
            <w:hideMark/>
          </w:tcPr>
          <w:p w14:paraId="4C62AA7A"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21,835</w:t>
            </w:r>
          </w:p>
        </w:tc>
        <w:tc>
          <w:tcPr>
            <w:tcW w:w="522" w:type="pct"/>
            <w:tcBorders>
              <w:top w:val="nil"/>
              <w:left w:val="nil"/>
              <w:bottom w:val="single" w:sz="4" w:space="0" w:color="002A54" w:themeColor="text2"/>
              <w:right w:val="nil"/>
            </w:tcBorders>
            <w:shd w:val="clear" w:color="000000" w:fill="FFFFFF"/>
            <w:noWrap/>
            <w:vAlign w:val="center"/>
            <w:hideMark/>
          </w:tcPr>
          <w:p w14:paraId="0032E13E"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18,593</w:t>
            </w:r>
          </w:p>
        </w:tc>
        <w:tc>
          <w:tcPr>
            <w:tcW w:w="522" w:type="pct"/>
            <w:tcBorders>
              <w:top w:val="nil"/>
              <w:left w:val="nil"/>
              <w:bottom w:val="single" w:sz="4" w:space="0" w:color="002A54" w:themeColor="text2"/>
              <w:right w:val="nil"/>
            </w:tcBorders>
            <w:shd w:val="clear" w:color="000000" w:fill="FFFFFF"/>
            <w:noWrap/>
            <w:vAlign w:val="center"/>
            <w:hideMark/>
          </w:tcPr>
          <w:p w14:paraId="3AF7AF9C" w14:textId="77777777" w:rsidR="00D466AA" w:rsidRPr="00D466AA" w:rsidRDefault="00D466AA" w:rsidP="00D466AA">
            <w:pPr>
              <w:spacing w:before="0" w:after="0" w:line="240" w:lineRule="auto"/>
              <w:jc w:val="right"/>
              <w:rPr>
                <w:rFonts w:ascii="Arial" w:hAnsi="Arial" w:cs="Arial"/>
                <w:b/>
                <w:bCs/>
                <w:color w:val="000000"/>
                <w:sz w:val="16"/>
                <w:szCs w:val="16"/>
              </w:rPr>
            </w:pPr>
            <w:r w:rsidRPr="00D466AA">
              <w:rPr>
                <w:rFonts w:ascii="Arial" w:hAnsi="Arial" w:cs="Arial"/>
                <w:b/>
                <w:bCs/>
                <w:color w:val="000000"/>
                <w:sz w:val="16"/>
                <w:szCs w:val="16"/>
              </w:rPr>
              <w:t>22,943</w:t>
            </w:r>
          </w:p>
        </w:tc>
      </w:tr>
    </w:tbl>
    <w:p w14:paraId="09EE98E7" w14:textId="2B945684" w:rsidR="00C855DF" w:rsidRDefault="00C855DF" w:rsidP="00C855DF">
      <w:bookmarkStart w:id="175" w:name="_Toc4577285"/>
      <w:bookmarkStart w:id="176" w:name="_Toc4689197"/>
      <w:r>
        <w:br w:type="page"/>
      </w:r>
    </w:p>
    <w:p w14:paraId="216C7EAE" w14:textId="244B7CCF" w:rsidR="00C855DF" w:rsidRPr="00C426D8" w:rsidRDefault="00C855DF" w:rsidP="00112988">
      <w:pPr>
        <w:pStyle w:val="AppendixHeading"/>
        <w:spacing w:after="160"/>
      </w:pPr>
      <w:bookmarkStart w:id="177" w:name="_Toc99203696"/>
      <w:bookmarkStart w:id="178" w:name="_Toc117358189"/>
      <w:r w:rsidRPr="00C426D8">
        <w:lastRenderedPageBreak/>
        <w:t>Appendix A: Expense by function and sub</w:t>
      </w:r>
      <w:r w:rsidR="00D34B95">
        <w:noBreakHyphen/>
      </w:r>
      <w:r w:rsidRPr="00C426D8">
        <w:t>function</w:t>
      </w:r>
      <w:bookmarkEnd w:id="175"/>
      <w:bookmarkEnd w:id="176"/>
      <w:bookmarkEnd w:id="177"/>
      <w:bookmarkEnd w:id="178"/>
    </w:p>
    <w:p w14:paraId="25D674FE" w14:textId="42720771" w:rsidR="002D1BC3" w:rsidRDefault="00C855DF" w:rsidP="00DE5C1A">
      <w:pPr>
        <w:pStyle w:val="TableHeading"/>
        <w:rPr>
          <w:rFonts w:asciiTheme="minorHAnsi" w:eastAsiaTheme="minorHAnsi" w:hAnsiTheme="minorHAnsi" w:cstheme="minorBidi"/>
          <w:sz w:val="22"/>
          <w:szCs w:val="22"/>
          <w:lang w:eastAsia="en-US"/>
        </w:rPr>
      </w:pPr>
      <w:r w:rsidRPr="000177D7">
        <w:t>Table 6A.1: Estimates of expenses by function and sub</w:t>
      </w:r>
      <w:r w:rsidR="00D34B95">
        <w:noBreakHyphen/>
      </w:r>
      <w:r w:rsidRPr="00DE5C1A">
        <w:t>functio</w:t>
      </w:r>
      <w:bookmarkStart w:id="179" w:name="_1727774421"/>
      <w:bookmarkEnd w:id="179"/>
      <w:r w:rsidR="00F11400" w:rsidRPr="00DE5C1A">
        <w:t>n</w:t>
      </w:r>
    </w:p>
    <w:tbl>
      <w:tblPr>
        <w:tblW w:w="5000" w:type="pct"/>
        <w:tblCellMar>
          <w:left w:w="0" w:type="dxa"/>
          <w:right w:w="28" w:type="dxa"/>
        </w:tblCellMar>
        <w:tblLook w:val="04A0" w:firstRow="1" w:lastRow="0" w:firstColumn="1" w:lastColumn="0" w:noHBand="0" w:noVBand="1"/>
      </w:tblPr>
      <w:tblGrid>
        <w:gridCol w:w="3008"/>
        <w:gridCol w:w="781"/>
        <w:gridCol w:w="86"/>
        <w:gridCol w:w="768"/>
        <w:gridCol w:w="766"/>
        <w:gridCol w:w="766"/>
        <w:gridCol w:w="766"/>
        <w:gridCol w:w="769"/>
      </w:tblGrid>
      <w:tr w:rsidR="00130397" w:rsidRPr="002D1BC3" w14:paraId="622BC368" w14:textId="77777777" w:rsidTr="00130397">
        <w:trPr>
          <w:trHeight w:hRule="exact" w:val="180"/>
        </w:trPr>
        <w:tc>
          <w:tcPr>
            <w:tcW w:w="1950" w:type="pct"/>
            <w:tcBorders>
              <w:top w:val="single" w:sz="4" w:space="0" w:color="293F5B"/>
              <w:left w:val="nil"/>
              <w:bottom w:val="nil"/>
              <w:right w:val="nil"/>
            </w:tcBorders>
            <w:shd w:val="clear" w:color="000000" w:fill="FFFFFF"/>
            <w:noWrap/>
            <w:vAlign w:val="center"/>
            <w:hideMark/>
          </w:tcPr>
          <w:p w14:paraId="1C9FA040" w14:textId="5AD483F0"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single" w:sz="4" w:space="0" w:color="293F5B"/>
              <w:left w:val="nil"/>
              <w:bottom w:val="single" w:sz="4" w:space="0" w:color="auto"/>
              <w:right w:val="nil"/>
            </w:tcBorders>
            <w:shd w:val="clear" w:color="000000" w:fill="FFFFFF"/>
            <w:noWrap/>
            <w:vAlign w:val="center"/>
            <w:hideMark/>
          </w:tcPr>
          <w:p w14:paraId="32D38327" w14:textId="77777777" w:rsidR="002D1BC3" w:rsidRPr="002D1BC3" w:rsidRDefault="002D1BC3" w:rsidP="002D1BC3">
            <w:pPr>
              <w:spacing w:before="0" w:after="0" w:line="240" w:lineRule="auto"/>
              <w:jc w:val="center"/>
              <w:rPr>
                <w:rFonts w:ascii="Arial" w:hAnsi="Arial" w:cs="Arial"/>
                <w:color w:val="000000"/>
                <w:sz w:val="16"/>
                <w:szCs w:val="16"/>
              </w:rPr>
            </w:pPr>
            <w:r w:rsidRPr="002D1BC3">
              <w:rPr>
                <w:rFonts w:ascii="Arial" w:hAnsi="Arial" w:cs="Arial"/>
                <w:color w:val="000000"/>
                <w:sz w:val="16"/>
                <w:szCs w:val="16"/>
              </w:rPr>
              <w:t>Actual</w:t>
            </w:r>
          </w:p>
        </w:tc>
        <w:tc>
          <w:tcPr>
            <w:tcW w:w="56" w:type="pct"/>
            <w:tcBorders>
              <w:top w:val="single" w:sz="4" w:space="0" w:color="293F5B"/>
              <w:left w:val="nil"/>
              <w:bottom w:val="nil"/>
              <w:right w:val="nil"/>
            </w:tcBorders>
            <w:shd w:val="clear" w:color="000000" w:fill="FFFFFF"/>
            <w:noWrap/>
            <w:vAlign w:val="center"/>
            <w:hideMark/>
          </w:tcPr>
          <w:p w14:paraId="775B491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 </w:t>
            </w:r>
          </w:p>
        </w:tc>
        <w:tc>
          <w:tcPr>
            <w:tcW w:w="2488" w:type="pct"/>
            <w:gridSpan w:val="5"/>
            <w:tcBorders>
              <w:top w:val="single" w:sz="4" w:space="0" w:color="293F5B"/>
              <w:left w:val="nil"/>
              <w:bottom w:val="single" w:sz="4" w:space="0" w:color="293F5B"/>
              <w:right w:val="nil"/>
            </w:tcBorders>
            <w:shd w:val="clear" w:color="000000" w:fill="FFFFFF"/>
            <w:noWrap/>
            <w:vAlign w:val="center"/>
            <w:hideMark/>
          </w:tcPr>
          <w:p w14:paraId="040F8346" w14:textId="77777777" w:rsidR="002D1BC3" w:rsidRPr="002D1BC3" w:rsidRDefault="002D1BC3" w:rsidP="002D1BC3">
            <w:pPr>
              <w:spacing w:before="0" w:after="0" w:line="240" w:lineRule="auto"/>
              <w:jc w:val="center"/>
              <w:rPr>
                <w:rFonts w:ascii="Arial" w:hAnsi="Arial" w:cs="Arial"/>
                <w:sz w:val="16"/>
                <w:szCs w:val="16"/>
              </w:rPr>
            </w:pPr>
            <w:r w:rsidRPr="002D1BC3">
              <w:rPr>
                <w:rFonts w:ascii="Arial" w:hAnsi="Arial" w:cs="Arial"/>
                <w:sz w:val="16"/>
                <w:szCs w:val="16"/>
              </w:rPr>
              <w:t>Estimates</w:t>
            </w:r>
          </w:p>
        </w:tc>
      </w:tr>
      <w:tr w:rsidR="00130397" w:rsidRPr="002D1BC3" w14:paraId="61A4C481"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43F468B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single" w:sz="4" w:space="0" w:color="293F5B"/>
              <w:left w:val="nil"/>
              <w:bottom w:val="nil"/>
              <w:right w:val="nil"/>
            </w:tcBorders>
            <w:shd w:val="clear" w:color="000000" w:fill="FFFFFF"/>
            <w:noWrap/>
            <w:vAlign w:val="center"/>
            <w:hideMark/>
          </w:tcPr>
          <w:p w14:paraId="1261F89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2021–22</w:t>
            </w:r>
          </w:p>
        </w:tc>
        <w:tc>
          <w:tcPr>
            <w:tcW w:w="56" w:type="pct"/>
            <w:tcBorders>
              <w:top w:val="nil"/>
              <w:left w:val="nil"/>
              <w:bottom w:val="nil"/>
              <w:right w:val="nil"/>
            </w:tcBorders>
            <w:shd w:val="clear" w:color="000000" w:fill="FFFFFF"/>
            <w:noWrap/>
            <w:vAlign w:val="center"/>
            <w:hideMark/>
          </w:tcPr>
          <w:p w14:paraId="538A96F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06CE60F8" w14:textId="77777777" w:rsidR="002D1BC3" w:rsidRPr="002D1BC3" w:rsidRDefault="002D1BC3" w:rsidP="002D1BC3">
            <w:pPr>
              <w:spacing w:before="0" w:after="0" w:line="240" w:lineRule="auto"/>
              <w:jc w:val="right"/>
              <w:rPr>
                <w:rFonts w:ascii="Arial" w:hAnsi="Arial" w:cs="Arial"/>
                <w:sz w:val="16"/>
                <w:szCs w:val="16"/>
              </w:rPr>
            </w:pPr>
            <w:r w:rsidRPr="002D1BC3">
              <w:rPr>
                <w:rFonts w:ascii="Arial" w:hAnsi="Arial" w:cs="Arial"/>
                <w:sz w:val="16"/>
                <w:szCs w:val="16"/>
              </w:rPr>
              <w:t>2022–23</w:t>
            </w:r>
          </w:p>
        </w:tc>
        <w:tc>
          <w:tcPr>
            <w:tcW w:w="497" w:type="pct"/>
            <w:tcBorders>
              <w:top w:val="single" w:sz="4" w:space="0" w:color="293F5B"/>
              <w:left w:val="nil"/>
              <w:bottom w:val="nil"/>
              <w:right w:val="nil"/>
            </w:tcBorders>
            <w:shd w:val="clear" w:color="000000" w:fill="E6F2FF"/>
            <w:noWrap/>
            <w:vAlign w:val="center"/>
            <w:hideMark/>
          </w:tcPr>
          <w:p w14:paraId="366AB866" w14:textId="77777777" w:rsidR="002D1BC3" w:rsidRPr="002D1BC3" w:rsidRDefault="002D1BC3" w:rsidP="002D1BC3">
            <w:pPr>
              <w:spacing w:before="0" w:after="0" w:line="240" w:lineRule="auto"/>
              <w:jc w:val="right"/>
              <w:rPr>
                <w:rFonts w:ascii="Arial" w:hAnsi="Arial" w:cs="Arial"/>
                <w:sz w:val="16"/>
                <w:szCs w:val="16"/>
              </w:rPr>
            </w:pPr>
            <w:r w:rsidRPr="002D1BC3">
              <w:rPr>
                <w:rFonts w:ascii="Arial" w:hAnsi="Arial" w:cs="Arial"/>
                <w:sz w:val="16"/>
                <w:szCs w:val="16"/>
              </w:rPr>
              <w:t>2023–24</w:t>
            </w:r>
          </w:p>
        </w:tc>
        <w:tc>
          <w:tcPr>
            <w:tcW w:w="497" w:type="pct"/>
            <w:tcBorders>
              <w:top w:val="single" w:sz="4" w:space="0" w:color="293F5B"/>
              <w:left w:val="nil"/>
              <w:bottom w:val="nil"/>
              <w:right w:val="nil"/>
            </w:tcBorders>
            <w:shd w:val="clear" w:color="000000" w:fill="FFFFFF"/>
            <w:noWrap/>
            <w:vAlign w:val="center"/>
            <w:hideMark/>
          </w:tcPr>
          <w:p w14:paraId="373104A3" w14:textId="77777777" w:rsidR="002D1BC3" w:rsidRPr="002D1BC3" w:rsidRDefault="002D1BC3" w:rsidP="002D1BC3">
            <w:pPr>
              <w:spacing w:before="0" w:after="0" w:line="240" w:lineRule="auto"/>
              <w:jc w:val="right"/>
              <w:rPr>
                <w:rFonts w:ascii="Arial" w:hAnsi="Arial" w:cs="Arial"/>
                <w:sz w:val="16"/>
                <w:szCs w:val="16"/>
              </w:rPr>
            </w:pPr>
            <w:r w:rsidRPr="002D1BC3">
              <w:rPr>
                <w:rFonts w:ascii="Arial" w:hAnsi="Arial" w:cs="Arial"/>
                <w:sz w:val="16"/>
                <w:szCs w:val="16"/>
              </w:rPr>
              <w:t>2024–25</w:t>
            </w:r>
          </w:p>
        </w:tc>
        <w:tc>
          <w:tcPr>
            <w:tcW w:w="497" w:type="pct"/>
            <w:tcBorders>
              <w:top w:val="single" w:sz="4" w:space="0" w:color="293F5B"/>
              <w:left w:val="nil"/>
              <w:bottom w:val="nil"/>
              <w:right w:val="nil"/>
            </w:tcBorders>
            <w:shd w:val="clear" w:color="000000" w:fill="FFFFFF"/>
            <w:noWrap/>
            <w:vAlign w:val="center"/>
            <w:hideMark/>
          </w:tcPr>
          <w:p w14:paraId="6E8BA40C" w14:textId="77777777" w:rsidR="002D1BC3" w:rsidRPr="002D1BC3" w:rsidRDefault="002D1BC3" w:rsidP="002D1BC3">
            <w:pPr>
              <w:spacing w:before="0" w:after="0" w:line="240" w:lineRule="auto"/>
              <w:jc w:val="right"/>
              <w:rPr>
                <w:rFonts w:ascii="Arial" w:hAnsi="Arial" w:cs="Arial"/>
                <w:sz w:val="16"/>
                <w:szCs w:val="16"/>
              </w:rPr>
            </w:pPr>
            <w:r w:rsidRPr="002D1BC3">
              <w:rPr>
                <w:rFonts w:ascii="Arial" w:hAnsi="Arial" w:cs="Arial"/>
                <w:sz w:val="16"/>
                <w:szCs w:val="16"/>
              </w:rPr>
              <w:t>2025–26</w:t>
            </w:r>
          </w:p>
        </w:tc>
        <w:tc>
          <w:tcPr>
            <w:tcW w:w="497" w:type="pct"/>
            <w:tcBorders>
              <w:top w:val="single" w:sz="4" w:space="0" w:color="293F5B"/>
              <w:left w:val="nil"/>
              <w:bottom w:val="nil"/>
              <w:right w:val="nil"/>
            </w:tcBorders>
            <w:shd w:val="clear" w:color="000000" w:fill="FFFFFF"/>
            <w:noWrap/>
            <w:vAlign w:val="center"/>
            <w:hideMark/>
          </w:tcPr>
          <w:p w14:paraId="7E21617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2026–27</w:t>
            </w:r>
          </w:p>
        </w:tc>
      </w:tr>
      <w:tr w:rsidR="00130397" w:rsidRPr="002D1BC3" w14:paraId="1F1D7440" w14:textId="77777777" w:rsidTr="00130397">
        <w:trPr>
          <w:trHeight w:hRule="exact" w:val="160"/>
        </w:trPr>
        <w:tc>
          <w:tcPr>
            <w:tcW w:w="1950" w:type="pct"/>
            <w:tcBorders>
              <w:top w:val="nil"/>
              <w:left w:val="nil"/>
              <w:bottom w:val="nil"/>
              <w:right w:val="nil"/>
            </w:tcBorders>
            <w:shd w:val="clear" w:color="000000" w:fill="FFFFFF"/>
            <w:noWrap/>
            <w:vAlign w:val="center"/>
            <w:hideMark/>
          </w:tcPr>
          <w:p w14:paraId="09138493"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nil"/>
              <w:left w:val="nil"/>
              <w:bottom w:val="single" w:sz="4" w:space="0" w:color="293F5B"/>
              <w:right w:val="nil"/>
            </w:tcBorders>
            <w:shd w:val="clear" w:color="000000" w:fill="FFFFFF"/>
            <w:noWrap/>
            <w:vAlign w:val="center"/>
            <w:hideMark/>
          </w:tcPr>
          <w:p w14:paraId="4CD1AA9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c>
          <w:tcPr>
            <w:tcW w:w="56" w:type="pct"/>
            <w:tcBorders>
              <w:top w:val="nil"/>
              <w:left w:val="nil"/>
              <w:bottom w:val="nil"/>
              <w:right w:val="nil"/>
            </w:tcBorders>
            <w:shd w:val="clear" w:color="000000" w:fill="FFFFFF"/>
            <w:noWrap/>
            <w:vAlign w:val="center"/>
            <w:hideMark/>
          </w:tcPr>
          <w:p w14:paraId="228AE6C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45C464C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E6F2FF"/>
            <w:noWrap/>
            <w:vAlign w:val="center"/>
            <w:hideMark/>
          </w:tcPr>
          <w:p w14:paraId="1A5A927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1FB0A75C"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571131A3"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c>
          <w:tcPr>
            <w:tcW w:w="497" w:type="pct"/>
            <w:tcBorders>
              <w:top w:val="nil"/>
              <w:left w:val="nil"/>
              <w:bottom w:val="single" w:sz="4" w:space="0" w:color="293F5B"/>
              <w:right w:val="nil"/>
            </w:tcBorders>
            <w:shd w:val="clear" w:color="000000" w:fill="FFFFFF"/>
            <w:noWrap/>
            <w:vAlign w:val="center"/>
            <w:hideMark/>
          </w:tcPr>
          <w:p w14:paraId="49AA236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$m</w:t>
            </w:r>
          </w:p>
        </w:tc>
      </w:tr>
      <w:tr w:rsidR="00130397" w:rsidRPr="002D1BC3" w14:paraId="52DD14E9" w14:textId="77777777" w:rsidTr="00130397">
        <w:trPr>
          <w:trHeight w:hRule="exact" w:val="180"/>
        </w:trPr>
        <w:tc>
          <w:tcPr>
            <w:tcW w:w="1950" w:type="pct"/>
            <w:tcBorders>
              <w:top w:val="nil"/>
              <w:left w:val="nil"/>
              <w:bottom w:val="nil"/>
              <w:right w:val="nil"/>
            </w:tcBorders>
            <w:shd w:val="clear" w:color="000000" w:fill="FFFFFF"/>
            <w:noWrap/>
            <w:vAlign w:val="center"/>
            <w:hideMark/>
          </w:tcPr>
          <w:p w14:paraId="48016D74"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General public services</w:t>
            </w:r>
          </w:p>
        </w:tc>
        <w:tc>
          <w:tcPr>
            <w:tcW w:w="506" w:type="pct"/>
            <w:tcBorders>
              <w:top w:val="nil"/>
              <w:left w:val="nil"/>
              <w:bottom w:val="nil"/>
              <w:right w:val="nil"/>
            </w:tcBorders>
            <w:shd w:val="clear" w:color="000000" w:fill="FFFFFF"/>
            <w:noWrap/>
            <w:vAlign w:val="center"/>
            <w:hideMark/>
          </w:tcPr>
          <w:p w14:paraId="79D0C97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9CCC6C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FF261CA"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309E3D47"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1A19DCA"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02F35C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E2F2CF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3DE9D97E"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678214A"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Legislative and executive affairs</w:t>
            </w:r>
          </w:p>
        </w:tc>
        <w:tc>
          <w:tcPr>
            <w:tcW w:w="506" w:type="pct"/>
            <w:tcBorders>
              <w:top w:val="nil"/>
              <w:left w:val="nil"/>
              <w:bottom w:val="nil"/>
              <w:right w:val="nil"/>
            </w:tcBorders>
            <w:shd w:val="clear" w:color="000000" w:fill="FFFFFF"/>
            <w:noWrap/>
            <w:vAlign w:val="center"/>
            <w:hideMark/>
          </w:tcPr>
          <w:p w14:paraId="49A1C3E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1,864</w:t>
            </w:r>
          </w:p>
        </w:tc>
        <w:tc>
          <w:tcPr>
            <w:tcW w:w="56" w:type="pct"/>
            <w:tcBorders>
              <w:top w:val="nil"/>
              <w:left w:val="nil"/>
              <w:bottom w:val="nil"/>
              <w:right w:val="nil"/>
            </w:tcBorders>
            <w:shd w:val="clear" w:color="000000" w:fill="FFFFFF"/>
            <w:noWrap/>
            <w:vAlign w:val="center"/>
            <w:hideMark/>
          </w:tcPr>
          <w:p w14:paraId="5DE5AC0B"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F05F923"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1,574</w:t>
            </w:r>
          </w:p>
        </w:tc>
        <w:tc>
          <w:tcPr>
            <w:tcW w:w="497" w:type="pct"/>
            <w:tcBorders>
              <w:top w:val="nil"/>
              <w:left w:val="nil"/>
              <w:bottom w:val="nil"/>
              <w:right w:val="nil"/>
            </w:tcBorders>
            <w:shd w:val="clear" w:color="000000" w:fill="E6F2FF"/>
            <w:noWrap/>
            <w:vAlign w:val="center"/>
            <w:hideMark/>
          </w:tcPr>
          <w:p w14:paraId="3333971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2,003</w:t>
            </w:r>
          </w:p>
        </w:tc>
        <w:tc>
          <w:tcPr>
            <w:tcW w:w="497" w:type="pct"/>
            <w:tcBorders>
              <w:top w:val="nil"/>
              <w:left w:val="nil"/>
              <w:bottom w:val="nil"/>
              <w:right w:val="nil"/>
            </w:tcBorders>
            <w:shd w:val="clear" w:color="000000" w:fill="FFFFFF"/>
            <w:noWrap/>
            <w:vAlign w:val="center"/>
            <w:hideMark/>
          </w:tcPr>
          <w:p w14:paraId="5D3761D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1,901</w:t>
            </w:r>
          </w:p>
        </w:tc>
        <w:tc>
          <w:tcPr>
            <w:tcW w:w="497" w:type="pct"/>
            <w:tcBorders>
              <w:top w:val="nil"/>
              <w:left w:val="nil"/>
              <w:bottom w:val="nil"/>
              <w:right w:val="nil"/>
            </w:tcBorders>
            <w:shd w:val="clear" w:color="000000" w:fill="FFFFFF"/>
            <w:noWrap/>
            <w:vAlign w:val="center"/>
            <w:hideMark/>
          </w:tcPr>
          <w:p w14:paraId="30B10F7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1,538</w:t>
            </w:r>
          </w:p>
        </w:tc>
        <w:tc>
          <w:tcPr>
            <w:tcW w:w="497" w:type="pct"/>
            <w:tcBorders>
              <w:top w:val="nil"/>
              <w:left w:val="nil"/>
              <w:bottom w:val="nil"/>
              <w:right w:val="nil"/>
            </w:tcBorders>
            <w:shd w:val="clear" w:color="000000" w:fill="FFFFFF"/>
            <w:noWrap/>
            <w:vAlign w:val="center"/>
            <w:hideMark/>
          </w:tcPr>
          <w:p w14:paraId="13ABB92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1,560</w:t>
            </w:r>
          </w:p>
        </w:tc>
      </w:tr>
      <w:tr w:rsidR="00130397" w:rsidRPr="002D1BC3" w14:paraId="2C38469A"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4F497A95"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Financial and fiscal affairs</w:t>
            </w:r>
          </w:p>
        </w:tc>
        <w:tc>
          <w:tcPr>
            <w:tcW w:w="506" w:type="pct"/>
            <w:tcBorders>
              <w:top w:val="nil"/>
              <w:left w:val="nil"/>
              <w:bottom w:val="nil"/>
              <w:right w:val="nil"/>
            </w:tcBorders>
            <w:shd w:val="clear" w:color="000000" w:fill="FFFFFF"/>
            <w:noWrap/>
            <w:vAlign w:val="center"/>
            <w:hideMark/>
          </w:tcPr>
          <w:p w14:paraId="50F08EB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8,898</w:t>
            </w:r>
          </w:p>
        </w:tc>
        <w:tc>
          <w:tcPr>
            <w:tcW w:w="56" w:type="pct"/>
            <w:tcBorders>
              <w:top w:val="nil"/>
              <w:left w:val="nil"/>
              <w:bottom w:val="nil"/>
              <w:right w:val="nil"/>
            </w:tcBorders>
            <w:shd w:val="clear" w:color="000000" w:fill="FFFFFF"/>
            <w:noWrap/>
            <w:vAlign w:val="center"/>
            <w:hideMark/>
          </w:tcPr>
          <w:p w14:paraId="37A0654A"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F5A9B0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9,309</w:t>
            </w:r>
          </w:p>
        </w:tc>
        <w:tc>
          <w:tcPr>
            <w:tcW w:w="497" w:type="pct"/>
            <w:tcBorders>
              <w:top w:val="nil"/>
              <w:left w:val="nil"/>
              <w:bottom w:val="nil"/>
              <w:right w:val="nil"/>
            </w:tcBorders>
            <w:shd w:val="clear" w:color="000000" w:fill="E6F2FF"/>
            <w:noWrap/>
            <w:vAlign w:val="center"/>
            <w:hideMark/>
          </w:tcPr>
          <w:p w14:paraId="71FB3363"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9,137</w:t>
            </w:r>
          </w:p>
        </w:tc>
        <w:tc>
          <w:tcPr>
            <w:tcW w:w="497" w:type="pct"/>
            <w:tcBorders>
              <w:top w:val="nil"/>
              <w:left w:val="nil"/>
              <w:bottom w:val="nil"/>
              <w:right w:val="nil"/>
            </w:tcBorders>
            <w:shd w:val="clear" w:color="000000" w:fill="FFFFFF"/>
            <w:noWrap/>
            <w:vAlign w:val="center"/>
            <w:hideMark/>
          </w:tcPr>
          <w:p w14:paraId="4CEF4BDC"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9,038</w:t>
            </w:r>
          </w:p>
        </w:tc>
        <w:tc>
          <w:tcPr>
            <w:tcW w:w="497" w:type="pct"/>
            <w:tcBorders>
              <w:top w:val="nil"/>
              <w:left w:val="nil"/>
              <w:bottom w:val="nil"/>
              <w:right w:val="nil"/>
            </w:tcBorders>
            <w:shd w:val="clear" w:color="000000" w:fill="FFFFFF"/>
            <w:noWrap/>
            <w:vAlign w:val="center"/>
            <w:hideMark/>
          </w:tcPr>
          <w:p w14:paraId="133E0A2C"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9,257</w:t>
            </w:r>
          </w:p>
        </w:tc>
        <w:tc>
          <w:tcPr>
            <w:tcW w:w="497" w:type="pct"/>
            <w:tcBorders>
              <w:top w:val="nil"/>
              <w:left w:val="nil"/>
              <w:bottom w:val="nil"/>
              <w:right w:val="nil"/>
            </w:tcBorders>
            <w:shd w:val="clear" w:color="000000" w:fill="FFFFFF"/>
            <w:noWrap/>
            <w:vAlign w:val="center"/>
            <w:hideMark/>
          </w:tcPr>
          <w:p w14:paraId="4E18E5E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8,687</w:t>
            </w:r>
          </w:p>
        </w:tc>
      </w:tr>
      <w:tr w:rsidR="00130397" w:rsidRPr="002D1BC3" w14:paraId="6F17545A"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5F95592"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Foreign affairs and economic aid</w:t>
            </w:r>
          </w:p>
        </w:tc>
        <w:tc>
          <w:tcPr>
            <w:tcW w:w="506" w:type="pct"/>
            <w:tcBorders>
              <w:top w:val="nil"/>
              <w:left w:val="nil"/>
              <w:bottom w:val="nil"/>
              <w:right w:val="nil"/>
            </w:tcBorders>
            <w:shd w:val="clear" w:color="000000" w:fill="FFFFFF"/>
            <w:noWrap/>
            <w:vAlign w:val="center"/>
            <w:hideMark/>
          </w:tcPr>
          <w:p w14:paraId="49546A6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6,096</w:t>
            </w:r>
          </w:p>
        </w:tc>
        <w:tc>
          <w:tcPr>
            <w:tcW w:w="56" w:type="pct"/>
            <w:tcBorders>
              <w:top w:val="nil"/>
              <w:left w:val="nil"/>
              <w:bottom w:val="nil"/>
              <w:right w:val="nil"/>
            </w:tcBorders>
            <w:shd w:val="clear" w:color="000000" w:fill="FFFFFF"/>
            <w:noWrap/>
            <w:vAlign w:val="center"/>
            <w:hideMark/>
          </w:tcPr>
          <w:p w14:paraId="4683ADC4"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4AE0DB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7,622</w:t>
            </w:r>
          </w:p>
        </w:tc>
        <w:tc>
          <w:tcPr>
            <w:tcW w:w="497" w:type="pct"/>
            <w:tcBorders>
              <w:top w:val="nil"/>
              <w:left w:val="nil"/>
              <w:bottom w:val="nil"/>
              <w:right w:val="nil"/>
            </w:tcBorders>
            <w:shd w:val="clear" w:color="000000" w:fill="E6F2FF"/>
            <w:noWrap/>
            <w:vAlign w:val="center"/>
            <w:hideMark/>
          </w:tcPr>
          <w:p w14:paraId="6450492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7,166</w:t>
            </w:r>
          </w:p>
        </w:tc>
        <w:tc>
          <w:tcPr>
            <w:tcW w:w="497" w:type="pct"/>
            <w:tcBorders>
              <w:top w:val="nil"/>
              <w:left w:val="nil"/>
              <w:bottom w:val="nil"/>
              <w:right w:val="nil"/>
            </w:tcBorders>
            <w:shd w:val="clear" w:color="000000" w:fill="FFFFFF"/>
            <w:noWrap/>
            <w:vAlign w:val="center"/>
            <w:hideMark/>
          </w:tcPr>
          <w:p w14:paraId="7713D8D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8,179</w:t>
            </w:r>
          </w:p>
        </w:tc>
        <w:tc>
          <w:tcPr>
            <w:tcW w:w="497" w:type="pct"/>
            <w:tcBorders>
              <w:top w:val="nil"/>
              <w:left w:val="nil"/>
              <w:bottom w:val="nil"/>
              <w:right w:val="nil"/>
            </w:tcBorders>
            <w:shd w:val="clear" w:color="000000" w:fill="FFFFFF"/>
            <w:noWrap/>
            <w:vAlign w:val="center"/>
            <w:hideMark/>
          </w:tcPr>
          <w:p w14:paraId="4F73020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7,294</w:t>
            </w:r>
          </w:p>
        </w:tc>
        <w:tc>
          <w:tcPr>
            <w:tcW w:w="497" w:type="pct"/>
            <w:tcBorders>
              <w:top w:val="nil"/>
              <w:left w:val="nil"/>
              <w:bottom w:val="nil"/>
              <w:right w:val="nil"/>
            </w:tcBorders>
            <w:shd w:val="clear" w:color="000000" w:fill="FFFFFF"/>
            <w:noWrap/>
            <w:vAlign w:val="center"/>
            <w:hideMark/>
          </w:tcPr>
          <w:p w14:paraId="0A22AB6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7,725</w:t>
            </w:r>
          </w:p>
        </w:tc>
      </w:tr>
      <w:tr w:rsidR="00130397" w:rsidRPr="002D1BC3" w14:paraId="7F2E55EE"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6D0C0624"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General research</w:t>
            </w:r>
          </w:p>
        </w:tc>
        <w:tc>
          <w:tcPr>
            <w:tcW w:w="506" w:type="pct"/>
            <w:tcBorders>
              <w:top w:val="nil"/>
              <w:left w:val="nil"/>
              <w:bottom w:val="nil"/>
              <w:right w:val="nil"/>
            </w:tcBorders>
            <w:shd w:val="clear" w:color="000000" w:fill="FFFFFF"/>
            <w:noWrap/>
            <w:vAlign w:val="center"/>
            <w:hideMark/>
          </w:tcPr>
          <w:p w14:paraId="0154804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3,291</w:t>
            </w:r>
          </w:p>
        </w:tc>
        <w:tc>
          <w:tcPr>
            <w:tcW w:w="56" w:type="pct"/>
            <w:tcBorders>
              <w:top w:val="nil"/>
              <w:left w:val="nil"/>
              <w:bottom w:val="nil"/>
              <w:right w:val="nil"/>
            </w:tcBorders>
            <w:shd w:val="clear" w:color="000000" w:fill="FFFFFF"/>
            <w:noWrap/>
            <w:vAlign w:val="center"/>
            <w:hideMark/>
          </w:tcPr>
          <w:p w14:paraId="21C8E3C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32D6280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3,735</w:t>
            </w:r>
          </w:p>
        </w:tc>
        <w:tc>
          <w:tcPr>
            <w:tcW w:w="497" w:type="pct"/>
            <w:tcBorders>
              <w:top w:val="nil"/>
              <w:left w:val="nil"/>
              <w:bottom w:val="nil"/>
              <w:right w:val="nil"/>
            </w:tcBorders>
            <w:shd w:val="clear" w:color="000000" w:fill="E6F2FF"/>
            <w:noWrap/>
            <w:vAlign w:val="center"/>
            <w:hideMark/>
          </w:tcPr>
          <w:p w14:paraId="5CCB3DE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4,140</w:t>
            </w:r>
          </w:p>
        </w:tc>
        <w:tc>
          <w:tcPr>
            <w:tcW w:w="497" w:type="pct"/>
            <w:tcBorders>
              <w:top w:val="nil"/>
              <w:left w:val="nil"/>
              <w:bottom w:val="nil"/>
              <w:right w:val="nil"/>
            </w:tcBorders>
            <w:shd w:val="clear" w:color="000000" w:fill="FFFFFF"/>
            <w:noWrap/>
            <w:vAlign w:val="center"/>
            <w:hideMark/>
          </w:tcPr>
          <w:p w14:paraId="7C12611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4,255</w:t>
            </w:r>
          </w:p>
        </w:tc>
        <w:tc>
          <w:tcPr>
            <w:tcW w:w="497" w:type="pct"/>
            <w:tcBorders>
              <w:top w:val="nil"/>
              <w:left w:val="nil"/>
              <w:bottom w:val="nil"/>
              <w:right w:val="nil"/>
            </w:tcBorders>
            <w:shd w:val="clear" w:color="000000" w:fill="FFFFFF"/>
            <w:noWrap/>
            <w:vAlign w:val="center"/>
            <w:hideMark/>
          </w:tcPr>
          <w:p w14:paraId="682421F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4,361</w:t>
            </w:r>
          </w:p>
        </w:tc>
        <w:tc>
          <w:tcPr>
            <w:tcW w:w="497" w:type="pct"/>
            <w:tcBorders>
              <w:top w:val="nil"/>
              <w:left w:val="nil"/>
              <w:bottom w:val="nil"/>
              <w:right w:val="nil"/>
            </w:tcBorders>
            <w:shd w:val="clear" w:color="000000" w:fill="FFFFFF"/>
            <w:noWrap/>
            <w:vAlign w:val="center"/>
            <w:hideMark/>
          </w:tcPr>
          <w:p w14:paraId="4D382D4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4,280</w:t>
            </w:r>
          </w:p>
        </w:tc>
      </w:tr>
      <w:tr w:rsidR="00130397" w:rsidRPr="002D1BC3" w14:paraId="0A340A6D"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2FA39ACD"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General services</w:t>
            </w:r>
          </w:p>
        </w:tc>
        <w:tc>
          <w:tcPr>
            <w:tcW w:w="506" w:type="pct"/>
            <w:tcBorders>
              <w:top w:val="nil"/>
              <w:left w:val="nil"/>
              <w:bottom w:val="nil"/>
              <w:right w:val="nil"/>
            </w:tcBorders>
            <w:shd w:val="clear" w:color="000000" w:fill="FFFFFF"/>
            <w:noWrap/>
            <w:vAlign w:val="center"/>
            <w:hideMark/>
          </w:tcPr>
          <w:p w14:paraId="3276706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903</w:t>
            </w:r>
          </w:p>
        </w:tc>
        <w:tc>
          <w:tcPr>
            <w:tcW w:w="56" w:type="pct"/>
            <w:tcBorders>
              <w:top w:val="nil"/>
              <w:left w:val="nil"/>
              <w:bottom w:val="nil"/>
              <w:right w:val="nil"/>
            </w:tcBorders>
            <w:shd w:val="clear" w:color="000000" w:fill="FFFFFF"/>
            <w:noWrap/>
            <w:vAlign w:val="center"/>
            <w:hideMark/>
          </w:tcPr>
          <w:p w14:paraId="04C22524"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71778C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918</w:t>
            </w:r>
          </w:p>
        </w:tc>
        <w:tc>
          <w:tcPr>
            <w:tcW w:w="497" w:type="pct"/>
            <w:tcBorders>
              <w:top w:val="nil"/>
              <w:left w:val="nil"/>
              <w:bottom w:val="nil"/>
              <w:right w:val="nil"/>
            </w:tcBorders>
            <w:shd w:val="clear" w:color="000000" w:fill="E6F2FF"/>
            <w:noWrap/>
            <w:vAlign w:val="center"/>
            <w:hideMark/>
          </w:tcPr>
          <w:p w14:paraId="4A80FB3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992</w:t>
            </w:r>
          </w:p>
        </w:tc>
        <w:tc>
          <w:tcPr>
            <w:tcW w:w="497" w:type="pct"/>
            <w:tcBorders>
              <w:top w:val="nil"/>
              <w:left w:val="nil"/>
              <w:bottom w:val="nil"/>
              <w:right w:val="nil"/>
            </w:tcBorders>
            <w:shd w:val="clear" w:color="000000" w:fill="FFFFFF"/>
            <w:noWrap/>
            <w:vAlign w:val="center"/>
            <w:hideMark/>
          </w:tcPr>
          <w:p w14:paraId="5132BBD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946</w:t>
            </w:r>
          </w:p>
        </w:tc>
        <w:tc>
          <w:tcPr>
            <w:tcW w:w="497" w:type="pct"/>
            <w:tcBorders>
              <w:top w:val="nil"/>
              <w:left w:val="nil"/>
              <w:bottom w:val="nil"/>
              <w:right w:val="nil"/>
            </w:tcBorders>
            <w:shd w:val="clear" w:color="000000" w:fill="FFFFFF"/>
            <w:noWrap/>
            <w:vAlign w:val="center"/>
            <w:hideMark/>
          </w:tcPr>
          <w:p w14:paraId="225DADF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963</w:t>
            </w:r>
          </w:p>
        </w:tc>
        <w:tc>
          <w:tcPr>
            <w:tcW w:w="497" w:type="pct"/>
            <w:tcBorders>
              <w:top w:val="nil"/>
              <w:left w:val="nil"/>
              <w:bottom w:val="nil"/>
              <w:right w:val="nil"/>
            </w:tcBorders>
            <w:shd w:val="clear" w:color="000000" w:fill="FFFFFF"/>
            <w:noWrap/>
            <w:vAlign w:val="center"/>
            <w:hideMark/>
          </w:tcPr>
          <w:p w14:paraId="7EE74AF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986</w:t>
            </w:r>
          </w:p>
        </w:tc>
      </w:tr>
      <w:tr w:rsidR="00130397" w:rsidRPr="002D1BC3" w14:paraId="6D5F295D"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980B4AB"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Government superannuation</w:t>
            </w:r>
          </w:p>
        </w:tc>
        <w:tc>
          <w:tcPr>
            <w:tcW w:w="506" w:type="pct"/>
            <w:tcBorders>
              <w:top w:val="nil"/>
              <w:left w:val="nil"/>
              <w:bottom w:val="nil"/>
              <w:right w:val="nil"/>
            </w:tcBorders>
            <w:shd w:val="clear" w:color="000000" w:fill="FFFFFF"/>
            <w:noWrap/>
            <w:vAlign w:val="center"/>
            <w:hideMark/>
          </w:tcPr>
          <w:p w14:paraId="299FB90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F89D7CB"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62884E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2B804D7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427BD9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3A240DF"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29F893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2A624DB0"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6C2CBB1" w14:textId="77777777" w:rsidR="002D1BC3" w:rsidRPr="002D1BC3" w:rsidRDefault="002D1BC3" w:rsidP="00130397">
            <w:pPr>
              <w:spacing w:before="0" w:after="0" w:line="240" w:lineRule="auto"/>
              <w:ind w:left="340"/>
              <w:rPr>
                <w:rFonts w:ascii="Arial" w:hAnsi="Arial" w:cs="Arial"/>
                <w:color w:val="000000"/>
                <w:sz w:val="16"/>
                <w:szCs w:val="16"/>
              </w:rPr>
            </w:pPr>
            <w:r w:rsidRPr="002D1BC3">
              <w:rPr>
                <w:rFonts w:ascii="Arial" w:hAnsi="Arial" w:cs="Arial"/>
                <w:color w:val="000000"/>
                <w:sz w:val="16"/>
                <w:szCs w:val="16"/>
              </w:rPr>
              <w:t>benefits</w:t>
            </w:r>
          </w:p>
        </w:tc>
        <w:tc>
          <w:tcPr>
            <w:tcW w:w="506" w:type="pct"/>
            <w:tcBorders>
              <w:top w:val="nil"/>
              <w:left w:val="nil"/>
              <w:bottom w:val="nil"/>
              <w:right w:val="nil"/>
            </w:tcBorders>
            <w:shd w:val="clear" w:color="000000" w:fill="FFFFFF"/>
            <w:noWrap/>
            <w:vAlign w:val="center"/>
            <w:hideMark/>
          </w:tcPr>
          <w:p w14:paraId="2A0D4FB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10,221</w:t>
            </w:r>
          </w:p>
        </w:tc>
        <w:tc>
          <w:tcPr>
            <w:tcW w:w="56" w:type="pct"/>
            <w:tcBorders>
              <w:top w:val="nil"/>
              <w:left w:val="nil"/>
              <w:bottom w:val="nil"/>
              <w:right w:val="nil"/>
            </w:tcBorders>
            <w:shd w:val="clear" w:color="000000" w:fill="FFFFFF"/>
            <w:noWrap/>
            <w:vAlign w:val="center"/>
            <w:hideMark/>
          </w:tcPr>
          <w:p w14:paraId="5BB7260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1C3A7D2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6,947</w:t>
            </w:r>
          </w:p>
        </w:tc>
        <w:tc>
          <w:tcPr>
            <w:tcW w:w="497" w:type="pct"/>
            <w:tcBorders>
              <w:top w:val="nil"/>
              <w:left w:val="nil"/>
              <w:bottom w:val="single" w:sz="4" w:space="0" w:color="293F5B"/>
              <w:right w:val="nil"/>
            </w:tcBorders>
            <w:shd w:val="clear" w:color="000000" w:fill="E6F2FF"/>
            <w:noWrap/>
            <w:vAlign w:val="center"/>
            <w:hideMark/>
          </w:tcPr>
          <w:p w14:paraId="0AE0649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5,687</w:t>
            </w:r>
          </w:p>
        </w:tc>
        <w:tc>
          <w:tcPr>
            <w:tcW w:w="497" w:type="pct"/>
            <w:tcBorders>
              <w:top w:val="nil"/>
              <w:left w:val="nil"/>
              <w:bottom w:val="single" w:sz="4" w:space="0" w:color="293F5B"/>
              <w:right w:val="nil"/>
            </w:tcBorders>
            <w:shd w:val="clear" w:color="000000" w:fill="FFFFFF"/>
            <w:noWrap/>
            <w:vAlign w:val="center"/>
            <w:hideMark/>
          </w:tcPr>
          <w:p w14:paraId="5D7FAE6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5,835</w:t>
            </w:r>
          </w:p>
        </w:tc>
        <w:tc>
          <w:tcPr>
            <w:tcW w:w="497" w:type="pct"/>
            <w:tcBorders>
              <w:top w:val="nil"/>
              <w:left w:val="nil"/>
              <w:bottom w:val="single" w:sz="4" w:space="0" w:color="293F5B"/>
              <w:right w:val="nil"/>
            </w:tcBorders>
            <w:shd w:val="clear" w:color="000000" w:fill="FFFFFF"/>
            <w:noWrap/>
            <w:vAlign w:val="center"/>
            <w:hideMark/>
          </w:tcPr>
          <w:p w14:paraId="06526C1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6,001</w:t>
            </w:r>
          </w:p>
        </w:tc>
        <w:tc>
          <w:tcPr>
            <w:tcW w:w="497" w:type="pct"/>
            <w:tcBorders>
              <w:top w:val="nil"/>
              <w:left w:val="nil"/>
              <w:bottom w:val="single" w:sz="4" w:space="0" w:color="293F5B"/>
              <w:right w:val="nil"/>
            </w:tcBorders>
            <w:shd w:val="clear" w:color="000000" w:fill="FFFFFF"/>
            <w:noWrap/>
            <w:vAlign w:val="center"/>
            <w:hideMark/>
          </w:tcPr>
          <w:p w14:paraId="2308F9C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6,260</w:t>
            </w:r>
          </w:p>
        </w:tc>
      </w:tr>
      <w:tr w:rsidR="00130397" w:rsidRPr="002D1BC3" w14:paraId="397E16B6"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184B13FC"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Total general public services</w:t>
            </w:r>
          </w:p>
        </w:tc>
        <w:tc>
          <w:tcPr>
            <w:tcW w:w="506" w:type="pct"/>
            <w:tcBorders>
              <w:top w:val="single" w:sz="4" w:space="0" w:color="293F5B"/>
              <w:left w:val="nil"/>
              <w:bottom w:val="single" w:sz="4" w:space="0" w:color="293F5B"/>
              <w:right w:val="nil"/>
            </w:tcBorders>
            <w:shd w:val="clear" w:color="000000" w:fill="FFFFFF"/>
            <w:noWrap/>
            <w:vAlign w:val="center"/>
            <w:hideMark/>
          </w:tcPr>
          <w:p w14:paraId="134A631F"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31,273</w:t>
            </w:r>
          </w:p>
        </w:tc>
        <w:tc>
          <w:tcPr>
            <w:tcW w:w="56" w:type="pct"/>
            <w:tcBorders>
              <w:top w:val="nil"/>
              <w:left w:val="nil"/>
              <w:bottom w:val="nil"/>
              <w:right w:val="nil"/>
            </w:tcBorders>
            <w:shd w:val="clear" w:color="000000" w:fill="FFFFFF"/>
            <w:noWrap/>
            <w:vAlign w:val="center"/>
            <w:hideMark/>
          </w:tcPr>
          <w:p w14:paraId="27C9550F"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71D0EE26"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30,106</w:t>
            </w:r>
          </w:p>
        </w:tc>
        <w:tc>
          <w:tcPr>
            <w:tcW w:w="497" w:type="pct"/>
            <w:tcBorders>
              <w:top w:val="nil"/>
              <w:left w:val="nil"/>
              <w:bottom w:val="single" w:sz="4" w:space="0" w:color="293F5B"/>
              <w:right w:val="nil"/>
            </w:tcBorders>
            <w:shd w:val="clear" w:color="000000" w:fill="E6F2FF"/>
            <w:noWrap/>
            <w:vAlign w:val="center"/>
            <w:hideMark/>
          </w:tcPr>
          <w:p w14:paraId="774D0F81"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29,126</w:t>
            </w:r>
          </w:p>
        </w:tc>
        <w:tc>
          <w:tcPr>
            <w:tcW w:w="497" w:type="pct"/>
            <w:tcBorders>
              <w:top w:val="nil"/>
              <w:left w:val="nil"/>
              <w:bottom w:val="single" w:sz="4" w:space="0" w:color="293F5B"/>
              <w:right w:val="nil"/>
            </w:tcBorders>
            <w:shd w:val="clear" w:color="000000" w:fill="FFFFFF"/>
            <w:noWrap/>
            <w:vAlign w:val="center"/>
            <w:hideMark/>
          </w:tcPr>
          <w:p w14:paraId="6258B0B0"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30,155</w:t>
            </w:r>
          </w:p>
        </w:tc>
        <w:tc>
          <w:tcPr>
            <w:tcW w:w="497" w:type="pct"/>
            <w:tcBorders>
              <w:top w:val="nil"/>
              <w:left w:val="nil"/>
              <w:bottom w:val="single" w:sz="4" w:space="0" w:color="293F5B"/>
              <w:right w:val="nil"/>
            </w:tcBorders>
            <w:shd w:val="clear" w:color="000000" w:fill="FFFFFF"/>
            <w:noWrap/>
            <w:vAlign w:val="center"/>
            <w:hideMark/>
          </w:tcPr>
          <w:p w14:paraId="7F7F2E45"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29,413</w:t>
            </w:r>
          </w:p>
        </w:tc>
        <w:tc>
          <w:tcPr>
            <w:tcW w:w="497" w:type="pct"/>
            <w:tcBorders>
              <w:top w:val="nil"/>
              <w:left w:val="nil"/>
              <w:bottom w:val="single" w:sz="4" w:space="0" w:color="293F5B"/>
              <w:right w:val="nil"/>
            </w:tcBorders>
            <w:shd w:val="clear" w:color="000000" w:fill="FFFFFF"/>
            <w:noWrap/>
            <w:vAlign w:val="center"/>
            <w:hideMark/>
          </w:tcPr>
          <w:p w14:paraId="4D1F0134"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29,498</w:t>
            </w:r>
          </w:p>
        </w:tc>
      </w:tr>
      <w:tr w:rsidR="00130397" w:rsidRPr="002D1BC3" w14:paraId="3AA343FE" w14:textId="77777777" w:rsidTr="00130397">
        <w:trPr>
          <w:trHeight w:hRule="exact" w:val="38"/>
        </w:trPr>
        <w:tc>
          <w:tcPr>
            <w:tcW w:w="1950" w:type="pct"/>
            <w:tcBorders>
              <w:top w:val="nil"/>
              <w:left w:val="nil"/>
              <w:bottom w:val="nil"/>
              <w:right w:val="nil"/>
            </w:tcBorders>
            <w:shd w:val="clear" w:color="000000" w:fill="FFFFFF"/>
            <w:noWrap/>
            <w:vAlign w:val="center"/>
            <w:hideMark/>
          </w:tcPr>
          <w:p w14:paraId="353A106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nil"/>
              <w:left w:val="nil"/>
              <w:bottom w:val="nil"/>
              <w:right w:val="nil"/>
            </w:tcBorders>
            <w:shd w:val="clear" w:color="000000" w:fill="FFFFFF"/>
            <w:noWrap/>
            <w:vAlign w:val="center"/>
            <w:hideMark/>
          </w:tcPr>
          <w:p w14:paraId="0F93C91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33961507"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FB184B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783C10ED"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33624EC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D74294A"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C60DA4B"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1DEE9B76" w14:textId="77777777" w:rsidTr="00130397">
        <w:trPr>
          <w:trHeight w:hRule="exact" w:val="220"/>
        </w:trPr>
        <w:tc>
          <w:tcPr>
            <w:tcW w:w="1950" w:type="pct"/>
            <w:tcBorders>
              <w:top w:val="nil"/>
              <w:left w:val="nil"/>
              <w:bottom w:val="nil"/>
              <w:right w:val="nil"/>
            </w:tcBorders>
            <w:shd w:val="clear" w:color="000000" w:fill="FFFFFF"/>
            <w:noWrap/>
            <w:vAlign w:val="center"/>
            <w:hideMark/>
          </w:tcPr>
          <w:p w14:paraId="24742B76"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Defence</w:t>
            </w:r>
          </w:p>
        </w:tc>
        <w:tc>
          <w:tcPr>
            <w:tcW w:w="506" w:type="pct"/>
            <w:tcBorders>
              <w:top w:val="nil"/>
              <w:left w:val="nil"/>
              <w:bottom w:val="single" w:sz="4" w:space="0" w:color="293F5B"/>
              <w:right w:val="nil"/>
            </w:tcBorders>
            <w:shd w:val="clear" w:color="000000" w:fill="FFFFFF"/>
            <w:noWrap/>
            <w:vAlign w:val="center"/>
            <w:hideMark/>
          </w:tcPr>
          <w:p w14:paraId="17B40C96"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38,246</w:t>
            </w:r>
          </w:p>
        </w:tc>
        <w:tc>
          <w:tcPr>
            <w:tcW w:w="56" w:type="pct"/>
            <w:tcBorders>
              <w:top w:val="nil"/>
              <w:left w:val="nil"/>
              <w:bottom w:val="nil"/>
              <w:right w:val="nil"/>
            </w:tcBorders>
            <w:shd w:val="clear" w:color="000000" w:fill="FFFFFF"/>
            <w:noWrap/>
            <w:vAlign w:val="center"/>
            <w:hideMark/>
          </w:tcPr>
          <w:p w14:paraId="71538B3D"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2D119E92"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40,059</w:t>
            </w:r>
          </w:p>
        </w:tc>
        <w:tc>
          <w:tcPr>
            <w:tcW w:w="497" w:type="pct"/>
            <w:tcBorders>
              <w:top w:val="nil"/>
              <w:left w:val="nil"/>
              <w:bottom w:val="single" w:sz="4" w:space="0" w:color="293F5B"/>
              <w:right w:val="nil"/>
            </w:tcBorders>
            <w:shd w:val="clear" w:color="000000" w:fill="E6F2FF"/>
            <w:noWrap/>
            <w:vAlign w:val="center"/>
            <w:hideMark/>
          </w:tcPr>
          <w:p w14:paraId="17FD00D0"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42,850</w:t>
            </w:r>
          </w:p>
        </w:tc>
        <w:tc>
          <w:tcPr>
            <w:tcW w:w="497" w:type="pct"/>
            <w:tcBorders>
              <w:top w:val="nil"/>
              <w:left w:val="nil"/>
              <w:bottom w:val="single" w:sz="4" w:space="0" w:color="293F5B"/>
              <w:right w:val="nil"/>
            </w:tcBorders>
            <w:shd w:val="clear" w:color="000000" w:fill="FFFFFF"/>
            <w:noWrap/>
            <w:vAlign w:val="center"/>
            <w:hideMark/>
          </w:tcPr>
          <w:p w14:paraId="6014E0C3"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44,568</w:t>
            </w:r>
          </w:p>
        </w:tc>
        <w:tc>
          <w:tcPr>
            <w:tcW w:w="497" w:type="pct"/>
            <w:tcBorders>
              <w:top w:val="nil"/>
              <w:left w:val="nil"/>
              <w:bottom w:val="single" w:sz="4" w:space="0" w:color="293F5B"/>
              <w:right w:val="nil"/>
            </w:tcBorders>
            <w:shd w:val="clear" w:color="000000" w:fill="FFFFFF"/>
            <w:noWrap/>
            <w:vAlign w:val="center"/>
            <w:hideMark/>
          </w:tcPr>
          <w:p w14:paraId="1BFF7155"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49,465</w:t>
            </w:r>
          </w:p>
        </w:tc>
        <w:tc>
          <w:tcPr>
            <w:tcW w:w="497" w:type="pct"/>
            <w:tcBorders>
              <w:top w:val="nil"/>
              <w:left w:val="nil"/>
              <w:bottom w:val="single" w:sz="4" w:space="0" w:color="293F5B"/>
              <w:right w:val="nil"/>
            </w:tcBorders>
            <w:shd w:val="clear" w:color="000000" w:fill="FFFFFF"/>
            <w:noWrap/>
            <w:vAlign w:val="center"/>
            <w:hideMark/>
          </w:tcPr>
          <w:p w14:paraId="31AB9136"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48,840</w:t>
            </w:r>
          </w:p>
        </w:tc>
      </w:tr>
      <w:tr w:rsidR="00130397" w:rsidRPr="002D1BC3" w14:paraId="132638CB" w14:textId="77777777" w:rsidTr="00130397">
        <w:trPr>
          <w:trHeight w:hRule="exact" w:val="38"/>
        </w:trPr>
        <w:tc>
          <w:tcPr>
            <w:tcW w:w="1950" w:type="pct"/>
            <w:tcBorders>
              <w:top w:val="nil"/>
              <w:left w:val="nil"/>
              <w:bottom w:val="nil"/>
              <w:right w:val="nil"/>
            </w:tcBorders>
            <w:shd w:val="clear" w:color="000000" w:fill="FFFFFF"/>
            <w:noWrap/>
            <w:vAlign w:val="center"/>
            <w:hideMark/>
          </w:tcPr>
          <w:p w14:paraId="65CEC559"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nil"/>
              <w:left w:val="nil"/>
              <w:bottom w:val="nil"/>
              <w:right w:val="nil"/>
            </w:tcBorders>
            <w:shd w:val="clear" w:color="000000" w:fill="FFFFFF"/>
            <w:noWrap/>
            <w:vAlign w:val="center"/>
            <w:hideMark/>
          </w:tcPr>
          <w:p w14:paraId="4875CC1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6A2433C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09E3187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682E1F1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C6A8B7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2E76431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9F83C19"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663847E4"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3C5D6F94"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Public order and safety</w:t>
            </w:r>
          </w:p>
        </w:tc>
        <w:tc>
          <w:tcPr>
            <w:tcW w:w="506" w:type="pct"/>
            <w:tcBorders>
              <w:top w:val="nil"/>
              <w:left w:val="nil"/>
              <w:bottom w:val="nil"/>
              <w:right w:val="nil"/>
            </w:tcBorders>
            <w:shd w:val="clear" w:color="000000" w:fill="FFFFFF"/>
            <w:noWrap/>
            <w:vAlign w:val="center"/>
            <w:hideMark/>
          </w:tcPr>
          <w:p w14:paraId="678E649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5CB50CC7"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8B8230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3B24C399"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C70885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42A6D0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7AA6A5E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7C73311E"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182AEB18"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Courts and legal services</w:t>
            </w:r>
          </w:p>
        </w:tc>
        <w:tc>
          <w:tcPr>
            <w:tcW w:w="506" w:type="pct"/>
            <w:tcBorders>
              <w:top w:val="nil"/>
              <w:left w:val="nil"/>
              <w:bottom w:val="nil"/>
              <w:right w:val="nil"/>
            </w:tcBorders>
            <w:shd w:val="clear" w:color="000000" w:fill="FFFFFF"/>
            <w:noWrap/>
            <w:vAlign w:val="center"/>
            <w:hideMark/>
          </w:tcPr>
          <w:p w14:paraId="4189B57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1,611</w:t>
            </w:r>
          </w:p>
        </w:tc>
        <w:tc>
          <w:tcPr>
            <w:tcW w:w="56" w:type="pct"/>
            <w:tcBorders>
              <w:top w:val="nil"/>
              <w:left w:val="nil"/>
              <w:bottom w:val="nil"/>
              <w:right w:val="nil"/>
            </w:tcBorders>
            <w:shd w:val="clear" w:color="000000" w:fill="FFFFFF"/>
            <w:noWrap/>
            <w:vAlign w:val="center"/>
            <w:hideMark/>
          </w:tcPr>
          <w:p w14:paraId="5B033D1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64C8C2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1,747</w:t>
            </w:r>
          </w:p>
        </w:tc>
        <w:tc>
          <w:tcPr>
            <w:tcW w:w="497" w:type="pct"/>
            <w:tcBorders>
              <w:top w:val="nil"/>
              <w:left w:val="nil"/>
              <w:bottom w:val="nil"/>
              <w:right w:val="nil"/>
            </w:tcBorders>
            <w:shd w:val="clear" w:color="000000" w:fill="E6F2FF"/>
            <w:noWrap/>
            <w:vAlign w:val="center"/>
            <w:hideMark/>
          </w:tcPr>
          <w:p w14:paraId="61A98F5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1,754</w:t>
            </w:r>
          </w:p>
        </w:tc>
        <w:tc>
          <w:tcPr>
            <w:tcW w:w="497" w:type="pct"/>
            <w:tcBorders>
              <w:top w:val="nil"/>
              <w:left w:val="nil"/>
              <w:bottom w:val="nil"/>
              <w:right w:val="nil"/>
            </w:tcBorders>
            <w:shd w:val="clear" w:color="000000" w:fill="FFFFFF"/>
            <w:noWrap/>
            <w:vAlign w:val="center"/>
            <w:hideMark/>
          </w:tcPr>
          <w:p w14:paraId="40ED721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1,687</w:t>
            </w:r>
          </w:p>
        </w:tc>
        <w:tc>
          <w:tcPr>
            <w:tcW w:w="497" w:type="pct"/>
            <w:tcBorders>
              <w:top w:val="nil"/>
              <w:left w:val="nil"/>
              <w:bottom w:val="nil"/>
              <w:right w:val="nil"/>
            </w:tcBorders>
            <w:shd w:val="clear" w:color="000000" w:fill="FFFFFF"/>
            <w:noWrap/>
            <w:vAlign w:val="center"/>
            <w:hideMark/>
          </w:tcPr>
          <w:p w14:paraId="703DF87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1,152</w:t>
            </w:r>
          </w:p>
        </w:tc>
        <w:tc>
          <w:tcPr>
            <w:tcW w:w="497" w:type="pct"/>
            <w:tcBorders>
              <w:top w:val="nil"/>
              <w:left w:val="nil"/>
              <w:bottom w:val="nil"/>
              <w:right w:val="nil"/>
            </w:tcBorders>
            <w:shd w:val="clear" w:color="000000" w:fill="FFFFFF"/>
            <w:noWrap/>
            <w:vAlign w:val="center"/>
            <w:hideMark/>
          </w:tcPr>
          <w:p w14:paraId="1472354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1,131</w:t>
            </w:r>
          </w:p>
        </w:tc>
      </w:tr>
      <w:tr w:rsidR="00130397" w:rsidRPr="002D1BC3" w14:paraId="6DD76A0C"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6A3058E9"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Other public order and safety</w:t>
            </w:r>
          </w:p>
        </w:tc>
        <w:tc>
          <w:tcPr>
            <w:tcW w:w="506" w:type="pct"/>
            <w:tcBorders>
              <w:top w:val="nil"/>
              <w:left w:val="nil"/>
              <w:bottom w:val="single" w:sz="4" w:space="0" w:color="293F5B"/>
              <w:right w:val="nil"/>
            </w:tcBorders>
            <w:shd w:val="clear" w:color="000000" w:fill="FFFFFF"/>
            <w:noWrap/>
            <w:vAlign w:val="center"/>
            <w:hideMark/>
          </w:tcPr>
          <w:p w14:paraId="5BCFDD2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5,047</w:t>
            </w:r>
          </w:p>
        </w:tc>
        <w:tc>
          <w:tcPr>
            <w:tcW w:w="56" w:type="pct"/>
            <w:tcBorders>
              <w:top w:val="nil"/>
              <w:left w:val="nil"/>
              <w:bottom w:val="nil"/>
              <w:right w:val="nil"/>
            </w:tcBorders>
            <w:shd w:val="clear" w:color="000000" w:fill="FFFFFF"/>
            <w:noWrap/>
            <w:vAlign w:val="center"/>
            <w:hideMark/>
          </w:tcPr>
          <w:p w14:paraId="5063FA5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26876E9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5,637</w:t>
            </w:r>
          </w:p>
        </w:tc>
        <w:tc>
          <w:tcPr>
            <w:tcW w:w="497" w:type="pct"/>
            <w:tcBorders>
              <w:top w:val="nil"/>
              <w:left w:val="nil"/>
              <w:bottom w:val="single" w:sz="4" w:space="0" w:color="293F5B"/>
              <w:right w:val="nil"/>
            </w:tcBorders>
            <w:shd w:val="clear" w:color="000000" w:fill="E6F2FF"/>
            <w:noWrap/>
            <w:vAlign w:val="center"/>
            <w:hideMark/>
          </w:tcPr>
          <w:p w14:paraId="34A9626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5,680</w:t>
            </w:r>
          </w:p>
        </w:tc>
        <w:tc>
          <w:tcPr>
            <w:tcW w:w="497" w:type="pct"/>
            <w:tcBorders>
              <w:top w:val="nil"/>
              <w:left w:val="nil"/>
              <w:bottom w:val="single" w:sz="4" w:space="0" w:color="293F5B"/>
              <w:right w:val="nil"/>
            </w:tcBorders>
            <w:shd w:val="clear" w:color="000000" w:fill="FFFFFF"/>
            <w:noWrap/>
            <w:vAlign w:val="center"/>
            <w:hideMark/>
          </w:tcPr>
          <w:p w14:paraId="6131E0D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5,376</w:t>
            </w:r>
          </w:p>
        </w:tc>
        <w:tc>
          <w:tcPr>
            <w:tcW w:w="497" w:type="pct"/>
            <w:tcBorders>
              <w:top w:val="nil"/>
              <w:left w:val="nil"/>
              <w:bottom w:val="single" w:sz="4" w:space="0" w:color="293F5B"/>
              <w:right w:val="nil"/>
            </w:tcBorders>
            <w:shd w:val="clear" w:color="000000" w:fill="FFFFFF"/>
            <w:noWrap/>
            <w:vAlign w:val="center"/>
            <w:hideMark/>
          </w:tcPr>
          <w:p w14:paraId="518A770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5,246</w:t>
            </w:r>
          </w:p>
        </w:tc>
        <w:tc>
          <w:tcPr>
            <w:tcW w:w="497" w:type="pct"/>
            <w:tcBorders>
              <w:top w:val="nil"/>
              <w:left w:val="nil"/>
              <w:bottom w:val="single" w:sz="4" w:space="0" w:color="293F5B"/>
              <w:right w:val="nil"/>
            </w:tcBorders>
            <w:shd w:val="clear" w:color="000000" w:fill="FFFFFF"/>
            <w:noWrap/>
            <w:vAlign w:val="center"/>
            <w:hideMark/>
          </w:tcPr>
          <w:p w14:paraId="480473B3"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5,293</w:t>
            </w:r>
          </w:p>
        </w:tc>
      </w:tr>
      <w:tr w:rsidR="00130397" w:rsidRPr="002D1BC3" w14:paraId="4138C5C8"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C0C4E42"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Total public order and safety</w:t>
            </w:r>
          </w:p>
        </w:tc>
        <w:tc>
          <w:tcPr>
            <w:tcW w:w="506" w:type="pct"/>
            <w:tcBorders>
              <w:top w:val="nil"/>
              <w:left w:val="nil"/>
              <w:bottom w:val="single" w:sz="4" w:space="0" w:color="293F5B"/>
              <w:right w:val="nil"/>
            </w:tcBorders>
            <w:shd w:val="clear" w:color="000000" w:fill="FFFFFF"/>
            <w:noWrap/>
            <w:vAlign w:val="center"/>
            <w:hideMark/>
          </w:tcPr>
          <w:p w14:paraId="7F233C93"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6,658</w:t>
            </w:r>
          </w:p>
        </w:tc>
        <w:tc>
          <w:tcPr>
            <w:tcW w:w="56" w:type="pct"/>
            <w:tcBorders>
              <w:top w:val="nil"/>
              <w:left w:val="nil"/>
              <w:bottom w:val="nil"/>
              <w:right w:val="nil"/>
            </w:tcBorders>
            <w:shd w:val="clear" w:color="000000" w:fill="FFFFFF"/>
            <w:noWrap/>
            <w:vAlign w:val="center"/>
            <w:hideMark/>
          </w:tcPr>
          <w:p w14:paraId="05D7C453"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41934D70"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7,384</w:t>
            </w:r>
          </w:p>
        </w:tc>
        <w:tc>
          <w:tcPr>
            <w:tcW w:w="497" w:type="pct"/>
            <w:tcBorders>
              <w:top w:val="nil"/>
              <w:left w:val="nil"/>
              <w:bottom w:val="single" w:sz="4" w:space="0" w:color="293F5B"/>
              <w:right w:val="nil"/>
            </w:tcBorders>
            <w:shd w:val="clear" w:color="000000" w:fill="E6F2FF"/>
            <w:noWrap/>
            <w:vAlign w:val="center"/>
            <w:hideMark/>
          </w:tcPr>
          <w:p w14:paraId="4B0E9EC0"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7,434</w:t>
            </w:r>
          </w:p>
        </w:tc>
        <w:tc>
          <w:tcPr>
            <w:tcW w:w="497" w:type="pct"/>
            <w:tcBorders>
              <w:top w:val="nil"/>
              <w:left w:val="nil"/>
              <w:bottom w:val="single" w:sz="4" w:space="0" w:color="293F5B"/>
              <w:right w:val="nil"/>
            </w:tcBorders>
            <w:shd w:val="clear" w:color="000000" w:fill="FFFFFF"/>
            <w:noWrap/>
            <w:vAlign w:val="center"/>
            <w:hideMark/>
          </w:tcPr>
          <w:p w14:paraId="0AECF628"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7,063</w:t>
            </w:r>
          </w:p>
        </w:tc>
        <w:tc>
          <w:tcPr>
            <w:tcW w:w="497" w:type="pct"/>
            <w:tcBorders>
              <w:top w:val="nil"/>
              <w:left w:val="nil"/>
              <w:bottom w:val="single" w:sz="4" w:space="0" w:color="293F5B"/>
              <w:right w:val="nil"/>
            </w:tcBorders>
            <w:shd w:val="clear" w:color="000000" w:fill="FFFFFF"/>
            <w:noWrap/>
            <w:vAlign w:val="center"/>
            <w:hideMark/>
          </w:tcPr>
          <w:p w14:paraId="3FAC1E2B"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6,398</w:t>
            </w:r>
          </w:p>
        </w:tc>
        <w:tc>
          <w:tcPr>
            <w:tcW w:w="497" w:type="pct"/>
            <w:tcBorders>
              <w:top w:val="nil"/>
              <w:left w:val="nil"/>
              <w:bottom w:val="single" w:sz="4" w:space="0" w:color="293F5B"/>
              <w:right w:val="nil"/>
            </w:tcBorders>
            <w:shd w:val="clear" w:color="000000" w:fill="FFFFFF"/>
            <w:noWrap/>
            <w:vAlign w:val="center"/>
            <w:hideMark/>
          </w:tcPr>
          <w:p w14:paraId="490E35F5"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6,425</w:t>
            </w:r>
          </w:p>
        </w:tc>
      </w:tr>
      <w:tr w:rsidR="00130397" w:rsidRPr="002D1BC3" w14:paraId="74B833F6" w14:textId="77777777" w:rsidTr="00130397">
        <w:trPr>
          <w:trHeight w:hRule="exact" w:val="25"/>
        </w:trPr>
        <w:tc>
          <w:tcPr>
            <w:tcW w:w="1950" w:type="pct"/>
            <w:tcBorders>
              <w:top w:val="nil"/>
              <w:left w:val="nil"/>
              <w:bottom w:val="nil"/>
              <w:right w:val="nil"/>
            </w:tcBorders>
            <w:shd w:val="clear" w:color="000000" w:fill="FFFFFF"/>
            <w:noWrap/>
            <w:vAlign w:val="center"/>
            <w:hideMark/>
          </w:tcPr>
          <w:p w14:paraId="3A0851F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06" w:type="pct"/>
            <w:tcBorders>
              <w:top w:val="nil"/>
              <w:left w:val="nil"/>
              <w:bottom w:val="nil"/>
              <w:right w:val="nil"/>
            </w:tcBorders>
            <w:shd w:val="clear" w:color="000000" w:fill="FFFFFF"/>
            <w:noWrap/>
            <w:vAlign w:val="center"/>
            <w:hideMark/>
          </w:tcPr>
          <w:p w14:paraId="6C3D2F1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0243A42D"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77FE15B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6993A5E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050AE7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240F3E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0D8B58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7039A897"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59AE483F"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Education</w:t>
            </w:r>
          </w:p>
        </w:tc>
        <w:tc>
          <w:tcPr>
            <w:tcW w:w="506" w:type="pct"/>
            <w:tcBorders>
              <w:top w:val="nil"/>
              <w:left w:val="nil"/>
              <w:bottom w:val="nil"/>
              <w:right w:val="nil"/>
            </w:tcBorders>
            <w:shd w:val="clear" w:color="000000" w:fill="FFFFFF"/>
            <w:noWrap/>
            <w:vAlign w:val="center"/>
            <w:hideMark/>
          </w:tcPr>
          <w:p w14:paraId="0E1677AD"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0EF9D2B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1153FB3"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4739769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28854E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432E030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736E69B"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43968245"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6F05925A"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Higher education</w:t>
            </w:r>
          </w:p>
        </w:tc>
        <w:tc>
          <w:tcPr>
            <w:tcW w:w="506" w:type="pct"/>
            <w:tcBorders>
              <w:top w:val="nil"/>
              <w:left w:val="nil"/>
              <w:bottom w:val="nil"/>
              <w:right w:val="nil"/>
            </w:tcBorders>
            <w:shd w:val="clear" w:color="000000" w:fill="FFFFFF"/>
            <w:noWrap/>
            <w:vAlign w:val="center"/>
            <w:hideMark/>
          </w:tcPr>
          <w:p w14:paraId="43CC7D4F"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10,656</w:t>
            </w:r>
          </w:p>
        </w:tc>
        <w:tc>
          <w:tcPr>
            <w:tcW w:w="56" w:type="pct"/>
            <w:tcBorders>
              <w:top w:val="nil"/>
              <w:left w:val="nil"/>
              <w:bottom w:val="nil"/>
              <w:right w:val="nil"/>
            </w:tcBorders>
            <w:shd w:val="clear" w:color="000000" w:fill="FFFFFF"/>
            <w:noWrap/>
            <w:vAlign w:val="center"/>
            <w:hideMark/>
          </w:tcPr>
          <w:p w14:paraId="16F007D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16A335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10,587</w:t>
            </w:r>
          </w:p>
        </w:tc>
        <w:tc>
          <w:tcPr>
            <w:tcW w:w="497" w:type="pct"/>
            <w:tcBorders>
              <w:top w:val="nil"/>
              <w:left w:val="nil"/>
              <w:bottom w:val="nil"/>
              <w:right w:val="nil"/>
            </w:tcBorders>
            <w:shd w:val="clear" w:color="000000" w:fill="E6F2FF"/>
            <w:noWrap/>
            <w:vAlign w:val="center"/>
            <w:hideMark/>
          </w:tcPr>
          <w:p w14:paraId="323FDE0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10,902</w:t>
            </w:r>
          </w:p>
        </w:tc>
        <w:tc>
          <w:tcPr>
            <w:tcW w:w="497" w:type="pct"/>
            <w:tcBorders>
              <w:top w:val="nil"/>
              <w:left w:val="nil"/>
              <w:bottom w:val="nil"/>
              <w:right w:val="nil"/>
            </w:tcBorders>
            <w:shd w:val="clear" w:color="000000" w:fill="FFFFFF"/>
            <w:noWrap/>
            <w:vAlign w:val="center"/>
            <w:hideMark/>
          </w:tcPr>
          <w:p w14:paraId="57359B7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11,485</w:t>
            </w:r>
          </w:p>
        </w:tc>
        <w:tc>
          <w:tcPr>
            <w:tcW w:w="497" w:type="pct"/>
            <w:tcBorders>
              <w:top w:val="nil"/>
              <w:left w:val="nil"/>
              <w:bottom w:val="nil"/>
              <w:right w:val="nil"/>
            </w:tcBorders>
            <w:shd w:val="clear" w:color="000000" w:fill="FFFFFF"/>
            <w:noWrap/>
            <w:vAlign w:val="center"/>
            <w:hideMark/>
          </w:tcPr>
          <w:p w14:paraId="3E99234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11,946</w:t>
            </w:r>
          </w:p>
        </w:tc>
        <w:tc>
          <w:tcPr>
            <w:tcW w:w="497" w:type="pct"/>
            <w:tcBorders>
              <w:top w:val="nil"/>
              <w:left w:val="nil"/>
              <w:bottom w:val="nil"/>
              <w:right w:val="nil"/>
            </w:tcBorders>
            <w:shd w:val="clear" w:color="000000" w:fill="FFFFFF"/>
            <w:noWrap/>
            <w:vAlign w:val="center"/>
            <w:hideMark/>
          </w:tcPr>
          <w:p w14:paraId="13EB43D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12,322</w:t>
            </w:r>
          </w:p>
        </w:tc>
      </w:tr>
      <w:tr w:rsidR="00130397" w:rsidRPr="002D1BC3" w14:paraId="781E2762"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01071E1"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Vocational and other education</w:t>
            </w:r>
          </w:p>
        </w:tc>
        <w:tc>
          <w:tcPr>
            <w:tcW w:w="506" w:type="pct"/>
            <w:tcBorders>
              <w:top w:val="nil"/>
              <w:left w:val="nil"/>
              <w:bottom w:val="nil"/>
              <w:right w:val="nil"/>
            </w:tcBorders>
            <w:shd w:val="clear" w:color="000000" w:fill="FFFFFF"/>
            <w:noWrap/>
            <w:vAlign w:val="center"/>
            <w:hideMark/>
          </w:tcPr>
          <w:p w14:paraId="11ED6BE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2,077</w:t>
            </w:r>
          </w:p>
        </w:tc>
        <w:tc>
          <w:tcPr>
            <w:tcW w:w="56" w:type="pct"/>
            <w:tcBorders>
              <w:top w:val="nil"/>
              <w:left w:val="nil"/>
              <w:bottom w:val="nil"/>
              <w:right w:val="nil"/>
            </w:tcBorders>
            <w:shd w:val="clear" w:color="000000" w:fill="FFFFFF"/>
            <w:noWrap/>
            <w:vAlign w:val="center"/>
            <w:hideMark/>
          </w:tcPr>
          <w:p w14:paraId="5C523CDD"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9F5C2A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2,262</w:t>
            </w:r>
          </w:p>
        </w:tc>
        <w:tc>
          <w:tcPr>
            <w:tcW w:w="497" w:type="pct"/>
            <w:tcBorders>
              <w:top w:val="nil"/>
              <w:left w:val="nil"/>
              <w:bottom w:val="nil"/>
              <w:right w:val="nil"/>
            </w:tcBorders>
            <w:shd w:val="clear" w:color="000000" w:fill="E6F2FF"/>
            <w:noWrap/>
            <w:vAlign w:val="center"/>
            <w:hideMark/>
          </w:tcPr>
          <w:p w14:paraId="44390BD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2,278</w:t>
            </w:r>
          </w:p>
        </w:tc>
        <w:tc>
          <w:tcPr>
            <w:tcW w:w="497" w:type="pct"/>
            <w:tcBorders>
              <w:top w:val="nil"/>
              <w:left w:val="nil"/>
              <w:bottom w:val="nil"/>
              <w:right w:val="nil"/>
            </w:tcBorders>
            <w:shd w:val="clear" w:color="000000" w:fill="FFFFFF"/>
            <w:noWrap/>
            <w:vAlign w:val="center"/>
            <w:hideMark/>
          </w:tcPr>
          <w:p w14:paraId="5B87C6B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2,643</w:t>
            </w:r>
          </w:p>
        </w:tc>
        <w:tc>
          <w:tcPr>
            <w:tcW w:w="497" w:type="pct"/>
            <w:tcBorders>
              <w:top w:val="nil"/>
              <w:left w:val="nil"/>
              <w:bottom w:val="nil"/>
              <w:right w:val="nil"/>
            </w:tcBorders>
            <w:shd w:val="clear" w:color="000000" w:fill="FFFFFF"/>
            <w:noWrap/>
            <w:vAlign w:val="center"/>
            <w:hideMark/>
          </w:tcPr>
          <w:p w14:paraId="02DE45C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2,643</w:t>
            </w:r>
          </w:p>
        </w:tc>
        <w:tc>
          <w:tcPr>
            <w:tcW w:w="497" w:type="pct"/>
            <w:tcBorders>
              <w:top w:val="nil"/>
              <w:left w:val="nil"/>
              <w:bottom w:val="nil"/>
              <w:right w:val="nil"/>
            </w:tcBorders>
            <w:shd w:val="clear" w:color="000000" w:fill="FFFFFF"/>
            <w:noWrap/>
            <w:vAlign w:val="center"/>
            <w:hideMark/>
          </w:tcPr>
          <w:p w14:paraId="24269B3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2,593</w:t>
            </w:r>
          </w:p>
        </w:tc>
      </w:tr>
      <w:tr w:rsidR="00130397" w:rsidRPr="002D1BC3" w14:paraId="131637E1"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37D9E299"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Schools</w:t>
            </w:r>
          </w:p>
        </w:tc>
        <w:tc>
          <w:tcPr>
            <w:tcW w:w="506" w:type="pct"/>
            <w:tcBorders>
              <w:top w:val="nil"/>
              <w:left w:val="nil"/>
              <w:bottom w:val="nil"/>
              <w:right w:val="nil"/>
            </w:tcBorders>
            <w:shd w:val="clear" w:color="000000" w:fill="FFFFFF"/>
            <w:noWrap/>
            <w:vAlign w:val="center"/>
            <w:hideMark/>
          </w:tcPr>
          <w:p w14:paraId="3CD6D52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25,036</w:t>
            </w:r>
          </w:p>
        </w:tc>
        <w:tc>
          <w:tcPr>
            <w:tcW w:w="56" w:type="pct"/>
            <w:tcBorders>
              <w:top w:val="nil"/>
              <w:left w:val="nil"/>
              <w:bottom w:val="nil"/>
              <w:right w:val="nil"/>
            </w:tcBorders>
            <w:shd w:val="clear" w:color="000000" w:fill="FFFFFF"/>
            <w:noWrap/>
            <w:vAlign w:val="center"/>
            <w:hideMark/>
          </w:tcPr>
          <w:p w14:paraId="18BB531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570709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26,909</w:t>
            </w:r>
          </w:p>
        </w:tc>
        <w:tc>
          <w:tcPr>
            <w:tcW w:w="497" w:type="pct"/>
            <w:tcBorders>
              <w:top w:val="nil"/>
              <w:left w:val="nil"/>
              <w:bottom w:val="nil"/>
              <w:right w:val="nil"/>
            </w:tcBorders>
            <w:shd w:val="clear" w:color="000000" w:fill="E6F2FF"/>
            <w:noWrap/>
            <w:vAlign w:val="center"/>
            <w:hideMark/>
          </w:tcPr>
          <w:p w14:paraId="259CA17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28,286</w:t>
            </w:r>
          </w:p>
        </w:tc>
        <w:tc>
          <w:tcPr>
            <w:tcW w:w="497" w:type="pct"/>
            <w:tcBorders>
              <w:top w:val="nil"/>
              <w:left w:val="nil"/>
              <w:bottom w:val="nil"/>
              <w:right w:val="nil"/>
            </w:tcBorders>
            <w:shd w:val="clear" w:color="000000" w:fill="FFFFFF"/>
            <w:noWrap/>
            <w:vAlign w:val="center"/>
            <w:hideMark/>
          </w:tcPr>
          <w:p w14:paraId="04EAD35C"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29,397</w:t>
            </w:r>
          </w:p>
        </w:tc>
        <w:tc>
          <w:tcPr>
            <w:tcW w:w="497" w:type="pct"/>
            <w:tcBorders>
              <w:top w:val="nil"/>
              <w:left w:val="nil"/>
              <w:bottom w:val="nil"/>
              <w:right w:val="nil"/>
            </w:tcBorders>
            <w:shd w:val="clear" w:color="000000" w:fill="FFFFFF"/>
            <w:noWrap/>
            <w:vAlign w:val="center"/>
            <w:hideMark/>
          </w:tcPr>
          <w:p w14:paraId="3FBB195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30,356</w:t>
            </w:r>
          </w:p>
        </w:tc>
        <w:tc>
          <w:tcPr>
            <w:tcW w:w="497" w:type="pct"/>
            <w:tcBorders>
              <w:top w:val="nil"/>
              <w:left w:val="nil"/>
              <w:bottom w:val="nil"/>
              <w:right w:val="nil"/>
            </w:tcBorders>
            <w:shd w:val="clear" w:color="000000" w:fill="FFFFFF"/>
            <w:noWrap/>
            <w:vAlign w:val="center"/>
            <w:hideMark/>
          </w:tcPr>
          <w:p w14:paraId="07C7B27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31,368</w:t>
            </w:r>
          </w:p>
        </w:tc>
      </w:tr>
      <w:tr w:rsidR="00130397" w:rsidRPr="002D1BC3" w14:paraId="5AD5ABDB"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566A7280" w14:textId="77777777" w:rsidR="002D1BC3" w:rsidRPr="002D1BC3" w:rsidRDefault="002D1BC3" w:rsidP="00130397">
            <w:pPr>
              <w:spacing w:before="0" w:after="0" w:line="240" w:lineRule="auto"/>
              <w:ind w:left="340"/>
              <w:rPr>
                <w:rFonts w:ascii="Arial" w:hAnsi="Arial" w:cs="Arial"/>
                <w:i/>
                <w:iCs/>
                <w:color w:val="000000"/>
                <w:sz w:val="16"/>
                <w:szCs w:val="16"/>
              </w:rPr>
            </w:pPr>
            <w:r w:rsidRPr="002D1BC3">
              <w:rPr>
                <w:rFonts w:ascii="Arial" w:hAnsi="Arial" w:cs="Arial"/>
                <w:i/>
                <w:iCs/>
                <w:color w:val="000000"/>
                <w:sz w:val="16"/>
                <w:szCs w:val="16"/>
              </w:rPr>
              <w:t>Non-government schools</w:t>
            </w:r>
          </w:p>
        </w:tc>
        <w:tc>
          <w:tcPr>
            <w:tcW w:w="506" w:type="pct"/>
            <w:tcBorders>
              <w:top w:val="nil"/>
              <w:left w:val="nil"/>
              <w:bottom w:val="nil"/>
              <w:right w:val="nil"/>
            </w:tcBorders>
            <w:shd w:val="clear" w:color="000000" w:fill="FFFFFF"/>
            <w:noWrap/>
            <w:vAlign w:val="center"/>
            <w:hideMark/>
          </w:tcPr>
          <w:p w14:paraId="4CB78871"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15,365</w:t>
            </w:r>
          </w:p>
        </w:tc>
        <w:tc>
          <w:tcPr>
            <w:tcW w:w="56" w:type="pct"/>
            <w:tcBorders>
              <w:top w:val="nil"/>
              <w:left w:val="nil"/>
              <w:bottom w:val="nil"/>
              <w:right w:val="nil"/>
            </w:tcBorders>
            <w:shd w:val="clear" w:color="000000" w:fill="FFFFFF"/>
            <w:noWrap/>
            <w:vAlign w:val="center"/>
            <w:hideMark/>
          </w:tcPr>
          <w:p w14:paraId="37FA3F21"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165493EE"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16,646</w:t>
            </w:r>
          </w:p>
        </w:tc>
        <w:tc>
          <w:tcPr>
            <w:tcW w:w="497" w:type="pct"/>
            <w:tcBorders>
              <w:top w:val="nil"/>
              <w:left w:val="nil"/>
              <w:bottom w:val="nil"/>
              <w:right w:val="nil"/>
            </w:tcBorders>
            <w:shd w:val="clear" w:color="000000" w:fill="E6F2FF"/>
            <w:noWrap/>
            <w:vAlign w:val="center"/>
            <w:hideMark/>
          </w:tcPr>
          <w:p w14:paraId="45BBDB1E"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17,441</w:t>
            </w:r>
          </w:p>
        </w:tc>
        <w:tc>
          <w:tcPr>
            <w:tcW w:w="497" w:type="pct"/>
            <w:tcBorders>
              <w:top w:val="nil"/>
              <w:left w:val="nil"/>
              <w:bottom w:val="nil"/>
              <w:right w:val="nil"/>
            </w:tcBorders>
            <w:shd w:val="clear" w:color="000000" w:fill="FFFFFF"/>
            <w:noWrap/>
            <w:vAlign w:val="center"/>
            <w:hideMark/>
          </w:tcPr>
          <w:p w14:paraId="52D1D694"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18,131</w:t>
            </w:r>
          </w:p>
        </w:tc>
        <w:tc>
          <w:tcPr>
            <w:tcW w:w="497" w:type="pct"/>
            <w:tcBorders>
              <w:top w:val="nil"/>
              <w:left w:val="nil"/>
              <w:bottom w:val="nil"/>
              <w:right w:val="nil"/>
            </w:tcBorders>
            <w:shd w:val="clear" w:color="000000" w:fill="FFFFFF"/>
            <w:noWrap/>
            <w:vAlign w:val="center"/>
            <w:hideMark/>
          </w:tcPr>
          <w:p w14:paraId="5721CCF2"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18,681</w:t>
            </w:r>
          </w:p>
        </w:tc>
        <w:tc>
          <w:tcPr>
            <w:tcW w:w="497" w:type="pct"/>
            <w:tcBorders>
              <w:top w:val="nil"/>
              <w:left w:val="nil"/>
              <w:bottom w:val="nil"/>
              <w:right w:val="nil"/>
            </w:tcBorders>
            <w:shd w:val="clear" w:color="000000" w:fill="FFFFFF"/>
            <w:noWrap/>
            <w:vAlign w:val="center"/>
            <w:hideMark/>
          </w:tcPr>
          <w:p w14:paraId="46C0504E"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19,260</w:t>
            </w:r>
          </w:p>
        </w:tc>
      </w:tr>
      <w:tr w:rsidR="00130397" w:rsidRPr="002D1BC3" w14:paraId="3144D4D9"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522EE37F" w14:textId="77777777" w:rsidR="002D1BC3" w:rsidRPr="002D1BC3" w:rsidRDefault="002D1BC3" w:rsidP="00130397">
            <w:pPr>
              <w:spacing w:before="0" w:after="0" w:line="240" w:lineRule="auto"/>
              <w:ind w:left="340"/>
              <w:rPr>
                <w:rFonts w:ascii="Arial" w:hAnsi="Arial" w:cs="Arial"/>
                <w:i/>
                <w:iCs/>
                <w:color w:val="000000"/>
                <w:sz w:val="16"/>
                <w:szCs w:val="16"/>
              </w:rPr>
            </w:pPr>
            <w:r w:rsidRPr="002D1BC3">
              <w:rPr>
                <w:rFonts w:ascii="Arial" w:hAnsi="Arial" w:cs="Arial"/>
                <w:i/>
                <w:iCs/>
                <w:color w:val="000000"/>
                <w:sz w:val="16"/>
                <w:szCs w:val="16"/>
              </w:rPr>
              <w:t>Government schools</w:t>
            </w:r>
          </w:p>
        </w:tc>
        <w:tc>
          <w:tcPr>
            <w:tcW w:w="506" w:type="pct"/>
            <w:tcBorders>
              <w:top w:val="nil"/>
              <w:left w:val="nil"/>
              <w:bottom w:val="nil"/>
              <w:right w:val="nil"/>
            </w:tcBorders>
            <w:shd w:val="clear" w:color="000000" w:fill="FFFFFF"/>
            <w:noWrap/>
            <w:vAlign w:val="center"/>
            <w:hideMark/>
          </w:tcPr>
          <w:p w14:paraId="6BDA7166"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9,671</w:t>
            </w:r>
          </w:p>
        </w:tc>
        <w:tc>
          <w:tcPr>
            <w:tcW w:w="56" w:type="pct"/>
            <w:tcBorders>
              <w:top w:val="nil"/>
              <w:left w:val="nil"/>
              <w:bottom w:val="nil"/>
              <w:right w:val="nil"/>
            </w:tcBorders>
            <w:shd w:val="clear" w:color="000000" w:fill="FFFFFF"/>
            <w:noWrap/>
            <w:vAlign w:val="center"/>
            <w:hideMark/>
          </w:tcPr>
          <w:p w14:paraId="363D5655"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6A25D384"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10,264</w:t>
            </w:r>
          </w:p>
        </w:tc>
        <w:tc>
          <w:tcPr>
            <w:tcW w:w="497" w:type="pct"/>
            <w:tcBorders>
              <w:top w:val="nil"/>
              <w:left w:val="nil"/>
              <w:bottom w:val="nil"/>
              <w:right w:val="nil"/>
            </w:tcBorders>
            <w:shd w:val="clear" w:color="000000" w:fill="E6F2FF"/>
            <w:noWrap/>
            <w:vAlign w:val="center"/>
            <w:hideMark/>
          </w:tcPr>
          <w:p w14:paraId="48306A96"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10,845</w:t>
            </w:r>
          </w:p>
        </w:tc>
        <w:tc>
          <w:tcPr>
            <w:tcW w:w="497" w:type="pct"/>
            <w:tcBorders>
              <w:top w:val="nil"/>
              <w:left w:val="nil"/>
              <w:bottom w:val="nil"/>
              <w:right w:val="nil"/>
            </w:tcBorders>
            <w:shd w:val="clear" w:color="000000" w:fill="FFFFFF"/>
            <w:noWrap/>
            <w:vAlign w:val="center"/>
            <w:hideMark/>
          </w:tcPr>
          <w:p w14:paraId="0475CB19"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11,266</w:t>
            </w:r>
          </w:p>
        </w:tc>
        <w:tc>
          <w:tcPr>
            <w:tcW w:w="497" w:type="pct"/>
            <w:tcBorders>
              <w:top w:val="nil"/>
              <w:left w:val="nil"/>
              <w:bottom w:val="nil"/>
              <w:right w:val="nil"/>
            </w:tcBorders>
            <w:shd w:val="clear" w:color="000000" w:fill="FFFFFF"/>
            <w:noWrap/>
            <w:vAlign w:val="center"/>
            <w:hideMark/>
          </w:tcPr>
          <w:p w14:paraId="35FD1FF3"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11,676</w:t>
            </w:r>
          </w:p>
        </w:tc>
        <w:tc>
          <w:tcPr>
            <w:tcW w:w="497" w:type="pct"/>
            <w:tcBorders>
              <w:top w:val="nil"/>
              <w:left w:val="nil"/>
              <w:bottom w:val="nil"/>
              <w:right w:val="nil"/>
            </w:tcBorders>
            <w:shd w:val="clear" w:color="000000" w:fill="FFFFFF"/>
            <w:noWrap/>
            <w:vAlign w:val="center"/>
            <w:hideMark/>
          </w:tcPr>
          <w:p w14:paraId="4ABF8B03" w14:textId="77777777" w:rsidR="002D1BC3" w:rsidRPr="002D1BC3" w:rsidRDefault="002D1BC3" w:rsidP="002D1BC3">
            <w:pPr>
              <w:spacing w:before="0" w:after="0" w:line="240" w:lineRule="auto"/>
              <w:jc w:val="right"/>
              <w:rPr>
                <w:rFonts w:ascii="Arial" w:hAnsi="Arial" w:cs="Arial"/>
                <w:i/>
                <w:iCs/>
                <w:color w:val="000000"/>
                <w:sz w:val="16"/>
                <w:szCs w:val="16"/>
              </w:rPr>
            </w:pPr>
            <w:r w:rsidRPr="002D1BC3">
              <w:rPr>
                <w:rFonts w:ascii="Arial" w:hAnsi="Arial" w:cs="Arial"/>
                <w:i/>
                <w:iCs/>
                <w:color w:val="000000"/>
                <w:sz w:val="16"/>
                <w:szCs w:val="16"/>
              </w:rPr>
              <w:t>12,108</w:t>
            </w:r>
          </w:p>
        </w:tc>
      </w:tr>
      <w:tr w:rsidR="00130397" w:rsidRPr="002D1BC3" w14:paraId="74B14475"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38A64BBE"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 xml:space="preserve">School education - </w:t>
            </w:r>
          </w:p>
        </w:tc>
        <w:tc>
          <w:tcPr>
            <w:tcW w:w="506" w:type="pct"/>
            <w:tcBorders>
              <w:top w:val="nil"/>
              <w:left w:val="nil"/>
              <w:bottom w:val="nil"/>
              <w:right w:val="nil"/>
            </w:tcBorders>
            <w:shd w:val="clear" w:color="000000" w:fill="FFFFFF"/>
            <w:noWrap/>
            <w:vAlign w:val="center"/>
            <w:hideMark/>
          </w:tcPr>
          <w:p w14:paraId="5EB499BA"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56" w:type="pct"/>
            <w:tcBorders>
              <w:top w:val="nil"/>
              <w:left w:val="nil"/>
              <w:bottom w:val="nil"/>
              <w:right w:val="nil"/>
            </w:tcBorders>
            <w:shd w:val="clear" w:color="000000" w:fill="FFFFFF"/>
            <w:noWrap/>
            <w:vAlign w:val="center"/>
            <w:hideMark/>
          </w:tcPr>
          <w:p w14:paraId="517A6F61"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610FAAE9"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7" w:type="pct"/>
            <w:tcBorders>
              <w:top w:val="nil"/>
              <w:left w:val="nil"/>
              <w:bottom w:val="nil"/>
              <w:right w:val="nil"/>
            </w:tcBorders>
            <w:shd w:val="clear" w:color="000000" w:fill="E6F2FF"/>
            <w:noWrap/>
            <w:vAlign w:val="center"/>
            <w:hideMark/>
          </w:tcPr>
          <w:p w14:paraId="311CA235"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3287A4DF"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18CCBBC8"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7" w:type="pct"/>
            <w:tcBorders>
              <w:top w:val="nil"/>
              <w:left w:val="nil"/>
              <w:bottom w:val="nil"/>
              <w:right w:val="nil"/>
            </w:tcBorders>
            <w:shd w:val="clear" w:color="000000" w:fill="FFFFFF"/>
            <w:noWrap/>
            <w:vAlign w:val="center"/>
            <w:hideMark/>
          </w:tcPr>
          <w:p w14:paraId="014CA70D"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r>
      <w:tr w:rsidR="00130397" w:rsidRPr="002D1BC3" w14:paraId="06D27FEC"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4F9C392F" w14:textId="77777777" w:rsidR="002D1BC3" w:rsidRPr="002D1BC3" w:rsidRDefault="002D1BC3" w:rsidP="00130397">
            <w:pPr>
              <w:spacing w:before="0" w:after="0" w:line="240" w:lineRule="auto"/>
              <w:ind w:left="340"/>
              <w:rPr>
                <w:rFonts w:ascii="Arial" w:hAnsi="Arial" w:cs="Arial"/>
                <w:color w:val="000000"/>
                <w:sz w:val="16"/>
                <w:szCs w:val="16"/>
              </w:rPr>
            </w:pPr>
            <w:r w:rsidRPr="002D1BC3">
              <w:rPr>
                <w:rFonts w:ascii="Arial" w:hAnsi="Arial" w:cs="Arial"/>
                <w:color w:val="000000"/>
                <w:sz w:val="16"/>
                <w:szCs w:val="16"/>
              </w:rPr>
              <w:t>specific funding</w:t>
            </w:r>
          </w:p>
        </w:tc>
        <w:tc>
          <w:tcPr>
            <w:tcW w:w="506" w:type="pct"/>
            <w:tcBorders>
              <w:top w:val="nil"/>
              <w:left w:val="nil"/>
              <w:bottom w:val="nil"/>
              <w:right w:val="nil"/>
            </w:tcBorders>
            <w:shd w:val="clear" w:color="000000" w:fill="FFFFFF"/>
            <w:noWrap/>
            <w:vAlign w:val="center"/>
            <w:hideMark/>
          </w:tcPr>
          <w:p w14:paraId="374AAF0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721</w:t>
            </w:r>
          </w:p>
        </w:tc>
        <w:tc>
          <w:tcPr>
            <w:tcW w:w="56" w:type="pct"/>
            <w:tcBorders>
              <w:top w:val="nil"/>
              <w:left w:val="nil"/>
              <w:bottom w:val="nil"/>
              <w:right w:val="nil"/>
            </w:tcBorders>
            <w:shd w:val="clear" w:color="000000" w:fill="FFFFFF"/>
            <w:noWrap/>
            <w:vAlign w:val="center"/>
            <w:hideMark/>
          </w:tcPr>
          <w:p w14:paraId="472A1336"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498" w:type="pct"/>
            <w:tcBorders>
              <w:top w:val="nil"/>
              <w:left w:val="nil"/>
              <w:bottom w:val="nil"/>
              <w:right w:val="nil"/>
            </w:tcBorders>
            <w:shd w:val="clear" w:color="000000" w:fill="FFFFFF"/>
            <w:noWrap/>
            <w:vAlign w:val="center"/>
            <w:hideMark/>
          </w:tcPr>
          <w:p w14:paraId="342FCCC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1,128</w:t>
            </w:r>
          </w:p>
        </w:tc>
        <w:tc>
          <w:tcPr>
            <w:tcW w:w="497" w:type="pct"/>
            <w:tcBorders>
              <w:top w:val="nil"/>
              <w:left w:val="nil"/>
              <w:bottom w:val="nil"/>
              <w:right w:val="nil"/>
            </w:tcBorders>
            <w:shd w:val="clear" w:color="000000" w:fill="E6F2FF"/>
            <w:noWrap/>
            <w:vAlign w:val="center"/>
            <w:hideMark/>
          </w:tcPr>
          <w:p w14:paraId="28CF665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1,149</w:t>
            </w:r>
          </w:p>
        </w:tc>
        <w:tc>
          <w:tcPr>
            <w:tcW w:w="497" w:type="pct"/>
            <w:tcBorders>
              <w:top w:val="nil"/>
              <w:left w:val="nil"/>
              <w:bottom w:val="nil"/>
              <w:right w:val="nil"/>
            </w:tcBorders>
            <w:shd w:val="clear" w:color="000000" w:fill="FFFFFF"/>
            <w:noWrap/>
            <w:vAlign w:val="center"/>
            <w:hideMark/>
          </w:tcPr>
          <w:p w14:paraId="37965AC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808</w:t>
            </w:r>
          </w:p>
        </w:tc>
        <w:tc>
          <w:tcPr>
            <w:tcW w:w="497" w:type="pct"/>
            <w:tcBorders>
              <w:top w:val="nil"/>
              <w:left w:val="nil"/>
              <w:bottom w:val="nil"/>
              <w:right w:val="nil"/>
            </w:tcBorders>
            <w:shd w:val="clear" w:color="000000" w:fill="FFFFFF"/>
            <w:noWrap/>
            <w:vAlign w:val="center"/>
            <w:hideMark/>
          </w:tcPr>
          <w:p w14:paraId="1E25FE4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821</w:t>
            </w:r>
          </w:p>
        </w:tc>
        <w:tc>
          <w:tcPr>
            <w:tcW w:w="497" w:type="pct"/>
            <w:tcBorders>
              <w:top w:val="nil"/>
              <w:left w:val="nil"/>
              <w:bottom w:val="nil"/>
              <w:right w:val="nil"/>
            </w:tcBorders>
            <w:shd w:val="clear" w:color="000000" w:fill="FFFFFF"/>
            <w:noWrap/>
            <w:vAlign w:val="center"/>
            <w:hideMark/>
          </w:tcPr>
          <w:p w14:paraId="3297DBA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827</w:t>
            </w:r>
          </w:p>
        </w:tc>
      </w:tr>
      <w:tr w:rsidR="00130397" w:rsidRPr="002D1BC3" w14:paraId="0031E345"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54822393"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Student assistance</w:t>
            </w:r>
          </w:p>
        </w:tc>
        <w:tc>
          <w:tcPr>
            <w:tcW w:w="506" w:type="pct"/>
            <w:tcBorders>
              <w:top w:val="nil"/>
              <w:left w:val="nil"/>
              <w:bottom w:val="nil"/>
              <w:right w:val="nil"/>
            </w:tcBorders>
            <w:shd w:val="clear" w:color="000000" w:fill="FFFFFF"/>
            <w:noWrap/>
            <w:vAlign w:val="center"/>
            <w:hideMark/>
          </w:tcPr>
          <w:p w14:paraId="1F9BAA0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4,401</w:t>
            </w:r>
          </w:p>
        </w:tc>
        <w:tc>
          <w:tcPr>
            <w:tcW w:w="56" w:type="pct"/>
            <w:tcBorders>
              <w:top w:val="nil"/>
              <w:left w:val="nil"/>
              <w:bottom w:val="nil"/>
              <w:right w:val="nil"/>
            </w:tcBorders>
            <w:shd w:val="clear" w:color="000000" w:fill="FFFFFF"/>
            <w:noWrap/>
            <w:vAlign w:val="center"/>
            <w:hideMark/>
          </w:tcPr>
          <w:p w14:paraId="31D5958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9D6E3A3"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4,783</w:t>
            </w:r>
          </w:p>
        </w:tc>
        <w:tc>
          <w:tcPr>
            <w:tcW w:w="497" w:type="pct"/>
            <w:tcBorders>
              <w:top w:val="nil"/>
              <w:left w:val="nil"/>
              <w:bottom w:val="nil"/>
              <w:right w:val="nil"/>
            </w:tcBorders>
            <w:shd w:val="clear" w:color="000000" w:fill="E6F2FF"/>
            <w:noWrap/>
            <w:vAlign w:val="center"/>
            <w:hideMark/>
          </w:tcPr>
          <w:p w14:paraId="73E7E4D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5,362</w:t>
            </w:r>
          </w:p>
        </w:tc>
        <w:tc>
          <w:tcPr>
            <w:tcW w:w="497" w:type="pct"/>
            <w:tcBorders>
              <w:top w:val="nil"/>
              <w:left w:val="nil"/>
              <w:bottom w:val="nil"/>
              <w:right w:val="nil"/>
            </w:tcBorders>
            <w:shd w:val="clear" w:color="000000" w:fill="FFFFFF"/>
            <w:noWrap/>
            <w:vAlign w:val="center"/>
            <w:hideMark/>
          </w:tcPr>
          <w:p w14:paraId="2243EDC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5,789</w:t>
            </w:r>
          </w:p>
        </w:tc>
        <w:tc>
          <w:tcPr>
            <w:tcW w:w="497" w:type="pct"/>
            <w:tcBorders>
              <w:top w:val="nil"/>
              <w:left w:val="nil"/>
              <w:bottom w:val="nil"/>
              <w:right w:val="nil"/>
            </w:tcBorders>
            <w:shd w:val="clear" w:color="000000" w:fill="FFFFFF"/>
            <w:noWrap/>
            <w:vAlign w:val="center"/>
            <w:hideMark/>
          </w:tcPr>
          <w:p w14:paraId="23055F3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6,088</w:t>
            </w:r>
          </w:p>
        </w:tc>
        <w:tc>
          <w:tcPr>
            <w:tcW w:w="497" w:type="pct"/>
            <w:tcBorders>
              <w:top w:val="nil"/>
              <w:left w:val="nil"/>
              <w:bottom w:val="nil"/>
              <w:right w:val="nil"/>
            </w:tcBorders>
            <w:shd w:val="clear" w:color="000000" w:fill="FFFFFF"/>
            <w:noWrap/>
            <w:vAlign w:val="center"/>
            <w:hideMark/>
          </w:tcPr>
          <w:p w14:paraId="20232AE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6,369</w:t>
            </w:r>
          </w:p>
        </w:tc>
      </w:tr>
      <w:tr w:rsidR="00130397" w:rsidRPr="002D1BC3" w14:paraId="6B6094C9"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14E89181"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General administration</w:t>
            </w:r>
          </w:p>
        </w:tc>
        <w:tc>
          <w:tcPr>
            <w:tcW w:w="506" w:type="pct"/>
            <w:tcBorders>
              <w:top w:val="nil"/>
              <w:left w:val="nil"/>
              <w:bottom w:val="single" w:sz="4" w:space="0" w:color="293F5B"/>
              <w:right w:val="nil"/>
            </w:tcBorders>
            <w:shd w:val="clear" w:color="000000" w:fill="FFFFFF"/>
            <w:noWrap/>
            <w:vAlign w:val="center"/>
            <w:hideMark/>
          </w:tcPr>
          <w:p w14:paraId="3922C7A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333</w:t>
            </w:r>
          </w:p>
        </w:tc>
        <w:tc>
          <w:tcPr>
            <w:tcW w:w="56" w:type="pct"/>
            <w:tcBorders>
              <w:top w:val="nil"/>
              <w:left w:val="nil"/>
              <w:bottom w:val="nil"/>
              <w:right w:val="nil"/>
            </w:tcBorders>
            <w:shd w:val="clear" w:color="000000" w:fill="FFFFFF"/>
            <w:noWrap/>
            <w:vAlign w:val="center"/>
            <w:hideMark/>
          </w:tcPr>
          <w:p w14:paraId="06510B1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6E2345B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208</w:t>
            </w:r>
          </w:p>
        </w:tc>
        <w:tc>
          <w:tcPr>
            <w:tcW w:w="497" w:type="pct"/>
            <w:tcBorders>
              <w:top w:val="nil"/>
              <w:left w:val="nil"/>
              <w:bottom w:val="single" w:sz="4" w:space="0" w:color="293F5B"/>
              <w:right w:val="nil"/>
            </w:tcBorders>
            <w:shd w:val="clear" w:color="000000" w:fill="E6F2FF"/>
            <w:noWrap/>
            <w:vAlign w:val="center"/>
            <w:hideMark/>
          </w:tcPr>
          <w:p w14:paraId="5A36B84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282</w:t>
            </w:r>
          </w:p>
        </w:tc>
        <w:tc>
          <w:tcPr>
            <w:tcW w:w="497" w:type="pct"/>
            <w:tcBorders>
              <w:top w:val="nil"/>
              <w:left w:val="nil"/>
              <w:bottom w:val="single" w:sz="4" w:space="0" w:color="293F5B"/>
              <w:right w:val="nil"/>
            </w:tcBorders>
            <w:shd w:val="clear" w:color="000000" w:fill="FFFFFF"/>
            <w:noWrap/>
            <w:vAlign w:val="center"/>
            <w:hideMark/>
          </w:tcPr>
          <w:p w14:paraId="00484F3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263</w:t>
            </w:r>
          </w:p>
        </w:tc>
        <w:tc>
          <w:tcPr>
            <w:tcW w:w="497" w:type="pct"/>
            <w:tcBorders>
              <w:top w:val="nil"/>
              <w:left w:val="nil"/>
              <w:bottom w:val="single" w:sz="4" w:space="0" w:color="293F5B"/>
              <w:right w:val="nil"/>
            </w:tcBorders>
            <w:shd w:val="clear" w:color="000000" w:fill="FFFFFF"/>
            <w:noWrap/>
            <w:vAlign w:val="center"/>
            <w:hideMark/>
          </w:tcPr>
          <w:p w14:paraId="7112C4A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259</w:t>
            </w:r>
          </w:p>
        </w:tc>
        <w:tc>
          <w:tcPr>
            <w:tcW w:w="497" w:type="pct"/>
            <w:tcBorders>
              <w:top w:val="nil"/>
              <w:left w:val="nil"/>
              <w:bottom w:val="single" w:sz="4" w:space="0" w:color="293F5B"/>
              <w:right w:val="nil"/>
            </w:tcBorders>
            <w:shd w:val="clear" w:color="000000" w:fill="FFFFFF"/>
            <w:noWrap/>
            <w:vAlign w:val="center"/>
            <w:hideMark/>
          </w:tcPr>
          <w:p w14:paraId="780ED07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254</w:t>
            </w:r>
          </w:p>
        </w:tc>
      </w:tr>
      <w:tr w:rsidR="00130397" w:rsidRPr="002D1BC3" w14:paraId="6390E35C"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338D356"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Total education</w:t>
            </w:r>
          </w:p>
        </w:tc>
        <w:tc>
          <w:tcPr>
            <w:tcW w:w="506" w:type="pct"/>
            <w:tcBorders>
              <w:top w:val="nil"/>
              <w:left w:val="nil"/>
              <w:bottom w:val="single" w:sz="4" w:space="0" w:color="293F5B"/>
              <w:right w:val="nil"/>
            </w:tcBorders>
            <w:shd w:val="clear" w:color="000000" w:fill="FFFFFF"/>
            <w:noWrap/>
            <w:vAlign w:val="center"/>
            <w:hideMark/>
          </w:tcPr>
          <w:p w14:paraId="66106EDE"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43,225</w:t>
            </w:r>
          </w:p>
        </w:tc>
        <w:tc>
          <w:tcPr>
            <w:tcW w:w="56" w:type="pct"/>
            <w:tcBorders>
              <w:top w:val="nil"/>
              <w:left w:val="nil"/>
              <w:bottom w:val="nil"/>
              <w:right w:val="nil"/>
            </w:tcBorders>
            <w:shd w:val="clear" w:color="000000" w:fill="FFFFFF"/>
            <w:noWrap/>
            <w:vAlign w:val="center"/>
            <w:hideMark/>
          </w:tcPr>
          <w:p w14:paraId="1F7A38C1"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2EE0127D"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45,876</w:t>
            </w:r>
          </w:p>
        </w:tc>
        <w:tc>
          <w:tcPr>
            <w:tcW w:w="497" w:type="pct"/>
            <w:tcBorders>
              <w:top w:val="nil"/>
              <w:left w:val="nil"/>
              <w:bottom w:val="single" w:sz="4" w:space="0" w:color="293F5B"/>
              <w:right w:val="nil"/>
            </w:tcBorders>
            <w:shd w:val="clear" w:color="000000" w:fill="E6F2FF"/>
            <w:noWrap/>
            <w:vAlign w:val="center"/>
            <w:hideMark/>
          </w:tcPr>
          <w:p w14:paraId="65321F19"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48,258</w:t>
            </w:r>
          </w:p>
        </w:tc>
        <w:tc>
          <w:tcPr>
            <w:tcW w:w="497" w:type="pct"/>
            <w:tcBorders>
              <w:top w:val="nil"/>
              <w:left w:val="nil"/>
              <w:bottom w:val="single" w:sz="4" w:space="0" w:color="293F5B"/>
              <w:right w:val="nil"/>
            </w:tcBorders>
            <w:shd w:val="clear" w:color="000000" w:fill="FFFFFF"/>
            <w:noWrap/>
            <w:vAlign w:val="center"/>
            <w:hideMark/>
          </w:tcPr>
          <w:p w14:paraId="4EDFEC2E"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50,385</w:t>
            </w:r>
          </w:p>
        </w:tc>
        <w:tc>
          <w:tcPr>
            <w:tcW w:w="497" w:type="pct"/>
            <w:tcBorders>
              <w:top w:val="nil"/>
              <w:left w:val="nil"/>
              <w:bottom w:val="single" w:sz="4" w:space="0" w:color="293F5B"/>
              <w:right w:val="nil"/>
            </w:tcBorders>
            <w:shd w:val="clear" w:color="000000" w:fill="FFFFFF"/>
            <w:noWrap/>
            <w:vAlign w:val="center"/>
            <w:hideMark/>
          </w:tcPr>
          <w:p w14:paraId="7F748257"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52,114</w:t>
            </w:r>
          </w:p>
        </w:tc>
        <w:tc>
          <w:tcPr>
            <w:tcW w:w="497" w:type="pct"/>
            <w:tcBorders>
              <w:top w:val="nil"/>
              <w:left w:val="nil"/>
              <w:bottom w:val="single" w:sz="4" w:space="0" w:color="293F5B"/>
              <w:right w:val="nil"/>
            </w:tcBorders>
            <w:shd w:val="clear" w:color="000000" w:fill="FFFFFF"/>
            <w:noWrap/>
            <w:vAlign w:val="center"/>
            <w:hideMark/>
          </w:tcPr>
          <w:p w14:paraId="33B93772"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53,732</w:t>
            </w:r>
          </w:p>
        </w:tc>
      </w:tr>
      <w:tr w:rsidR="00130397" w:rsidRPr="002D1BC3" w14:paraId="3525AA0C" w14:textId="77777777" w:rsidTr="00130397">
        <w:trPr>
          <w:trHeight w:hRule="exact" w:val="25"/>
        </w:trPr>
        <w:tc>
          <w:tcPr>
            <w:tcW w:w="1950" w:type="pct"/>
            <w:tcBorders>
              <w:top w:val="nil"/>
              <w:left w:val="nil"/>
              <w:bottom w:val="nil"/>
              <w:right w:val="nil"/>
            </w:tcBorders>
            <w:shd w:val="clear" w:color="000000" w:fill="FFFFFF"/>
            <w:noWrap/>
            <w:vAlign w:val="center"/>
            <w:hideMark/>
          </w:tcPr>
          <w:p w14:paraId="486F1D2F"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506" w:type="pct"/>
            <w:tcBorders>
              <w:top w:val="nil"/>
              <w:left w:val="nil"/>
              <w:bottom w:val="nil"/>
              <w:right w:val="nil"/>
            </w:tcBorders>
            <w:shd w:val="clear" w:color="000000" w:fill="FFFFFF"/>
            <w:noWrap/>
            <w:vAlign w:val="center"/>
            <w:hideMark/>
          </w:tcPr>
          <w:p w14:paraId="69BF68F7"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56" w:type="pct"/>
            <w:tcBorders>
              <w:top w:val="nil"/>
              <w:left w:val="nil"/>
              <w:bottom w:val="nil"/>
              <w:right w:val="nil"/>
            </w:tcBorders>
            <w:shd w:val="clear" w:color="000000" w:fill="FFFFFF"/>
            <w:noWrap/>
            <w:vAlign w:val="center"/>
            <w:hideMark/>
          </w:tcPr>
          <w:p w14:paraId="6F2AC436"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nil"/>
              <w:right w:val="nil"/>
            </w:tcBorders>
            <w:shd w:val="clear" w:color="000000" w:fill="FFFFFF"/>
            <w:noWrap/>
            <w:vAlign w:val="center"/>
            <w:hideMark/>
          </w:tcPr>
          <w:p w14:paraId="56B64ED1"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7" w:type="pct"/>
            <w:tcBorders>
              <w:top w:val="nil"/>
              <w:left w:val="nil"/>
              <w:bottom w:val="nil"/>
              <w:right w:val="nil"/>
            </w:tcBorders>
            <w:shd w:val="clear" w:color="000000" w:fill="E6F2FF"/>
            <w:noWrap/>
            <w:vAlign w:val="center"/>
            <w:hideMark/>
          </w:tcPr>
          <w:p w14:paraId="2AFA83DD"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67A18A40"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3B41B8B4"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7" w:type="pct"/>
            <w:tcBorders>
              <w:top w:val="nil"/>
              <w:left w:val="nil"/>
              <w:bottom w:val="nil"/>
              <w:right w:val="nil"/>
            </w:tcBorders>
            <w:shd w:val="clear" w:color="000000" w:fill="FFFFFF"/>
            <w:noWrap/>
            <w:vAlign w:val="center"/>
            <w:hideMark/>
          </w:tcPr>
          <w:p w14:paraId="6357AA1B"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r>
      <w:tr w:rsidR="00130397" w:rsidRPr="002D1BC3" w14:paraId="6CAB8F88"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0F958D8"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Health</w:t>
            </w:r>
          </w:p>
        </w:tc>
        <w:tc>
          <w:tcPr>
            <w:tcW w:w="506" w:type="pct"/>
            <w:tcBorders>
              <w:top w:val="nil"/>
              <w:left w:val="nil"/>
              <w:bottom w:val="nil"/>
              <w:right w:val="nil"/>
            </w:tcBorders>
            <w:shd w:val="clear" w:color="000000" w:fill="FFFFFF"/>
            <w:noWrap/>
            <w:vAlign w:val="center"/>
            <w:hideMark/>
          </w:tcPr>
          <w:p w14:paraId="78D1F8B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2A3F385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660EE9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5FAD1AC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EE8FF9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1BA104CA"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B418C2F"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4854C690"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0CAE57E9"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Medical services and benefits</w:t>
            </w:r>
          </w:p>
        </w:tc>
        <w:tc>
          <w:tcPr>
            <w:tcW w:w="506" w:type="pct"/>
            <w:tcBorders>
              <w:top w:val="nil"/>
              <w:left w:val="nil"/>
              <w:bottom w:val="nil"/>
              <w:right w:val="nil"/>
            </w:tcBorders>
            <w:shd w:val="clear" w:color="000000" w:fill="FFFFFF"/>
            <w:noWrap/>
            <w:vAlign w:val="center"/>
            <w:hideMark/>
          </w:tcPr>
          <w:p w14:paraId="176F30B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37,306</w:t>
            </w:r>
          </w:p>
        </w:tc>
        <w:tc>
          <w:tcPr>
            <w:tcW w:w="56" w:type="pct"/>
            <w:tcBorders>
              <w:top w:val="nil"/>
              <w:left w:val="nil"/>
              <w:bottom w:val="nil"/>
              <w:right w:val="nil"/>
            </w:tcBorders>
            <w:shd w:val="clear" w:color="000000" w:fill="FFFFFF"/>
            <w:noWrap/>
            <w:vAlign w:val="center"/>
            <w:hideMark/>
          </w:tcPr>
          <w:p w14:paraId="1FAD3A6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3A6F57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36,982</w:t>
            </w:r>
          </w:p>
        </w:tc>
        <w:tc>
          <w:tcPr>
            <w:tcW w:w="497" w:type="pct"/>
            <w:tcBorders>
              <w:top w:val="nil"/>
              <w:left w:val="nil"/>
              <w:bottom w:val="nil"/>
              <w:right w:val="nil"/>
            </w:tcBorders>
            <w:shd w:val="clear" w:color="000000" w:fill="E6F2FF"/>
            <w:noWrap/>
            <w:vAlign w:val="center"/>
            <w:hideMark/>
          </w:tcPr>
          <w:p w14:paraId="47237A7F"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39,300</w:t>
            </w:r>
          </w:p>
        </w:tc>
        <w:tc>
          <w:tcPr>
            <w:tcW w:w="497" w:type="pct"/>
            <w:tcBorders>
              <w:top w:val="nil"/>
              <w:left w:val="nil"/>
              <w:bottom w:val="nil"/>
              <w:right w:val="nil"/>
            </w:tcBorders>
            <w:shd w:val="clear" w:color="000000" w:fill="FFFFFF"/>
            <w:noWrap/>
            <w:vAlign w:val="center"/>
            <w:hideMark/>
          </w:tcPr>
          <w:p w14:paraId="371F30AE"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41,313</w:t>
            </w:r>
          </w:p>
        </w:tc>
        <w:tc>
          <w:tcPr>
            <w:tcW w:w="497" w:type="pct"/>
            <w:tcBorders>
              <w:top w:val="nil"/>
              <w:left w:val="nil"/>
              <w:bottom w:val="nil"/>
              <w:right w:val="nil"/>
            </w:tcBorders>
            <w:shd w:val="clear" w:color="000000" w:fill="FFFFFF"/>
            <w:noWrap/>
            <w:vAlign w:val="center"/>
            <w:hideMark/>
          </w:tcPr>
          <w:p w14:paraId="429B552F"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43,396</w:t>
            </w:r>
          </w:p>
        </w:tc>
        <w:tc>
          <w:tcPr>
            <w:tcW w:w="497" w:type="pct"/>
            <w:tcBorders>
              <w:top w:val="nil"/>
              <w:left w:val="nil"/>
              <w:bottom w:val="nil"/>
              <w:right w:val="nil"/>
            </w:tcBorders>
            <w:shd w:val="clear" w:color="000000" w:fill="FFFFFF"/>
            <w:noWrap/>
            <w:vAlign w:val="center"/>
            <w:hideMark/>
          </w:tcPr>
          <w:p w14:paraId="5C1FBAF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45,471</w:t>
            </w:r>
          </w:p>
        </w:tc>
      </w:tr>
      <w:tr w:rsidR="00130397" w:rsidRPr="002D1BC3" w14:paraId="1C27D5BF"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7524F8F"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 xml:space="preserve">Pharmaceutical benefits and </w:t>
            </w:r>
          </w:p>
        </w:tc>
        <w:tc>
          <w:tcPr>
            <w:tcW w:w="506" w:type="pct"/>
            <w:tcBorders>
              <w:top w:val="nil"/>
              <w:left w:val="nil"/>
              <w:bottom w:val="nil"/>
              <w:right w:val="nil"/>
            </w:tcBorders>
            <w:shd w:val="clear" w:color="000000" w:fill="FFFFFF"/>
            <w:noWrap/>
            <w:vAlign w:val="center"/>
            <w:hideMark/>
          </w:tcPr>
          <w:p w14:paraId="2BC32B91" w14:textId="77777777" w:rsidR="002D1BC3" w:rsidRPr="002D1BC3" w:rsidRDefault="002D1BC3" w:rsidP="002D1BC3">
            <w:pPr>
              <w:spacing w:before="0" w:after="0" w:line="240" w:lineRule="auto"/>
              <w:rPr>
                <w:rFonts w:ascii="Arial" w:hAnsi="Arial" w:cs="Arial"/>
                <w:i/>
                <w:iCs/>
                <w:color w:val="000000"/>
                <w:sz w:val="16"/>
                <w:szCs w:val="16"/>
              </w:rPr>
            </w:pPr>
            <w:r w:rsidRPr="002D1BC3">
              <w:rPr>
                <w:rFonts w:ascii="Arial" w:hAnsi="Arial" w:cs="Arial"/>
                <w:i/>
                <w:iCs/>
                <w:color w:val="000000"/>
                <w:sz w:val="16"/>
                <w:szCs w:val="16"/>
              </w:rPr>
              <w:t> </w:t>
            </w:r>
          </w:p>
        </w:tc>
        <w:tc>
          <w:tcPr>
            <w:tcW w:w="56" w:type="pct"/>
            <w:tcBorders>
              <w:top w:val="nil"/>
              <w:left w:val="nil"/>
              <w:bottom w:val="nil"/>
              <w:right w:val="nil"/>
            </w:tcBorders>
            <w:shd w:val="clear" w:color="000000" w:fill="FFFFFF"/>
            <w:noWrap/>
            <w:vAlign w:val="center"/>
            <w:hideMark/>
          </w:tcPr>
          <w:p w14:paraId="796B3503"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c>
          <w:tcPr>
            <w:tcW w:w="498" w:type="pct"/>
            <w:tcBorders>
              <w:top w:val="nil"/>
              <w:left w:val="nil"/>
              <w:bottom w:val="nil"/>
              <w:right w:val="nil"/>
            </w:tcBorders>
            <w:shd w:val="clear" w:color="000000" w:fill="FFFFFF"/>
            <w:noWrap/>
            <w:vAlign w:val="center"/>
            <w:hideMark/>
          </w:tcPr>
          <w:p w14:paraId="20DD9E0A"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c>
          <w:tcPr>
            <w:tcW w:w="497" w:type="pct"/>
            <w:tcBorders>
              <w:top w:val="nil"/>
              <w:left w:val="nil"/>
              <w:bottom w:val="nil"/>
              <w:right w:val="nil"/>
            </w:tcBorders>
            <w:shd w:val="clear" w:color="000000" w:fill="E6F2FF"/>
            <w:noWrap/>
            <w:vAlign w:val="center"/>
            <w:hideMark/>
          </w:tcPr>
          <w:p w14:paraId="7104B97A"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5D4C60F9"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563120C6"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c>
          <w:tcPr>
            <w:tcW w:w="497" w:type="pct"/>
            <w:tcBorders>
              <w:top w:val="nil"/>
              <w:left w:val="nil"/>
              <w:bottom w:val="nil"/>
              <w:right w:val="nil"/>
            </w:tcBorders>
            <w:shd w:val="clear" w:color="000000" w:fill="FFFFFF"/>
            <w:noWrap/>
            <w:vAlign w:val="center"/>
            <w:hideMark/>
          </w:tcPr>
          <w:p w14:paraId="35C3307C" w14:textId="77777777" w:rsidR="002D1BC3" w:rsidRPr="002D1BC3" w:rsidRDefault="002D1BC3" w:rsidP="002D1BC3">
            <w:pPr>
              <w:spacing w:before="0" w:after="0" w:line="240" w:lineRule="auto"/>
              <w:rPr>
                <w:rFonts w:ascii="Arial" w:hAnsi="Arial" w:cs="Arial"/>
                <w:i/>
                <w:iCs/>
                <w:sz w:val="16"/>
                <w:szCs w:val="16"/>
              </w:rPr>
            </w:pPr>
            <w:r w:rsidRPr="002D1BC3">
              <w:rPr>
                <w:rFonts w:ascii="Arial" w:hAnsi="Arial" w:cs="Arial"/>
                <w:i/>
                <w:iCs/>
                <w:sz w:val="16"/>
                <w:szCs w:val="16"/>
              </w:rPr>
              <w:t> </w:t>
            </w:r>
          </w:p>
        </w:tc>
      </w:tr>
      <w:tr w:rsidR="00130397" w:rsidRPr="002D1BC3" w14:paraId="4C2E7F97"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3F3FCBEA" w14:textId="77777777" w:rsidR="002D1BC3" w:rsidRPr="002D1BC3" w:rsidRDefault="002D1BC3" w:rsidP="00130397">
            <w:pPr>
              <w:spacing w:before="0" w:after="0" w:line="240" w:lineRule="auto"/>
              <w:ind w:left="340"/>
              <w:rPr>
                <w:rFonts w:ascii="Arial" w:hAnsi="Arial" w:cs="Arial"/>
                <w:color w:val="000000"/>
                <w:sz w:val="16"/>
                <w:szCs w:val="16"/>
              </w:rPr>
            </w:pPr>
            <w:r w:rsidRPr="002D1BC3">
              <w:rPr>
                <w:rFonts w:ascii="Arial" w:hAnsi="Arial" w:cs="Arial"/>
                <w:color w:val="000000"/>
                <w:sz w:val="16"/>
                <w:szCs w:val="16"/>
              </w:rPr>
              <w:t>services</w:t>
            </w:r>
          </w:p>
        </w:tc>
        <w:tc>
          <w:tcPr>
            <w:tcW w:w="506" w:type="pct"/>
            <w:tcBorders>
              <w:top w:val="nil"/>
              <w:left w:val="nil"/>
              <w:bottom w:val="nil"/>
              <w:right w:val="nil"/>
            </w:tcBorders>
            <w:shd w:val="clear" w:color="000000" w:fill="FFFFFF"/>
            <w:noWrap/>
            <w:vAlign w:val="center"/>
            <w:hideMark/>
          </w:tcPr>
          <w:p w14:paraId="0D7EAD7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16,273</w:t>
            </w:r>
          </w:p>
        </w:tc>
        <w:tc>
          <w:tcPr>
            <w:tcW w:w="56" w:type="pct"/>
            <w:tcBorders>
              <w:top w:val="nil"/>
              <w:left w:val="nil"/>
              <w:bottom w:val="nil"/>
              <w:right w:val="nil"/>
            </w:tcBorders>
            <w:shd w:val="clear" w:color="000000" w:fill="FFFFFF"/>
            <w:noWrap/>
            <w:vAlign w:val="center"/>
            <w:hideMark/>
          </w:tcPr>
          <w:p w14:paraId="4FD0B54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4C7F80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19,592</w:t>
            </w:r>
          </w:p>
        </w:tc>
        <w:tc>
          <w:tcPr>
            <w:tcW w:w="497" w:type="pct"/>
            <w:tcBorders>
              <w:top w:val="nil"/>
              <w:left w:val="nil"/>
              <w:bottom w:val="nil"/>
              <w:right w:val="nil"/>
            </w:tcBorders>
            <w:shd w:val="clear" w:color="000000" w:fill="E6F2FF"/>
            <w:noWrap/>
            <w:vAlign w:val="center"/>
            <w:hideMark/>
          </w:tcPr>
          <w:p w14:paraId="56821E9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19,106</w:t>
            </w:r>
          </w:p>
        </w:tc>
        <w:tc>
          <w:tcPr>
            <w:tcW w:w="497" w:type="pct"/>
            <w:tcBorders>
              <w:top w:val="nil"/>
              <w:left w:val="nil"/>
              <w:bottom w:val="nil"/>
              <w:right w:val="nil"/>
            </w:tcBorders>
            <w:shd w:val="clear" w:color="000000" w:fill="FFFFFF"/>
            <w:noWrap/>
            <w:vAlign w:val="center"/>
            <w:hideMark/>
          </w:tcPr>
          <w:p w14:paraId="58DBA99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19,035</w:t>
            </w:r>
          </w:p>
        </w:tc>
        <w:tc>
          <w:tcPr>
            <w:tcW w:w="497" w:type="pct"/>
            <w:tcBorders>
              <w:top w:val="nil"/>
              <w:left w:val="nil"/>
              <w:bottom w:val="nil"/>
              <w:right w:val="nil"/>
            </w:tcBorders>
            <w:shd w:val="clear" w:color="000000" w:fill="FFFFFF"/>
            <w:noWrap/>
            <w:vAlign w:val="center"/>
            <w:hideMark/>
          </w:tcPr>
          <w:p w14:paraId="7E051A68"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19,214</w:t>
            </w:r>
          </w:p>
        </w:tc>
        <w:tc>
          <w:tcPr>
            <w:tcW w:w="497" w:type="pct"/>
            <w:tcBorders>
              <w:top w:val="nil"/>
              <w:left w:val="nil"/>
              <w:bottom w:val="nil"/>
              <w:right w:val="nil"/>
            </w:tcBorders>
            <w:shd w:val="clear" w:color="000000" w:fill="FFFFFF"/>
            <w:noWrap/>
            <w:vAlign w:val="center"/>
            <w:hideMark/>
          </w:tcPr>
          <w:p w14:paraId="24D2F5D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19,232</w:t>
            </w:r>
          </w:p>
        </w:tc>
      </w:tr>
      <w:tr w:rsidR="00130397" w:rsidRPr="002D1BC3" w14:paraId="48A495C2"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2EE1A411"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Assistance to the states for</w:t>
            </w:r>
          </w:p>
        </w:tc>
        <w:tc>
          <w:tcPr>
            <w:tcW w:w="506" w:type="pct"/>
            <w:tcBorders>
              <w:top w:val="nil"/>
              <w:left w:val="nil"/>
              <w:bottom w:val="nil"/>
              <w:right w:val="nil"/>
            </w:tcBorders>
            <w:shd w:val="clear" w:color="000000" w:fill="FFFFFF"/>
            <w:noWrap/>
            <w:vAlign w:val="center"/>
            <w:hideMark/>
          </w:tcPr>
          <w:p w14:paraId="215FDC58"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7594F05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6DD5014F"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1FA02D76"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EFCC1C9"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21A3258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0AE32F91"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712A3374"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6D120346" w14:textId="77777777" w:rsidR="002D1BC3" w:rsidRPr="002D1BC3" w:rsidRDefault="002D1BC3" w:rsidP="00130397">
            <w:pPr>
              <w:spacing w:before="0" w:after="0" w:line="240" w:lineRule="auto"/>
              <w:ind w:left="340"/>
              <w:rPr>
                <w:rFonts w:ascii="Arial" w:hAnsi="Arial" w:cs="Arial"/>
                <w:color w:val="000000"/>
                <w:sz w:val="16"/>
                <w:szCs w:val="16"/>
              </w:rPr>
            </w:pPr>
            <w:r w:rsidRPr="002D1BC3">
              <w:rPr>
                <w:rFonts w:ascii="Arial" w:hAnsi="Arial" w:cs="Arial"/>
                <w:color w:val="000000"/>
                <w:sz w:val="16"/>
                <w:szCs w:val="16"/>
              </w:rPr>
              <w:t>public hospitals</w:t>
            </w:r>
          </w:p>
        </w:tc>
        <w:tc>
          <w:tcPr>
            <w:tcW w:w="506" w:type="pct"/>
            <w:tcBorders>
              <w:top w:val="nil"/>
              <w:left w:val="nil"/>
              <w:bottom w:val="nil"/>
              <w:right w:val="nil"/>
            </w:tcBorders>
            <w:shd w:val="clear" w:color="000000" w:fill="FFFFFF"/>
            <w:noWrap/>
            <w:vAlign w:val="center"/>
            <w:hideMark/>
          </w:tcPr>
          <w:p w14:paraId="67147F6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24,230</w:t>
            </w:r>
          </w:p>
        </w:tc>
        <w:tc>
          <w:tcPr>
            <w:tcW w:w="56" w:type="pct"/>
            <w:tcBorders>
              <w:top w:val="nil"/>
              <w:left w:val="nil"/>
              <w:bottom w:val="nil"/>
              <w:right w:val="nil"/>
            </w:tcBorders>
            <w:shd w:val="clear" w:color="000000" w:fill="FFFFFF"/>
            <w:noWrap/>
            <w:vAlign w:val="center"/>
            <w:hideMark/>
          </w:tcPr>
          <w:p w14:paraId="1869612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DBFCB0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25,658</w:t>
            </w:r>
          </w:p>
        </w:tc>
        <w:tc>
          <w:tcPr>
            <w:tcW w:w="497" w:type="pct"/>
            <w:tcBorders>
              <w:top w:val="nil"/>
              <w:left w:val="nil"/>
              <w:bottom w:val="nil"/>
              <w:right w:val="nil"/>
            </w:tcBorders>
            <w:shd w:val="clear" w:color="000000" w:fill="E6F2FF"/>
            <w:noWrap/>
            <w:vAlign w:val="center"/>
            <w:hideMark/>
          </w:tcPr>
          <w:p w14:paraId="61DC096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28,392</w:t>
            </w:r>
          </w:p>
        </w:tc>
        <w:tc>
          <w:tcPr>
            <w:tcW w:w="497" w:type="pct"/>
            <w:tcBorders>
              <w:top w:val="nil"/>
              <w:left w:val="nil"/>
              <w:bottom w:val="nil"/>
              <w:right w:val="nil"/>
            </w:tcBorders>
            <w:shd w:val="clear" w:color="000000" w:fill="FFFFFF"/>
            <w:noWrap/>
            <w:vAlign w:val="center"/>
            <w:hideMark/>
          </w:tcPr>
          <w:p w14:paraId="5160BF87"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30,456</w:t>
            </w:r>
          </w:p>
        </w:tc>
        <w:tc>
          <w:tcPr>
            <w:tcW w:w="497" w:type="pct"/>
            <w:tcBorders>
              <w:top w:val="nil"/>
              <w:left w:val="nil"/>
              <w:bottom w:val="nil"/>
              <w:right w:val="nil"/>
            </w:tcBorders>
            <w:shd w:val="clear" w:color="000000" w:fill="FFFFFF"/>
            <w:noWrap/>
            <w:vAlign w:val="center"/>
            <w:hideMark/>
          </w:tcPr>
          <w:p w14:paraId="07A0907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32,215</w:t>
            </w:r>
          </w:p>
        </w:tc>
        <w:tc>
          <w:tcPr>
            <w:tcW w:w="497" w:type="pct"/>
            <w:tcBorders>
              <w:top w:val="nil"/>
              <w:left w:val="nil"/>
              <w:bottom w:val="nil"/>
              <w:right w:val="nil"/>
            </w:tcBorders>
            <w:shd w:val="clear" w:color="000000" w:fill="FFFFFF"/>
            <w:noWrap/>
            <w:vAlign w:val="center"/>
            <w:hideMark/>
          </w:tcPr>
          <w:p w14:paraId="35D2C05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34,296</w:t>
            </w:r>
          </w:p>
        </w:tc>
      </w:tr>
      <w:tr w:rsidR="00130397" w:rsidRPr="002D1BC3" w14:paraId="592EBD3B"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B04E585"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Hospital services(a)</w:t>
            </w:r>
          </w:p>
        </w:tc>
        <w:tc>
          <w:tcPr>
            <w:tcW w:w="506" w:type="pct"/>
            <w:tcBorders>
              <w:top w:val="nil"/>
              <w:left w:val="nil"/>
              <w:bottom w:val="nil"/>
              <w:right w:val="nil"/>
            </w:tcBorders>
            <w:shd w:val="clear" w:color="000000" w:fill="FFFFFF"/>
            <w:noWrap/>
            <w:vAlign w:val="center"/>
            <w:hideMark/>
          </w:tcPr>
          <w:p w14:paraId="05E60D3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1,049</w:t>
            </w:r>
          </w:p>
        </w:tc>
        <w:tc>
          <w:tcPr>
            <w:tcW w:w="56" w:type="pct"/>
            <w:tcBorders>
              <w:top w:val="nil"/>
              <w:left w:val="nil"/>
              <w:bottom w:val="nil"/>
              <w:right w:val="nil"/>
            </w:tcBorders>
            <w:shd w:val="clear" w:color="000000" w:fill="FFFFFF"/>
            <w:noWrap/>
            <w:vAlign w:val="center"/>
            <w:hideMark/>
          </w:tcPr>
          <w:p w14:paraId="6596A29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5EE96FD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973</w:t>
            </w:r>
          </w:p>
        </w:tc>
        <w:tc>
          <w:tcPr>
            <w:tcW w:w="497" w:type="pct"/>
            <w:tcBorders>
              <w:top w:val="nil"/>
              <w:left w:val="nil"/>
              <w:bottom w:val="nil"/>
              <w:right w:val="nil"/>
            </w:tcBorders>
            <w:shd w:val="clear" w:color="000000" w:fill="E6F2FF"/>
            <w:noWrap/>
            <w:vAlign w:val="center"/>
            <w:hideMark/>
          </w:tcPr>
          <w:p w14:paraId="3C74B99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999</w:t>
            </w:r>
          </w:p>
        </w:tc>
        <w:tc>
          <w:tcPr>
            <w:tcW w:w="497" w:type="pct"/>
            <w:tcBorders>
              <w:top w:val="nil"/>
              <w:left w:val="nil"/>
              <w:bottom w:val="nil"/>
              <w:right w:val="nil"/>
            </w:tcBorders>
            <w:shd w:val="clear" w:color="000000" w:fill="FFFFFF"/>
            <w:noWrap/>
            <w:vAlign w:val="center"/>
            <w:hideMark/>
          </w:tcPr>
          <w:p w14:paraId="6501977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1,137</w:t>
            </w:r>
          </w:p>
        </w:tc>
        <w:tc>
          <w:tcPr>
            <w:tcW w:w="497" w:type="pct"/>
            <w:tcBorders>
              <w:top w:val="nil"/>
              <w:left w:val="nil"/>
              <w:bottom w:val="nil"/>
              <w:right w:val="nil"/>
            </w:tcBorders>
            <w:shd w:val="clear" w:color="000000" w:fill="FFFFFF"/>
            <w:noWrap/>
            <w:vAlign w:val="center"/>
            <w:hideMark/>
          </w:tcPr>
          <w:p w14:paraId="091BE15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1,195</w:t>
            </w:r>
          </w:p>
        </w:tc>
        <w:tc>
          <w:tcPr>
            <w:tcW w:w="497" w:type="pct"/>
            <w:tcBorders>
              <w:top w:val="nil"/>
              <w:left w:val="nil"/>
              <w:bottom w:val="nil"/>
              <w:right w:val="nil"/>
            </w:tcBorders>
            <w:shd w:val="clear" w:color="000000" w:fill="FFFFFF"/>
            <w:noWrap/>
            <w:vAlign w:val="center"/>
            <w:hideMark/>
          </w:tcPr>
          <w:p w14:paraId="0DA0497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1,220</w:t>
            </w:r>
          </w:p>
        </w:tc>
      </w:tr>
      <w:tr w:rsidR="00130397" w:rsidRPr="002D1BC3" w14:paraId="60B7679E"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11E7552"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Health services</w:t>
            </w:r>
          </w:p>
        </w:tc>
        <w:tc>
          <w:tcPr>
            <w:tcW w:w="506" w:type="pct"/>
            <w:tcBorders>
              <w:top w:val="nil"/>
              <w:left w:val="nil"/>
              <w:bottom w:val="nil"/>
              <w:right w:val="nil"/>
            </w:tcBorders>
            <w:shd w:val="clear" w:color="000000" w:fill="FFFFFF"/>
            <w:noWrap/>
            <w:vAlign w:val="center"/>
            <w:hideMark/>
          </w:tcPr>
          <w:p w14:paraId="3887B26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21,691</w:t>
            </w:r>
          </w:p>
        </w:tc>
        <w:tc>
          <w:tcPr>
            <w:tcW w:w="56" w:type="pct"/>
            <w:tcBorders>
              <w:top w:val="nil"/>
              <w:left w:val="nil"/>
              <w:bottom w:val="nil"/>
              <w:right w:val="nil"/>
            </w:tcBorders>
            <w:shd w:val="clear" w:color="000000" w:fill="FFFFFF"/>
            <w:noWrap/>
            <w:vAlign w:val="center"/>
            <w:hideMark/>
          </w:tcPr>
          <w:p w14:paraId="48D46E7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189DA80A"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19,163</w:t>
            </w:r>
          </w:p>
        </w:tc>
        <w:tc>
          <w:tcPr>
            <w:tcW w:w="497" w:type="pct"/>
            <w:tcBorders>
              <w:top w:val="nil"/>
              <w:left w:val="nil"/>
              <w:bottom w:val="nil"/>
              <w:right w:val="nil"/>
            </w:tcBorders>
            <w:shd w:val="clear" w:color="000000" w:fill="E6F2FF"/>
            <w:noWrap/>
            <w:vAlign w:val="center"/>
            <w:hideMark/>
          </w:tcPr>
          <w:p w14:paraId="734449F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13,220</w:t>
            </w:r>
          </w:p>
        </w:tc>
        <w:tc>
          <w:tcPr>
            <w:tcW w:w="497" w:type="pct"/>
            <w:tcBorders>
              <w:top w:val="nil"/>
              <w:left w:val="nil"/>
              <w:bottom w:val="nil"/>
              <w:right w:val="nil"/>
            </w:tcBorders>
            <w:shd w:val="clear" w:color="000000" w:fill="FFFFFF"/>
            <w:noWrap/>
            <w:vAlign w:val="center"/>
            <w:hideMark/>
          </w:tcPr>
          <w:p w14:paraId="1DD5993D"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11,776</w:t>
            </w:r>
          </w:p>
        </w:tc>
        <w:tc>
          <w:tcPr>
            <w:tcW w:w="497" w:type="pct"/>
            <w:tcBorders>
              <w:top w:val="nil"/>
              <w:left w:val="nil"/>
              <w:bottom w:val="nil"/>
              <w:right w:val="nil"/>
            </w:tcBorders>
            <w:shd w:val="clear" w:color="000000" w:fill="FFFFFF"/>
            <w:noWrap/>
            <w:vAlign w:val="center"/>
            <w:hideMark/>
          </w:tcPr>
          <w:p w14:paraId="2664883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11,247</w:t>
            </w:r>
          </w:p>
        </w:tc>
        <w:tc>
          <w:tcPr>
            <w:tcW w:w="497" w:type="pct"/>
            <w:tcBorders>
              <w:top w:val="nil"/>
              <w:left w:val="nil"/>
              <w:bottom w:val="nil"/>
              <w:right w:val="nil"/>
            </w:tcBorders>
            <w:shd w:val="clear" w:color="000000" w:fill="FFFFFF"/>
            <w:noWrap/>
            <w:vAlign w:val="center"/>
            <w:hideMark/>
          </w:tcPr>
          <w:p w14:paraId="79CA4B4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11,230</w:t>
            </w:r>
          </w:p>
        </w:tc>
      </w:tr>
      <w:tr w:rsidR="00130397" w:rsidRPr="002D1BC3" w14:paraId="4B783A76"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770EFD79"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General administration</w:t>
            </w:r>
          </w:p>
        </w:tc>
        <w:tc>
          <w:tcPr>
            <w:tcW w:w="506" w:type="pct"/>
            <w:tcBorders>
              <w:top w:val="nil"/>
              <w:left w:val="nil"/>
              <w:bottom w:val="nil"/>
              <w:right w:val="nil"/>
            </w:tcBorders>
            <w:shd w:val="clear" w:color="000000" w:fill="FFFFFF"/>
            <w:noWrap/>
            <w:vAlign w:val="center"/>
            <w:hideMark/>
          </w:tcPr>
          <w:p w14:paraId="151F0C7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4,648</w:t>
            </w:r>
          </w:p>
        </w:tc>
        <w:tc>
          <w:tcPr>
            <w:tcW w:w="56" w:type="pct"/>
            <w:tcBorders>
              <w:top w:val="nil"/>
              <w:left w:val="nil"/>
              <w:bottom w:val="nil"/>
              <w:right w:val="nil"/>
            </w:tcBorders>
            <w:shd w:val="clear" w:color="000000" w:fill="FFFFFF"/>
            <w:noWrap/>
            <w:vAlign w:val="center"/>
            <w:hideMark/>
          </w:tcPr>
          <w:p w14:paraId="632CD35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49B59D3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4,212</w:t>
            </w:r>
          </w:p>
        </w:tc>
        <w:tc>
          <w:tcPr>
            <w:tcW w:w="497" w:type="pct"/>
            <w:tcBorders>
              <w:top w:val="nil"/>
              <w:left w:val="nil"/>
              <w:bottom w:val="nil"/>
              <w:right w:val="nil"/>
            </w:tcBorders>
            <w:shd w:val="clear" w:color="000000" w:fill="E6F2FF"/>
            <w:noWrap/>
            <w:vAlign w:val="center"/>
            <w:hideMark/>
          </w:tcPr>
          <w:p w14:paraId="575CCED9"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4,286</w:t>
            </w:r>
          </w:p>
        </w:tc>
        <w:tc>
          <w:tcPr>
            <w:tcW w:w="497" w:type="pct"/>
            <w:tcBorders>
              <w:top w:val="nil"/>
              <w:left w:val="nil"/>
              <w:bottom w:val="nil"/>
              <w:right w:val="nil"/>
            </w:tcBorders>
            <w:shd w:val="clear" w:color="000000" w:fill="FFFFFF"/>
            <w:noWrap/>
            <w:vAlign w:val="center"/>
            <w:hideMark/>
          </w:tcPr>
          <w:p w14:paraId="1E783772"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3,815</w:t>
            </w:r>
          </w:p>
        </w:tc>
        <w:tc>
          <w:tcPr>
            <w:tcW w:w="497" w:type="pct"/>
            <w:tcBorders>
              <w:top w:val="nil"/>
              <w:left w:val="nil"/>
              <w:bottom w:val="nil"/>
              <w:right w:val="nil"/>
            </w:tcBorders>
            <w:shd w:val="clear" w:color="000000" w:fill="FFFFFF"/>
            <w:noWrap/>
            <w:vAlign w:val="center"/>
            <w:hideMark/>
          </w:tcPr>
          <w:p w14:paraId="04F3D76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3,605</w:t>
            </w:r>
          </w:p>
        </w:tc>
        <w:tc>
          <w:tcPr>
            <w:tcW w:w="497" w:type="pct"/>
            <w:tcBorders>
              <w:top w:val="nil"/>
              <w:left w:val="nil"/>
              <w:bottom w:val="nil"/>
              <w:right w:val="nil"/>
            </w:tcBorders>
            <w:shd w:val="clear" w:color="000000" w:fill="FFFFFF"/>
            <w:noWrap/>
            <w:vAlign w:val="center"/>
            <w:hideMark/>
          </w:tcPr>
          <w:p w14:paraId="199A31E1"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3,558</w:t>
            </w:r>
          </w:p>
        </w:tc>
      </w:tr>
      <w:tr w:rsidR="00130397" w:rsidRPr="002D1BC3" w14:paraId="6F9165CA"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5E67A3C5" w14:textId="77777777" w:rsidR="002D1BC3" w:rsidRPr="002D1BC3" w:rsidRDefault="002D1BC3" w:rsidP="00130397">
            <w:pPr>
              <w:spacing w:before="0" w:after="0" w:line="240" w:lineRule="auto"/>
              <w:ind w:left="170"/>
              <w:rPr>
                <w:rFonts w:ascii="Arial" w:hAnsi="Arial" w:cs="Arial"/>
                <w:color w:val="000000"/>
                <w:sz w:val="16"/>
                <w:szCs w:val="16"/>
              </w:rPr>
            </w:pPr>
            <w:r w:rsidRPr="002D1BC3">
              <w:rPr>
                <w:rFonts w:ascii="Arial" w:hAnsi="Arial" w:cs="Arial"/>
                <w:color w:val="000000"/>
                <w:sz w:val="16"/>
                <w:szCs w:val="16"/>
              </w:rPr>
              <w:t>Aboriginal and Torres Strait</w:t>
            </w:r>
          </w:p>
        </w:tc>
        <w:tc>
          <w:tcPr>
            <w:tcW w:w="506" w:type="pct"/>
            <w:tcBorders>
              <w:top w:val="nil"/>
              <w:left w:val="nil"/>
              <w:bottom w:val="nil"/>
              <w:right w:val="nil"/>
            </w:tcBorders>
            <w:shd w:val="clear" w:color="000000" w:fill="FFFFFF"/>
            <w:noWrap/>
            <w:vAlign w:val="center"/>
            <w:hideMark/>
          </w:tcPr>
          <w:p w14:paraId="4902B3C7"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56" w:type="pct"/>
            <w:tcBorders>
              <w:top w:val="nil"/>
              <w:left w:val="nil"/>
              <w:bottom w:val="nil"/>
              <w:right w:val="nil"/>
            </w:tcBorders>
            <w:shd w:val="clear" w:color="000000" w:fill="FFFFFF"/>
            <w:noWrap/>
            <w:vAlign w:val="center"/>
            <w:hideMark/>
          </w:tcPr>
          <w:p w14:paraId="07B7B2C3"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nil"/>
              <w:right w:val="nil"/>
            </w:tcBorders>
            <w:shd w:val="clear" w:color="000000" w:fill="FFFFFF"/>
            <w:noWrap/>
            <w:vAlign w:val="center"/>
            <w:hideMark/>
          </w:tcPr>
          <w:p w14:paraId="2D5191A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E6F2FF"/>
            <w:noWrap/>
            <w:vAlign w:val="center"/>
            <w:hideMark/>
          </w:tcPr>
          <w:p w14:paraId="2D4E3B1E"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2D3EBA40"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5A7C069C"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7" w:type="pct"/>
            <w:tcBorders>
              <w:top w:val="nil"/>
              <w:left w:val="nil"/>
              <w:bottom w:val="nil"/>
              <w:right w:val="nil"/>
            </w:tcBorders>
            <w:shd w:val="clear" w:color="000000" w:fill="FFFFFF"/>
            <w:noWrap/>
            <w:vAlign w:val="center"/>
            <w:hideMark/>
          </w:tcPr>
          <w:p w14:paraId="631674F2"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r>
      <w:tr w:rsidR="00130397" w:rsidRPr="002D1BC3" w14:paraId="35CCBCE1" w14:textId="77777777" w:rsidTr="00130397">
        <w:trPr>
          <w:trHeight w:hRule="exact" w:val="225"/>
        </w:trPr>
        <w:tc>
          <w:tcPr>
            <w:tcW w:w="1950" w:type="pct"/>
            <w:tcBorders>
              <w:top w:val="nil"/>
              <w:left w:val="nil"/>
              <w:bottom w:val="nil"/>
              <w:right w:val="nil"/>
            </w:tcBorders>
            <w:shd w:val="clear" w:color="000000" w:fill="FFFFFF"/>
            <w:noWrap/>
            <w:vAlign w:val="center"/>
            <w:hideMark/>
          </w:tcPr>
          <w:p w14:paraId="37FAFC95" w14:textId="77777777" w:rsidR="002D1BC3" w:rsidRPr="002D1BC3" w:rsidRDefault="002D1BC3" w:rsidP="00130397">
            <w:pPr>
              <w:spacing w:before="0" w:after="0" w:line="240" w:lineRule="auto"/>
              <w:ind w:left="340"/>
              <w:rPr>
                <w:rFonts w:ascii="Arial" w:hAnsi="Arial" w:cs="Arial"/>
                <w:color w:val="000000"/>
                <w:sz w:val="16"/>
                <w:szCs w:val="16"/>
              </w:rPr>
            </w:pPr>
            <w:r w:rsidRPr="002D1BC3">
              <w:rPr>
                <w:rFonts w:ascii="Arial" w:hAnsi="Arial" w:cs="Arial"/>
                <w:color w:val="000000"/>
                <w:sz w:val="16"/>
                <w:szCs w:val="16"/>
              </w:rPr>
              <w:t xml:space="preserve"> Islander health</w:t>
            </w:r>
          </w:p>
        </w:tc>
        <w:tc>
          <w:tcPr>
            <w:tcW w:w="506" w:type="pct"/>
            <w:tcBorders>
              <w:top w:val="nil"/>
              <w:left w:val="nil"/>
              <w:bottom w:val="nil"/>
              <w:right w:val="nil"/>
            </w:tcBorders>
            <w:shd w:val="clear" w:color="000000" w:fill="FFFFFF"/>
            <w:noWrap/>
            <w:vAlign w:val="center"/>
            <w:hideMark/>
          </w:tcPr>
          <w:p w14:paraId="32B89FE5"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989</w:t>
            </w:r>
          </w:p>
        </w:tc>
        <w:tc>
          <w:tcPr>
            <w:tcW w:w="56" w:type="pct"/>
            <w:tcBorders>
              <w:top w:val="nil"/>
              <w:left w:val="nil"/>
              <w:bottom w:val="nil"/>
              <w:right w:val="nil"/>
            </w:tcBorders>
            <w:shd w:val="clear" w:color="000000" w:fill="FFFFFF"/>
            <w:noWrap/>
            <w:vAlign w:val="center"/>
            <w:hideMark/>
          </w:tcPr>
          <w:p w14:paraId="6FDADDC5" w14:textId="77777777" w:rsidR="002D1BC3" w:rsidRPr="002D1BC3" w:rsidRDefault="002D1BC3" w:rsidP="002D1BC3">
            <w:pPr>
              <w:spacing w:before="0" w:after="0" w:line="240" w:lineRule="auto"/>
              <w:rPr>
                <w:rFonts w:ascii="Arial" w:hAnsi="Arial" w:cs="Arial"/>
                <w:color w:val="000000"/>
                <w:sz w:val="16"/>
                <w:szCs w:val="16"/>
              </w:rPr>
            </w:pPr>
            <w:r w:rsidRPr="002D1BC3">
              <w:rPr>
                <w:rFonts w:ascii="Arial" w:hAnsi="Arial" w:cs="Arial"/>
                <w:color w:val="000000"/>
                <w:sz w:val="16"/>
                <w:szCs w:val="16"/>
              </w:rPr>
              <w:t> </w:t>
            </w:r>
          </w:p>
        </w:tc>
        <w:tc>
          <w:tcPr>
            <w:tcW w:w="498" w:type="pct"/>
            <w:tcBorders>
              <w:top w:val="nil"/>
              <w:left w:val="nil"/>
              <w:bottom w:val="single" w:sz="4" w:space="0" w:color="293F5B"/>
              <w:right w:val="nil"/>
            </w:tcBorders>
            <w:shd w:val="clear" w:color="000000" w:fill="FFFFFF"/>
            <w:noWrap/>
            <w:vAlign w:val="center"/>
            <w:hideMark/>
          </w:tcPr>
          <w:p w14:paraId="3A7AB6A4"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1,130</w:t>
            </w:r>
          </w:p>
        </w:tc>
        <w:tc>
          <w:tcPr>
            <w:tcW w:w="497" w:type="pct"/>
            <w:tcBorders>
              <w:top w:val="nil"/>
              <w:left w:val="nil"/>
              <w:bottom w:val="single" w:sz="4" w:space="0" w:color="293F5B"/>
              <w:right w:val="nil"/>
            </w:tcBorders>
            <w:shd w:val="clear" w:color="000000" w:fill="E6F2FF"/>
            <w:noWrap/>
            <w:vAlign w:val="center"/>
            <w:hideMark/>
          </w:tcPr>
          <w:p w14:paraId="10BD96F6"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1,234</w:t>
            </w:r>
          </w:p>
        </w:tc>
        <w:tc>
          <w:tcPr>
            <w:tcW w:w="497" w:type="pct"/>
            <w:tcBorders>
              <w:top w:val="nil"/>
              <w:left w:val="nil"/>
              <w:bottom w:val="single" w:sz="4" w:space="0" w:color="293F5B"/>
              <w:right w:val="nil"/>
            </w:tcBorders>
            <w:shd w:val="clear" w:color="000000" w:fill="FFFFFF"/>
            <w:noWrap/>
            <w:vAlign w:val="center"/>
            <w:hideMark/>
          </w:tcPr>
          <w:p w14:paraId="545505A0"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1,328</w:t>
            </w:r>
          </w:p>
        </w:tc>
        <w:tc>
          <w:tcPr>
            <w:tcW w:w="497" w:type="pct"/>
            <w:tcBorders>
              <w:top w:val="nil"/>
              <w:left w:val="nil"/>
              <w:bottom w:val="single" w:sz="4" w:space="0" w:color="293F5B"/>
              <w:right w:val="nil"/>
            </w:tcBorders>
            <w:shd w:val="clear" w:color="000000" w:fill="FFFFFF"/>
            <w:noWrap/>
            <w:vAlign w:val="center"/>
            <w:hideMark/>
          </w:tcPr>
          <w:p w14:paraId="5CC5B60C"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1,301</w:t>
            </w:r>
          </w:p>
        </w:tc>
        <w:tc>
          <w:tcPr>
            <w:tcW w:w="497" w:type="pct"/>
            <w:tcBorders>
              <w:top w:val="nil"/>
              <w:left w:val="nil"/>
              <w:bottom w:val="single" w:sz="4" w:space="0" w:color="293F5B"/>
              <w:right w:val="nil"/>
            </w:tcBorders>
            <w:shd w:val="clear" w:color="000000" w:fill="FFFFFF"/>
            <w:noWrap/>
            <w:vAlign w:val="center"/>
            <w:hideMark/>
          </w:tcPr>
          <w:p w14:paraId="27E5CBEB" w14:textId="77777777" w:rsidR="002D1BC3" w:rsidRPr="002D1BC3" w:rsidRDefault="002D1BC3" w:rsidP="002D1BC3">
            <w:pPr>
              <w:spacing w:before="0" w:after="0" w:line="240" w:lineRule="auto"/>
              <w:jc w:val="right"/>
              <w:rPr>
                <w:rFonts w:ascii="Arial" w:hAnsi="Arial" w:cs="Arial"/>
                <w:color w:val="000000"/>
                <w:sz w:val="16"/>
                <w:szCs w:val="16"/>
              </w:rPr>
            </w:pPr>
            <w:r w:rsidRPr="002D1BC3">
              <w:rPr>
                <w:rFonts w:ascii="Arial" w:hAnsi="Arial" w:cs="Arial"/>
                <w:color w:val="000000"/>
                <w:sz w:val="16"/>
                <w:szCs w:val="16"/>
              </w:rPr>
              <w:t>1,285</w:t>
            </w:r>
          </w:p>
        </w:tc>
      </w:tr>
      <w:tr w:rsidR="00130397" w:rsidRPr="002D1BC3" w14:paraId="0C13BC22" w14:textId="77777777" w:rsidTr="00FB56D0">
        <w:trPr>
          <w:trHeight w:hRule="exact" w:val="220"/>
        </w:trPr>
        <w:tc>
          <w:tcPr>
            <w:tcW w:w="1950" w:type="pct"/>
            <w:tcBorders>
              <w:top w:val="nil"/>
              <w:left w:val="nil"/>
              <w:bottom w:val="single" w:sz="4" w:space="0" w:color="002A54" w:themeColor="text2"/>
              <w:right w:val="nil"/>
            </w:tcBorders>
            <w:shd w:val="clear" w:color="000000" w:fill="FFFFFF"/>
            <w:noWrap/>
            <w:vAlign w:val="center"/>
            <w:hideMark/>
          </w:tcPr>
          <w:p w14:paraId="0A76DAA9"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Total health</w:t>
            </w:r>
          </w:p>
        </w:tc>
        <w:tc>
          <w:tcPr>
            <w:tcW w:w="506" w:type="pct"/>
            <w:tcBorders>
              <w:top w:val="single" w:sz="4" w:space="0" w:color="293F5B"/>
              <w:left w:val="nil"/>
              <w:bottom w:val="single" w:sz="4" w:space="0" w:color="002A54" w:themeColor="text2"/>
              <w:right w:val="nil"/>
            </w:tcBorders>
            <w:shd w:val="clear" w:color="000000" w:fill="FFFFFF"/>
            <w:noWrap/>
            <w:vAlign w:val="center"/>
            <w:hideMark/>
          </w:tcPr>
          <w:p w14:paraId="0CAF2D7C"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106,185</w:t>
            </w:r>
          </w:p>
        </w:tc>
        <w:tc>
          <w:tcPr>
            <w:tcW w:w="56" w:type="pct"/>
            <w:tcBorders>
              <w:top w:val="nil"/>
              <w:left w:val="nil"/>
              <w:bottom w:val="single" w:sz="4" w:space="0" w:color="002A54" w:themeColor="text2"/>
              <w:right w:val="nil"/>
            </w:tcBorders>
            <w:shd w:val="clear" w:color="000000" w:fill="FFFFFF"/>
            <w:noWrap/>
            <w:vAlign w:val="center"/>
            <w:hideMark/>
          </w:tcPr>
          <w:p w14:paraId="3770A858" w14:textId="77777777" w:rsidR="002D1BC3" w:rsidRPr="002D1BC3" w:rsidRDefault="002D1BC3" w:rsidP="002D1BC3">
            <w:pPr>
              <w:spacing w:before="0" w:after="0" w:line="240" w:lineRule="auto"/>
              <w:rPr>
                <w:rFonts w:ascii="Arial" w:hAnsi="Arial" w:cs="Arial"/>
                <w:b/>
                <w:bCs/>
                <w:color w:val="000000"/>
                <w:sz w:val="16"/>
                <w:szCs w:val="16"/>
              </w:rPr>
            </w:pPr>
            <w:r w:rsidRPr="002D1BC3">
              <w:rPr>
                <w:rFonts w:ascii="Arial" w:hAnsi="Arial" w:cs="Arial"/>
                <w:b/>
                <w:bCs/>
                <w:color w:val="000000"/>
                <w:sz w:val="16"/>
                <w:szCs w:val="16"/>
              </w:rPr>
              <w:t> </w:t>
            </w:r>
          </w:p>
        </w:tc>
        <w:tc>
          <w:tcPr>
            <w:tcW w:w="498" w:type="pct"/>
            <w:tcBorders>
              <w:top w:val="nil"/>
              <w:left w:val="nil"/>
              <w:bottom w:val="single" w:sz="4" w:space="0" w:color="002A54" w:themeColor="text2"/>
              <w:right w:val="nil"/>
            </w:tcBorders>
            <w:shd w:val="clear" w:color="000000" w:fill="FFFFFF"/>
            <w:noWrap/>
            <w:vAlign w:val="center"/>
            <w:hideMark/>
          </w:tcPr>
          <w:p w14:paraId="77F6F794"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107,710</w:t>
            </w:r>
          </w:p>
        </w:tc>
        <w:tc>
          <w:tcPr>
            <w:tcW w:w="497" w:type="pct"/>
            <w:tcBorders>
              <w:top w:val="nil"/>
              <w:left w:val="nil"/>
              <w:bottom w:val="single" w:sz="4" w:space="0" w:color="293F5B"/>
              <w:right w:val="nil"/>
            </w:tcBorders>
            <w:shd w:val="clear" w:color="000000" w:fill="E6F2FF"/>
            <w:noWrap/>
            <w:vAlign w:val="center"/>
            <w:hideMark/>
          </w:tcPr>
          <w:p w14:paraId="5884F122"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106,538</w:t>
            </w:r>
          </w:p>
        </w:tc>
        <w:tc>
          <w:tcPr>
            <w:tcW w:w="497" w:type="pct"/>
            <w:tcBorders>
              <w:top w:val="nil"/>
              <w:left w:val="nil"/>
              <w:bottom w:val="single" w:sz="4" w:space="0" w:color="293F5B"/>
              <w:right w:val="nil"/>
            </w:tcBorders>
            <w:shd w:val="clear" w:color="000000" w:fill="FFFFFF"/>
            <w:noWrap/>
            <w:vAlign w:val="center"/>
            <w:hideMark/>
          </w:tcPr>
          <w:p w14:paraId="7F2395AA"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108,860</w:t>
            </w:r>
          </w:p>
        </w:tc>
        <w:tc>
          <w:tcPr>
            <w:tcW w:w="497" w:type="pct"/>
            <w:tcBorders>
              <w:top w:val="nil"/>
              <w:left w:val="nil"/>
              <w:bottom w:val="single" w:sz="4" w:space="0" w:color="293F5B"/>
              <w:right w:val="nil"/>
            </w:tcBorders>
            <w:shd w:val="clear" w:color="000000" w:fill="FFFFFF"/>
            <w:noWrap/>
            <w:vAlign w:val="center"/>
            <w:hideMark/>
          </w:tcPr>
          <w:p w14:paraId="1331A5AE"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112,174</w:t>
            </w:r>
          </w:p>
        </w:tc>
        <w:tc>
          <w:tcPr>
            <w:tcW w:w="497" w:type="pct"/>
            <w:tcBorders>
              <w:top w:val="nil"/>
              <w:left w:val="nil"/>
              <w:bottom w:val="single" w:sz="4" w:space="0" w:color="293F5B"/>
              <w:right w:val="nil"/>
            </w:tcBorders>
            <w:shd w:val="clear" w:color="000000" w:fill="FFFFFF"/>
            <w:noWrap/>
            <w:vAlign w:val="center"/>
            <w:hideMark/>
          </w:tcPr>
          <w:p w14:paraId="72ADAEB1" w14:textId="77777777" w:rsidR="002D1BC3" w:rsidRPr="002D1BC3" w:rsidRDefault="002D1BC3" w:rsidP="002D1BC3">
            <w:pPr>
              <w:spacing w:before="0" w:after="0" w:line="240" w:lineRule="auto"/>
              <w:jc w:val="right"/>
              <w:rPr>
                <w:rFonts w:ascii="Arial" w:hAnsi="Arial" w:cs="Arial"/>
                <w:b/>
                <w:bCs/>
                <w:color w:val="000000"/>
                <w:sz w:val="16"/>
                <w:szCs w:val="16"/>
              </w:rPr>
            </w:pPr>
            <w:r w:rsidRPr="002D1BC3">
              <w:rPr>
                <w:rFonts w:ascii="Arial" w:hAnsi="Arial" w:cs="Arial"/>
                <w:b/>
                <w:bCs/>
                <w:color w:val="000000"/>
                <w:sz w:val="16"/>
                <w:szCs w:val="16"/>
              </w:rPr>
              <w:t>116,293</w:t>
            </w:r>
          </w:p>
        </w:tc>
      </w:tr>
    </w:tbl>
    <w:p w14:paraId="30B781A1" w14:textId="56241CCF" w:rsidR="004B2436" w:rsidRPr="00ED026F" w:rsidRDefault="007D4969" w:rsidP="00ED026F">
      <w:r>
        <w:rPr>
          <w:rFonts w:ascii="Arial" w:hAnsi="Arial"/>
          <w:b/>
          <w:sz w:val="20"/>
        </w:rPr>
        <w:br w:type="page"/>
      </w:r>
      <w:bookmarkStart w:id="180" w:name="_1727774429"/>
      <w:bookmarkEnd w:id="180"/>
    </w:p>
    <w:p w14:paraId="17045128" w14:textId="4709984A" w:rsidR="009845FF" w:rsidRDefault="00B24B34" w:rsidP="009845FF">
      <w:pPr>
        <w:pStyle w:val="TableHeadingcontinued"/>
        <w:rPr>
          <w:rFonts w:asciiTheme="minorHAnsi" w:eastAsiaTheme="minorHAnsi" w:hAnsiTheme="minorHAnsi" w:cstheme="minorBidi"/>
          <w:b w:val="0"/>
          <w:sz w:val="22"/>
          <w:szCs w:val="22"/>
          <w:lang w:eastAsia="en-US"/>
        </w:rPr>
      </w:pPr>
      <w:r w:rsidRPr="00B24B34">
        <w:lastRenderedPageBreak/>
        <w:t>Table A1: Estimates of expenses by function and sub-function (continue</w:t>
      </w:r>
      <w:r w:rsidR="00DF6D31">
        <w:t>d</w:t>
      </w:r>
      <w:r w:rsidR="005A5E92">
        <w:t>)</w:t>
      </w:r>
      <w:r w:rsidR="009E15D2">
        <w:t xml:space="preserve"> </w:t>
      </w:r>
    </w:p>
    <w:tbl>
      <w:tblPr>
        <w:tblW w:w="5000" w:type="pct"/>
        <w:tblCellMar>
          <w:left w:w="0" w:type="dxa"/>
          <w:right w:w="28" w:type="dxa"/>
        </w:tblCellMar>
        <w:tblLook w:val="04A0" w:firstRow="1" w:lastRow="0" w:firstColumn="1" w:lastColumn="0" w:noHBand="0" w:noVBand="1"/>
      </w:tblPr>
      <w:tblGrid>
        <w:gridCol w:w="2999"/>
        <w:gridCol w:w="783"/>
        <w:gridCol w:w="83"/>
        <w:gridCol w:w="769"/>
        <w:gridCol w:w="769"/>
        <w:gridCol w:w="769"/>
        <w:gridCol w:w="769"/>
        <w:gridCol w:w="769"/>
      </w:tblGrid>
      <w:tr w:rsidR="009845FF" w:rsidRPr="009845FF" w14:paraId="0B37EEC5" w14:textId="77777777" w:rsidTr="009845FF">
        <w:trPr>
          <w:divId w:val="1717967480"/>
          <w:trHeight w:hRule="exact" w:val="226"/>
        </w:trPr>
        <w:tc>
          <w:tcPr>
            <w:tcW w:w="1944" w:type="pct"/>
            <w:tcBorders>
              <w:top w:val="single" w:sz="4" w:space="0" w:color="293F5B"/>
              <w:left w:val="nil"/>
              <w:bottom w:val="nil"/>
              <w:right w:val="nil"/>
            </w:tcBorders>
            <w:shd w:val="clear" w:color="000000" w:fill="FFFFFF"/>
            <w:noWrap/>
            <w:vAlign w:val="center"/>
            <w:hideMark/>
          </w:tcPr>
          <w:p w14:paraId="6FD804E4" w14:textId="1E5AA8A4"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4D408C99" w14:textId="77777777" w:rsidR="009845FF" w:rsidRPr="009845FF" w:rsidRDefault="009845FF" w:rsidP="009845FF">
            <w:pPr>
              <w:spacing w:before="0" w:after="0" w:line="240" w:lineRule="auto"/>
              <w:jc w:val="center"/>
              <w:rPr>
                <w:rFonts w:ascii="Arial" w:hAnsi="Arial" w:cs="Arial"/>
                <w:color w:val="000000"/>
                <w:sz w:val="16"/>
                <w:szCs w:val="16"/>
              </w:rPr>
            </w:pPr>
            <w:r w:rsidRPr="009845FF">
              <w:rPr>
                <w:rFonts w:ascii="Arial" w:hAnsi="Arial" w:cs="Arial"/>
                <w:color w:val="000000"/>
                <w:sz w:val="16"/>
                <w:szCs w:val="16"/>
              </w:rPr>
              <w:t>Actual</w:t>
            </w:r>
          </w:p>
        </w:tc>
        <w:tc>
          <w:tcPr>
            <w:tcW w:w="54" w:type="pct"/>
            <w:tcBorders>
              <w:top w:val="single" w:sz="4" w:space="0" w:color="293F5B"/>
              <w:left w:val="nil"/>
              <w:bottom w:val="nil"/>
              <w:right w:val="nil"/>
            </w:tcBorders>
            <w:shd w:val="clear" w:color="000000" w:fill="FFFFFF"/>
            <w:noWrap/>
            <w:vAlign w:val="center"/>
            <w:hideMark/>
          </w:tcPr>
          <w:p w14:paraId="405EA77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 </w:t>
            </w:r>
          </w:p>
        </w:tc>
        <w:tc>
          <w:tcPr>
            <w:tcW w:w="2494" w:type="pct"/>
            <w:gridSpan w:val="5"/>
            <w:tcBorders>
              <w:top w:val="single" w:sz="4" w:space="0" w:color="293F5B"/>
              <w:left w:val="nil"/>
              <w:bottom w:val="single" w:sz="4" w:space="0" w:color="293F5B"/>
              <w:right w:val="nil"/>
            </w:tcBorders>
            <w:shd w:val="clear" w:color="000000" w:fill="FFFFFF"/>
            <w:noWrap/>
            <w:vAlign w:val="center"/>
            <w:hideMark/>
          </w:tcPr>
          <w:p w14:paraId="0A4B70ED" w14:textId="77777777" w:rsidR="009845FF" w:rsidRPr="009845FF" w:rsidRDefault="009845FF" w:rsidP="009845FF">
            <w:pPr>
              <w:spacing w:before="0" w:after="0" w:line="240" w:lineRule="auto"/>
              <w:jc w:val="center"/>
              <w:rPr>
                <w:rFonts w:ascii="Arial" w:hAnsi="Arial" w:cs="Arial"/>
                <w:sz w:val="16"/>
                <w:szCs w:val="16"/>
              </w:rPr>
            </w:pPr>
            <w:r w:rsidRPr="009845FF">
              <w:rPr>
                <w:rFonts w:ascii="Arial" w:hAnsi="Arial" w:cs="Arial"/>
                <w:sz w:val="16"/>
                <w:szCs w:val="16"/>
              </w:rPr>
              <w:t>Estimates</w:t>
            </w:r>
          </w:p>
        </w:tc>
      </w:tr>
      <w:tr w:rsidR="009845FF" w:rsidRPr="009845FF" w14:paraId="6C626027"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7BCFB7A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6AC59BC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2021–22</w:t>
            </w:r>
          </w:p>
        </w:tc>
        <w:tc>
          <w:tcPr>
            <w:tcW w:w="54" w:type="pct"/>
            <w:tcBorders>
              <w:top w:val="nil"/>
              <w:left w:val="nil"/>
              <w:bottom w:val="nil"/>
              <w:right w:val="nil"/>
            </w:tcBorders>
            <w:shd w:val="clear" w:color="000000" w:fill="FFFFFF"/>
            <w:noWrap/>
            <w:vAlign w:val="center"/>
            <w:hideMark/>
          </w:tcPr>
          <w:p w14:paraId="39F6AD0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7582614"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2022–23</w:t>
            </w:r>
          </w:p>
        </w:tc>
        <w:tc>
          <w:tcPr>
            <w:tcW w:w="499" w:type="pct"/>
            <w:tcBorders>
              <w:top w:val="nil"/>
              <w:left w:val="nil"/>
              <w:bottom w:val="nil"/>
              <w:right w:val="nil"/>
            </w:tcBorders>
            <w:shd w:val="clear" w:color="000000" w:fill="E6F2FF"/>
            <w:noWrap/>
            <w:vAlign w:val="center"/>
            <w:hideMark/>
          </w:tcPr>
          <w:p w14:paraId="1BB9ACE0"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2023–24</w:t>
            </w:r>
          </w:p>
        </w:tc>
        <w:tc>
          <w:tcPr>
            <w:tcW w:w="499" w:type="pct"/>
            <w:tcBorders>
              <w:top w:val="nil"/>
              <w:left w:val="nil"/>
              <w:bottom w:val="nil"/>
              <w:right w:val="nil"/>
            </w:tcBorders>
            <w:shd w:val="clear" w:color="000000" w:fill="FFFFFF"/>
            <w:noWrap/>
            <w:vAlign w:val="center"/>
            <w:hideMark/>
          </w:tcPr>
          <w:p w14:paraId="3D29DE86"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2024–25</w:t>
            </w:r>
          </w:p>
        </w:tc>
        <w:tc>
          <w:tcPr>
            <w:tcW w:w="499" w:type="pct"/>
            <w:tcBorders>
              <w:top w:val="nil"/>
              <w:left w:val="nil"/>
              <w:bottom w:val="nil"/>
              <w:right w:val="nil"/>
            </w:tcBorders>
            <w:shd w:val="clear" w:color="000000" w:fill="FFFFFF"/>
            <w:noWrap/>
            <w:vAlign w:val="center"/>
            <w:hideMark/>
          </w:tcPr>
          <w:p w14:paraId="0A4A89A8"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2025–26</w:t>
            </w:r>
          </w:p>
        </w:tc>
        <w:tc>
          <w:tcPr>
            <w:tcW w:w="499" w:type="pct"/>
            <w:tcBorders>
              <w:top w:val="nil"/>
              <w:left w:val="nil"/>
              <w:bottom w:val="nil"/>
              <w:right w:val="nil"/>
            </w:tcBorders>
            <w:shd w:val="clear" w:color="000000" w:fill="FFFFFF"/>
            <w:noWrap/>
            <w:vAlign w:val="center"/>
            <w:hideMark/>
          </w:tcPr>
          <w:p w14:paraId="688FB6B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2026–27</w:t>
            </w:r>
          </w:p>
        </w:tc>
      </w:tr>
      <w:tr w:rsidR="009845FF" w:rsidRPr="009845FF" w14:paraId="500A377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50F9CC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nil"/>
              <w:left w:val="nil"/>
              <w:bottom w:val="single" w:sz="4" w:space="0" w:color="293F5B"/>
              <w:right w:val="nil"/>
            </w:tcBorders>
            <w:shd w:val="clear" w:color="000000" w:fill="FFFFFF"/>
            <w:noWrap/>
            <w:vAlign w:val="center"/>
            <w:hideMark/>
          </w:tcPr>
          <w:p w14:paraId="12FF15D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c>
          <w:tcPr>
            <w:tcW w:w="54" w:type="pct"/>
            <w:tcBorders>
              <w:top w:val="nil"/>
              <w:left w:val="nil"/>
              <w:bottom w:val="nil"/>
              <w:right w:val="nil"/>
            </w:tcBorders>
            <w:shd w:val="clear" w:color="000000" w:fill="FFFFFF"/>
            <w:noWrap/>
            <w:vAlign w:val="center"/>
            <w:hideMark/>
          </w:tcPr>
          <w:p w14:paraId="5EF61A9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2662CB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E6F2FF"/>
            <w:noWrap/>
            <w:vAlign w:val="center"/>
            <w:hideMark/>
          </w:tcPr>
          <w:p w14:paraId="44CEC5A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4B8212C1"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5816439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c>
          <w:tcPr>
            <w:tcW w:w="499" w:type="pct"/>
            <w:tcBorders>
              <w:top w:val="nil"/>
              <w:left w:val="nil"/>
              <w:bottom w:val="single" w:sz="4" w:space="0" w:color="293F5B"/>
              <w:right w:val="nil"/>
            </w:tcBorders>
            <w:shd w:val="clear" w:color="000000" w:fill="FFFFFF"/>
            <w:noWrap/>
            <w:vAlign w:val="center"/>
            <w:hideMark/>
          </w:tcPr>
          <w:p w14:paraId="692BCAA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$m</w:t>
            </w:r>
          </w:p>
        </w:tc>
      </w:tr>
      <w:tr w:rsidR="009845FF" w:rsidRPr="009845FF" w14:paraId="727D9444"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2FFB9E9"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Social security and welfare</w:t>
            </w:r>
          </w:p>
        </w:tc>
        <w:tc>
          <w:tcPr>
            <w:tcW w:w="507" w:type="pct"/>
            <w:tcBorders>
              <w:top w:val="nil"/>
              <w:left w:val="nil"/>
              <w:bottom w:val="nil"/>
              <w:right w:val="nil"/>
            </w:tcBorders>
            <w:shd w:val="clear" w:color="000000" w:fill="FFFFFF"/>
            <w:noWrap/>
            <w:vAlign w:val="center"/>
            <w:hideMark/>
          </w:tcPr>
          <w:p w14:paraId="178BF10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6EAA0A5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C5B3D9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356941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B7CD03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E4D746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C7653E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3B7990C4"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56ADDC41"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Assistance to the aged</w:t>
            </w:r>
          </w:p>
        </w:tc>
        <w:tc>
          <w:tcPr>
            <w:tcW w:w="507" w:type="pct"/>
            <w:tcBorders>
              <w:top w:val="nil"/>
              <w:left w:val="nil"/>
              <w:bottom w:val="nil"/>
              <w:right w:val="nil"/>
            </w:tcBorders>
            <w:shd w:val="clear" w:color="000000" w:fill="FFFFFF"/>
            <w:noWrap/>
            <w:vAlign w:val="center"/>
            <w:hideMark/>
          </w:tcPr>
          <w:p w14:paraId="66E784A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76,283</w:t>
            </w:r>
          </w:p>
        </w:tc>
        <w:tc>
          <w:tcPr>
            <w:tcW w:w="54" w:type="pct"/>
            <w:tcBorders>
              <w:top w:val="nil"/>
              <w:left w:val="nil"/>
              <w:bottom w:val="nil"/>
              <w:right w:val="nil"/>
            </w:tcBorders>
            <w:shd w:val="clear" w:color="000000" w:fill="FFFFFF"/>
            <w:noWrap/>
            <w:vAlign w:val="center"/>
            <w:hideMark/>
          </w:tcPr>
          <w:p w14:paraId="5AD8C8B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99A053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84,844</w:t>
            </w:r>
          </w:p>
        </w:tc>
        <w:tc>
          <w:tcPr>
            <w:tcW w:w="499" w:type="pct"/>
            <w:tcBorders>
              <w:top w:val="nil"/>
              <w:left w:val="nil"/>
              <w:bottom w:val="nil"/>
              <w:right w:val="nil"/>
            </w:tcBorders>
            <w:shd w:val="clear" w:color="000000" w:fill="E6F2FF"/>
            <w:noWrap/>
            <w:vAlign w:val="center"/>
            <w:hideMark/>
          </w:tcPr>
          <w:p w14:paraId="34C6701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95,214</w:t>
            </w:r>
          </w:p>
        </w:tc>
        <w:tc>
          <w:tcPr>
            <w:tcW w:w="499" w:type="pct"/>
            <w:tcBorders>
              <w:top w:val="nil"/>
              <w:left w:val="nil"/>
              <w:bottom w:val="nil"/>
              <w:right w:val="nil"/>
            </w:tcBorders>
            <w:shd w:val="clear" w:color="000000" w:fill="FFFFFF"/>
            <w:noWrap/>
            <w:vAlign w:val="center"/>
            <w:hideMark/>
          </w:tcPr>
          <w:p w14:paraId="3BC7C24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99,698</w:t>
            </w:r>
          </w:p>
        </w:tc>
        <w:tc>
          <w:tcPr>
            <w:tcW w:w="499" w:type="pct"/>
            <w:tcBorders>
              <w:top w:val="nil"/>
              <w:left w:val="nil"/>
              <w:bottom w:val="nil"/>
              <w:right w:val="nil"/>
            </w:tcBorders>
            <w:shd w:val="clear" w:color="000000" w:fill="FFFFFF"/>
            <w:noWrap/>
            <w:vAlign w:val="center"/>
            <w:hideMark/>
          </w:tcPr>
          <w:p w14:paraId="797605E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104,664</w:t>
            </w:r>
          </w:p>
        </w:tc>
        <w:tc>
          <w:tcPr>
            <w:tcW w:w="499" w:type="pct"/>
            <w:tcBorders>
              <w:top w:val="nil"/>
              <w:left w:val="nil"/>
              <w:bottom w:val="nil"/>
              <w:right w:val="nil"/>
            </w:tcBorders>
            <w:shd w:val="clear" w:color="000000" w:fill="FFFFFF"/>
            <w:noWrap/>
            <w:vAlign w:val="center"/>
            <w:hideMark/>
          </w:tcPr>
          <w:p w14:paraId="3FCD210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109,287</w:t>
            </w:r>
          </w:p>
        </w:tc>
      </w:tr>
      <w:tr w:rsidR="009845FF" w:rsidRPr="009845FF" w14:paraId="40A98F5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1B38D03"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Assistance to veterans and</w:t>
            </w:r>
          </w:p>
        </w:tc>
        <w:tc>
          <w:tcPr>
            <w:tcW w:w="507" w:type="pct"/>
            <w:tcBorders>
              <w:top w:val="nil"/>
              <w:left w:val="nil"/>
              <w:bottom w:val="nil"/>
              <w:right w:val="nil"/>
            </w:tcBorders>
            <w:shd w:val="clear" w:color="000000" w:fill="FFFFFF"/>
            <w:noWrap/>
            <w:vAlign w:val="center"/>
            <w:hideMark/>
          </w:tcPr>
          <w:p w14:paraId="203595D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42C131B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89D1B9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E37343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6DBC23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7B7228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7B39D6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078BCDB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3EDF02D"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dependants</w:t>
            </w:r>
          </w:p>
        </w:tc>
        <w:tc>
          <w:tcPr>
            <w:tcW w:w="507" w:type="pct"/>
            <w:tcBorders>
              <w:top w:val="nil"/>
              <w:left w:val="nil"/>
              <w:bottom w:val="nil"/>
              <w:right w:val="nil"/>
            </w:tcBorders>
            <w:shd w:val="clear" w:color="000000" w:fill="FFFFFF"/>
            <w:noWrap/>
            <w:vAlign w:val="center"/>
            <w:hideMark/>
          </w:tcPr>
          <w:p w14:paraId="1A23BED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7,480</w:t>
            </w:r>
          </w:p>
        </w:tc>
        <w:tc>
          <w:tcPr>
            <w:tcW w:w="54" w:type="pct"/>
            <w:tcBorders>
              <w:top w:val="nil"/>
              <w:left w:val="nil"/>
              <w:bottom w:val="nil"/>
              <w:right w:val="nil"/>
            </w:tcBorders>
            <w:shd w:val="clear" w:color="000000" w:fill="FFFFFF"/>
            <w:noWrap/>
            <w:vAlign w:val="center"/>
            <w:hideMark/>
          </w:tcPr>
          <w:p w14:paraId="685C5B4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A26763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7,741</w:t>
            </w:r>
          </w:p>
        </w:tc>
        <w:tc>
          <w:tcPr>
            <w:tcW w:w="499" w:type="pct"/>
            <w:tcBorders>
              <w:top w:val="nil"/>
              <w:left w:val="nil"/>
              <w:bottom w:val="nil"/>
              <w:right w:val="nil"/>
            </w:tcBorders>
            <w:shd w:val="clear" w:color="000000" w:fill="E6F2FF"/>
            <w:noWrap/>
            <w:vAlign w:val="center"/>
            <w:hideMark/>
          </w:tcPr>
          <w:p w14:paraId="70927B3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8,385</w:t>
            </w:r>
          </w:p>
        </w:tc>
        <w:tc>
          <w:tcPr>
            <w:tcW w:w="499" w:type="pct"/>
            <w:tcBorders>
              <w:top w:val="nil"/>
              <w:left w:val="nil"/>
              <w:bottom w:val="nil"/>
              <w:right w:val="nil"/>
            </w:tcBorders>
            <w:shd w:val="clear" w:color="000000" w:fill="FFFFFF"/>
            <w:noWrap/>
            <w:vAlign w:val="center"/>
            <w:hideMark/>
          </w:tcPr>
          <w:p w14:paraId="3E8CE4C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8,351</w:t>
            </w:r>
          </w:p>
        </w:tc>
        <w:tc>
          <w:tcPr>
            <w:tcW w:w="499" w:type="pct"/>
            <w:tcBorders>
              <w:top w:val="nil"/>
              <w:left w:val="nil"/>
              <w:bottom w:val="nil"/>
              <w:right w:val="nil"/>
            </w:tcBorders>
            <w:shd w:val="clear" w:color="000000" w:fill="FFFFFF"/>
            <w:noWrap/>
            <w:vAlign w:val="center"/>
            <w:hideMark/>
          </w:tcPr>
          <w:p w14:paraId="3E30DE4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8,400</w:t>
            </w:r>
          </w:p>
        </w:tc>
        <w:tc>
          <w:tcPr>
            <w:tcW w:w="499" w:type="pct"/>
            <w:tcBorders>
              <w:top w:val="nil"/>
              <w:left w:val="nil"/>
              <w:bottom w:val="nil"/>
              <w:right w:val="nil"/>
            </w:tcBorders>
            <w:shd w:val="clear" w:color="000000" w:fill="FFFFFF"/>
            <w:noWrap/>
            <w:vAlign w:val="center"/>
            <w:hideMark/>
          </w:tcPr>
          <w:p w14:paraId="73CC815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8,384</w:t>
            </w:r>
          </w:p>
        </w:tc>
      </w:tr>
      <w:tr w:rsidR="009845FF" w:rsidRPr="009845FF" w14:paraId="3FA986C3"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960965E"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Assistance to people with</w:t>
            </w:r>
          </w:p>
        </w:tc>
        <w:tc>
          <w:tcPr>
            <w:tcW w:w="507" w:type="pct"/>
            <w:tcBorders>
              <w:top w:val="nil"/>
              <w:left w:val="nil"/>
              <w:bottom w:val="nil"/>
              <w:right w:val="nil"/>
            </w:tcBorders>
            <w:shd w:val="clear" w:color="000000" w:fill="FFFFFF"/>
            <w:noWrap/>
            <w:vAlign w:val="center"/>
            <w:hideMark/>
          </w:tcPr>
          <w:p w14:paraId="29754B4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13D6707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4A52E2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FE7FBA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1AE616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9DB928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791CE7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229D1900"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65A3CC24"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disabilities</w:t>
            </w:r>
          </w:p>
        </w:tc>
        <w:tc>
          <w:tcPr>
            <w:tcW w:w="507" w:type="pct"/>
            <w:tcBorders>
              <w:top w:val="nil"/>
              <w:left w:val="nil"/>
              <w:bottom w:val="nil"/>
              <w:right w:val="nil"/>
            </w:tcBorders>
            <w:shd w:val="clear" w:color="000000" w:fill="FFFFFF"/>
            <w:noWrap/>
            <w:vAlign w:val="center"/>
            <w:hideMark/>
          </w:tcPr>
          <w:p w14:paraId="57DB711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61,040</w:t>
            </w:r>
          </w:p>
        </w:tc>
        <w:tc>
          <w:tcPr>
            <w:tcW w:w="54" w:type="pct"/>
            <w:tcBorders>
              <w:top w:val="nil"/>
              <w:left w:val="nil"/>
              <w:bottom w:val="nil"/>
              <w:right w:val="nil"/>
            </w:tcBorders>
            <w:shd w:val="clear" w:color="000000" w:fill="FFFFFF"/>
            <w:noWrap/>
            <w:vAlign w:val="center"/>
            <w:hideMark/>
          </w:tcPr>
          <w:p w14:paraId="188E94C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0EDDE0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69,429</w:t>
            </w:r>
          </w:p>
        </w:tc>
        <w:tc>
          <w:tcPr>
            <w:tcW w:w="499" w:type="pct"/>
            <w:tcBorders>
              <w:top w:val="nil"/>
              <w:left w:val="nil"/>
              <w:bottom w:val="nil"/>
              <w:right w:val="nil"/>
            </w:tcBorders>
            <w:shd w:val="clear" w:color="000000" w:fill="E6F2FF"/>
            <w:noWrap/>
            <w:vAlign w:val="center"/>
            <w:hideMark/>
          </w:tcPr>
          <w:p w14:paraId="306B563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78,332</w:t>
            </w:r>
          </w:p>
        </w:tc>
        <w:tc>
          <w:tcPr>
            <w:tcW w:w="499" w:type="pct"/>
            <w:tcBorders>
              <w:top w:val="nil"/>
              <w:left w:val="nil"/>
              <w:bottom w:val="nil"/>
              <w:right w:val="nil"/>
            </w:tcBorders>
            <w:shd w:val="clear" w:color="000000" w:fill="FFFFFF"/>
            <w:noWrap/>
            <w:vAlign w:val="center"/>
            <w:hideMark/>
          </w:tcPr>
          <w:p w14:paraId="20D71AC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82,602</w:t>
            </w:r>
          </w:p>
        </w:tc>
        <w:tc>
          <w:tcPr>
            <w:tcW w:w="499" w:type="pct"/>
            <w:tcBorders>
              <w:top w:val="nil"/>
              <w:left w:val="nil"/>
              <w:bottom w:val="nil"/>
              <w:right w:val="nil"/>
            </w:tcBorders>
            <w:shd w:val="clear" w:color="000000" w:fill="FFFFFF"/>
            <w:noWrap/>
            <w:vAlign w:val="center"/>
            <w:hideMark/>
          </w:tcPr>
          <w:p w14:paraId="772B10D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89,129</w:t>
            </w:r>
          </w:p>
        </w:tc>
        <w:tc>
          <w:tcPr>
            <w:tcW w:w="499" w:type="pct"/>
            <w:tcBorders>
              <w:top w:val="nil"/>
              <w:left w:val="nil"/>
              <w:bottom w:val="nil"/>
              <w:right w:val="nil"/>
            </w:tcBorders>
            <w:shd w:val="clear" w:color="000000" w:fill="FFFFFF"/>
            <w:noWrap/>
            <w:vAlign w:val="center"/>
            <w:hideMark/>
          </w:tcPr>
          <w:p w14:paraId="4A3306E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94,087</w:t>
            </w:r>
          </w:p>
        </w:tc>
      </w:tr>
      <w:tr w:rsidR="009845FF" w:rsidRPr="009845FF" w14:paraId="30B83659"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7FD4CE3E"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 xml:space="preserve">Assistance to families with </w:t>
            </w:r>
          </w:p>
        </w:tc>
        <w:tc>
          <w:tcPr>
            <w:tcW w:w="507" w:type="pct"/>
            <w:tcBorders>
              <w:top w:val="nil"/>
              <w:left w:val="nil"/>
              <w:bottom w:val="nil"/>
              <w:right w:val="nil"/>
            </w:tcBorders>
            <w:shd w:val="clear" w:color="000000" w:fill="FFFFFF"/>
            <w:noWrap/>
            <w:vAlign w:val="center"/>
            <w:hideMark/>
          </w:tcPr>
          <w:p w14:paraId="21F9180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6C1BE05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479757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429C41C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F9355B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24B333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9F82BE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175E6D8D"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2609C57B"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children</w:t>
            </w:r>
          </w:p>
        </w:tc>
        <w:tc>
          <w:tcPr>
            <w:tcW w:w="507" w:type="pct"/>
            <w:tcBorders>
              <w:top w:val="nil"/>
              <w:left w:val="nil"/>
              <w:bottom w:val="nil"/>
              <w:right w:val="nil"/>
            </w:tcBorders>
            <w:shd w:val="clear" w:color="000000" w:fill="FFFFFF"/>
            <w:noWrap/>
            <w:vAlign w:val="center"/>
            <w:hideMark/>
          </w:tcPr>
          <w:p w14:paraId="5FE9CEA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37,375</w:t>
            </w:r>
          </w:p>
        </w:tc>
        <w:tc>
          <w:tcPr>
            <w:tcW w:w="54" w:type="pct"/>
            <w:tcBorders>
              <w:top w:val="nil"/>
              <w:left w:val="nil"/>
              <w:bottom w:val="nil"/>
              <w:right w:val="nil"/>
            </w:tcBorders>
            <w:shd w:val="clear" w:color="000000" w:fill="FFFFFF"/>
            <w:noWrap/>
            <w:vAlign w:val="center"/>
            <w:hideMark/>
          </w:tcPr>
          <w:p w14:paraId="27A9EE1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D204AF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39,622</w:t>
            </w:r>
          </w:p>
        </w:tc>
        <w:tc>
          <w:tcPr>
            <w:tcW w:w="499" w:type="pct"/>
            <w:tcBorders>
              <w:top w:val="nil"/>
              <w:left w:val="nil"/>
              <w:bottom w:val="nil"/>
              <w:right w:val="nil"/>
            </w:tcBorders>
            <w:shd w:val="clear" w:color="000000" w:fill="E6F2FF"/>
            <w:noWrap/>
            <w:vAlign w:val="center"/>
            <w:hideMark/>
          </w:tcPr>
          <w:p w14:paraId="1AE7BDD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45,123</w:t>
            </w:r>
          </w:p>
        </w:tc>
        <w:tc>
          <w:tcPr>
            <w:tcW w:w="499" w:type="pct"/>
            <w:tcBorders>
              <w:top w:val="nil"/>
              <w:left w:val="nil"/>
              <w:bottom w:val="nil"/>
              <w:right w:val="nil"/>
            </w:tcBorders>
            <w:shd w:val="clear" w:color="000000" w:fill="FFFFFF"/>
            <w:noWrap/>
            <w:vAlign w:val="center"/>
            <w:hideMark/>
          </w:tcPr>
          <w:p w14:paraId="4769D29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47,904</w:t>
            </w:r>
          </w:p>
        </w:tc>
        <w:tc>
          <w:tcPr>
            <w:tcW w:w="499" w:type="pct"/>
            <w:tcBorders>
              <w:top w:val="nil"/>
              <w:left w:val="nil"/>
              <w:bottom w:val="nil"/>
              <w:right w:val="nil"/>
            </w:tcBorders>
            <w:shd w:val="clear" w:color="000000" w:fill="FFFFFF"/>
            <w:noWrap/>
            <w:vAlign w:val="center"/>
            <w:hideMark/>
          </w:tcPr>
          <w:p w14:paraId="41C0D8A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50,020</w:t>
            </w:r>
          </w:p>
        </w:tc>
        <w:tc>
          <w:tcPr>
            <w:tcW w:w="499" w:type="pct"/>
            <w:tcBorders>
              <w:top w:val="nil"/>
              <w:left w:val="nil"/>
              <w:bottom w:val="nil"/>
              <w:right w:val="nil"/>
            </w:tcBorders>
            <w:shd w:val="clear" w:color="000000" w:fill="FFFFFF"/>
            <w:noWrap/>
            <w:vAlign w:val="center"/>
            <w:hideMark/>
          </w:tcPr>
          <w:p w14:paraId="1E434FF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52,174</w:t>
            </w:r>
          </w:p>
        </w:tc>
      </w:tr>
      <w:tr w:rsidR="009845FF" w:rsidRPr="009845FF" w14:paraId="70A2557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C9D7904"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Assistance to the unemployed</w:t>
            </w:r>
          </w:p>
        </w:tc>
        <w:tc>
          <w:tcPr>
            <w:tcW w:w="507" w:type="pct"/>
            <w:tcBorders>
              <w:top w:val="nil"/>
              <w:left w:val="nil"/>
              <w:bottom w:val="nil"/>
              <w:right w:val="nil"/>
            </w:tcBorders>
            <w:shd w:val="clear" w:color="000000" w:fill="FFFFFF"/>
            <w:noWrap/>
            <w:vAlign w:val="center"/>
            <w:hideMark/>
          </w:tcPr>
          <w:p w14:paraId="60384A2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6A824AE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38086B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4BCEB8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EA56E9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B90860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273697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222BA76D"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EB5C8DE"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and the sick</w:t>
            </w:r>
          </w:p>
        </w:tc>
        <w:tc>
          <w:tcPr>
            <w:tcW w:w="507" w:type="pct"/>
            <w:tcBorders>
              <w:top w:val="nil"/>
              <w:left w:val="nil"/>
              <w:bottom w:val="nil"/>
              <w:right w:val="nil"/>
            </w:tcBorders>
            <w:shd w:val="clear" w:color="000000" w:fill="FFFFFF"/>
            <w:noWrap/>
            <w:vAlign w:val="center"/>
            <w:hideMark/>
          </w:tcPr>
          <w:p w14:paraId="3EE7B242"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15,866</w:t>
            </w:r>
          </w:p>
        </w:tc>
        <w:tc>
          <w:tcPr>
            <w:tcW w:w="54" w:type="pct"/>
            <w:tcBorders>
              <w:top w:val="nil"/>
              <w:left w:val="nil"/>
              <w:bottom w:val="nil"/>
              <w:right w:val="nil"/>
            </w:tcBorders>
            <w:shd w:val="clear" w:color="000000" w:fill="FFFFFF"/>
            <w:noWrap/>
            <w:vAlign w:val="center"/>
            <w:hideMark/>
          </w:tcPr>
          <w:p w14:paraId="59AE5E00" w14:textId="77777777" w:rsidR="009845FF" w:rsidRPr="009845FF" w:rsidRDefault="009845FF" w:rsidP="009845FF">
            <w:pPr>
              <w:spacing w:before="0" w:after="0" w:line="240" w:lineRule="auto"/>
              <w:rPr>
                <w:rFonts w:ascii="Arial" w:hAnsi="Arial" w:cs="Arial"/>
                <w:sz w:val="16"/>
                <w:szCs w:val="16"/>
              </w:rPr>
            </w:pPr>
            <w:r w:rsidRPr="009845FF">
              <w:rPr>
                <w:rFonts w:ascii="Arial" w:hAnsi="Arial" w:cs="Arial"/>
                <w:sz w:val="16"/>
                <w:szCs w:val="16"/>
              </w:rPr>
              <w:t> </w:t>
            </w:r>
          </w:p>
        </w:tc>
        <w:tc>
          <w:tcPr>
            <w:tcW w:w="499" w:type="pct"/>
            <w:tcBorders>
              <w:top w:val="nil"/>
              <w:left w:val="nil"/>
              <w:bottom w:val="nil"/>
              <w:right w:val="nil"/>
            </w:tcBorders>
            <w:shd w:val="clear" w:color="000000" w:fill="FFFFFF"/>
            <w:noWrap/>
            <w:vAlign w:val="center"/>
            <w:hideMark/>
          </w:tcPr>
          <w:p w14:paraId="1158FF8B"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13,867</w:t>
            </w:r>
          </w:p>
        </w:tc>
        <w:tc>
          <w:tcPr>
            <w:tcW w:w="499" w:type="pct"/>
            <w:tcBorders>
              <w:top w:val="nil"/>
              <w:left w:val="nil"/>
              <w:bottom w:val="nil"/>
              <w:right w:val="nil"/>
            </w:tcBorders>
            <w:shd w:val="clear" w:color="000000" w:fill="E6F2FF"/>
            <w:noWrap/>
            <w:vAlign w:val="center"/>
            <w:hideMark/>
          </w:tcPr>
          <w:p w14:paraId="1E502D4C"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13,830</w:t>
            </w:r>
          </w:p>
        </w:tc>
        <w:tc>
          <w:tcPr>
            <w:tcW w:w="499" w:type="pct"/>
            <w:tcBorders>
              <w:top w:val="nil"/>
              <w:left w:val="nil"/>
              <w:bottom w:val="nil"/>
              <w:right w:val="nil"/>
            </w:tcBorders>
            <w:shd w:val="clear" w:color="000000" w:fill="FFFFFF"/>
            <w:noWrap/>
            <w:vAlign w:val="center"/>
            <w:hideMark/>
          </w:tcPr>
          <w:p w14:paraId="04E68020"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15,483</w:t>
            </w:r>
          </w:p>
        </w:tc>
        <w:tc>
          <w:tcPr>
            <w:tcW w:w="499" w:type="pct"/>
            <w:tcBorders>
              <w:top w:val="nil"/>
              <w:left w:val="nil"/>
              <w:bottom w:val="nil"/>
              <w:right w:val="nil"/>
            </w:tcBorders>
            <w:shd w:val="clear" w:color="000000" w:fill="FFFFFF"/>
            <w:noWrap/>
            <w:vAlign w:val="center"/>
            <w:hideMark/>
          </w:tcPr>
          <w:p w14:paraId="19CDF1FE"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15,999</w:t>
            </w:r>
          </w:p>
        </w:tc>
        <w:tc>
          <w:tcPr>
            <w:tcW w:w="499" w:type="pct"/>
            <w:tcBorders>
              <w:top w:val="nil"/>
              <w:left w:val="nil"/>
              <w:bottom w:val="nil"/>
              <w:right w:val="nil"/>
            </w:tcBorders>
            <w:shd w:val="clear" w:color="000000" w:fill="FFFFFF"/>
            <w:noWrap/>
            <w:vAlign w:val="center"/>
            <w:hideMark/>
          </w:tcPr>
          <w:p w14:paraId="0CC950C1" w14:textId="77777777" w:rsidR="009845FF" w:rsidRPr="009845FF" w:rsidRDefault="009845FF" w:rsidP="009845FF">
            <w:pPr>
              <w:spacing w:before="0" w:after="0" w:line="240" w:lineRule="auto"/>
              <w:jc w:val="right"/>
              <w:rPr>
                <w:rFonts w:ascii="Arial" w:hAnsi="Arial" w:cs="Arial"/>
                <w:sz w:val="16"/>
                <w:szCs w:val="16"/>
              </w:rPr>
            </w:pPr>
            <w:r w:rsidRPr="009845FF">
              <w:rPr>
                <w:rFonts w:ascii="Arial" w:hAnsi="Arial" w:cs="Arial"/>
                <w:sz w:val="16"/>
                <w:szCs w:val="16"/>
              </w:rPr>
              <w:t>15,915</w:t>
            </w:r>
          </w:p>
        </w:tc>
      </w:tr>
      <w:tr w:rsidR="009845FF" w:rsidRPr="009845FF" w14:paraId="1B885663"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7FC2B39F"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Other welfare programs</w:t>
            </w:r>
          </w:p>
        </w:tc>
        <w:tc>
          <w:tcPr>
            <w:tcW w:w="507" w:type="pct"/>
            <w:tcBorders>
              <w:top w:val="nil"/>
              <w:left w:val="nil"/>
              <w:bottom w:val="nil"/>
              <w:right w:val="nil"/>
            </w:tcBorders>
            <w:shd w:val="clear" w:color="000000" w:fill="FFFFFF"/>
            <w:noWrap/>
            <w:vAlign w:val="center"/>
            <w:hideMark/>
          </w:tcPr>
          <w:p w14:paraId="6B71CF5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16,175</w:t>
            </w:r>
          </w:p>
        </w:tc>
        <w:tc>
          <w:tcPr>
            <w:tcW w:w="54" w:type="pct"/>
            <w:tcBorders>
              <w:top w:val="nil"/>
              <w:left w:val="nil"/>
              <w:bottom w:val="nil"/>
              <w:right w:val="nil"/>
            </w:tcBorders>
            <w:shd w:val="clear" w:color="000000" w:fill="FFFFFF"/>
            <w:noWrap/>
            <w:vAlign w:val="center"/>
            <w:hideMark/>
          </w:tcPr>
          <w:p w14:paraId="082C7B7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D88B6D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2,700</w:t>
            </w:r>
          </w:p>
        </w:tc>
        <w:tc>
          <w:tcPr>
            <w:tcW w:w="499" w:type="pct"/>
            <w:tcBorders>
              <w:top w:val="nil"/>
              <w:left w:val="nil"/>
              <w:bottom w:val="nil"/>
              <w:right w:val="nil"/>
            </w:tcBorders>
            <w:shd w:val="clear" w:color="000000" w:fill="E6F2FF"/>
            <w:noWrap/>
            <w:vAlign w:val="center"/>
            <w:hideMark/>
          </w:tcPr>
          <w:p w14:paraId="70DACAD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1,717</w:t>
            </w:r>
          </w:p>
        </w:tc>
        <w:tc>
          <w:tcPr>
            <w:tcW w:w="499" w:type="pct"/>
            <w:tcBorders>
              <w:top w:val="nil"/>
              <w:left w:val="nil"/>
              <w:bottom w:val="nil"/>
              <w:right w:val="nil"/>
            </w:tcBorders>
            <w:shd w:val="clear" w:color="000000" w:fill="FFFFFF"/>
            <w:noWrap/>
            <w:vAlign w:val="center"/>
            <w:hideMark/>
          </w:tcPr>
          <w:p w14:paraId="14A5770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1,601</w:t>
            </w:r>
          </w:p>
        </w:tc>
        <w:tc>
          <w:tcPr>
            <w:tcW w:w="499" w:type="pct"/>
            <w:tcBorders>
              <w:top w:val="nil"/>
              <w:left w:val="nil"/>
              <w:bottom w:val="nil"/>
              <w:right w:val="nil"/>
            </w:tcBorders>
            <w:shd w:val="clear" w:color="000000" w:fill="FFFFFF"/>
            <w:noWrap/>
            <w:vAlign w:val="center"/>
            <w:hideMark/>
          </w:tcPr>
          <w:p w14:paraId="2AD4DD7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1,523</w:t>
            </w:r>
          </w:p>
        </w:tc>
        <w:tc>
          <w:tcPr>
            <w:tcW w:w="499" w:type="pct"/>
            <w:tcBorders>
              <w:top w:val="nil"/>
              <w:left w:val="nil"/>
              <w:bottom w:val="nil"/>
              <w:right w:val="nil"/>
            </w:tcBorders>
            <w:shd w:val="clear" w:color="000000" w:fill="FFFFFF"/>
            <w:noWrap/>
            <w:vAlign w:val="center"/>
            <w:hideMark/>
          </w:tcPr>
          <w:p w14:paraId="434079A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1,377</w:t>
            </w:r>
          </w:p>
        </w:tc>
      </w:tr>
      <w:tr w:rsidR="009845FF" w:rsidRPr="009845FF" w14:paraId="79AB3756"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5866CF75"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Assistance for Indigenous</w:t>
            </w:r>
          </w:p>
        </w:tc>
        <w:tc>
          <w:tcPr>
            <w:tcW w:w="507" w:type="pct"/>
            <w:tcBorders>
              <w:top w:val="nil"/>
              <w:left w:val="nil"/>
              <w:bottom w:val="nil"/>
              <w:right w:val="nil"/>
            </w:tcBorders>
            <w:shd w:val="clear" w:color="000000" w:fill="FFFFFF"/>
            <w:noWrap/>
            <w:vAlign w:val="center"/>
            <w:hideMark/>
          </w:tcPr>
          <w:p w14:paraId="7B319DE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3982D3E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B07EE8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A559D7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1858BC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B4F628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F84833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0DC282C9"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876D454"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Australians nec</w:t>
            </w:r>
          </w:p>
        </w:tc>
        <w:tc>
          <w:tcPr>
            <w:tcW w:w="507" w:type="pct"/>
            <w:tcBorders>
              <w:top w:val="nil"/>
              <w:left w:val="nil"/>
              <w:bottom w:val="nil"/>
              <w:right w:val="nil"/>
            </w:tcBorders>
            <w:shd w:val="clear" w:color="000000" w:fill="FFFFFF"/>
            <w:noWrap/>
            <w:vAlign w:val="center"/>
            <w:hideMark/>
          </w:tcPr>
          <w:p w14:paraId="41BC7E8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2,492</w:t>
            </w:r>
          </w:p>
        </w:tc>
        <w:tc>
          <w:tcPr>
            <w:tcW w:w="54" w:type="pct"/>
            <w:tcBorders>
              <w:top w:val="nil"/>
              <w:left w:val="nil"/>
              <w:bottom w:val="nil"/>
              <w:right w:val="nil"/>
            </w:tcBorders>
            <w:shd w:val="clear" w:color="000000" w:fill="FFFFFF"/>
            <w:noWrap/>
            <w:vAlign w:val="center"/>
            <w:hideMark/>
          </w:tcPr>
          <w:p w14:paraId="774F872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100587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2,872</w:t>
            </w:r>
          </w:p>
        </w:tc>
        <w:tc>
          <w:tcPr>
            <w:tcW w:w="499" w:type="pct"/>
            <w:tcBorders>
              <w:top w:val="nil"/>
              <w:left w:val="nil"/>
              <w:bottom w:val="nil"/>
              <w:right w:val="nil"/>
            </w:tcBorders>
            <w:shd w:val="clear" w:color="000000" w:fill="E6F2FF"/>
            <w:noWrap/>
            <w:vAlign w:val="center"/>
            <w:hideMark/>
          </w:tcPr>
          <w:p w14:paraId="454E350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3,049</w:t>
            </w:r>
          </w:p>
        </w:tc>
        <w:tc>
          <w:tcPr>
            <w:tcW w:w="499" w:type="pct"/>
            <w:tcBorders>
              <w:top w:val="nil"/>
              <w:left w:val="nil"/>
              <w:bottom w:val="nil"/>
              <w:right w:val="nil"/>
            </w:tcBorders>
            <w:shd w:val="clear" w:color="000000" w:fill="FFFFFF"/>
            <w:noWrap/>
            <w:vAlign w:val="center"/>
            <w:hideMark/>
          </w:tcPr>
          <w:p w14:paraId="6455340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3,080</w:t>
            </w:r>
          </w:p>
        </w:tc>
        <w:tc>
          <w:tcPr>
            <w:tcW w:w="499" w:type="pct"/>
            <w:tcBorders>
              <w:top w:val="nil"/>
              <w:left w:val="nil"/>
              <w:bottom w:val="nil"/>
              <w:right w:val="nil"/>
            </w:tcBorders>
            <w:shd w:val="clear" w:color="000000" w:fill="FFFFFF"/>
            <w:noWrap/>
            <w:vAlign w:val="center"/>
            <w:hideMark/>
          </w:tcPr>
          <w:p w14:paraId="33BA766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3,091</w:t>
            </w:r>
          </w:p>
        </w:tc>
        <w:tc>
          <w:tcPr>
            <w:tcW w:w="499" w:type="pct"/>
            <w:tcBorders>
              <w:top w:val="nil"/>
              <w:left w:val="nil"/>
              <w:bottom w:val="nil"/>
              <w:right w:val="nil"/>
            </w:tcBorders>
            <w:shd w:val="clear" w:color="000000" w:fill="FFFFFF"/>
            <w:noWrap/>
            <w:vAlign w:val="center"/>
            <w:hideMark/>
          </w:tcPr>
          <w:p w14:paraId="135DBA5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2,996</w:t>
            </w:r>
          </w:p>
        </w:tc>
      </w:tr>
      <w:tr w:rsidR="009845FF" w:rsidRPr="009845FF" w14:paraId="32EDAC82"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7A201110"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General administration</w:t>
            </w:r>
          </w:p>
        </w:tc>
        <w:tc>
          <w:tcPr>
            <w:tcW w:w="507" w:type="pct"/>
            <w:tcBorders>
              <w:top w:val="nil"/>
              <w:left w:val="nil"/>
              <w:bottom w:val="nil"/>
              <w:right w:val="nil"/>
            </w:tcBorders>
            <w:shd w:val="clear" w:color="000000" w:fill="FFFFFF"/>
            <w:noWrap/>
            <w:vAlign w:val="center"/>
            <w:hideMark/>
          </w:tcPr>
          <w:p w14:paraId="3B3B8DE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4,716</w:t>
            </w:r>
          </w:p>
        </w:tc>
        <w:tc>
          <w:tcPr>
            <w:tcW w:w="54" w:type="pct"/>
            <w:tcBorders>
              <w:top w:val="nil"/>
              <w:left w:val="nil"/>
              <w:bottom w:val="nil"/>
              <w:right w:val="nil"/>
            </w:tcBorders>
            <w:shd w:val="clear" w:color="000000" w:fill="FFFFFF"/>
            <w:noWrap/>
            <w:vAlign w:val="center"/>
            <w:hideMark/>
          </w:tcPr>
          <w:p w14:paraId="76C05AF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4C6FAE5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5,302</w:t>
            </w:r>
          </w:p>
        </w:tc>
        <w:tc>
          <w:tcPr>
            <w:tcW w:w="499" w:type="pct"/>
            <w:tcBorders>
              <w:top w:val="nil"/>
              <w:left w:val="nil"/>
              <w:bottom w:val="single" w:sz="4" w:space="0" w:color="293F5B"/>
              <w:right w:val="nil"/>
            </w:tcBorders>
            <w:shd w:val="clear" w:color="000000" w:fill="E6F2FF"/>
            <w:noWrap/>
            <w:vAlign w:val="center"/>
            <w:hideMark/>
          </w:tcPr>
          <w:p w14:paraId="737F56E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4,630</w:t>
            </w:r>
          </w:p>
        </w:tc>
        <w:tc>
          <w:tcPr>
            <w:tcW w:w="499" w:type="pct"/>
            <w:tcBorders>
              <w:top w:val="nil"/>
              <w:left w:val="nil"/>
              <w:bottom w:val="single" w:sz="4" w:space="0" w:color="293F5B"/>
              <w:right w:val="nil"/>
            </w:tcBorders>
            <w:shd w:val="clear" w:color="000000" w:fill="FFFFFF"/>
            <w:noWrap/>
            <w:vAlign w:val="center"/>
            <w:hideMark/>
          </w:tcPr>
          <w:p w14:paraId="7736CBD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4,355</w:t>
            </w:r>
          </w:p>
        </w:tc>
        <w:tc>
          <w:tcPr>
            <w:tcW w:w="499" w:type="pct"/>
            <w:tcBorders>
              <w:top w:val="nil"/>
              <w:left w:val="nil"/>
              <w:bottom w:val="single" w:sz="4" w:space="0" w:color="293F5B"/>
              <w:right w:val="nil"/>
            </w:tcBorders>
            <w:shd w:val="clear" w:color="000000" w:fill="FFFFFF"/>
            <w:noWrap/>
            <w:vAlign w:val="center"/>
            <w:hideMark/>
          </w:tcPr>
          <w:p w14:paraId="0C35E56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4,228</w:t>
            </w:r>
          </w:p>
        </w:tc>
        <w:tc>
          <w:tcPr>
            <w:tcW w:w="499" w:type="pct"/>
            <w:tcBorders>
              <w:top w:val="nil"/>
              <w:left w:val="nil"/>
              <w:bottom w:val="single" w:sz="4" w:space="0" w:color="293F5B"/>
              <w:right w:val="nil"/>
            </w:tcBorders>
            <w:shd w:val="clear" w:color="000000" w:fill="FFFFFF"/>
            <w:noWrap/>
            <w:vAlign w:val="center"/>
            <w:hideMark/>
          </w:tcPr>
          <w:p w14:paraId="0AAD3C4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4,221</w:t>
            </w:r>
          </w:p>
        </w:tc>
      </w:tr>
      <w:tr w:rsidR="009845FF" w:rsidRPr="009845FF" w14:paraId="457CD81F"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62FFCCB8"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Total social security and welfare</w:t>
            </w:r>
          </w:p>
        </w:tc>
        <w:tc>
          <w:tcPr>
            <w:tcW w:w="507" w:type="pct"/>
            <w:tcBorders>
              <w:top w:val="single" w:sz="4" w:space="0" w:color="293F5B"/>
              <w:left w:val="nil"/>
              <w:bottom w:val="single" w:sz="4" w:space="0" w:color="293F5B"/>
              <w:right w:val="nil"/>
            </w:tcBorders>
            <w:shd w:val="clear" w:color="000000" w:fill="FFFFFF"/>
            <w:noWrap/>
            <w:vAlign w:val="center"/>
            <w:hideMark/>
          </w:tcPr>
          <w:p w14:paraId="0A5D925A"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221,427</w:t>
            </w:r>
          </w:p>
        </w:tc>
        <w:tc>
          <w:tcPr>
            <w:tcW w:w="54" w:type="pct"/>
            <w:tcBorders>
              <w:top w:val="nil"/>
              <w:left w:val="nil"/>
              <w:bottom w:val="nil"/>
              <w:right w:val="nil"/>
            </w:tcBorders>
            <w:shd w:val="clear" w:color="000000" w:fill="FFFFFF"/>
            <w:noWrap/>
            <w:vAlign w:val="center"/>
            <w:hideMark/>
          </w:tcPr>
          <w:p w14:paraId="42C44290"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7E3A6D2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226,378</w:t>
            </w:r>
          </w:p>
        </w:tc>
        <w:tc>
          <w:tcPr>
            <w:tcW w:w="499" w:type="pct"/>
            <w:tcBorders>
              <w:top w:val="nil"/>
              <w:left w:val="nil"/>
              <w:bottom w:val="single" w:sz="4" w:space="0" w:color="293F5B"/>
              <w:right w:val="nil"/>
            </w:tcBorders>
            <w:shd w:val="clear" w:color="000000" w:fill="E6F2FF"/>
            <w:noWrap/>
            <w:vAlign w:val="center"/>
            <w:hideMark/>
          </w:tcPr>
          <w:p w14:paraId="227B092D"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250,280</w:t>
            </w:r>
          </w:p>
        </w:tc>
        <w:tc>
          <w:tcPr>
            <w:tcW w:w="499" w:type="pct"/>
            <w:tcBorders>
              <w:top w:val="nil"/>
              <w:left w:val="nil"/>
              <w:bottom w:val="single" w:sz="4" w:space="0" w:color="293F5B"/>
              <w:right w:val="nil"/>
            </w:tcBorders>
            <w:shd w:val="clear" w:color="000000" w:fill="FFFFFF"/>
            <w:noWrap/>
            <w:vAlign w:val="center"/>
            <w:hideMark/>
          </w:tcPr>
          <w:p w14:paraId="651BD53E"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263,074</w:t>
            </w:r>
          </w:p>
        </w:tc>
        <w:tc>
          <w:tcPr>
            <w:tcW w:w="499" w:type="pct"/>
            <w:tcBorders>
              <w:top w:val="nil"/>
              <w:left w:val="nil"/>
              <w:bottom w:val="single" w:sz="4" w:space="0" w:color="293F5B"/>
              <w:right w:val="nil"/>
            </w:tcBorders>
            <w:shd w:val="clear" w:color="000000" w:fill="FFFFFF"/>
            <w:noWrap/>
            <w:vAlign w:val="center"/>
            <w:hideMark/>
          </w:tcPr>
          <w:p w14:paraId="77D099D1"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277,054</w:t>
            </w:r>
          </w:p>
        </w:tc>
        <w:tc>
          <w:tcPr>
            <w:tcW w:w="499" w:type="pct"/>
            <w:tcBorders>
              <w:top w:val="nil"/>
              <w:left w:val="nil"/>
              <w:bottom w:val="single" w:sz="4" w:space="0" w:color="293F5B"/>
              <w:right w:val="nil"/>
            </w:tcBorders>
            <w:shd w:val="clear" w:color="000000" w:fill="FFFFFF"/>
            <w:noWrap/>
            <w:vAlign w:val="center"/>
            <w:hideMark/>
          </w:tcPr>
          <w:p w14:paraId="18A9CF27"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288,442</w:t>
            </w:r>
          </w:p>
        </w:tc>
      </w:tr>
      <w:tr w:rsidR="009845FF" w:rsidRPr="009845FF" w14:paraId="2BDAFF54" w14:textId="77777777" w:rsidTr="009845FF">
        <w:trPr>
          <w:divId w:val="1717967480"/>
          <w:trHeight w:hRule="exact" w:val="60"/>
        </w:trPr>
        <w:tc>
          <w:tcPr>
            <w:tcW w:w="1944" w:type="pct"/>
            <w:tcBorders>
              <w:top w:val="nil"/>
              <w:left w:val="nil"/>
              <w:bottom w:val="nil"/>
              <w:right w:val="nil"/>
            </w:tcBorders>
            <w:shd w:val="clear" w:color="000000" w:fill="FFFFFF"/>
            <w:noWrap/>
            <w:vAlign w:val="center"/>
            <w:hideMark/>
          </w:tcPr>
          <w:p w14:paraId="617BE5A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6925B03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65E761C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89E5FD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ED07BF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F2FEB0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C58259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CA7C91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271D9619"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B821049"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xml:space="preserve">Housing and community </w:t>
            </w:r>
          </w:p>
        </w:tc>
        <w:tc>
          <w:tcPr>
            <w:tcW w:w="507" w:type="pct"/>
            <w:tcBorders>
              <w:top w:val="nil"/>
              <w:left w:val="nil"/>
              <w:bottom w:val="nil"/>
              <w:right w:val="nil"/>
            </w:tcBorders>
            <w:shd w:val="clear" w:color="000000" w:fill="FFFFFF"/>
            <w:noWrap/>
            <w:vAlign w:val="center"/>
            <w:hideMark/>
          </w:tcPr>
          <w:p w14:paraId="17B7810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75DDF8C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F9EDC1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C6D3AE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57ADCF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57B7FD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DE436F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1C0A17B2"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513F3EE" w14:textId="77777777" w:rsidR="009845FF" w:rsidRPr="009845FF" w:rsidRDefault="009845FF" w:rsidP="009845FF">
            <w:pPr>
              <w:spacing w:before="0" w:after="0" w:line="240" w:lineRule="auto"/>
              <w:ind w:left="170"/>
              <w:rPr>
                <w:rFonts w:ascii="Arial" w:hAnsi="Arial" w:cs="Arial"/>
                <w:b/>
                <w:bCs/>
                <w:color w:val="000000"/>
                <w:sz w:val="16"/>
                <w:szCs w:val="16"/>
              </w:rPr>
            </w:pPr>
            <w:r w:rsidRPr="009845FF">
              <w:rPr>
                <w:rFonts w:ascii="Arial" w:hAnsi="Arial" w:cs="Arial"/>
                <w:b/>
                <w:bCs/>
                <w:color w:val="000000"/>
                <w:sz w:val="16"/>
                <w:szCs w:val="16"/>
              </w:rPr>
              <w:t>amenities</w:t>
            </w:r>
          </w:p>
        </w:tc>
        <w:tc>
          <w:tcPr>
            <w:tcW w:w="507" w:type="pct"/>
            <w:tcBorders>
              <w:top w:val="nil"/>
              <w:left w:val="nil"/>
              <w:bottom w:val="nil"/>
              <w:right w:val="nil"/>
            </w:tcBorders>
            <w:shd w:val="clear" w:color="000000" w:fill="FFFFFF"/>
            <w:noWrap/>
            <w:vAlign w:val="center"/>
            <w:hideMark/>
          </w:tcPr>
          <w:p w14:paraId="5981C9C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63279D3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1C7BF8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70B180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FA6702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F2A942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F82E7F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266D6A13"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A3BD224"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 xml:space="preserve">Housing </w:t>
            </w:r>
          </w:p>
        </w:tc>
        <w:tc>
          <w:tcPr>
            <w:tcW w:w="507" w:type="pct"/>
            <w:tcBorders>
              <w:top w:val="nil"/>
              <w:left w:val="nil"/>
              <w:bottom w:val="nil"/>
              <w:right w:val="nil"/>
            </w:tcBorders>
            <w:shd w:val="clear" w:color="000000" w:fill="FFFFFF"/>
            <w:noWrap/>
            <w:vAlign w:val="center"/>
            <w:hideMark/>
          </w:tcPr>
          <w:p w14:paraId="73F99E0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4,154</w:t>
            </w:r>
          </w:p>
        </w:tc>
        <w:tc>
          <w:tcPr>
            <w:tcW w:w="54" w:type="pct"/>
            <w:tcBorders>
              <w:top w:val="nil"/>
              <w:left w:val="nil"/>
              <w:bottom w:val="nil"/>
              <w:right w:val="nil"/>
            </w:tcBorders>
            <w:shd w:val="clear" w:color="000000" w:fill="FFFFFF"/>
            <w:noWrap/>
            <w:vAlign w:val="center"/>
            <w:hideMark/>
          </w:tcPr>
          <w:p w14:paraId="4A310C9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6BC318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3,460</w:t>
            </w:r>
          </w:p>
        </w:tc>
        <w:tc>
          <w:tcPr>
            <w:tcW w:w="499" w:type="pct"/>
            <w:tcBorders>
              <w:top w:val="nil"/>
              <w:left w:val="nil"/>
              <w:bottom w:val="nil"/>
              <w:right w:val="nil"/>
            </w:tcBorders>
            <w:shd w:val="clear" w:color="000000" w:fill="E6F2FF"/>
            <w:noWrap/>
            <w:vAlign w:val="center"/>
            <w:hideMark/>
          </w:tcPr>
          <w:p w14:paraId="0CC5D96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3,466</w:t>
            </w:r>
          </w:p>
        </w:tc>
        <w:tc>
          <w:tcPr>
            <w:tcW w:w="499" w:type="pct"/>
            <w:tcBorders>
              <w:top w:val="nil"/>
              <w:left w:val="nil"/>
              <w:bottom w:val="nil"/>
              <w:right w:val="nil"/>
            </w:tcBorders>
            <w:shd w:val="clear" w:color="000000" w:fill="FFFFFF"/>
            <w:noWrap/>
            <w:vAlign w:val="center"/>
            <w:hideMark/>
          </w:tcPr>
          <w:p w14:paraId="1D30E19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3,474</w:t>
            </w:r>
          </w:p>
        </w:tc>
        <w:tc>
          <w:tcPr>
            <w:tcW w:w="499" w:type="pct"/>
            <w:tcBorders>
              <w:top w:val="nil"/>
              <w:left w:val="nil"/>
              <w:bottom w:val="nil"/>
              <w:right w:val="nil"/>
            </w:tcBorders>
            <w:shd w:val="clear" w:color="000000" w:fill="FFFFFF"/>
            <w:noWrap/>
            <w:vAlign w:val="center"/>
            <w:hideMark/>
          </w:tcPr>
          <w:p w14:paraId="774BFE2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3,364</w:t>
            </w:r>
          </w:p>
        </w:tc>
        <w:tc>
          <w:tcPr>
            <w:tcW w:w="499" w:type="pct"/>
            <w:tcBorders>
              <w:top w:val="nil"/>
              <w:left w:val="nil"/>
              <w:bottom w:val="nil"/>
              <w:right w:val="nil"/>
            </w:tcBorders>
            <w:shd w:val="clear" w:color="000000" w:fill="FFFFFF"/>
            <w:noWrap/>
            <w:vAlign w:val="center"/>
            <w:hideMark/>
          </w:tcPr>
          <w:p w14:paraId="396302C1"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3,397</w:t>
            </w:r>
          </w:p>
        </w:tc>
      </w:tr>
      <w:tr w:rsidR="009845FF" w:rsidRPr="009845FF" w14:paraId="595573FF"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E8B2B13"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Urban and regional development</w:t>
            </w:r>
          </w:p>
        </w:tc>
        <w:tc>
          <w:tcPr>
            <w:tcW w:w="507" w:type="pct"/>
            <w:tcBorders>
              <w:top w:val="nil"/>
              <w:left w:val="nil"/>
              <w:bottom w:val="nil"/>
              <w:right w:val="nil"/>
            </w:tcBorders>
            <w:shd w:val="clear" w:color="000000" w:fill="FFFFFF"/>
            <w:noWrap/>
            <w:vAlign w:val="center"/>
            <w:hideMark/>
          </w:tcPr>
          <w:p w14:paraId="4C005F61"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1,337</w:t>
            </w:r>
          </w:p>
        </w:tc>
        <w:tc>
          <w:tcPr>
            <w:tcW w:w="54" w:type="pct"/>
            <w:tcBorders>
              <w:top w:val="nil"/>
              <w:left w:val="nil"/>
              <w:bottom w:val="nil"/>
              <w:right w:val="nil"/>
            </w:tcBorders>
            <w:shd w:val="clear" w:color="000000" w:fill="FFFFFF"/>
            <w:noWrap/>
            <w:vAlign w:val="center"/>
            <w:hideMark/>
          </w:tcPr>
          <w:p w14:paraId="4557E02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73F492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1,980</w:t>
            </w:r>
          </w:p>
        </w:tc>
        <w:tc>
          <w:tcPr>
            <w:tcW w:w="499" w:type="pct"/>
            <w:tcBorders>
              <w:top w:val="nil"/>
              <w:left w:val="nil"/>
              <w:bottom w:val="nil"/>
              <w:right w:val="nil"/>
            </w:tcBorders>
            <w:shd w:val="clear" w:color="000000" w:fill="E6F2FF"/>
            <w:noWrap/>
            <w:vAlign w:val="center"/>
            <w:hideMark/>
          </w:tcPr>
          <w:p w14:paraId="31E6493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2,104</w:t>
            </w:r>
          </w:p>
        </w:tc>
        <w:tc>
          <w:tcPr>
            <w:tcW w:w="499" w:type="pct"/>
            <w:tcBorders>
              <w:top w:val="nil"/>
              <w:left w:val="nil"/>
              <w:bottom w:val="nil"/>
              <w:right w:val="nil"/>
            </w:tcBorders>
            <w:shd w:val="clear" w:color="000000" w:fill="FFFFFF"/>
            <w:noWrap/>
            <w:vAlign w:val="center"/>
            <w:hideMark/>
          </w:tcPr>
          <w:p w14:paraId="6A9399F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2,265</w:t>
            </w:r>
          </w:p>
        </w:tc>
        <w:tc>
          <w:tcPr>
            <w:tcW w:w="499" w:type="pct"/>
            <w:tcBorders>
              <w:top w:val="nil"/>
              <w:left w:val="nil"/>
              <w:bottom w:val="nil"/>
              <w:right w:val="nil"/>
            </w:tcBorders>
            <w:shd w:val="clear" w:color="000000" w:fill="FFFFFF"/>
            <w:noWrap/>
            <w:vAlign w:val="center"/>
            <w:hideMark/>
          </w:tcPr>
          <w:p w14:paraId="3B86BAE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2,069</w:t>
            </w:r>
          </w:p>
        </w:tc>
        <w:tc>
          <w:tcPr>
            <w:tcW w:w="499" w:type="pct"/>
            <w:tcBorders>
              <w:top w:val="nil"/>
              <w:left w:val="nil"/>
              <w:bottom w:val="nil"/>
              <w:right w:val="nil"/>
            </w:tcBorders>
            <w:shd w:val="clear" w:color="000000" w:fill="FFFFFF"/>
            <w:noWrap/>
            <w:vAlign w:val="center"/>
            <w:hideMark/>
          </w:tcPr>
          <w:p w14:paraId="3ABBFFE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717</w:t>
            </w:r>
          </w:p>
        </w:tc>
      </w:tr>
      <w:tr w:rsidR="009845FF" w:rsidRPr="009845FF" w14:paraId="11F9DF9F"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E4FDC1F"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Environment protection</w:t>
            </w:r>
          </w:p>
        </w:tc>
        <w:tc>
          <w:tcPr>
            <w:tcW w:w="507" w:type="pct"/>
            <w:tcBorders>
              <w:top w:val="nil"/>
              <w:left w:val="nil"/>
              <w:bottom w:val="nil"/>
              <w:right w:val="nil"/>
            </w:tcBorders>
            <w:shd w:val="clear" w:color="000000" w:fill="FFFFFF"/>
            <w:noWrap/>
            <w:vAlign w:val="center"/>
            <w:hideMark/>
          </w:tcPr>
          <w:p w14:paraId="18BC6CF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1,542</w:t>
            </w:r>
          </w:p>
        </w:tc>
        <w:tc>
          <w:tcPr>
            <w:tcW w:w="54" w:type="pct"/>
            <w:tcBorders>
              <w:top w:val="nil"/>
              <w:left w:val="nil"/>
              <w:bottom w:val="nil"/>
              <w:right w:val="nil"/>
            </w:tcBorders>
            <w:shd w:val="clear" w:color="000000" w:fill="FFFFFF"/>
            <w:noWrap/>
            <w:vAlign w:val="center"/>
            <w:hideMark/>
          </w:tcPr>
          <w:p w14:paraId="0FAD72E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0C1D2D8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1,696</w:t>
            </w:r>
          </w:p>
        </w:tc>
        <w:tc>
          <w:tcPr>
            <w:tcW w:w="499" w:type="pct"/>
            <w:tcBorders>
              <w:top w:val="nil"/>
              <w:left w:val="nil"/>
              <w:bottom w:val="single" w:sz="4" w:space="0" w:color="293F5B"/>
              <w:right w:val="nil"/>
            </w:tcBorders>
            <w:shd w:val="clear" w:color="000000" w:fill="E6F2FF"/>
            <w:noWrap/>
            <w:vAlign w:val="center"/>
            <w:hideMark/>
          </w:tcPr>
          <w:p w14:paraId="5669782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2,369</w:t>
            </w:r>
          </w:p>
        </w:tc>
        <w:tc>
          <w:tcPr>
            <w:tcW w:w="499" w:type="pct"/>
            <w:tcBorders>
              <w:top w:val="nil"/>
              <w:left w:val="nil"/>
              <w:bottom w:val="single" w:sz="4" w:space="0" w:color="293F5B"/>
              <w:right w:val="nil"/>
            </w:tcBorders>
            <w:shd w:val="clear" w:color="000000" w:fill="FFFFFF"/>
            <w:noWrap/>
            <w:vAlign w:val="center"/>
            <w:hideMark/>
          </w:tcPr>
          <w:p w14:paraId="27343D2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2,335</w:t>
            </w:r>
          </w:p>
        </w:tc>
        <w:tc>
          <w:tcPr>
            <w:tcW w:w="499" w:type="pct"/>
            <w:tcBorders>
              <w:top w:val="nil"/>
              <w:left w:val="nil"/>
              <w:bottom w:val="single" w:sz="4" w:space="0" w:color="293F5B"/>
              <w:right w:val="nil"/>
            </w:tcBorders>
            <w:shd w:val="clear" w:color="000000" w:fill="FFFFFF"/>
            <w:noWrap/>
            <w:vAlign w:val="center"/>
            <w:hideMark/>
          </w:tcPr>
          <w:p w14:paraId="1A1ABCB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2,334</w:t>
            </w:r>
          </w:p>
        </w:tc>
        <w:tc>
          <w:tcPr>
            <w:tcW w:w="499" w:type="pct"/>
            <w:tcBorders>
              <w:top w:val="nil"/>
              <w:left w:val="nil"/>
              <w:bottom w:val="single" w:sz="4" w:space="0" w:color="293F5B"/>
              <w:right w:val="nil"/>
            </w:tcBorders>
            <w:shd w:val="clear" w:color="000000" w:fill="FFFFFF"/>
            <w:noWrap/>
            <w:vAlign w:val="center"/>
            <w:hideMark/>
          </w:tcPr>
          <w:p w14:paraId="0EC761A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1,750</w:t>
            </w:r>
          </w:p>
        </w:tc>
      </w:tr>
      <w:tr w:rsidR="009845FF" w:rsidRPr="009845FF" w14:paraId="1BADEC35"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A0480B9"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Total housing and community</w:t>
            </w:r>
          </w:p>
        </w:tc>
        <w:tc>
          <w:tcPr>
            <w:tcW w:w="507" w:type="pct"/>
            <w:tcBorders>
              <w:top w:val="single" w:sz="4" w:space="0" w:color="293F5B"/>
              <w:left w:val="nil"/>
              <w:bottom w:val="nil"/>
              <w:right w:val="nil"/>
            </w:tcBorders>
            <w:shd w:val="clear" w:color="000000" w:fill="FFFFFF"/>
            <w:noWrap/>
            <w:vAlign w:val="center"/>
            <w:hideMark/>
          </w:tcPr>
          <w:p w14:paraId="59CB084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5D0897A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DAECD0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25FCDDA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0CF8A5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4FBC49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9B18E5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7060B530"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7A4B6FDD" w14:textId="77777777" w:rsidR="009845FF" w:rsidRPr="009845FF" w:rsidRDefault="009845FF" w:rsidP="009845FF">
            <w:pPr>
              <w:spacing w:before="0" w:after="0" w:line="240" w:lineRule="auto"/>
              <w:ind w:left="170"/>
              <w:rPr>
                <w:rFonts w:ascii="Arial" w:hAnsi="Arial" w:cs="Arial"/>
                <w:b/>
                <w:bCs/>
                <w:color w:val="000000"/>
                <w:sz w:val="16"/>
                <w:szCs w:val="16"/>
              </w:rPr>
            </w:pPr>
            <w:r w:rsidRPr="009845FF">
              <w:rPr>
                <w:rFonts w:ascii="Arial" w:hAnsi="Arial" w:cs="Arial"/>
                <w:b/>
                <w:bCs/>
                <w:color w:val="000000"/>
                <w:sz w:val="16"/>
                <w:szCs w:val="16"/>
              </w:rPr>
              <w:t xml:space="preserve"> amenities</w:t>
            </w:r>
          </w:p>
        </w:tc>
        <w:tc>
          <w:tcPr>
            <w:tcW w:w="507" w:type="pct"/>
            <w:tcBorders>
              <w:top w:val="nil"/>
              <w:left w:val="nil"/>
              <w:bottom w:val="nil"/>
              <w:right w:val="nil"/>
            </w:tcBorders>
            <w:shd w:val="clear" w:color="000000" w:fill="FFFFFF"/>
            <w:noWrap/>
            <w:vAlign w:val="center"/>
            <w:hideMark/>
          </w:tcPr>
          <w:p w14:paraId="3B0F5D7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7,033</w:t>
            </w:r>
          </w:p>
        </w:tc>
        <w:tc>
          <w:tcPr>
            <w:tcW w:w="54" w:type="pct"/>
            <w:tcBorders>
              <w:top w:val="nil"/>
              <w:left w:val="nil"/>
              <w:bottom w:val="nil"/>
              <w:right w:val="nil"/>
            </w:tcBorders>
            <w:shd w:val="clear" w:color="000000" w:fill="FFFFFF"/>
            <w:noWrap/>
            <w:vAlign w:val="center"/>
            <w:hideMark/>
          </w:tcPr>
          <w:p w14:paraId="57821C9C"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35908036"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7,135</w:t>
            </w:r>
          </w:p>
        </w:tc>
        <w:tc>
          <w:tcPr>
            <w:tcW w:w="499" w:type="pct"/>
            <w:tcBorders>
              <w:top w:val="nil"/>
              <w:left w:val="nil"/>
              <w:bottom w:val="single" w:sz="4" w:space="0" w:color="293F5B"/>
              <w:right w:val="nil"/>
            </w:tcBorders>
            <w:shd w:val="clear" w:color="000000" w:fill="E6F2FF"/>
            <w:noWrap/>
            <w:vAlign w:val="center"/>
            <w:hideMark/>
          </w:tcPr>
          <w:p w14:paraId="039374E8"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7,940</w:t>
            </w:r>
          </w:p>
        </w:tc>
        <w:tc>
          <w:tcPr>
            <w:tcW w:w="499" w:type="pct"/>
            <w:tcBorders>
              <w:top w:val="nil"/>
              <w:left w:val="nil"/>
              <w:bottom w:val="single" w:sz="4" w:space="0" w:color="293F5B"/>
              <w:right w:val="nil"/>
            </w:tcBorders>
            <w:shd w:val="clear" w:color="000000" w:fill="FFFFFF"/>
            <w:noWrap/>
            <w:vAlign w:val="center"/>
            <w:hideMark/>
          </w:tcPr>
          <w:p w14:paraId="4AF8A13A"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8,074</w:t>
            </w:r>
          </w:p>
        </w:tc>
        <w:tc>
          <w:tcPr>
            <w:tcW w:w="499" w:type="pct"/>
            <w:tcBorders>
              <w:top w:val="nil"/>
              <w:left w:val="nil"/>
              <w:bottom w:val="single" w:sz="4" w:space="0" w:color="293F5B"/>
              <w:right w:val="nil"/>
            </w:tcBorders>
            <w:shd w:val="clear" w:color="000000" w:fill="FFFFFF"/>
            <w:noWrap/>
            <w:vAlign w:val="center"/>
            <w:hideMark/>
          </w:tcPr>
          <w:p w14:paraId="3F4E09B5"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7,767</w:t>
            </w:r>
          </w:p>
        </w:tc>
        <w:tc>
          <w:tcPr>
            <w:tcW w:w="499" w:type="pct"/>
            <w:tcBorders>
              <w:top w:val="nil"/>
              <w:left w:val="nil"/>
              <w:bottom w:val="single" w:sz="4" w:space="0" w:color="293F5B"/>
              <w:right w:val="nil"/>
            </w:tcBorders>
            <w:shd w:val="clear" w:color="000000" w:fill="FFFFFF"/>
            <w:noWrap/>
            <w:vAlign w:val="center"/>
            <w:hideMark/>
          </w:tcPr>
          <w:p w14:paraId="2FD74437"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5,864</w:t>
            </w:r>
          </w:p>
        </w:tc>
      </w:tr>
      <w:tr w:rsidR="009845FF" w:rsidRPr="009845FF" w14:paraId="08E7BCAF" w14:textId="77777777" w:rsidTr="009845FF">
        <w:trPr>
          <w:divId w:val="1717967480"/>
          <w:trHeight w:hRule="exact" w:val="60"/>
        </w:trPr>
        <w:tc>
          <w:tcPr>
            <w:tcW w:w="1944" w:type="pct"/>
            <w:tcBorders>
              <w:top w:val="nil"/>
              <w:left w:val="nil"/>
              <w:bottom w:val="nil"/>
              <w:right w:val="nil"/>
            </w:tcBorders>
            <w:shd w:val="clear" w:color="000000" w:fill="FFFFFF"/>
            <w:noWrap/>
            <w:vAlign w:val="center"/>
            <w:hideMark/>
          </w:tcPr>
          <w:p w14:paraId="4913F00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single" w:sz="4" w:space="0" w:color="293F5B"/>
              <w:left w:val="nil"/>
              <w:bottom w:val="nil"/>
              <w:right w:val="nil"/>
            </w:tcBorders>
            <w:shd w:val="clear" w:color="000000" w:fill="FFFFFF"/>
            <w:noWrap/>
            <w:vAlign w:val="center"/>
            <w:hideMark/>
          </w:tcPr>
          <w:p w14:paraId="1CEBB3C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195CA97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2DE21B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EBFF0A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480E11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F48B4E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351EC6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7BD53913"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D3E4A0F"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Recreation and culture</w:t>
            </w:r>
          </w:p>
        </w:tc>
        <w:tc>
          <w:tcPr>
            <w:tcW w:w="507" w:type="pct"/>
            <w:tcBorders>
              <w:top w:val="nil"/>
              <w:left w:val="nil"/>
              <w:bottom w:val="nil"/>
              <w:right w:val="nil"/>
            </w:tcBorders>
            <w:shd w:val="clear" w:color="000000" w:fill="FFFFFF"/>
            <w:noWrap/>
            <w:vAlign w:val="center"/>
            <w:hideMark/>
          </w:tcPr>
          <w:p w14:paraId="19ABFC0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75F0D64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3589EE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9D4162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86285A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6AEF77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158843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0732191A"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DFB7AD9"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Broadcasting</w:t>
            </w:r>
          </w:p>
        </w:tc>
        <w:tc>
          <w:tcPr>
            <w:tcW w:w="507" w:type="pct"/>
            <w:tcBorders>
              <w:top w:val="nil"/>
              <w:left w:val="nil"/>
              <w:bottom w:val="nil"/>
              <w:right w:val="nil"/>
            </w:tcBorders>
            <w:shd w:val="clear" w:color="000000" w:fill="FFFFFF"/>
            <w:noWrap/>
            <w:vAlign w:val="center"/>
            <w:hideMark/>
          </w:tcPr>
          <w:p w14:paraId="73A4B4D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1,559</w:t>
            </w:r>
          </w:p>
        </w:tc>
        <w:tc>
          <w:tcPr>
            <w:tcW w:w="54" w:type="pct"/>
            <w:tcBorders>
              <w:top w:val="nil"/>
              <w:left w:val="nil"/>
              <w:bottom w:val="nil"/>
              <w:right w:val="nil"/>
            </w:tcBorders>
            <w:shd w:val="clear" w:color="000000" w:fill="FFFFFF"/>
            <w:noWrap/>
            <w:vAlign w:val="center"/>
            <w:hideMark/>
          </w:tcPr>
          <w:p w14:paraId="10BB80E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44D69F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1,680</w:t>
            </w:r>
          </w:p>
        </w:tc>
        <w:tc>
          <w:tcPr>
            <w:tcW w:w="499" w:type="pct"/>
            <w:tcBorders>
              <w:top w:val="nil"/>
              <w:left w:val="nil"/>
              <w:bottom w:val="nil"/>
              <w:right w:val="nil"/>
            </w:tcBorders>
            <w:shd w:val="clear" w:color="000000" w:fill="E6F2FF"/>
            <w:noWrap/>
            <w:vAlign w:val="center"/>
            <w:hideMark/>
          </w:tcPr>
          <w:p w14:paraId="28E65A0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1,671</w:t>
            </w:r>
          </w:p>
        </w:tc>
        <w:tc>
          <w:tcPr>
            <w:tcW w:w="499" w:type="pct"/>
            <w:tcBorders>
              <w:top w:val="nil"/>
              <w:left w:val="nil"/>
              <w:bottom w:val="nil"/>
              <w:right w:val="nil"/>
            </w:tcBorders>
            <w:shd w:val="clear" w:color="000000" w:fill="FFFFFF"/>
            <w:noWrap/>
            <w:vAlign w:val="center"/>
            <w:hideMark/>
          </w:tcPr>
          <w:p w14:paraId="2819AF91"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1,745</w:t>
            </w:r>
          </w:p>
        </w:tc>
        <w:tc>
          <w:tcPr>
            <w:tcW w:w="499" w:type="pct"/>
            <w:tcBorders>
              <w:top w:val="nil"/>
              <w:left w:val="nil"/>
              <w:bottom w:val="nil"/>
              <w:right w:val="nil"/>
            </w:tcBorders>
            <w:shd w:val="clear" w:color="000000" w:fill="FFFFFF"/>
            <w:noWrap/>
            <w:vAlign w:val="center"/>
            <w:hideMark/>
          </w:tcPr>
          <w:p w14:paraId="7C71176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1,794</w:t>
            </w:r>
          </w:p>
        </w:tc>
        <w:tc>
          <w:tcPr>
            <w:tcW w:w="499" w:type="pct"/>
            <w:tcBorders>
              <w:top w:val="nil"/>
              <w:left w:val="nil"/>
              <w:bottom w:val="nil"/>
              <w:right w:val="nil"/>
            </w:tcBorders>
            <w:shd w:val="clear" w:color="000000" w:fill="FFFFFF"/>
            <w:noWrap/>
            <w:vAlign w:val="center"/>
            <w:hideMark/>
          </w:tcPr>
          <w:p w14:paraId="199BC06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1,798</w:t>
            </w:r>
          </w:p>
        </w:tc>
      </w:tr>
      <w:tr w:rsidR="009845FF" w:rsidRPr="009845FF" w14:paraId="06DAD6B2"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27F9A575"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Arts and cultural heritage</w:t>
            </w:r>
          </w:p>
        </w:tc>
        <w:tc>
          <w:tcPr>
            <w:tcW w:w="507" w:type="pct"/>
            <w:tcBorders>
              <w:top w:val="nil"/>
              <w:left w:val="nil"/>
              <w:bottom w:val="nil"/>
              <w:right w:val="nil"/>
            </w:tcBorders>
            <w:shd w:val="clear" w:color="000000" w:fill="FFFFFF"/>
            <w:noWrap/>
            <w:vAlign w:val="center"/>
            <w:hideMark/>
          </w:tcPr>
          <w:p w14:paraId="2F4D370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1,579</w:t>
            </w:r>
          </w:p>
        </w:tc>
        <w:tc>
          <w:tcPr>
            <w:tcW w:w="54" w:type="pct"/>
            <w:tcBorders>
              <w:top w:val="nil"/>
              <w:left w:val="nil"/>
              <w:bottom w:val="nil"/>
              <w:right w:val="nil"/>
            </w:tcBorders>
            <w:shd w:val="clear" w:color="000000" w:fill="FFFFFF"/>
            <w:noWrap/>
            <w:vAlign w:val="center"/>
            <w:hideMark/>
          </w:tcPr>
          <w:p w14:paraId="4044998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2C29A4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1,835</w:t>
            </w:r>
          </w:p>
        </w:tc>
        <w:tc>
          <w:tcPr>
            <w:tcW w:w="499" w:type="pct"/>
            <w:tcBorders>
              <w:top w:val="nil"/>
              <w:left w:val="nil"/>
              <w:bottom w:val="nil"/>
              <w:right w:val="nil"/>
            </w:tcBorders>
            <w:shd w:val="clear" w:color="000000" w:fill="E6F2FF"/>
            <w:noWrap/>
            <w:vAlign w:val="center"/>
            <w:hideMark/>
          </w:tcPr>
          <w:p w14:paraId="1EA62FA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1,869</w:t>
            </w:r>
          </w:p>
        </w:tc>
        <w:tc>
          <w:tcPr>
            <w:tcW w:w="499" w:type="pct"/>
            <w:tcBorders>
              <w:top w:val="nil"/>
              <w:left w:val="nil"/>
              <w:bottom w:val="nil"/>
              <w:right w:val="nil"/>
            </w:tcBorders>
            <w:shd w:val="clear" w:color="000000" w:fill="FFFFFF"/>
            <w:noWrap/>
            <w:vAlign w:val="center"/>
            <w:hideMark/>
          </w:tcPr>
          <w:p w14:paraId="687FC00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1,822</w:t>
            </w:r>
          </w:p>
        </w:tc>
        <w:tc>
          <w:tcPr>
            <w:tcW w:w="499" w:type="pct"/>
            <w:tcBorders>
              <w:top w:val="nil"/>
              <w:left w:val="nil"/>
              <w:bottom w:val="nil"/>
              <w:right w:val="nil"/>
            </w:tcBorders>
            <w:shd w:val="clear" w:color="000000" w:fill="FFFFFF"/>
            <w:noWrap/>
            <w:vAlign w:val="center"/>
            <w:hideMark/>
          </w:tcPr>
          <w:p w14:paraId="07F7F2D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1,860</w:t>
            </w:r>
          </w:p>
        </w:tc>
        <w:tc>
          <w:tcPr>
            <w:tcW w:w="499" w:type="pct"/>
            <w:tcBorders>
              <w:top w:val="nil"/>
              <w:left w:val="nil"/>
              <w:bottom w:val="nil"/>
              <w:right w:val="nil"/>
            </w:tcBorders>
            <w:shd w:val="clear" w:color="000000" w:fill="FFFFFF"/>
            <w:noWrap/>
            <w:vAlign w:val="center"/>
            <w:hideMark/>
          </w:tcPr>
          <w:p w14:paraId="4E2BF17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1,811</w:t>
            </w:r>
          </w:p>
        </w:tc>
      </w:tr>
      <w:tr w:rsidR="009845FF" w:rsidRPr="009845FF" w14:paraId="091F36E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46B1F31"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Sport and recreation</w:t>
            </w:r>
          </w:p>
        </w:tc>
        <w:tc>
          <w:tcPr>
            <w:tcW w:w="507" w:type="pct"/>
            <w:tcBorders>
              <w:top w:val="nil"/>
              <w:left w:val="nil"/>
              <w:bottom w:val="nil"/>
              <w:right w:val="nil"/>
            </w:tcBorders>
            <w:shd w:val="clear" w:color="000000" w:fill="FFFFFF"/>
            <w:noWrap/>
            <w:vAlign w:val="center"/>
            <w:hideMark/>
          </w:tcPr>
          <w:p w14:paraId="6C985AF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537</w:t>
            </w:r>
          </w:p>
        </w:tc>
        <w:tc>
          <w:tcPr>
            <w:tcW w:w="54" w:type="pct"/>
            <w:tcBorders>
              <w:top w:val="nil"/>
              <w:left w:val="nil"/>
              <w:bottom w:val="nil"/>
              <w:right w:val="nil"/>
            </w:tcBorders>
            <w:shd w:val="clear" w:color="000000" w:fill="FFFFFF"/>
            <w:noWrap/>
            <w:vAlign w:val="center"/>
            <w:hideMark/>
          </w:tcPr>
          <w:p w14:paraId="2BE5959C"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1A9553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638</w:t>
            </w:r>
          </w:p>
        </w:tc>
        <w:tc>
          <w:tcPr>
            <w:tcW w:w="499" w:type="pct"/>
            <w:tcBorders>
              <w:top w:val="nil"/>
              <w:left w:val="nil"/>
              <w:bottom w:val="nil"/>
              <w:right w:val="nil"/>
            </w:tcBorders>
            <w:shd w:val="clear" w:color="000000" w:fill="E6F2FF"/>
            <w:noWrap/>
            <w:vAlign w:val="center"/>
            <w:hideMark/>
          </w:tcPr>
          <w:p w14:paraId="78370D1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556</w:t>
            </w:r>
          </w:p>
        </w:tc>
        <w:tc>
          <w:tcPr>
            <w:tcW w:w="499" w:type="pct"/>
            <w:tcBorders>
              <w:top w:val="nil"/>
              <w:left w:val="nil"/>
              <w:bottom w:val="nil"/>
              <w:right w:val="nil"/>
            </w:tcBorders>
            <w:shd w:val="clear" w:color="000000" w:fill="FFFFFF"/>
            <w:noWrap/>
            <w:vAlign w:val="center"/>
            <w:hideMark/>
          </w:tcPr>
          <w:p w14:paraId="72FF5EE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551</w:t>
            </w:r>
          </w:p>
        </w:tc>
        <w:tc>
          <w:tcPr>
            <w:tcW w:w="499" w:type="pct"/>
            <w:tcBorders>
              <w:top w:val="nil"/>
              <w:left w:val="nil"/>
              <w:bottom w:val="nil"/>
              <w:right w:val="nil"/>
            </w:tcBorders>
            <w:shd w:val="clear" w:color="000000" w:fill="FFFFFF"/>
            <w:noWrap/>
            <w:vAlign w:val="center"/>
            <w:hideMark/>
          </w:tcPr>
          <w:p w14:paraId="49E90C3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800</w:t>
            </w:r>
          </w:p>
        </w:tc>
        <w:tc>
          <w:tcPr>
            <w:tcW w:w="499" w:type="pct"/>
            <w:tcBorders>
              <w:top w:val="nil"/>
              <w:left w:val="nil"/>
              <w:bottom w:val="nil"/>
              <w:right w:val="nil"/>
            </w:tcBorders>
            <w:shd w:val="clear" w:color="000000" w:fill="FFFFFF"/>
            <w:noWrap/>
            <w:vAlign w:val="center"/>
            <w:hideMark/>
          </w:tcPr>
          <w:p w14:paraId="0C85EE9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1,066</w:t>
            </w:r>
          </w:p>
        </w:tc>
      </w:tr>
      <w:tr w:rsidR="009845FF" w:rsidRPr="009845FF" w14:paraId="3FC8F50D"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D8A1529"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National estate and parks</w:t>
            </w:r>
          </w:p>
        </w:tc>
        <w:tc>
          <w:tcPr>
            <w:tcW w:w="507" w:type="pct"/>
            <w:tcBorders>
              <w:top w:val="nil"/>
              <w:left w:val="nil"/>
              <w:bottom w:val="nil"/>
              <w:right w:val="nil"/>
            </w:tcBorders>
            <w:shd w:val="clear" w:color="000000" w:fill="FFFFFF"/>
            <w:noWrap/>
            <w:vAlign w:val="center"/>
            <w:hideMark/>
          </w:tcPr>
          <w:p w14:paraId="055A863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595</w:t>
            </w:r>
          </w:p>
        </w:tc>
        <w:tc>
          <w:tcPr>
            <w:tcW w:w="54" w:type="pct"/>
            <w:tcBorders>
              <w:top w:val="nil"/>
              <w:left w:val="nil"/>
              <w:bottom w:val="nil"/>
              <w:right w:val="nil"/>
            </w:tcBorders>
            <w:shd w:val="clear" w:color="000000" w:fill="FFFFFF"/>
            <w:noWrap/>
            <w:vAlign w:val="center"/>
            <w:hideMark/>
          </w:tcPr>
          <w:p w14:paraId="7CDA8D1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6762B6C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686</w:t>
            </w:r>
          </w:p>
        </w:tc>
        <w:tc>
          <w:tcPr>
            <w:tcW w:w="499" w:type="pct"/>
            <w:tcBorders>
              <w:top w:val="nil"/>
              <w:left w:val="nil"/>
              <w:bottom w:val="single" w:sz="4" w:space="0" w:color="293F5B"/>
              <w:right w:val="nil"/>
            </w:tcBorders>
            <w:shd w:val="clear" w:color="000000" w:fill="E6F2FF"/>
            <w:noWrap/>
            <w:vAlign w:val="center"/>
            <w:hideMark/>
          </w:tcPr>
          <w:p w14:paraId="510A6521"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680</w:t>
            </w:r>
          </w:p>
        </w:tc>
        <w:tc>
          <w:tcPr>
            <w:tcW w:w="499" w:type="pct"/>
            <w:tcBorders>
              <w:top w:val="nil"/>
              <w:left w:val="nil"/>
              <w:bottom w:val="single" w:sz="4" w:space="0" w:color="293F5B"/>
              <w:right w:val="nil"/>
            </w:tcBorders>
            <w:shd w:val="clear" w:color="000000" w:fill="FFFFFF"/>
            <w:noWrap/>
            <w:vAlign w:val="center"/>
            <w:hideMark/>
          </w:tcPr>
          <w:p w14:paraId="16D67A5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692</w:t>
            </w:r>
          </w:p>
        </w:tc>
        <w:tc>
          <w:tcPr>
            <w:tcW w:w="499" w:type="pct"/>
            <w:tcBorders>
              <w:top w:val="nil"/>
              <w:left w:val="nil"/>
              <w:bottom w:val="single" w:sz="4" w:space="0" w:color="293F5B"/>
              <w:right w:val="nil"/>
            </w:tcBorders>
            <w:shd w:val="clear" w:color="000000" w:fill="FFFFFF"/>
            <w:noWrap/>
            <w:vAlign w:val="center"/>
            <w:hideMark/>
          </w:tcPr>
          <w:p w14:paraId="3D20C6F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679</w:t>
            </w:r>
          </w:p>
        </w:tc>
        <w:tc>
          <w:tcPr>
            <w:tcW w:w="499" w:type="pct"/>
            <w:tcBorders>
              <w:top w:val="nil"/>
              <w:left w:val="nil"/>
              <w:bottom w:val="single" w:sz="4" w:space="0" w:color="293F5B"/>
              <w:right w:val="nil"/>
            </w:tcBorders>
            <w:shd w:val="clear" w:color="000000" w:fill="FFFFFF"/>
            <w:noWrap/>
            <w:vAlign w:val="center"/>
            <w:hideMark/>
          </w:tcPr>
          <w:p w14:paraId="2D7D6CF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688</w:t>
            </w:r>
          </w:p>
        </w:tc>
      </w:tr>
      <w:tr w:rsidR="009845FF" w:rsidRPr="009845FF" w14:paraId="43D3410A"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1B6DC09A"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Total recreation and culture</w:t>
            </w:r>
          </w:p>
        </w:tc>
        <w:tc>
          <w:tcPr>
            <w:tcW w:w="507" w:type="pct"/>
            <w:tcBorders>
              <w:top w:val="single" w:sz="4" w:space="0" w:color="293F5B"/>
              <w:left w:val="nil"/>
              <w:bottom w:val="single" w:sz="4" w:space="0" w:color="293F5B"/>
              <w:right w:val="nil"/>
            </w:tcBorders>
            <w:shd w:val="clear" w:color="000000" w:fill="FFFFFF"/>
            <w:noWrap/>
            <w:vAlign w:val="center"/>
            <w:hideMark/>
          </w:tcPr>
          <w:p w14:paraId="5C82955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4,270</w:t>
            </w:r>
          </w:p>
        </w:tc>
        <w:tc>
          <w:tcPr>
            <w:tcW w:w="54" w:type="pct"/>
            <w:tcBorders>
              <w:top w:val="nil"/>
              <w:left w:val="nil"/>
              <w:bottom w:val="nil"/>
              <w:right w:val="nil"/>
            </w:tcBorders>
            <w:shd w:val="clear" w:color="000000" w:fill="FFFFFF"/>
            <w:noWrap/>
            <w:vAlign w:val="center"/>
            <w:hideMark/>
          </w:tcPr>
          <w:p w14:paraId="18A8B3DB"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1B088C56"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4,840</w:t>
            </w:r>
          </w:p>
        </w:tc>
        <w:tc>
          <w:tcPr>
            <w:tcW w:w="499" w:type="pct"/>
            <w:tcBorders>
              <w:top w:val="nil"/>
              <w:left w:val="nil"/>
              <w:bottom w:val="single" w:sz="4" w:space="0" w:color="293F5B"/>
              <w:right w:val="nil"/>
            </w:tcBorders>
            <w:shd w:val="clear" w:color="000000" w:fill="E6F2FF"/>
            <w:noWrap/>
            <w:vAlign w:val="center"/>
            <w:hideMark/>
          </w:tcPr>
          <w:p w14:paraId="31FC866D"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4,776</w:t>
            </w:r>
          </w:p>
        </w:tc>
        <w:tc>
          <w:tcPr>
            <w:tcW w:w="499" w:type="pct"/>
            <w:tcBorders>
              <w:top w:val="nil"/>
              <w:left w:val="nil"/>
              <w:bottom w:val="single" w:sz="4" w:space="0" w:color="293F5B"/>
              <w:right w:val="nil"/>
            </w:tcBorders>
            <w:shd w:val="clear" w:color="000000" w:fill="FFFFFF"/>
            <w:noWrap/>
            <w:vAlign w:val="center"/>
            <w:hideMark/>
          </w:tcPr>
          <w:p w14:paraId="3FBDCC81"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4,809</w:t>
            </w:r>
          </w:p>
        </w:tc>
        <w:tc>
          <w:tcPr>
            <w:tcW w:w="499" w:type="pct"/>
            <w:tcBorders>
              <w:top w:val="nil"/>
              <w:left w:val="nil"/>
              <w:bottom w:val="single" w:sz="4" w:space="0" w:color="293F5B"/>
              <w:right w:val="nil"/>
            </w:tcBorders>
            <w:shd w:val="clear" w:color="000000" w:fill="FFFFFF"/>
            <w:noWrap/>
            <w:vAlign w:val="center"/>
            <w:hideMark/>
          </w:tcPr>
          <w:p w14:paraId="6F5B4096"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5,133</w:t>
            </w:r>
          </w:p>
        </w:tc>
        <w:tc>
          <w:tcPr>
            <w:tcW w:w="499" w:type="pct"/>
            <w:tcBorders>
              <w:top w:val="nil"/>
              <w:left w:val="nil"/>
              <w:bottom w:val="single" w:sz="4" w:space="0" w:color="293F5B"/>
              <w:right w:val="nil"/>
            </w:tcBorders>
            <w:shd w:val="clear" w:color="000000" w:fill="FFFFFF"/>
            <w:noWrap/>
            <w:vAlign w:val="center"/>
            <w:hideMark/>
          </w:tcPr>
          <w:p w14:paraId="1AC99E86"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5,363</w:t>
            </w:r>
          </w:p>
        </w:tc>
      </w:tr>
      <w:tr w:rsidR="009845FF" w:rsidRPr="009845FF" w14:paraId="7DB8E615" w14:textId="77777777" w:rsidTr="009845FF">
        <w:trPr>
          <w:divId w:val="1717967480"/>
          <w:trHeight w:hRule="exact" w:val="60"/>
        </w:trPr>
        <w:tc>
          <w:tcPr>
            <w:tcW w:w="1944" w:type="pct"/>
            <w:tcBorders>
              <w:top w:val="nil"/>
              <w:left w:val="nil"/>
              <w:bottom w:val="nil"/>
              <w:right w:val="nil"/>
            </w:tcBorders>
            <w:shd w:val="clear" w:color="000000" w:fill="FFFFFF"/>
            <w:noWrap/>
            <w:vAlign w:val="center"/>
            <w:hideMark/>
          </w:tcPr>
          <w:p w14:paraId="1A72E59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44DF8EB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4F73557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6A3165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99CEC7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428311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4EF874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426C0A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1818FF2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95FAEA9"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Fuel and energy</w:t>
            </w:r>
          </w:p>
        </w:tc>
        <w:tc>
          <w:tcPr>
            <w:tcW w:w="507" w:type="pct"/>
            <w:tcBorders>
              <w:top w:val="nil"/>
              <w:left w:val="nil"/>
              <w:bottom w:val="single" w:sz="4" w:space="0" w:color="293F5B"/>
              <w:right w:val="nil"/>
            </w:tcBorders>
            <w:shd w:val="clear" w:color="000000" w:fill="FFFFFF"/>
            <w:noWrap/>
            <w:vAlign w:val="center"/>
            <w:hideMark/>
          </w:tcPr>
          <w:p w14:paraId="26BC6D20"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9,437</w:t>
            </w:r>
          </w:p>
        </w:tc>
        <w:tc>
          <w:tcPr>
            <w:tcW w:w="54" w:type="pct"/>
            <w:tcBorders>
              <w:top w:val="nil"/>
              <w:left w:val="nil"/>
              <w:bottom w:val="nil"/>
              <w:right w:val="nil"/>
            </w:tcBorders>
            <w:shd w:val="clear" w:color="000000" w:fill="FFFFFF"/>
            <w:noWrap/>
            <w:vAlign w:val="center"/>
            <w:hideMark/>
          </w:tcPr>
          <w:p w14:paraId="25B33566"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67145C8C"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8,953</w:t>
            </w:r>
          </w:p>
        </w:tc>
        <w:tc>
          <w:tcPr>
            <w:tcW w:w="499" w:type="pct"/>
            <w:tcBorders>
              <w:top w:val="nil"/>
              <w:left w:val="nil"/>
              <w:bottom w:val="single" w:sz="4" w:space="0" w:color="293F5B"/>
              <w:right w:val="nil"/>
            </w:tcBorders>
            <w:shd w:val="clear" w:color="000000" w:fill="E6F2FF"/>
            <w:noWrap/>
            <w:vAlign w:val="center"/>
            <w:hideMark/>
          </w:tcPr>
          <w:p w14:paraId="132F668A"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13,006</w:t>
            </w:r>
          </w:p>
        </w:tc>
        <w:tc>
          <w:tcPr>
            <w:tcW w:w="499" w:type="pct"/>
            <w:tcBorders>
              <w:top w:val="nil"/>
              <w:left w:val="nil"/>
              <w:bottom w:val="single" w:sz="4" w:space="0" w:color="293F5B"/>
              <w:right w:val="nil"/>
            </w:tcBorders>
            <w:shd w:val="clear" w:color="000000" w:fill="FFFFFF"/>
            <w:noWrap/>
            <w:vAlign w:val="center"/>
            <w:hideMark/>
          </w:tcPr>
          <w:p w14:paraId="1C7D8364"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16,521</w:t>
            </w:r>
          </w:p>
        </w:tc>
        <w:tc>
          <w:tcPr>
            <w:tcW w:w="499" w:type="pct"/>
            <w:tcBorders>
              <w:top w:val="nil"/>
              <w:left w:val="nil"/>
              <w:bottom w:val="single" w:sz="4" w:space="0" w:color="293F5B"/>
              <w:right w:val="nil"/>
            </w:tcBorders>
            <w:shd w:val="clear" w:color="000000" w:fill="FFFFFF"/>
            <w:noWrap/>
            <w:vAlign w:val="center"/>
            <w:hideMark/>
          </w:tcPr>
          <w:p w14:paraId="16266334"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12,107</w:t>
            </w:r>
          </w:p>
        </w:tc>
        <w:tc>
          <w:tcPr>
            <w:tcW w:w="499" w:type="pct"/>
            <w:tcBorders>
              <w:top w:val="nil"/>
              <w:left w:val="nil"/>
              <w:bottom w:val="single" w:sz="4" w:space="0" w:color="293F5B"/>
              <w:right w:val="nil"/>
            </w:tcBorders>
            <w:shd w:val="clear" w:color="000000" w:fill="FFFFFF"/>
            <w:noWrap/>
            <w:vAlign w:val="center"/>
            <w:hideMark/>
          </w:tcPr>
          <w:p w14:paraId="59B88D7E"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13,962</w:t>
            </w:r>
          </w:p>
        </w:tc>
      </w:tr>
      <w:tr w:rsidR="009845FF" w:rsidRPr="009845FF" w14:paraId="3BA7C672" w14:textId="77777777" w:rsidTr="009845FF">
        <w:trPr>
          <w:divId w:val="1717967480"/>
          <w:trHeight w:hRule="exact" w:val="60"/>
        </w:trPr>
        <w:tc>
          <w:tcPr>
            <w:tcW w:w="1944" w:type="pct"/>
            <w:tcBorders>
              <w:top w:val="nil"/>
              <w:left w:val="nil"/>
              <w:bottom w:val="nil"/>
              <w:right w:val="nil"/>
            </w:tcBorders>
            <w:shd w:val="clear" w:color="000000" w:fill="FFFFFF"/>
            <w:noWrap/>
            <w:vAlign w:val="center"/>
            <w:hideMark/>
          </w:tcPr>
          <w:p w14:paraId="12024A7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7CEFD7B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1833D74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7D5CCF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025700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747BB3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5E73FA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3818A6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711C027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2E74D743"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Agriculture, forestry and fishing</w:t>
            </w:r>
          </w:p>
        </w:tc>
        <w:tc>
          <w:tcPr>
            <w:tcW w:w="507" w:type="pct"/>
            <w:tcBorders>
              <w:top w:val="nil"/>
              <w:left w:val="nil"/>
              <w:bottom w:val="nil"/>
              <w:right w:val="nil"/>
            </w:tcBorders>
            <w:shd w:val="clear" w:color="000000" w:fill="FFFFFF"/>
            <w:noWrap/>
            <w:vAlign w:val="center"/>
            <w:hideMark/>
          </w:tcPr>
          <w:p w14:paraId="5372E2A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796D2AA7"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C0A45A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611ECA3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5419DBD"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14D471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CADC2E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420A4CB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5A989A67"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Wool industry</w:t>
            </w:r>
          </w:p>
        </w:tc>
        <w:tc>
          <w:tcPr>
            <w:tcW w:w="507" w:type="pct"/>
            <w:tcBorders>
              <w:top w:val="nil"/>
              <w:left w:val="nil"/>
              <w:bottom w:val="nil"/>
              <w:right w:val="nil"/>
            </w:tcBorders>
            <w:shd w:val="clear" w:color="000000" w:fill="FFFFFF"/>
            <w:noWrap/>
            <w:vAlign w:val="center"/>
            <w:hideMark/>
          </w:tcPr>
          <w:p w14:paraId="2B683A5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58</w:t>
            </w:r>
          </w:p>
        </w:tc>
        <w:tc>
          <w:tcPr>
            <w:tcW w:w="54" w:type="pct"/>
            <w:tcBorders>
              <w:top w:val="nil"/>
              <w:left w:val="nil"/>
              <w:bottom w:val="nil"/>
              <w:right w:val="nil"/>
            </w:tcBorders>
            <w:shd w:val="clear" w:color="000000" w:fill="FFFFFF"/>
            <w:noWrap/>
            <w:vAlign w:val="center"/>
            <w:hideMark/>
          </w:tcPr>
          <w:p w14:paraId="5893A63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35BD70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67</w:t>
            </w:r>
          </w:p>
        </w:tc>
        <w:tc>
          <w:tcPr>
            <w:tcW w:w="499" w:type="pct"/>
            <w:tcBorders>
              <w:top w:val="nil"/>
              <w:left w:val="nil"/>
              <w:bottom w:val="nil"/>
              <w:right w:val="nil"/>
            </w:tcBorders>
            <w:shd w:val="clear" w:color="000000" w:fill="E6F2FF"/>
            <w:noWrap/>
            <w:vAlign w:val="center"/>
            <w:hideMark/>
          </w:tcPr>
          <w:p w14:paraId="6554317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74</w:t>
            </w:r>
          </w:p>
        </w:tc>
        <w:tc>
          <w:tcPr>
            <w:tcW w:w="499" w:type="pct"/>
            <w:tcBorders>
              <w:top w:val="nil"/>
              <w:left w:val="nil"/>
              <w:bottom w:val="nil"/>
              <w:right w:val="nil"/>
            </w:tcBorders>
            <w:shd w:val="clear" w:color="000000" w:fill="FFFFFF"/>
            <w:noWrap/>
            <w:vAlign w:val="center"/>
            <w:hideMark/>
          </w:tcPr>
          <w:p w14:paraId="69FA252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84</w:t>
            </w:r>
          </w:p>
        </w:tc>
        <w:tc>
          <w:tcPr>
            <w:tcW w:w="499" w:type="pct"/>
            <w:tcBorders>
              <w:top w:val="nil"/>
              <w:left w:val="nil"/>
              <w:bottom w:val="nil"/>
              <w:right w:val="nil"/>
            </w:tcBorders>
            <w:shd w:val="clear" w:color="000000" w:fill="FFFFFF"/>
            <w:noWrap/>
            <w:vAlign w:val="center"/>
            <w:hideMark/>
          </w:tcPr>
          <w:p w14:paraId="3C70263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95</w:t>
            </w:r>
          </w:p>
        </w:tc>
        <w:tc>
          <w:tcPr>
            <w:tcW w:w="499" w:type="pct"/>
            <w:tcBorders>
              <w:top w:val="nil"/>
              <w:left w:val="nil"/>
              <w:bottom w:val="nil"/>
              <w:right w:val="nil"/>
            </w:tcBorders>
            <w:shd w:val="clear" w:color="000000" w:fill="FFFFFF"/>
            <w:noWrap/>
            <w:vAlign w:val="center"/>
            <w:hideMark/>
          </w:tcPr>
          <w:p w14:paraId="35776FD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95</w:t>
            </w:r>
          </w:p>
        </w:tc>
      </w:tr>
      <w:tr w:rsidR="009845FF" w:rsidRPr="009845FF" w14:paraId="48B45149"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202EF35C"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Grains industry</w:t>
            </w:r>
          </w:p>
        </w:tc>
        <w:tc>
          <w:tcPr>
            <w:tcW w:w="507" w:type="pct"/>
            <w:tcBorders>
              <w:top w:val="nil"/>
              <w:left w:val="nil"/>
              <w:bottom w:val="nil"/>
              <w:right w:val="nil"/>
            </w:tcBorders>
            <w:shd w:val="clear" w:color="000000" w:fill="FFFFFF"/>
            <w:noWrap/>
            <w:vAlign w:val="center"/>
            <w:hideMark/>
          </w:tcPr>
          <w:p w14:paraId="443ADE3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199</w:t>
            </w:r>
          </w:p>
        </w:tc>
        <w:tc>
          <w:tcPr>
            <w:tcW w:w="54" w:type="pct"/>
            <w:tcBorders>
              <w:top w:val="nil"/>
              <w:left w:val="nil"/>
              <w:bottom w:val="nil"/>
              <w:right w:val="nil"/>
            </w:tcBorders>
            <w:shd w:val="clear" w:color="000000" w:fill="FFFFFF"/>
            <w:noWrap/>
            <w:vAlign w:val="center"/>
            <w:hideMark/>
          </w:tcPr>
          <w:p w14:paraId="216B12D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3BE5A1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224</w:t>
            </w:r>
          </w:p>
        </w:tc>
        <w:tc>
          <w:tcPr>
            <w:tcW w:w="499" w:type="pct"/>
            <w:tcBorders>
              <w:top w:val="nil"/>
              <w:left w:val="nil"/>
              <w:bottom w:val="nil"/>
              <w:right w:val="nil"/>
            </w:tcBorders>
            <w:shd w:val="clear" w:color="000000" w:fill="E6F2FF"/>
            <w:noWrap/>
            <w:vAlign w:val="center"/>
            <w:hideMark/>
          </w:tcPr>
          <w:p w14:paraId="5892B64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266</w:t>
            </w:r>
          </w:p>
        </w:tc>
        <w:tc>
          <w:tcPr>
            <w:tcW w:w="499" w:type="pct"/>
            <w:tcBorders>
              <w:top w:val="nil"/>
              <w:left w:val="nil"/>
              <w:bottom w:val="nil"/>
              <w:right w:val="nil"/>
            </w:tcBorders>
            <w:shd w:val="clear" w:color="000000" w:fill="FFFFFF"/>
            <w:noWrap/>
            <w:vAlign w:val="center"/>
            <w:hideMark/>
          </w:tcPr>
          <w:p w14:paraId="0F6711F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266</w:t>
            </w:r>
          </w:p>
        </w:tc>
        <w:tc>
          <w:tcPr>
            <w:tcW w:w="499" w:type="pct"/>
            <w:tcBorders>
              <w:top w:val="nil"/>
              <w:left w:val="nil"/>
              <w:bottom w:val="nil"/>
              <w:right w:val="nil"/>
            </w:tcBorders>
            <w:shd w:val="clear" w:color="000000" w:fill="FFFFFF"/>
            <w:noWrap/>
            <w:vAlign w:val="center"/>
            <w:hideMark/>
          </w:tcPr>
          <w:p w14:paraId="0029F51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268</w:t>
            </w:r>
          </w:p>
        </w:tc>
        <w:tc>
          <w:tcPr>
            <w:tcW w:w="499" w:type="pct"/>
            <w:tcBorders>
              <w:top w:val="nil"/>
              <w:left w:val="nil"/>
              <w:bottom w:val="nil"/>
              <w:right w:val="nil"/>
            </w:tcBorders>
            <w:shd w:val="clear" w:color="000000" w:fill="FFFFFF"/>
            <w:noWrap/>
            <w:vAlign w:val="center"/>
            <w:hideMark/>
          </w:tcPr>
          <w:p w14:paraId="64AC7FE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269</w:t>
            </w:r>
          </w:p>
        </w:tc>
      </w:tr>
      <w:tr w:rsidR="009845FF" w:rsidRPr="009845FF" w14:paraId="38BC24B0"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89F297F"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Dairy industry</w:t>
            </w:r>
          </w:p>
        </w:tc>
        <w:tc>
          <w:tcPr>
            <w:tcW w:w="507" w:type="pct"/>
            <w:tcBorders>
              <w:top w:val="nil"/>
              <w:left w:val="nil"/>
              <w:bottom w:val="nil"/>
              <w:right w:val="nil"/>
            </w:tcBorders>
            <w:shd w:val="clear" w:color="000000" w:fill="FFFFFF"/>
            <w:noWrap/>
            <w:vAlign w:val="center"/>
            <w:hideMark/>
          </w:tcPr>
          <w:p w14:paraId="1D07CE0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55</w:t>
            </w:r>
          </w:p>
        </w:tc>
        <w:tc>
          <w:tcPr>
            <w:tcW w:w="54" w:type="pct"/>
            <w:tcBorders>
              <w:top w:val="nil"/>
              <w:left w:val="nil"/>
              <w:bottom w:val="nil"/>
              <w:right w:val="nil"/>
            </w:tcBorders>
            <w:shd w:val="clear" w:color="000000" w:fill="FFFFFF"/>
            <w:noWrap/>
            <w:vAlign w:val="center"/>
            <w:hideMark/>
          </w:tcPr>
          <w:p w14:paraId="4F776A5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3373AE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55</w:t>
            </w:r>
          </w:p>
        </w:tc>
        <w:tc>
          <w:tcPr>
            <w:tcW w:w="499" w:type="pct"/>
            <w:tcBorders>
              <w:top w:val="nil"/>
              <w:left w:val="nil"/>
              <w:bottom w:val="nil"/>
              <w:right w:val="nil"/>
            </w:tcBorders>
            <w:shd w:val="clear" w:color="000000" w:fill="E6F2FF"/>
            <w:noWrap/>
            <w:vAlign w:val="center"/>
            <w:hideMark/>
          </w:tcPr>
          <w:p w14:paraId="68DAE18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52</w:t>
            </w:r>
          </w:p>
        </w:tc>
        <w:tc>
          <w:tcPr>
            <w:tcW w:w="499" w:type="pct"/>
            <w:tcBorders>
              <w:top w:val="nil"/>
              <w:left w:val="nil"/>
              <w:bottom w:val="nil"/>
              <w:right w:val="nil"/>
            </w:tcBorders>
            <w:shd w:val="clear" w:color="000000" w:fill="FFFFFF"/>
            <w:noWrap/>
            <w:vAlign w:val="center"/>
            <w:hideMark/>
          </w:tcPr>
          <w:p w14:paraId="300B6B7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50</w:t>
            </w:r>
          </w:p>
        </w:tc>
        <w:tc>
          <w:tcPr>
            <w:tcW w:w="499" w:type="pct"/>
            <w:tcBorders>
              <w:top w:val="nil"/>
              <w:left w:val="nil"/>
              <w:bottom w:val="nil"/>
              <w:right w:val="nil"/>
            </w:tcBorders>
            <w:shd w:val="clear" w:color="000000" w:fill="FFFFFF"/>
            <w:noWrap/>
            <w:vAlign w:val="center"/>
            <w:hideMark/>
          </w:tcPr>
          <w:p w14:paraId="412753A8"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50</w:t>
            </w:r>
          </w:p>
        </w:tc>
        <w:tc>
          <w:tcPr>
            <w:tcW w:w="499" w:type="pct"/>
            <w:tcBorders>
              <w:top w:val="nil"/>
              <w:left w:val="nil"/>
              <w:bottom w:val="nil"/>
              <w:right w:val="nil"/>
            </w:tcBorders>
            <w:shd w:val="clear" w:color="000000" w:fill="FFFFFF"/>
            <w:noWrap/>
            <w:vAlign w:val="center"/>
            <w:hideMark/>
          </w:tcPr>
          <w:p w14:paraId="1CC1252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49</w:t>
            </w:r>
          </w:p>
        </w:tc>
      </w:tr>
      <w:tr w:rsidR="009845FF" w:rsidRPr="009845FF" w14:paraId="6890538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24D838A6"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Cattle, sheep and pig industry</w:t>
            </w:r>
          </w:p>
        </w:tc>
        <w:tc>
          <w:tcPr>
            <w:tcW w:w="507" w:type="pct"/>
            <w:tcBorders>
              <w:top w:val="nil"/>
              <w:left w:val="nil"/>
              <w:bottom w:val="nil"/>
              <w:right w:val="nil"/>
            </w:tcBorders>
            <w:shd w:val="clear" w:color="000000" w:fill="FFFFFF"/>
            <w:noWrap/>
            <w:vAlign w:val="center"/>
            <w:hideMark/>
          </w:tcPr>
          <w:p w14:paraId="1602017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249</w:t>
            </w:r>
          </w:p>
        </w:tc>
        <w:tc>
          <w:tcPr>
            <w:tcW w:w="54" w:type="pct"/>
            <w:tcBorders>
              <w:top w:val="nil"/>
              <w:left w:val="nil"/>
              <w:bottom w:val="nil"/>
              <w:right w:val="nil"/>
            </w:tcBorders>
            <w:shd w:val="clear" w:color="000000" w:fill="FFFFFF"/>
            <w:noWrap/>
            <w:vAlign w:val="center"/>
            <w:hideMark/>
          </w:tcPr>
          <w:p w14:paraId="65FDE3F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81EDF4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252</w:t>
            </w:r>
          </w:p>
        </w:tc>
        <w:tc>
          <w:tcPr>
            <w:tcW w:w="499" w:type="pct"/>
            <w:tcBorders>
              <w:top w:val="nil"/>
              <w:left w:val="nil"/>
              <w:bottom w:val="nil"/>
              <w:right w:val="nil"/>
            </w:tcBorders>
            <w:shd w:val="clear" w:color="000000" w:fill="E6F2FF"/>
            <w:noWrap/>
            <w:vAlign w:val="center"/>
            <w:hideMark/>
          </w:tcPr>
          <w:p w14:paraId="3369A11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266</w:t>
            </w:r>
          </w:p>
        </w:tc>
        <w:tc>
          <w:tcPr>
            <w:tcW w:w="499" w:type="pct"/>
            <w:tcBorders>
              <w:top w:val="nil"/>
              <w:left w:val="nil"/>
              <w:bottom w:val="nil"/>
              <w:right w:val="nil"/>
            </w:tcBorders>
            <w:shd w:val="clear" w:color="000000" w:fill="FFFFFF"/>
            <w:noWrap/>
            <w:vAlign w:val="center"/>
            <w:hideMark/>
          </w:tcPr>
          <w:p w14:paraId="7656669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276</w:t>
            </w:r>
          </w:p>
        </w:tc>
        <w:tc>
          <w:tcPr>
            <w:tcW w:w="499" w:type="pct"/>
            <w:tcBorders>
              <w:top w:val="nil"/>
              <w:left w:val="nil"/>
              <w:bottom w:val="nil"/>
              <w:right w:val="nil"/>
            </w:tcBorders>
            <w:shd w:val="clear" w:color="000000" w:fill="FFFFFF"/>
            <w:noWrap/>
            <w:vAlign w:val="center"/>
            <w:hideMark/>
          </w:tcPr>
          <w:p w14:paraId="6BABA51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285</w:t>
            </w:r>
          </w:p>
        </w:tc>
        <w:tc>
          <w:tcPr>
            <w:tcW w:w="499" w:type="pct"/>
            <w:tcBorders>
              <w:top w:val="nil"/>
              <w:left w:val="nil"/>
              <w:bottom w:val="nil"/>
              <w:right w:val="nil"/>
            </w:tcBorders>
            <w:shd w:val="clear" w:color="000000" w:fill="FFFFFF"/>
            <w:noWrap/>
            <w:vAlign w:val="center"/>
            <w:hideMark/>
          </w:tcPr>
          <w:p w14:paraId="32EA7B7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288</w:t>
            </w:r>
          </w:p>
        </w:tc>
      </w:tr>
      <w:tr w:rsidR="009845FF" w:rsidRPr="009845FF" w14:paraId="4F302A5F"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3E1828B"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Fishing, horticulture and other</w:t>
            </w:r>
          </w:p>
        </w:tc>
        <w:tc>
          <w:tcPr>
            <w:tcW w:w="507" w:type="pct"/>
            <w:tcBorders>
              <w:top w:val="nil"/>
              <w:left w:val="nil"/>
              <w:bottom w:val="nil"/>
              <w:right w:val="nil"/>
            </w:tcBorders>
            <w:shd w:val="clear" w:color="000000" w:fill="FFFFFF"/>
            <w:noWrap/>
            <w:vAlign w:val="center"/>
            <w:hideMark/>
          </w:tcPr>
          <w:p w14:paraId="7D59C4D1"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77E07A3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9BD663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7207753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329B1F4"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19C9CC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038696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52AFB42E"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5D660D2"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agriculture</w:t>
            </w:r>
          </w:p>
        </w:tc>
        <w:tc>
          <w:tcPr>
            <w:tcW w:w="507" w:type="pct"/>
            <w:tcBorders>
              <w:top w:val="nil"/>
              <w:left w:val="nil"/>
              <w:bottom w:val="nil"/>
              <w:right w:val="nil"/>
            </w:tcBorders>
            <w:shd w:val="clear" w:color="000000" w:fill="FFFFFF"/>
            <w:noWrap/>
            <w:vAlign w:val="center"/>
            <w:hideMark/>
          </w:tcPr>
          <w:p w14:paraId="0C4D17C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412</w:t>
            </w:r>
          </w:p>
        </w:tc>
        <w:tc>
          <w:tcPr>
            <w:tcW w:w="54" w:type="pct"/>
            <w:tcBorders>
              <w:top w:val="nil"/>
              <w:left w:val="nil"/>
              <w:bottom w:val="nil"/>
              <w:right w:val="nil"/>
            </w:tcBorders>
            <w:shd w:val="clear" w:color="000000" w:fill="FFFFFF"/>
            <w:noWrap/>
            <w:vAlign w:val="center"/>
            <w:hideMark/>
          </w:tcPr>
          <w:p w14:paraId="04951B3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6740AC4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553</w:t>
            </w:r>
          </w:p>
        </w:tc>
        <w:tc>
          <w:tcPr>
            <w:tcW w:w="499" w:type="pct"/>
            <w:tcBorders>
              <w:top w:val="nil"/>
              <w:left w:val="nil"/>
              <w:bottom w:val="nil"/>
              <w:right w:val="nil"/>
            </w:tcBorders>
            <w:shd w:val="clear" w:color="000000" w:fill="E6F2FF"/>
            <w:noWrap/>
            <w:vAlign w:val="center"/>
            <w:hideMark/>
          </w:tcPr>
          <w:p w14:paraId="371DB6DF"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460</w:t>
            </w:r>
          </w:p>
        </w:tc>
        <w:tc>
          <w:tcPr>
            <w:tcW w:w="499" w:type="pct"/>
            <w:tcBorders>
              <w:top w:val="nil"/>
              <w:left w:val="nil"/>
              <w:bottom w:val="nil"/>
              <w:right w:val="nil"/>
            </w:tcBorders>
            <w:shd w:val="clear" w:color="000000" w:fill="FFFFFF"/>
            <w:noWrap/>
            <w:vAlign w:val="center"/>
            <w:hideMark/>
          </w:tcPr>
          <w:p w14:paraId="09FD60C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376</w:t>
            </w:r>
          </w:p>
        </w:tc>
        <w:tc>
          <w:tcPr>
            <w:tcW w:w="499" w:type="pct"/>
            <w:tcBorders>
              <w:top w:val="nil"/>
              <w:left w:val="nil"/>
              <w:bottom w:val="nil"/>
              <w:right w:val="nil"/>
            </w:tcBorders>
            <w:shd w:val="clear" w:color="000000" w:fill="FFFFFF"/>
            <w:noWrap/>
            <w:vAlign w:val="center"/>
            <w:hideMark/>
          </w:tcPr>
          <w:p w14:paraId="58759A7D"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358</w:t>
            </w:r>
          </w:p>
        </w:tc>
        <w:tc>
          <w:tcPr>
            <w:tcW w:w="499" w:type="pct"/>
            <w:tcBorders>
              <w:top w:val="nil"/>
              <w:left w:val="nil"/>
              <w:bottom w:val="nil"/>
              <w:right w:val="nil"/>
            </w:tcBorders>
            <w:shd w:val="clear" w:color="000000" w:fill="FFFFFF"/>
            <w:noWrap/>
            <w:vAlign w:val="center"/>
            <w:hideMark/>
          </w:tcPr>
          <w:p w14:paraId="32B4871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388</w:t>
            </w:r>
          </w:p>
        </w:tc>
      </w:tr>
      <w:tr w:rsidR="009845FF" w:rsidRPr="009845FF" w14:paraId="47F6394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9A02A58"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 xml:space="preserve">General assistance not allocated </w:t>
            </w:r>
          </w:p>
        </w:tc>
        <w:tc>
          <w:tcPr>
            <w:tcW w:w="507" w:type="pct"/>
            <w:tcBorders>
              <w:top w:val="nil"/>
              <w:left w:val="nil"/>
              <w:bottom w:val="nil"/>
              <w:right w:val="nil"/>
            </w:tcBorders>
            <w:shd w:val="clear" w:color="000000" w:fill="FFFFFF"/>
            <w:noWrap/>
            <w:vAlign w:val="center"/>
            <w:hideMark/>
          </w:tcPr>
          <w:p w14:paraId="50853F7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22DFCB36"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E83A57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1B6EBD3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025CABE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83AE7F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6E12FD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2320C83B"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4C004CA2" w14:textId="77777777" w:rsidR="009845FF" w:rsidRPr="009845FF" w:rsidRDefault="009845FF" w:rsidP="009845FF">
            <w:pPr>
              <w:spacing w:before="0" w:after="0" w:line="240" w:lineRule="auto"/>
              <w:ind w:left="340"/>
              <w:rPr>
                <w:rFonts w:ascii="Arial" w:hAnsi="Arial" w:cs="Arial"/>
                <w:color w:val="000000"/>
                <w:sz w:val="16"/>
                <w:szCs w:val="16"/>
              </w:rPr>
            </w:pPr>
            <w:r w:rsidRPr="009845FF">
              <w:rPr>
                <w:rFonts w:ascii="Arial" w:hAnsi="Arial" w:cs="Arial"/>
                <w:color w:val="000000"/>
                <w:sz w:val="16"/>
                <w:szCs w:val="16"/>
              </w:rPr>
              <w:t>to specific industries</w:t>
            </w:r>
          </w:p>
        </w:tc>
        <w:tc>
          <w:tcPr>
            <w:tcW w:w="507" w:type="pct"/>
            <w:tcBorders>
              <w:top w:val="nil"/>
              <w:left w:val="nil"/>
              <w:bottom w:val="nil"/>
              <w:right w:val="nil"/>
            </w:tcBorders>
            <w:shd w:val="clear" w:color="000000" w:fill="FFFFFF"/>
            <w:noWrap/>
            <w:vAlign w:val="center"/>
            <w:hideMark/>
          </w:tcPr>
          <w:p w14:paraId="4288B5A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35</w:t>
            </w:r>
          </w:p>
        </w:tc>
        <w:tc>
          <w:tcPr>
            <w:tcW w:w="54" w:type="pct"/>
            <w:tcBorders>
              <w:top w:val="nil"/>
              <w:left w:val="nil"/>
              <w:bottom w:val="nil"/>
              <w:right w:val="nil"/>
            </w:tcBorders>
            <w:shd w:val="clear" w:color="000000" w:fill="FFFFFF"/>
            <w:noWrap/>
            <w:vAlign w:val="center"/>
            <w:hideMark/>
          </w:tcPr>
          <w:p w14:paraId="11AD7022"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45B37F2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44</w:t>
            </w:r>
          </w:p>
        </w:tc>
        <w:tc>
          <w:tcPr>
            <w:tcW w:w="499" w:type="pct"/>
            <w:tcBorders>
              <w:top w:val="nil"/>
              <w:left w:val="nil"/>
              <w:bottom w:val="nil"/>
              <w:right w:val="nil"/>
            </w:tcBorders>
            <w:shd w:val="clear" w:color="000000" w:fill="E6F2FF"/>
            <w:noWrap/>
            <w:vAlign w:val="center"/>
            <w:hideMark/>
          </w:tcPr>
          <w:p w14:paraId="1220C00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44</w:t>
            </w:r>
          </w:p>
        </w:tc>
        <w:tc>
          <w:tcPr>
            <w:tcW w:w="499" w:type="pct"/>
            <w:tcBorders>
              <w:top w:val="nil"/>
              <w:left w:val="nil"/>
              <w:bottom w:val="nil"/>
              <w:right w:val="nil"/>
            </w:tcBorders>
            <w:shd w:val="clear" w:color="000000" w:fill="FFFFFF"/>
            <w:noWrap/>
            <w:vAlign w:val="center"/>
            <w:hideMark/>
          </w:tcPr>
          <w:p w14:paraId="0D727D8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45</w:t>
            </w:r>
          </w:p>
        </w:tc>
        <w:tc>
          <w:tcPr>
            <w:tcW w:w="499" w:type="pct"/>
            <w:tcBorders>
              <w:top w:val="nil"/>
              <w:left w:val="nil"/>
              <w:bottom w:val="nil"/>
              <w:right w:val="nil"/>
            </w:tcBorders>
            <w:shd w:val="clear" w:color="000000" w:fill="FFFFFF"/>
            <w:noWrap/>
            <w:vAlign w:val="center"/>
            <w:hideMark/>
          </w:tcPr>
          <w:p w14:paraId="7C460FA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45</w:t>
            </w:r>
          </w:p>
        </w:tc>
        <w:tc>
          <w:tcPr>
            <w:tcW w:w="499" w:type="pct"/>
            <w:tcBorders>
              <w:top w:val="nil"/>
              <w:left w:val="nil"/>
              <w:bottom w:val="nil"/>
              <w:right w:val="nil"/>
            </w:tcBorders>
            <w:shd w:val="clear" w:color="000000" w:fill="FFFFFF"/>
            <w:noWrap/>
            <w:vAlign w:val="center"/>
            <w:hideMark/>
          </w:tcPr>
          <w:p w14:paraId="26D3B703"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45</w:t>
            </w:r>
          </w:p>
        </w:tc>
      </w:tr>
      <w:tr w:rsidR="009845FF" w:rsidRPr="009845FF" w14:paraId="62FE75C9"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3BAE469E"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Rural assistance</w:t>
            </w:r>
          </w:p>
        </w:tc>
        <w:tc>
          <w:tcPr>
            <w:tcW w:w="507" w:type="pct"/>
            <w:tcBorders>
              <w:top w:val="nil"/>
              <w:left w:val="nil"/>
              <w:bottom w:val="nil"/>
              <w:right w:val="nil"/>
            </w:tcBorders>
            <w:shd w:val="clear" w:color="000000" w:fill="FFFFFF"/>
            <w:noWrap/>
            <w:vAlign w:val="center"/>
            <w:hideMark/>
          </w:tcPr>
          <w:p w14:paraId="27D7E44E"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334</w:t>
            </w:r>
          </w:p>
        </w:tc>
        <w:tc>
          <w:tcPr>
            <w:tcW w:w="54" w:type="pct"/>
            <w:tcBorders>
              <w:top w:val="nil"/>
              <w:left w:val="nil"/>
              <w:bottom w:val="nil"/>
              <w:right w:val="nil"/>
            </w:tcBorders>
            <w:shd w:val="clear" w:color="000000" w:fill="FFFFFF"/>
            <w:noWrap/>
            <w:vAlign w:val="center"/>
            <w:hideMark/>
          </w:tcPr>
          <w:p w14:paraId="205E541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DCBA77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433</w:t>
            </w:r>
          </w:p>
        </w:tc>
        <w:tc>
          <w:tcPr>
            <w:tcW w:w="499" w:type="pct"/>
            <w:tcBorders>
              <w:top w:val="nil"/>
              <w:left w:val="nil"/>
              <w:bottom w:val="nil"/>
              <w:right w:val="nil"/>
            </w:tcBorders>
            <w:shd w:val="clear" w:color="000000" w:fill="E6F2FF"/>
            <w:noWrap/>
            <w:vAlign w:val="center"/>
            <w:hideMark/>
          </w:tcPr>
          <w:p w14:paraId="68E4DFF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303</w:t>
            </w:r>
          </w:p>
        </w:tc>
        <w:tc>
          <w:tcPr>
            <w:tcW w:w="499" w:type="pct"/>
            <w:tcBorders>
              <w:top w:val="nil"/>
              <w:left w:val="nil"/>
              <w:bottom w:val="nil"/>
              <w:right w:val="nil"/>
            </w:tcBorders>
            <w:shd w:val="clear" w:color="000000" w:fill="FFFFFF"/>
            <w:noWrap/>
            <w:vAlign w:val="center"/>
            <w:hideMark/>
          </w:tcPr>
          <w:p w14:paraId="2F70EF1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301</w:t>
            </w:r>
          </w:p>
        </w:tc>
        <w:tc>
          <w:tcPr>
            <w:tcW w:w="499" w:type="pct"/>
            <w:tcBorders>
              <w:top w:val="nil"/>
              <w:left w:val="nil"/>
              <w:bottom w:val="nil"/>
              <w:right w:val="nil"/>
            </w:tcBorders>
            <w:shd w:val="clear" w:color="000000" w:fill="FFFFFF"/>
            <w:noWrap/>
            <w:vAlign w:val="center"/>
            <w:hideMark/>
          </w:tcPr>
          <w:p w14:paraId="1A91B9A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353</w:t>
            </w:r>
          </w:p>
        </w:tc>
        <w:tc>
          <w:tcPr>
            <w:tcW w:w="499" w:type="pct"/>
            <w:tcBorders>
              <w:top w:val="nil"/>
              <w:left w:val="nil"/>
              <w:bottom w:val="nil"/>
              <w:right w:val="nil"/>
            </w:tcBorders>
            <w:shd w:val="clear" w:color="000000" w:fill="FFFFFF"/>
            <w:noWrap/>
            <w:vAlign w:val="center"/>
            <w:hideMark/>
          </w:tcPr>
          <w:p w14:paraId="638AE84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373</w:t>
            </w:r>
          </w:p>
        </w:tc>
      </w:tr>
      <w:tr w:rsidR="009845FF" w:rsidRPr="009845FF" w14:paraId="4A60D67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56F9997A"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Natural resources development</w:t>
            </w:r>
          </w:p>
        </w:tc>
        <w:tc>
          <w:tcPr>
            <w:tcW w:w="507" w:type="pct"/>
            <w:tcBorders>
              <w:top w:val="nil"/>
              <w:left w:val="nil"/>
              <w:bottom w:val="nil"/>
              <w:right w:val="nil"/>
            </w:tcBorders>
            <w:shd w:val="clear" w:color="000000" w:fill="FFFFFF"/>
            <w:noWrap/>
            <w:vAlign w:val="center"/>
            <w:hideMark/>
          </w:tcPr>
          <w:p w14:paraId="4081C805"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722</w:t>
            </w:r>
          </w:p>
        </w:tc>
        <w:tc>
          <w:tcPr>
            <w:tcW w:w="54" w:type="pct"/>
            <w:tcBorders>
              <w:top w:val="nil"/>
              <w:left w:val="nil"/>
              <w:bottom w:val="nil"/>
              <w:right w:val="nil"/>
            </w:tcBorders>
            <w:shd w:val="clear" w:color="000000" w:fill="FFFFFF"/>
            <w:noWrap/>
            <w:vAlign w:val="center"/>
            <w:hideMark/>
          </w:tcPr>
          <w:p w14:paraId="4DE3347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2060B277"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1,793</w:t>
            </w:r>
          </w:p>
        </w:tc>
        <w:tc>
          <w:tcPr>
            <w:tcW w:w="499" w:type="pct"/>
            <w:tcBorders>
              <w:top w:val="nil"/>
              <w:left w:val="nil"/>
              <w:bottom w:val="nil"/>
              <w:right w:val="nil"/>
            </w:tcBorders>
            <w:shd w:val="clear" w:color="000000" w:fill="E6F2FF"/>
            <w:noWrap/>
            <w:vAlign w:val="center"/>
            <w:hideMark/>
          </w:tcPr>
          <w:p w14:paraId="38AB5506"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2,453</w:t>
            </w:r>
          </w:p>
        </w:tc>
        <w:tc>
          <w:tcPr>
            <w:tcW w:w="499" w:type="pct"/>
            <w:tcBorders>
              <w:top w:val="nil"/>
              <w:left w:val="nil"/>
              <w:bottom w:val="nil"/>
              <w:right w:val="nil"/>
            </w:tcBorders>
            <w:shd w:val="clear" w:color="000000" w:fill="FFFFFF"/>
            <w:noWrap/>
            <w:vAlign w:val="center"/>
            <w:hideMark/>
          </w:tcPr>
          <w:p w14:paraId="1FE9A03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614</w:t>
            </w:r>
          </w:p>
        </w:tc>
        <w:tc>
          <w:tcPr>
            <w:tcW w:w="499" w:type="pct"/>
            <w:tcBorders>
              <w:top w:val="nil"/>
              <w:left w:val="nil"/>
              <w:bottom w:val="nil"/>
              <w:right w:val="nil"/>
            </w:tcBorders>
            <w:shd w:val="clear" w:color="000000" w:fill="FFFFFF"/>
            <w:noWrap/>
            <w:vAlign w:val="center"/>
            <w:hideMark/>
          </w:tcPr>
          <w:p w14:paraId="60B36FE9"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425</w:t>
            </w:r>
          </w:p>
        </w:tc>
        <w:tc>
          <w:tcPr>
            <w:tcW w:w="499" w:type="pct"/>
            <w:tcBorders>
              <w:top w:val="nil"/>
              <w:left w:val="nil"/>
              <w:bottom w:val="nil"/>
              <w:right w:val="nil"/>
            </w:tcBorders>
            <w:shd w:val="clear" w:color="000000" w:fill="FFFFFF"/>
            <w:noWrap/>
            <w:vAlign w:val="center"/>
            <w:hideMark/>
          </w:tcPr>
          <w:p w14:paraId="5ED91E0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344</w:t>
            </w:r>
          </w:p>
        </w:tc>
      </w:tr>
      <w:tr w:rsidR="009845FF" w:rsidRPr="009845FF" w14:paraId="53727AD3"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01085BA" w14:textId="77777777" w:rsidR="009845FF" w:rsidRPr="009845FF" w:rsidRDefault="009845FF" w:rsidP="009845FF">
            <w:pPr>
              <w:spacing w:before="0" w:after="0" w:line="240" w:lineRule="auto"/>
              <w:ind w:left="170"/>
              <w:rPr>
                <w:rFonts w:ascii="Arial" w:hAnsi="Arial" w:cs="Arial"/>
                <w:color w:val="000000"/>
                <w:sz w:val="16"/>
                <w:szCs w:val="16"/>
              </w:rPr>
            </w:pPr>
            <w:r w:rsidRPr="009845FF">
              <w:rPr>
                <w:rFonts w:ascii="Arial" w:hAnsi="Arial" w:cs="Arial"/>
                <w:color w:val="000000"/>
                <w:sz w:val="16"/>
                <w:szCs w:val="16"/>
              </w:rPr>
              <w:t>General administration</w:t>
            </w:r>
          </w:p>
        </w:tc>
        <w:tc>
          <w:tcPr>
            <w:tcW w:w="507" w:type="pct"/>
            <w:tcBorders>
              <w:top w:val="nil"/>
              <w:left w:val="nil"/>
              <w:bottom w:val="nil"/>
              <w:right w:val="nil"/>
            </w:tcBorders>
            <w:shd w:val="clear" w:color="000000" w:fill="FFFFFF"/>
            <w:noWrap/>
            <w:vAlign w:val="center"/>
            <w:hideMark/>
          </w:tcPr>
          <w:p w14:paraId="14E6D2AA"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1,121</w:t>
            </w:r>
          </w:p>
        </w:tc>
        <w:tc>
          <w:tcPr>
            <w:tcW w:w="54" w:type="pct"/>
            <w:tcBorders>
              <w:top w:val="nil"/>
              <w:left w:val="nil"/>
              <w:bottom w:val="nil"/>
              <w:right w:val="nil"/>
            </w:tcBorders>
            <w:shd w:val="clear" w:color="000000" w:fill="FFFFFF"/>
            <w:noWrap/>
            <w:vAlign w:val="center"/>
            <w:hideMark/>
          </w:tcPr>
          <w:p w14:paraId="762C900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269E8D52"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1,317</w:t>
            </w:r>
          </w:p>
        </w:tc>
        <w:tc>
          <w:tcPr>
            <w:tcW w:w="499" w:type="pct"/>
            <w:tcBorders>
              <w:top w:val="nil"/>
              <w:left w:val="nil"/>
              <w:bottom w:val="single" w:sz="4" w:space="0" w:color="293F5B"/>
              <w:right w:val="nil"/>
            </w:tcBorders>
            <w:shd w:val="clear" w:color="000000" w:fill="E6F2FF"/>
            <w:noWrap/>
            <w:vAlign w:val="center"/>
            <w:hideMark/>
          </w:tcPr>
          <w:p w14:paraId="2BA0415B"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1,239</w:t>
            </w:r>
          </w:p>
        </w:tc>
        <w:tc>
          <w:tcPr>
            <w:tcW w:w="499" w:type="pct"/>
            <w:tcBorders>
              <w:top w:val="nil"/>
              <w:left w:val="nil"/>
              <w:bottom w:val="single" w:sz="4" w:space="0" w:color="293F5B"/>
              <w:right w:val="nil"/>
            </w:tcBorders>
            <w:shd w:val="clear" w:color="000000" w:fill="FFFFFF"/>
            <w:noWrap/>
            <w:vAlign w:val="center"/>
            <w:hideMark/>
          </w:tcPr>
          <w:p w14:paraId="3DF80D3C"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1,215</w:t>
            </w:r>
          </w:p>
        </w:tc>
        <w:tc>
          <w:tcPr>
            <w:tcW w:w="499" w:type="pct"/>
            <w:tcBorders>
              <w:top w:val="nil"/>
              <w:left w:val="nil"/>
              <w:bottom w:val="single" w:sz="4" w:space="0" w:color="293F5B"/>
              <w:right w:val="nil"/>
            </w:tcBorders>
            <w:shd w:val="clear" w:color="000000" w:fill="FFFFFF"/>
            <w:noWrap/>
            <w:vAlign w:val="center"/>
            <w:hideMark/>
          </w:tcPr>
          <w:p w14:paraId="70209414"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1,167</w:t>
            </w:r>
          </w:p>
        </w:tc>
        <w:tc>
          <w:tcPr>
            <w:tcW w:w="499" w:type="pct"/>
            <w:tcBorders>
              <w:top w:val="nil"/>
              <w:left w:val="nil"/>
              <w:bottom w:val="single" w:sz="4" w:space="0" w:color="293F5B"/>
              <w:right w:val="nil"/>
            </w:tcBorders>
            <w:shd w:val="clear" w:color="000000" w:fill="FFFFFF"/>
            <w:noWrap/>
            <w:vAlign w:val="center"/>
            <w:hideMark/>
          </w:tcPr>
          <w:p w14:paraId="2CDDC8F0" w14:textId="77777777" w:rsidR="009845FF" w:rsidRPr="009845FF" w:rsidRDefault="009845FF" w:rsidP="009845FF">
            <w:pPr>
              <w:spacing w:before="0" w:after="0" w:line="240" w:lineRule="auto"/>
              <w:jc w:val="right"/>
              <w:rPr>
                <w:rFonts w:ascii="Arial" w:hAnsi="Arial" w:cs="Arial"/>
                <w:color w:val="000000"/>
                <w:sz w:val="16"/>
                <w:szCs w:val="16"/>
              </w:rPr>
            </w:pPr>
            <w:r w:rsidRPr="009845FF">
              <w:rPr>
                <w:rFonts w:ascii="Arial" w:hAnsi="Arial" w:cs="Arial"/>
                <w:color w:val="000000"/>
                <w:sz w:val="16"/>
                <w:szCs w:val="16"/>
              </w:rPr>
              <w:t>1,148</w:t>
            </w:r>
          </w:p>
        </w:tc>
      </w:tr>
      <w:tr w:rsidR="009845FF" w:rsidRPr="009845FF" w14:paraId="4C7A38CD"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69DED01C"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Total agriculture, forestry and</w:t>
            </w:r>
          </w:p>
        </w:tc>
        <w:tc>
          <w:tcPr>
            <w:tcW w:w="507" w:type="pct"/>
            <w:tcBorders>
              <w:top w:val="single" w:sz="4" w:space="0" w:color="293F5B"/>
              <w:left w:val="nil"/>
              <w:bottom w:val="nil"/>
              <w:right w:val="nil"/>
            </w:tcBorders>
            <w:shd w:val="clear" w:color="000000" w:fill="FFFFFF"/>
            <w:noWrap/>
            <w:vAlign w:val="center"/>
            <w:hideMark/>
          </w:tcPr>
          <w:p w14:paraId="23E2ABB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49E3959A"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AEF1F45"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28F6A3E"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52EB8DA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1A57A2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44B6BFB"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0E479E58"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07E1E84B" w14:textId="77777777" w:rsidR="009845FF" w:rsidRPr="009845FF" w:rsidRDefault="009845FF" w:rsidP="009845FF">
            <w:pPr>
              <w:spacing w:before="0" w:after="0" w:line="240" w:lineRule="auto"/>
              <w:ind w:left="170"/>
              <w:rPr>
                <w:rFonts w:ascii="Arial" w:hAnsi="Arial" w:cs="Arial"/>
                <w:b/>
                <w:bCs/>
                <w:color w:val="000000"/>
                <w:sz w:val="16"/>
                <w:szCs w:val="16"/>
              </w:rPr>
            </w:pPr>
            <w:r w:rsidRPr="009845FF">
              <w:rPr>
                <w:rFonts w:ascii="Arial" w:hAnsi="Arial" w:cs="Arial"/>
                <w:b/>
                <w:bCs/>
                <w:color w:val="000000"/>
                <w:sz w:val="16"/>
                <w:szCs w:val="16"/>
              </w:rPr>
              <w:t xml:space="preserve"> fishing</w:t>
            </w:r>
          </w:p>
        </w:tc>
        <w:tc>
          <w:tcPr>
            <w:tcW w:w="507" w:type="pct"/>
            <w:tcBorders>
              <w:top w:val="nil"/>
              <w:left w:val="nil"/>
              <w:bottom w:val="single" w:sz="4" w:space="0" w:color="293F5B"/>
              <w:right w:val="nil"/>
            </w:tcBorders>
            <w:shd w:val="clear" w:color="000000" w:fill="FFFFFF"/>
            <w:noWrap/>
            <w:vAlign w:val="center"/>
            <w:hideMark/>
          </w:tcPr>
          <w:p w14:paraId="0099343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3,185</w:t>
            </w:r>
          </w:p>
        </w:tc>
        <w:tc>
          <w:tcPr>
            <w:tcW w:w="54" w:type="pct"/>
            <w:tcBorders>
              <w:top w:val="nil"/>
              <w:left w:val="nil"/>
              <w:bottom w:val="nil"/>
              <w:right w:val="nil"/>
            </w:tcBorders>
            <w:shd w:val="clear" w:color="000000" w:fill="FFFFFF"/>
            <w:noWrap/>
            <w:vAlign w:val="center"/>
            <w:hideMark/>
          </w:tcPr>
          <w:p w14:paraId="10756AA4"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0388D9B1"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4,737</w:t>
            </w:r>
          </w:p>
        </w:tc>
        <w:tc>
          <w:tcPr>
            <w:tcW w:w="499" w:type="pct"/>
            <w:tcBorders>
              <w:top w:val="nil"/>
              <w:left w:val="nil"/>
              <w:bottom w:val="single" w:sz="4" w:space="0" w:color="293F5B"/>
              <w:right w:val="nil"/>
            </w:tcBorders>
            <w:shd w:val="clear" w:color="000000" w:fill="E6F2FF"/>
            <w:noWrap/>
            <w:vAlign w:val="center"/>
            <w:hideMark/>
          </w:tcPr>
          <w:p w14:paraId="34141E8D"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5,156</w:t>
            </w:r>
          </w:p>
        </w:tc>
        <w:tc>
          <w:tcPr>
            <w:tcW w:w="499" w:type="pct"/>
            <w:tcBorders>
              <w:top w:val="nil"/>
              <w:left w:val="nil"/>
              <w:bottom w:val="single" w:sz="4" w:space="0" w:color="293F5B"/>
              <w:right w:val="nil"/>
            </w:tcBorders>
            <w:shd w:val="clear" w:color="000000" w:fill="FFFFFF"/>
            <w:noWrap/>
            <w:vAlign w:val="center"/>
            <w:hideMark/>
          </w:tcPr>
          <w:p w14:paraId="02E4CEBF"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3,227</w:t>
            </w:r>
          </w:p>
        </w:tc>
        <w:tc>
          <w:tcPr>
            <w:tcW w:w="499" w:type="pct"/>
            <w:tcBorders>
              <w:top w:val="nil"/>
              <w:left w:val="nil"/>
              <w:bottom w:val="single" w:sz="4" w:space="0" w:color="293F5B"/>
              <w:right w:val="nil"/>
            </w:tcBorders>
            <w:shd w:val="clear" w:color="000000" w:fill="FFFFFF"/>
            <w:noWrap/>
            <w:vAlign w:val="center"/>
            <w:hideMark/>
          </w:tcPr>
          <w:p w14:paraId="1EDC241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3,045</w:t>
            </w:r>
          </w:p>
        </w:tc>
        <w:tc>
          <w:tcPr>
            <w:tcW w:w="499" w:type="pct"/>
            <w:tcBorders>
              <w:top w:val="nil"/>
              <w:left w:val="nil"/>
              <w:bottom w:val="single" w:sz="4" w:space="0" w:color="293F5B"/>
              <w:right w:val="nil"/>
            </w:tcBorders>
            <w:shd w:val="clear" w:color="000000" w:fill="FFFFFF"/>
            <w:noWrap/>
            <w:vAlign w:val="center"/>
            <w:hideMark/>
          </w:tcPr>
          <w:p w14:paraId="7E61F02B"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2,999</w:t>
            </w:r>
          </w:p>
        </w:tc>
      </w:tr>
      <w:tr w:rsidR="009845FF" w:rsidRPr="009845FF" w14:paraId="558011B6" w14:textId="77777777" w:rsidTr="009845FF">
        <w:trPr>
          <w:divId w:val="1717967480"/>
          <w:trHeight w:hRule="exact" w:val="226"/>
        </w:trPr>
        <w:tc>
          <w:tcPr>
            <w:tcW w:w="1944" w:type="pct"/>
            <w:tcBorders>
              <w:top w:val="nil"/>
              <w:left w:val="nil"/>
              <w:bottom w:val="nil"/>
              <w:right w:val="nil"/>
            </w:tcBorders>
            <w:shd w:val="clear" w:color="000000" w:fill="FFFFFF"/>
            <w:noWrap/>
            <w:vAlign w:val="center"/>
            <w:hideMark/>
          </w:tcPr>
          <w:p w14:paraId="6C924373"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Mining, manufacturing and</w:t>
            </w:r>
          </w:p>
        </w:tc>
        <w:tc>
          <w:tcPr>
            <w:tcW w:w="507" w:type="pct"/>
            <w:tcBorders>
              <w:top w:val="nil"/>
              <w:left w:val="nil"/>
              <w:bottom w:val="nil"/>
              <w:right w:val="nil"/>
            </w:tcBorders>
            <w:shd w:val="clear" w:color="000000" w:fill="FFFFFF"/>
            <w:noWrap/>
            <w:vAlign w:val="center"/>
            <w:hideMark/>
          </w:tcPr>
          <w:p w14:paraId="4232766F"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54" w:type="pct"/>
            <w:tcBorders>
              <w:top w:val="nil"/>
              <w:left w:val="nil"/>
              <w:bottom w:val="nil"/>
              <w:right w:val="nil"/>
            </w:tcBorders>
            <w:shd w:val="clear" w:color="000000" w:fill="FFFFFF"/>
            <w:noWrap/>
            <w:vAlign w:val="center"/>
            <w:hideMark/>
          </w:tcPr>
          <w:p w14:paraId="24F64A4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78C6A5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E6F2FF"/>
            <w:noWrap/>
            <w:vAlign w:val="center"/>
            <w:hideMark/>
          </w:tcPr>
          <w:p w14:paraId="00D8A909"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12D96370"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38C876C3"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c>
          <w:tcPr>
            <w:tcW w:w="499" w:type="pct"/>
            <w:tcBorders>
              <w:top w:val="nil"/>
              <w:left w:val="nil"/>
              <w:bottom w:val="nil"/>
              <w:right w:val="nil"/>
            </w:tcBorders>
            <w:shd w:val="clear" w:color="000000" w:fill="FFFFFF"/>
            <w:noWrap/>
            <w:vAlign w:val="center"/>
            <w:hideMark/>
          </w:tcPr>
          <w:p w14:paraId="7D80E938" w14:textId="77777777" w:rsidR="009845FF" w:rsidRPr="009845FF" w:rsidRDefault="009845FF" w:rsidP="009845FF">
            <w:pPr>
              <w:spacing w:before="0" w:after="0" w:line="240" w:lineRule="auto"/>
              <w:rPr>
                <w:rFonts w:ascii="Arial" w:hAnsi="Arial" w:cs="Arial"/>
                <w:color w:val="000000"/>
                <w:sz w:val="16"/>
                <w:szCs w:val="16"/>
              </w:rPr>
            </w:pPr>
            <w:r w:rsidRPr="009845FF">
              <w:rPr>
                <w:rFonts w:ascii="Arial" w:hAnsi="Arial" w:cs="Arial"/>
                <w:color w:val="000000"/>
                <w:sz w:val="16"/>
                <w:szCs w:val="16"/>
              </w:rPr>
              <w:t> </w:t>
            </w:r>
          </w:p>
        </w:tc>
      </w:tr>
      <w:tr w:rsidR="009845FF" w:rsidRPr="009845FF" w14:paraId="75EB0DB9" w14:textId="77777777" w:rsidTr="009845FF">
        <w:trPr>
          <w:divId w:val="1717967480"/>
          <w:trHeight w:hRule="exact" w:val="226"/>
        </w:trPr>
        <w:tc>
          <w:tcPr>
            <w:tcW w:w="1944" w:type="pct"/>
            <w:tcBorders>
              <w:top w:val="nil"/>
              <w:left w:val="nil"/>
              <w:bottom w:val="single" w:sz="4" w:space="0" w:color="293F5B"/>
              <w:right w:val="nil"/>
            </w:tcBorders>
            <w:shd w:val="clear" w:color="000000" w:fill="FFFFFF"/>
            <w:noWrap/>
            <w:vAlign w:val="center"/>
            <w:hideMark/>
          </w:tcPr>
          <w:p w14:paraId="2D346370" w14:textId="77777777" w:rsidR="009845FF" w:rsidRPr="009845FF" w:rsidRDefault="009845FF" w:rsidP="009845FF">
            <w:pPr>
              <w:spacing w:before="0" w:after="0" w:line="240" w:lineRule="auto"/>
              <w:ind w:left="170"/>
              <w:rPr>
                <w:rFonts w:ascii="Arial" w:hAnsi="Arial" w:cs="Arial"/>
                <w:b/>
                <w:bCs/>
                <w:color w:val="000000"/>
                <w:sz w:val="16"/>
                <w:szCs w:val="16"/>
              </w:rPr>
            </w:pPr>
            <w:r w:rsidRPr="009845FF">
              <w:rPr>
                <w:rFonts w:ascii="Arial" w:hAnsi="Arial" w:cs="Arial"/>
                <w:b/>
                <w:bCs/>
                <w:color w:val="000000"/>
                <w:sz w:val="16"/>
                <w:szCs w:val="16"/>
              </w:rPr>
              <w:t>construction</w:t>
            </w:r>
          </w:p>
        </w:tc>
        <w:tc>
          <w:tcPr>
            <w:tcW w:w="507" w:type="pct"/>
            <w:tcBorders>
              <w:top w:val="nil"/>
              <w:left w:val="nil"/>
              <w:bottom w:val="single" w:sz="4" w:space="0" w:color="293F5B"/>
              <w:right w:val="nil"/>
            </w:tcBorders>
            <w:shd w:val="clear" w:color="000000" w:fill="FFFFFF"/>
            <w:noWrap/>
            <w:vAlign w:val="center"/>
            <w:hideMark/>
          </w:tcPr>
          <w:p w14:paraId="4DD77DE1"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3,816</w:t>
            </w:r>
          </w:p>
        </w:tc>
        <w:tc>
          <w:tcPr>
            <w:tcW w:w="54" w:type="pct"/>
            <w:tcBorders>
              <w:top w:val="nil"/>
              <w:left w:val="nil"/>
              <w:bottom w:val="single" w:sz="4" w:space="0" w:color="293F5B"/>
              <w:right w:val="nil"/>
            </w:tcBorders>
            <w:shd w:val="clear" w:color="000000" w:fill="FFFFFF"/>
            <w:noWrap/>
            <w:vAlign w:val="center"/>
            <w:hideMark/>
          </w:tcPr>
          <w:p w14:paraId="5F04F16F" w14:textId="77777777" w:rsidR="009845FF" w:rsidRPr="009845FF" w:rsidRDefault="009845FF" w:rsidP="009845FF">
            <w:pPr>
              <w:spacing w:before="0" w:after="0" w:line="240" w:lineRule="auto"/>
              <w:rPr>
                <w:rFonts w:ascii="Arial" w:hAnsi="Arial" w:cs="Arial"/>
                <w:b/>
                <w:bCs/>
                <w:color w:val="000000"/>
                <w:sz w:val="16"/>
                <w:szCs w:val="16"/>
              </w:rPr>
            </w:pPr>
            <w:r w:rsidRPr="009845FF">
              <w:rPr>
                <w:rFonts w:ascii="Arial" w:hAnsi="Arial" w:cs="Arial"/>
                <w:b/>
                <w:bCs/>
                <w:color w:val="000000"/>
                <w:sz w:val="16"/>
                <w:szCs w:val="16"/>
              </w:rPr>
              <w:t> </w:t>
            </w:r>
          </w:p>
        </w:tc>
        <w:tc>
          <w:tcPr>
            <w:tcW w:w="499" w:type="pct"/>
            <w:tcBorders>
              <w:top w:val="nil"/>
              <w:left w:val="nil"/>
              <w:bottom w:val="single" w:sz="4" w:space="0" w:color="293F5B"/>
              <w:right w:val="nil"/>
            </w:tcBorders>
            <w:shd w:val="clear" w:color="000000" w:fill="FFFFFF"/>
            <w:noWrap/>
            <w:vAlign w:val="center"/>
            <w:hideMark/>
          </w:tcPr>
          <w:p w14:paraId="5BAF2137"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4,905</w:t>
            </w:r>
          </w:p>
        </w:tc>
        <w:tc>
          <w:tcPr>
            <w:tcW w:w="499" w:type="pct"/>
            <w:tcBorders>
              <w:top w:val="nil"/>
              <w:left w:val="nil"/>
              <w:bottom w:val="single" w:sz="4" w:space="0" w:color="293F5B"/>
              <w:right w:val="nil"/>
            </w:tcBorders>
            <w:shd w:val="clear" w:color="000000" w:fill="E6F2FF"/>
            <w:noWrap/>
            <w:vAlign w:val="center"/>
            <w:hideMark/>
          </w:tcPr>
          <w:p w14:paraId="689A186A"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5,022</w:t>
            </w:r>
          </w:p>
        </w:tc>
        <w:tc>
          <w:tcPr>
            <w:tcW w:w="499" w:type="pct"/>
            <w:tcBorders>
              <w:top w:val="nil"/>
              <w:left w:val="nil"/>
              <w:bottom w:val="single" w:sz="4" w:space="0" w:color="293F5B"/>
              <w:right w:val="nil"/>
            </w:tcBorders>
            <w:shd w:val="clear" w:color="000000" w:fill="FFFFFF"/>
            <w:noWrap/>
            <w:vAlign w:val="center"/>
            <w:hideMark/>
          </w:tcPr>
          <w:p w14:paraId="7AA787C0"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4,696</w:t>
            </w:r>
          </w:p>
        </w:tc>
        <w:tc>
          <w:tcPr>
            <w:tcW w:w="499" w:type="pct"/>
            <w:tcBorders>
              <w:top w:val="nil"/>
              <w:left w:val="nil"/>
              <w:bottom w:val="single" w:sz="4" w:space="0" w:color="293F5B"/>
              <w:right w:val="nil"/>
            </w:tcBorders>
            <w:shd w:val="clear" w:color="000000" w:fill="FFFFFF"/>
            <w:noWrap/>
            <w:vAlign w:val="center"/>
            <w:hideMark/>
          </w:tcPr>
          <w:p w14:paraId="080FCA83"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4,418</w:t>
            </w:r>
          </w:p>
        </w:tc>
        <w:tc>
          <w:tcPr>
            <w:tcW w:w="499" w:type="pct"/>
            <w:tcBorders>
              <w:top w:val="nil"/>
              <w:left w:val="nil"/>
              <w:bottom w:val="single" w:sz="4" w:space="0" w:color="293F5B"/>
              <w:right w:val="nil"/>
            </w:tcBorders>
            <w:shd w:val="clear" w:color="000000" w:fill="FFFFFF"/>
            <w:noWrap/>
            <w:vAlign w:val="center"/>
            <w:hideMark/>
          </w:tcPr>
          <w:p w14:paraId="60D8BD82" w14:textId="77777777" w:rsidR="009845FF" w:rsidRPr="009845FF" w:rsidRDefault="009845FF" w:rsidP="009845FF">
            <w:pPr>
              <w:spacing w:before="0" w:after="0" w:line="240" w:lineRule="auto"/>
              <w:jc w:val="right"/>
              <w:rPr>
                <w:rFonts w:ascii="Arial" w:hAnsi="Arial" w:cs="Arial"/>
                <w:b/>
                <w:bCs/>
                <w:color w:val="000000"/>
                <w:sz w:val="16"/>
                <w:szCs w:val="16"/>
              </w:rPr>
            </w:pPr>
            <w:r w:rsidRPr="009845FF">
              <w:rPr>
                <w:rFonts w:ascii="Arial" w:hAnsi="Arial" w:cs="Arial"/>
                <w:b/>
                <w:bCs/>
                <w:color w:val="000000"/>
                <w:sz w:val="16"/>
                <w:szCs w:val="16"/>
              </w:rPr>
              <w:t>4,444</w:t>
            </w:r>
          </w:p>
        </w:tc>
      </w:tr>
    </w:tbl>
    <w:p w14:paraId="60EC0422" w14:textId="172D7C63" w:rsidR="00A575D2" w:rsidRDefault="00A575D2" w:rsidP="00E63828">
      <w:pPr>
        <w:pStyle w:val="TableHeadingcontinued"/>
        <w:rPr>
          <w:sz w:val="2"/>
        </w:rPr>
      </w:pPr>
    </w:p>
    <w:p w14:paraId="4E2789E2" w14:textId="72A3F651" w:rsidR="006A0CEA" w:rsidRDefault="00C855DF" w:rsidP="006A0CEA">
      <w:pPr>
        <w:pStyle w:val="TableHeading"/>
        <w:rPr>
          <w:rFonts w:asciiTheme="minorHAnsi" w:eastAsiaTheme="minorHAnsi" w:hAnsiTheme="minorHAnsi" w:cstheme="minorBidi"/>
          <w:b w:val="0"/>
          <w:sz w:val="22"/>
          <w:szCs w:val="22"/>
          <w:lang w:eastAsia="en-US"/>
        </w:rPr>
      </w:pPr>
      <w:r w:rsidRPr="000177D7">
        <w:t>Table 6A.1: Estimates of expenses by function and sub</w:t>
      </w:r>
      <w:r w:rsidR="00D34B95">
        <w:noBreakHyphen/>
      </w:r>
      <w:r w:rsidRPr="000177D7">
        <w:t>function (continued</w:t>
      </w:r>
      <w:r w:rsidR="007E052B">
        <w:t>)</w:t>
      </w:r>
      <w:bookmarkStart w:id="181" w:name="_1727774436"/>
      <w:bookmarkEnd w:id="181"/>
      <w:r w:rsidR="006A0CEA">
        <w:t xml:space="preserve"> </w:t>
      </w:r>
    </w:p>
    <w:tbl>
      <w:tblPr>
        <w:tblW w:w="5000" w:type="pct"/>
        <w:tblCellMar>
          <w:left w:w="0" w:type="dxa"/>
          <w:right w:w="28" w:type="dxa"/>
        </w:tblCellMar>
        <w:tblLook w:val="04A0" w:firstRow="1" w:lastRow="0" w:firstColumn="1" w:lastColumn="0" w:noHBand="0" w:noVBand="1"/>
      </w:tblPr>
      <w:tblGrid>
        <w:gridCol w:w="3160"/>
        <w:gridCol w:w="754"/>
        <w:gridCol w:w="82"/>
        <w:gridCol w:w="743"/>
        <w:gridCol w:w="743"/>
        <w:gridCol w:w="743"/>
        <w:gridCol w:w="743"/>
        <w:gridCol w:w="742"/>
      </w:tblGrid>
      <w:tr w:rsidR="006A0CEA" w:rsidRPr="006A0CEA" w14:paraId="77019E36" w14:textId="77777777" w:rsidTr="002418F7">
        <w:trPr>
          <w:divId w:val="614213190"/>
          <w:trHeight w:hRule="exact" w:val="226"/>
        </w:trPr>
        <w:tc>
          <w:tcPr>
            <w:tcW w:w="2049" w:type="pct"/>
            <w:tcBorders>
              <w:top w:val="single" w:sz="4" w:space="0" w:color="293F5B"/>
              <w:left w:val="nil"/>
              <w:bottom w:val="nil"/>
              <w:right w:val="nil"/>
            </w:tcBorders>
            <w:shd w:val="clear" w:color="000000" w:fill="FFFFFF"/>
            <w:noWrap/>
            <w:vAlign w:val="center"/>
            <w:hideMark/>
          </w:tcPr>
          <w:p w14:paraId="6AB080A9" w14:textId="416EAE75"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single" w:sz="4" w:space="0" w:color="293F5B"/>
              <w:left w:val="nil"/>
              <w:bottom w:val="nil"/>
              <w:right w:val="nil"/>
            </w:tcBorders>
            <w:shd w:val="clear" w:color="000000" w:fill="FFFFFF"/>
            <w:noWrap/>
            <w:vAlign w:val="center"/>
            <w:hideMark/>
          </w:tcPr>
          <w:p w14:paraId="1044B93A" w14:textId="77777777" w:rsidR="006A0CEA" w:rsidRPr="006A0CEA" w:rsidRDefault="006A0CEA" w:rsidP="006A0CEA">
            <w:pPr>
              <w:spacing w:before="0" w:after="0" w:line="240" w:lineRule="auto"/>
              <w:jc w:val="center"/>
              <w:rPr>
                <w:rFonts w:ascii="Arial" w:hAnsi="Arial" w:cs="Arial"/>
                <w:color w:val="000000"/>
                <w:sz w:val="16"/>
                <w:szCs w:val="16"/>
              </w:rPr>
            </w:pPr>
            <w:r w:rsidRPr="006A0CEA">
              <w:rPr>
                <w:rFonts w:ascii="Arial" w:hAnsi="Arial" w:cs="Arial"/>
                <w:color w:val="000000"/>
                <w:sz w:val="16"/>
                <w:szCs w:val="16"/>
              </w:rPr>
              <w:t>Actual</w:t>
            </w:r>
          </w:p>
        </w:tc>
        <w:tc>
          <w:tcPr>
            <w:tcW w:w="53" w:type="pct"/>
            <w:tcBorders>
              <w:top w:val="single" w:sz="4" w:space="0" w:color="293F5B"/>
              <w:left w:val="nil"/>
              <w:bottom w:val="nil"/>
              <w:right w:val="nil"/>
            </w:tcBorders>
            <w:shd w:val="clear" w:color="000000" w:fill="FFFFFF"/>
            <w:noWrap/>
            <w:vAlign w:val="center"/>
            <w:hideMark/>
          </w:tcPr>
          <w:p w14:paraId="378293C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 </w:t>
            </w:r>
          </w:p>
        </w:tc>
        <w:tc>
          <w:tcPr>
            <w:tcW w:w="2409" w:type="pct"/>
            <w:gridSpan w:val="5"/>
            <w:tcBorders>
              <w:top w:val="single" w:sz="4" w:space="0" w:color="293F5B"/>
              <w:left w:val="nil"/>
              <w:bottom w:val="single" w:sz="4" w:space="0" w:color="293F5B"/>
              <w:right w:val="nil"/>
            </w:tcBorders>
            <w:shd w:val="clear" w:color="000000" w:fill="FFFFFF"/>
            <w:noWrap/>
            <w:vAlign w:val="center"/>
            <w:hideMark/>
          </w:tcPr>
          <w:p w14:paraId="276C0B7E" w14:textId="77777777" w:rsidR="006A0CEA" w:rsidRPr="006A0CEA" w:rsidRDefault="006A0CEA" w:rsidP="006A0CEA">
            <w:pPr>
              <w:spacing w:before="0" w:after="0" w:line="240" w:lineRule="auto"/>
              <w:jc w:val="center"/>
              <w:rPr>
                <w:rFonts w:ascii="Arial" w:hAnsi="Arial" w:cs="Arial"/>
                <w:sz w:val="16"/>
                <w:szCs w:val="16"/>
              </w:rPr>
            </w:pPr>
            <w:r w:rsidRPr="006A0CEA">
              <w:rPr>
                <w:rFonts w:ascii="Arial" w:hAnsi="Arial" w:cs="Arial"/>
                <w:sz w:val="16"/>
                <w:szCs w:val="16"/>
              </w:rPr>
              <w:t>Estimates</w:t>
            </w:r>
          </w:p>
        </w:tc>
      </w:tr>
      <w:tr w:rsidR="006A0CEA" w:rsidRPr="006A0CEA" w14:paraId="74EAA013"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41F7BB9"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single" w:sz="4" w:space="0" w:color="293F5B"/>
              <w:left w:val="nil"/>
              <w:bottom w:val="nil"/>
              <w:right w:val="nil"/>
            </w:tcBorders>
            <w:shd w:val="clear" w:color="000000" w:fill="FFFFFF"/>
            <w:noWrap/>
            <w:vAlign w:val="center"/>
            <w:hideMark/>
          </w:tcPr>
          <w:p w14:paraId="16DA36A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2021–22</w:t>
            </w:r>
          </w:p>
        </w:tc>
        <w:tc>
          <w:tcPr>
            <w:tcW w:w="53" w:type="pct"/>
            <w:tcBorders>
              <w:top w:val="nil"/>
              <w:left w:val="nil"/>
              <w:bottom w:val="nil"/>
              <w:right w:val="nil"/>
            </w:tcBorders>
            <w:shd w:val="clear" w:color="000000" w:fill="FFFFFF"/>
            <w:noWrap/>
            <w:vAlign w:val="center"/>
            <w:hideMark/>
          </w:tcPr>
          <w:p w14:paraId="4C6FABB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31A64EA"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2022–23</w:t>
            </w:r>
          </w:p>
        </w:tc>
        <w:tc>
          <w:tcPr>
            <w:tcW w:w="482" w:type="pct"/>
            <w:tcBorders>
              <w:top w:val="nil"/>
              <w:left w:val="nil"/>
              <w:bottom w:val="nil"/>
              <w:right w:val="nil"/>
            </w:tcBorders>
            <w:shd w:val="clear" w:color="000000" w:fill="E6F2FF"/>
            <w:noWrap/>
            <w:vAlign w:val="center"/>
            <w:hideMark/>
          </w:tcPr>
          <w:p w14:paraId="569E4703"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2023–24</w:t>
            </w:r>
          </w:p>
        </w:tc>
        <w:tc>
          <w:tcPr>
            <w:tcW w:w="482" w:type="pct"/>
            <w:tcBorders>
              <w:top w:val="nil"/>
              <w:left w:val="nil"/>
              <w:bottom w:val="nil"/>
              <w:right w:val="nil"/>
            </w:tcBorders>
            <w:shd w:val="clear" w:color="000000" w:fill="FFFFFF"/>
            <w:noWrap/>
            <w:vAlign w:val="center"/>
            <w:hideMark/>
          </w:tcPr>
          <w:p w14:paraId="11172E69"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2024–25</w:t>
            </w:r>
          </w:p>
        </w:tc>
        <w:tc>
          <w:tcPr>
            <w:tcW w:w="482" w:type="pct"/>
            <w:tcBorders>
              <w:top w:val="nil"/>
              <w:left w:val="nil"/>
              <w:bottom w:val="nil"/>
              <w:right w:val="nil"/>
            </w:tcBorders>
            <w:shd w:val="clear" w:color="000000" w:fill="FFFFFF"/>
            <w:noWrap/>
            <w:vAlign w:val="center"/>
            <w:hideMark/>
          </w:tcPr>
          <w:p w14:paraId="415C3056"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2025–26</w:t>
            </w:r>
          </w:p>
        </w:tc>
        <w:tc>
          <w:tcPr>
            <w:tcW w:w="482" w:type="pct"/>
            <w:tcBorders>
              <w:top w:val="nil"/>
              <w:left w:val="nil"/>
              <w:bottom w:val="nil"/>
              <w:right w:val="nil"/>
            </w:tcBorders>
            <w:shd w:val="clear" w:color="000000" w:fill="FFFFFF"/>
            <w:noWrap/>
            <w:vAlign w:val="center"/>
            <w:hideMark/>
          </w:tcPr>
          <w:p w14:paraId="08B723F2"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2026–27</w:t>
            </w:r>
          </w:p>
        </w:tc>
      </w:tr>
      <w:tr w:rsidR="006A0CEA" w:rsidRPr="006A0CEA" w14:paraId="3A3FD0FE"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680BFCB3"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nil"/>
              <w:left w:val="nil"/>
              <w:bottom w:val="single" w:sz="4" w:space="0" w:color="293F5B"/>
              <w:right w:val="nil"/>
            </w:tcBorders>
            <w:shd w:val="clear" w:color="000000" w:fill="FFFFFF"/>
            <w:noWrap/>
            <w:vAlign w:val="center"/>
            <w:hideMark/>
          </w:tcPr>
          <w:p w14:paraId="2EEA4C5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c>
          <w:tcPr>
            <w:tcW w:w="53" w:type="pct"/>
            <w:tcBorders>
              <w:top w:val="nil"/>
              <w:left w:val="nil"/>
              <w:bottom w:val="nil"/>
              <w:right w:val="nil"/>
            </w:tcBorders>
            <w:shd w:val="clear" w:color="000000" w:fill="FFFFFF"/>
            <w:noWrap/>
            <w:vAlign w:val="center"/>
            <w:hideMark/>
          </w:tcPr>
          <w:p w14:paraId="6D7FCCB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5ADCA4C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c>
          <w:tcPr>
            <w:tcW w:w="482" w:type="pct"/>
            <w:tcBorders>
              <w:top w:val="nil"/>
              <w:left w:val="nil"/>
              <w:bottom w:val="single" w:sz="4" w:space="0" w:color="293F5B"/>
              <w:right w:val="nil"/>
            </w:tcBorders>
            <w:shd w:val="clear" w:color="000000" w:fill="E6F2FF"/>
            <w:noWrap/>
            <w:vAlign w:val="center"/>
            <w:hideMark/>
          </w:tcPr>
          <w:p w14:paraId="5DA93CB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c>
          <w:tcPr>
            <w:tcW w:w="482" w:type="pct"/>
            <w:tcBorders>
              <w:top w:val="nil"/>
              <w:left w:val="nil"/>
              <w:bottom w:val="single" w:sz="4" w:space="0" w:color="293F5B"/>
              <w:right w:val="nil"/>
            </w:tcBorders>
            <w:shd w:val="clear" w:color="000000" w:fill="FFFFFF"/>
            <w:noWrap/>
            <w:vAlign w:val="center"/>
            <w:hideMark/>
          </w:tcPr>
          <w:p w14:paraId="408BA9C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c>
          <w:tcPr>
            <w:tcW w:w="482" w:type="pct"/>
            <w:tcBorders>
              <w:top w:val="nil"/>
              <w:left w:val="nil"/>
              <w:bottom w:val="single" w:sz="4" w:space="0" w:color="293F5B"/>
              <w:right w:val="nil"/>
            </w:tcBorders>
            <w:shd w:val="clear" w:color="000000" w:fill="FFFFFF"/>
            <w:noWrap/>
            <w:vAlign w:val="center"/>
            <w:hideMark/>
          </w:tcPr>
          <w:p w14:paraId="48FC0018"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c>
          <w:tcPr>
            <w:tcW w:w="482" w:type="pct"/>
            <w:tcBorders>
              <w:top w:val="nil"/>
              <w:left w:val="nil"/>
              <w:bottom w:val="single" w:sz="4" w:space="0" w:color="293F5B"/>
              <w:right w:val="nil"/>
            </w:tcBorders>
            <w:shd w:val="clear" w:color="000000" w:fill="FFFFFF"/>
            <w:noWrap/>
            <w:vAlign w:val="center"/>
            <w:hideMark/>
          </w:tcPr>
          <w:p w14:paraId="069C6E4A"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$m</w:t>
            </w:r>
          </w:p>
        </w:tc>
      </w:tr>
      <w:tr w:rsidR="006A0CEA" w:rsidRPr="006A0CEA" w14:paraId="0F38C49B"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3D417E62"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Transport and communication</w:t>
            </w:r>
          </w:p>
        </w:tc>
        <w:tc>
          <w:tcPr>
            <w:tcW w:w="489" w:type="pct"/>
            <w:tcBorders>
              <w:top w:val="nil"/>
              <w:left w:val="nil"/>
              <w:bottom w:val="nil"/>
              <w:right w:val="nil"/>
            </w:tcBorders>
            <w:shd w:val="clear" w:color="000000" w:fill="FFFFFF"/>
            <w:noWrap/>
            <w:vAlign w:val="center"/>
            <w:hideMark/>
          </w:tcPr>
          <w:p w14:paraId="149A54D7"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7FB56A6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6DC021B9"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7EDA9F7A"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2425137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D6897B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0913F5D"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31461CBB"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0FDB1E7E"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Communication</w:t>
            </w:r>
          </w:p>
        </w:tc>
        <w:tc>
          <w:tcPr>
            <w:tcW w:w="489" w:type="pct"/>
            <w:tcBorders>
              <w:top w:val="nil"/>
              <w:left w:val="nil"/>
              <w:bottom w:val="nil"/>
              <w:right w:val="nil"/>
            </w:tcBorders>
            <w:shd w:val="clear" w:color="000000" w:fill="FFFFFF"/>
            <w:noWrap/>
            <w:vAlign w:val="center"/>
            <w:hideMark/>
          </w:tcPr>
          <w:p w14:paraId="642D736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1,941</w:t>
            </w:r>
          </w:p>
        </w:tc>
        <w:tc>
          <w:tcPr>
            <w:tcW w:w="53" w:type="pct"/>
            <w:tcBorders>
              <w:top w:val="nil"/>
              <w:left w:val="nil"/>
              <w:bottom w:val="nil"/>
              <w:right w:val="nil"/>
            </w:tcBorders>
            <w:shd w:val="clear" w:color="000000" w:fill="FFFFFF"/>
            <w:noWrap/>
            <w:vAlign w:val="center"/>
            <w:hideMark/>
          </w:tcPr>
          <w:p w14:paraId="3EB0458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0B67239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1,627</w:t>
            </w:r>
          </w:p>
        </w:tc>
        <w:tc>
          <w:tcPr>
            <w:tcW w:w="482" w:type="pct"/>
            <w:tcBorders>
              <w:top w:val="nil"/>
              <w:left w:val="nil"/>
              <w:bottom w:val="nil"/>
              <w:right w:val="nil"/>
            </w:tcBorders>
            <w:shd w:val="clear" w:color="000000" w:fill="E6F2FF"/>
            <w:noWrap/>
            <w:vAlign w:val="center"/>
            <w:hideMark/>
          </w:tcPr>
          <w:p w14:paraId="0ECDBE9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1,924</w:t>
            </w:r>
          </w:p>
        </w:tc>
        <w:tc>
          <w:tcPr>
            <w:tcW w:w="482" w:type="pct"/>
            <w:tcBorders>
              <w:top w:val="nil"/>
              <w:left w:val="nil"/>
              <w:bottom w:val="nil"/>
              <w:right w:val="nil"/>
            </w:tcBorders>
            <w:shd w:val="clear" w:color="000000" w:fill="FFFFFF"/>
            <w:noWrap/>
            <w:vAlign w:val="center"/>
            <w:hideMark/>
          </w:tcPr>
          <w:p w14:paraId="0614583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1,719</w:t>
            </w:r>
          </w:p>
        </w:tc>
        <w:tc>
          <w:tcPr>
            <w:tcW w:w="482" w:type="pct"/>
            <w:tcBorders>
              <w:top w:val="nil"/>
              <w:left w:val="nil"/>
              <w:bottom w:val="nil"/>
              <w:right w:val="nil"/>
            </w:tcBorders>
            <w:shd w:val="clear" w:color="000000" w:fill="FFFFFF"/>
            <w:noWrap/>
            <w:vAlign w:val="center"/>
            <w:hideMark/>
          </w:tcPr>
          <w:p w14:paraId="55889E14"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1,663</w:t>
            </w:r>
          </w:p>
        </w:tc>
        <w:tc>
          <w:tcPr>
            <w:tcW w:w="482" w:type="pct"/>
            <w:tcBorders>
              <w:top w:val="nil"/>
              <w:left w:val="nil"/>
              <w:bottom w:val="nil"/>
              <w:right w:val="nil"/>
            </w:tcBorders>
            <w:shd w:val="clear" w:color="000000" w:fill="FFFFFF"/>
            <w:noWrap/>
            <w:vAlign w:val="center"/>
            <w:hideMark/>
          </w:tcPr>
          <w:p w14:paraId="75254146"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1,631</w:t>
            </w:r>
          </w:p>
        </w:tc>
      </w:tr>
      <w:tr w:rsidR="006A0CEA" w:rsidRPr="006A0CEA" w14:paraId="1206C8E4" w14:textId="77777777" w:rsidTr="002418F7">
        <w:trPr>
          <w:divId w:val="614213190"/>
          <w:trHeight w:hRule="exact" w:val="220"/>
        </w:trPr>
        <w:tc>
          <w:tcPr>
            <w:tcW w:w="2049" w:type="pct"/>
            <w:tcBorders>
              <w:top w:val="nil"/>
              <w:left w:val="nil"/>
              <w:bottom w:val="nil"/>
              <w:right w:val="nil"/>
            </w:tcBorders>
            <w:shd w:val="clear" w:color="000000" w:fill="FFFFFF"/>
            <w:noWrap/>
            <w:vAlign w:val="center"/>
            <w:hideMark/>
          </w:tcPr>
          <w:p w14:paraId="69C906FA"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Rail transport</w:t>
            </w:r>
          </w:p>
        </w:tc>
        <w:tc>
          <w:tcPr>
            <w:tcW w:w="489" w:type="pct"/>
            <w:tcBorders>
              <w:top w:val="nil"/>
              <w:left w:val="nil"/>
              <w:bottom w:val="nil"/>
              <w:right w:val="nil"/>
            </w:tcBorders>
            <w:shd w:val="clear" w:color="000000" w:fill="FFFFFF"/>
            <w:noWrap/>
            <w:vAlign w:val="center"/>
            <w:hideMark/>
          </w:tcPr>
          <w:p w14:paraId="601D84E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1,701</w:t>
            </w:r>
          </w:p>
        </w:tc>
        <w:tc>
          <w:tcPr>
            <w:tcW w:w="53" w:type="pct"/>
            <w:tcBorders>
              <w:top w:val="nil"/>
              <w:left w:val="nil"/>
              <w:bottom w:val="nil"/>
              <w:right w:val="nil"/>
            </w:tcBorders>
            <w:shd w:val="clear" w:color="000000" w:fill="FFFFFF"/>
            <w:noWrap/>
            <w:vAlign w:val="center"/>
            <w:hideMark/>
          </w:tcPr>
          <w:p w14:paraId="677F8055"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216B197E"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3,035</w:t>
            </w:r>
          </w:p>
        </w:tc>
        <w:tc>
          <w:tcPr>
            <w:tcW w:w="482" w:type="pct"/>
            <w:tcBorders>
              <w:top w:val="nil"/>
              <w:left w:val="nil"/>
              <w:bottom w:val="nil"/>
              <w:right w:val="nil"/>
            </w:tcBorders>
            <w:shd w:val="clear" w:color="000000" w:fill="E6F2FF"/>
            <w:noWrap/>
            <w:vAlign w:val="center"/>
            <w:hideMark/>
          </w:tcPr>
          <w:p w14:paraId="24BDBDB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4,065</w:t>
            </w:r>
          </w:p>
        </w:tc>
        <w:tc>
          <w:tcPr>
            <w:tcW w:w="482" w:type="pct"/>
            <w:tcBorders>
              <w:top w:val="nil"/>
              <w:left w:val="nil"/>
              <w:bottom w:val="nil"/>
              <w:right w:val="nil"/>
            </w:tcBorders>
            <w:shd w:val="clear" w:color="000000" w:fill="FFFFFF"/>
            <w:noWrap/>
            <w:vAlign w:val="center"/>
            <w:hideMark/>
          </w:tcPr>
          <w:p w14:paraId="1E24894D"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4,342</w:t>
            </w:r>
          </w:p>
        </w:tc>
        <w:tc>
          <w:tcPr>
            <w:tcW w:w="482" w:type="pct"/>
            <w:tcBorders>
              <w:top w:val="nil"/>
              <w:left w:val="nil"/>
              <w:bottom w:val="nil"/>
              <w:right w:val="nil"/>
            </w:tcBorders>
            <w:shd w:val="clear" w:color="000000" w:fill="FFFFFF"/>
            <w:noWrap/>
            <w:vAlign w:val="center"/>
            <w:hideMark/>
          </w:tcPr>
          <w:p w14:paraId="7AB404B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3,867</w:t>
            </w:r>
          </w:p>
        </w:tc>
        <w:tc>
          <w:tcPr>
            <w:tcW w:w="482" w:type="pct"/>
            <w:tcBorders>
              <w:top w:val="nil"/>
              <w:left w:val="nil"/>
              <w:bottom w:val="nil"/>
              <w:right w:val="nil"/>
            </w:tcBorders>
            <w:shd w:val="clear" w:color="000000" w:fill="FFFFFF"/>
            <w:noWrap/>
            <w:vAlign w:val="center"/>
            <w:hideMark/>
          </w:tcPr>
          <w:p w14:paraId="6725039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3,279</w:t>
            </w:r>
          </w:p>
        </w:tc>
      </w:tr>
      <w:tr w:rsidR="006A0CEA" w:rsidRPr="006A0CEA" w14:paraId="380F7D84"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295585EE"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Air transport</w:t>
            </w:r>
          </w:p>
        </w:tc>
        <w:tc>
          <w:tcPr>
            <w:tcW w:w="489" w:type="pct"/>
            <w:tcBorders>
              <w:top w:val="nil"/>
              <w:left w:val="nil"/>
              <w:bottom w:val="nil"/>
              <w:right w:val="nil"/>
            </w:tcBorders>
            <w:shd w:val="clear" w:color="000000" w:fill="FFFFFF"/>
            <w:noWrap/>
            <w:vAlign w:val="center"/>
            <w:hideMark/>
          </w:tcPr>
          <w:p w14:paraId="50FFD0A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1,169</w:t>
            </w:r>
          </w:p>
        </w:tc>
        <w:tc>
          <w:tcPr>
            <w:tcW w:w="53" w:type="pct"/>
            <w:tcBorders>
              <w:top w:val="nil"/>
              <w:left w:val="nil"/>
              <w:bottom w:val="nil"/>
              <w:right w:val="nil"/>
            </w:tcBorders>
            <w:shd w:val="clear" w:color="000000" w:fill="FFFFFF"/>
            <w:noWrap/>
            <w:vAlign w:val="center"/>
            <w:hideMark/>
          </w:tcPr>
          <w:p w14:paraId="00F484AB"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F923A1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432</w:t>
            </w:r>
          </w:p>
        </w:tc>
        <w:tc>
          <w:tcPr>
            <w:tcW w:w="482" w:type="pct"/>
            <w:tcBorders>
              <w:top w:val="nil"/>
              <w:left w:val="nil"/>
              <w:bottom w:val="nil"/>
              <w:right w:val="nil"/>
            </w:tcBorders>
            <w:shd w:val="clear" w:color="000000" w:fill="E6F2FF"/>
            <w:noWrap/>
            <w:vAlign w:val="center"/>
            <w:hideMark/>
          </w:tcPr>
          <w:p w14:paraId="67CC2188"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448</w:t>
            </w:r>
          </w:p>
        </w:tc>
        <w:tc>
          <w:tcPr>
            <w:tcW w:w="482" w:type="pct"/>
            <w:tcBorders>
              <w:top w:val="nil"/>
              <w:left w:val="nil"/>
              <w:bottom w:val="nil"/>
              <w:right w:val="nil"/>
            </w:tcBorders>
            <w:shd w:val="clear" w:color="000000" w:fill="FFFFFF"/>
            <w:noWrap/>
            <w:vAlign w:val="center"/>
            <w:hideMark/>
          </w:tcPr>
          <w:p w14:paraId="1D2F5026"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347</w:t>
            </w:r>
          </w:p>
        </w:tc>
        <w:tc>
          <w:tcPr>
            <w:tcW w:w="482" w:type="pct"/>
            <w:tcBorders>
              <w:top w:val="nil"/>
              <w:left w:val="nil"/>
              <w:bottom w:val="nil"/>
              <w:right w:val="nil"/>
            </w:tcBorders>
            <w:shd w:val="clear" w:color="000000" w:fill="FFFFFF"/>
            <w:noWrap/>
            <w:vAlign w:val="center"/>
            <w:hideMark/>
          </w:tcPr>
          <w:p w14:paraId="3B22914E"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400</w:t>
            </w:r>
          </w:p>
        </w:tc>
        <w:tc>
          <w:tcPr>
            <w:tcW w:w="482" w:type="pct"/>
            <w:tcBorders>
              <w:top w:val="nil"/>
              <w:left w:val="nil"/>
              <w:bottom w:val="nil"/>
              <w:right w:val="nil"/>
            </w:tcBorders>
            <w:shd w:val="clear" w:color="000000" w:fill="FFFFFF"/>
            <w:noWrap/>
            <w:vAlign w:val="center"/>
            <w:hideMark/>
          </w:tcPr>
          <w:p w14:paraId="382D2C76"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292</w:t>
            </w:r>
          </w:p>
        </w:tc>
      </w:tr>
      <w:tr w:rsidR="006A0CEA" w:rsidRPr="006A0CEA" w14:paraId="54079E9F"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454EF1D7"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Road transport</w:t>
            </w:r>
          </w:p>
        </w:tc>
        <w:tc>
          <w:tcPr>
            <w:tcW w:w="489" w:type="pct"/>
            <w:tcBorders>
              <w:top w:val="nil"/>
              <w:left w:val="nil"/>
              <w:bottom w:val="nil"/>
              <w:right w:val="nil"/>
            </w:tcBorders>
            <w:shd w:val="clear" w:color="000000" w:fill="FFFFFF"/>
            <w:noWrap/>
            <w:vAlign w:val="center"/>
            <w:hideMark/>
          </w:tcPr>
          <w:p w14:paraId="00A0AA7D"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6,026</w:t>
            </w:r>
          </w:p>
        </w:tc>
        <w:tc>
          <w:tcPr>
            <w:tcW w:w="53" w:type="pct"/>
            <w:tcBorders>
              <w:top w:val="nil"/>
              <w:left w:val="nil"/>
              <w:bottom w:val="nil"/>
              <w:right w:val="nil"/>
            </w:tcBorders>
            <w:shd w:val="clear" w:color="000000" w:fill="FFFFFF"/>
            <w:noWrap/>
            <w:vAlign w:val="center"/>
            <w:hideMark/>
          </w:tcPr>
          <w:p w14:paraId="2EB927AC"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033B60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7,663</w:t>
            </w:r>
          </w:p>
        </w:tc>
        <w:tc>
          <w:tcPr>
            <w:tcW w:w="482" w:type="pct"/>
            <w:tcBorders>
              <w:top w:val="nil"/>
              <w:left w:val="nil"/>
              <w:bottom w:val="nil"/>
              <w:right w:val="nil"/>
            </w:tcBorders>
            <w:shd w:val="clear" w:color="000000" w:fill="E6F2FF"/>
            <w:noWrap/>
            <w:vAlign w:val="center"/>
            <w:hideMark/>
          </w:tcPr>
          <w:p w14:paraId="2ADBB10E"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10,337</w:t>
            </w:r>
          </w:p>
        </w:tc>
        <w:tc>
          <w:tcPr>
            <w:tcW w:w="482" w:type="pct"/>
            <w:tcBorders>
              <w:top w:val="nil"/>
              <w:left w:val="nil"/>
              <w:bottom w:val="nil"/>
              <w:right w:val="nil"/>
            </w:tcBorders>
            <w:shd w:val="clear" w:color="000000" w:fill="FFFFFF"/>
            <w:noWrap/>
            <w:vAlign w:val="center"/>
            <w:hideMark/>
          </w:tcPr>
          <w:p w14:paraId="49243B3E"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10,613</w:t>
            </w:r>
          </w:p>
        </w:tc>
        <w:tc>
          <w:tcPr>
            <w:tcW w:w="482" w:type="pct"/>
            <w:tcBorders>
              <w:top w:val="nil"/>
              <w:left w:val="nil"/>
              <w:bottom w:val="nil"/>
              <w:right w:val="nil"/>
            </w:tcBorders>
            <w:shd w:val="clear" w:color="000000" w:fill="FFFFFF"/>
            <w:noWrap/>
            <w:vAlign w:val="center"/>
            <w:hideMark/>
          </w:tcPr>
          <w:p w14:paraId="0E0190D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10,096</w:t>
            </w:r>
          </w:p>
        </w:tc>
        <w:tc>
          <w:tcPr>
            <w:tcW w:w="482" w:type="pct"/>
            <w:tcBorders>
              <w:top w:val="nil"/>
              <w:left w:val="nil"/>
              <w:bottom w:val="nil"/>
              <w:right w:val="nil"/>
            </w:tcBorders>
            <w:shd w:val="clear" w:color="000000" w:fill="FFFFFF"/>
            <w:noWrap/>
            <w:vAlign w:val="center"/>
            <w:hideMark/>
          </w:tcPr>
          <w:p w14:paraId="6D1EDCC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9,310</w:t>
            </w:r>
          </w:p>
        </w:tc>
      </w:tr>
      <w:tr w:rsidR="006A0CEA" w:rsidRPr="006A0CEA" w14:paraId="2CDDEBF6"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435D10C1"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Sea transport</w:t>
            </w:r>
          </w:p>
        </w:tc>
        <w:tc>
          <w:tcPr>
            <w:tcW w:w="489" w:type="pct"/>
            <w:tcBorders>
              <w:top w:val="nil"/>
              <w:left w:val="nil"/>
              <w:bottom w:val="nil"/>
              <w:right w:val="nil"/>
            </w:tcBorders>
            <w:shd w:val="clear" w:color="000000" w:fill="FFFFFF"/>
            <w:noWrap/>
            <w:vAlign w:val="center"/>
            <w:hideMark/>
          </w:tcPr>
          <w:p w14:paraId="64589188"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440</w:t>
            </w:r>
          </w:p>
        </w:tc>
        <w:tc>
          <w:tcPr>
            <w:tcW w:w="53" w:type="pct"/>
            <w:tcBorders>
              <w:top w:val="nil"/>
              <w:left w:val="nil"/>
              <w:bottom w:val="nil"/>
              <w:right w:val="nil"/>
            </w:tcBorders>
            <w:shd w:val="clear" w:color="000000" w:fill="FFFFFF"/>
            <w:noWrap/>
            <w:vAlign w:val="center"/>
            <w:hideMark/>
          </w:tcPr>
          <w:p w14:paraId="34D3EAF2"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40E905E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461</w:t>
            </w:r>
          </w:p>
        </w:tc>
        <w:tc>
          <w:tcPr>
            <w:tcW w:w="482" w:type="pct"/>
            <w:tcBorders>
              <w:top w:val="nil"/>
              <w:left w:val="nil"/>
              <w:bottom w:val="nil"/>
              <w:right w:val="nil"/>
            </w:tcBorders>
            <w:shd w:val="clear" w:color="000000" w:fill="E6F2FF"/>
            <w:noWrap/>
            <w:vAlign w:val="center"/>
            <w:hideMark/>
          </w:tcPr>
          <w:p w14:paraId="46944D6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473</w:t>
            </w:r>
          </w:p>
        </w:tc>
        <w:tc>
          <w:tcPr>
            <w:tcW w:w="482" w:type="pct"/>
            <w:tcBorders>
              <w:top w:val="nil"/>
              <w:left w:val="nil"/>
              <w:bottom w:val="nil"/>
              <w:right w:val="nil"/>
            </w:tcBorders>
            <w:shd w:val="clear" w:color="000000" w:fill="FFFFFF"/>
            <w:noWrap/>
            <w:vAlign w:val="center"/>
            <w:hideMark/>
          </w:tcPr>
          <w:p w14:paraId="426A442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494</w:t>
            </w:r>
          </w:p>
        </w:tc>
        <w:tc>
          <w:tcPr>
            <w:tcW w:w="482" w:type="pct"/>
            <w:tcBorders>
              <w:top w:val="nil"/>
              <w:left w:val="nil"/>
              <w:bottom w:val="nil"/>
              <w:right w:val="nil"/>
            </w:tcBorders>
            <w:shd w:val="clear" w:color="000000" w:fill="FFFFFF"/>
            <w:noWrap/>
            <w:vAlign w:val="center"/>
            <w:hideMark/>
          </w:tcPr>
          <w:p w14:paraId="01C48C6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489</w:t>
            </w:r>
          </w:p>
        </w:tc>
        <w:tc>
          <w:tcPr>
            <w:tcW w:w="482" w:type="pct"/>
            <w:tcBorders>
              <w:top w:val="nil"/>
              <w:left w:val="nil"/>
              <w:bottom w:val="nil"/>
              <w:right w:val="nil"/>
            </w:tcBorders>
            <w:shd w:val="clear" w:color="000000" w:fill="FFFFFF"/>
            <w:noWrap/>
            <w:vAlign w:val="center"/>
            <w:hideMark/>
          </w:tcPr>
          <w:p w14:paraId="6C4BA3F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494</w:t>
            </w:r>
          </w:p>
        </w:tc>
      </w:tr>
      <w:tr w:rsidR="006A0CEA" w:rsidRPr="006A0CEA" w14:paraId="1097BA3B"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58B213CF"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Other transport and</w:t>
            </w:r>
          </w:p>
        </w:tc>
        <w:tc>
          <w:tcPr>
            <w:tcW w:w="489" w:type="pct"/>
            <w:tcBorders>
              <w:top w:val="nil"/>
              <w:left w:val="nil"/>
              <w:bottom w:val="nil"/>
              <w:right w:val="nil"/>
            </w:tcBorders>
            <w:shd w:val="clear" w:color="000000" w:fill="FFFFFF"/>
            <w:noWrap/>
            <w:vAlign w:val="center"/>
            <w:hideMark/>
          </w:tcPr>
          <w:p w14:paraId="42AEC51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45CAE0FC"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3260C26"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35ACD729"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42C7131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6A333E7A"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4AF0BD37"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37ABE161"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27D01558" w14:textId="77777777" w:rsidR="006A0CEA" w:rsidRPr="006A0CEA" w:rsidRDefault="006A0CEA" w:rsidP="006A0CEA">
            <w:pPr>
              <w:spacing w:before="0" w:after="0" w:line="240" w:lineRule="auto"/>
              <w:ind w:left="340"/>
              <w:rPr>
                <w:rFonts w:ascii="Arial" w:hAnsi="Arial" w:cs="Arial"/>
                <w:color w:val="000000"/>
                <w:sz w:val="16"/>
                <w:szCs w:val="16"/>
              </w:rPr>
            </w:pPr>
            <w:r w:rsidRPr="006A0CEA">
              <w:rPr>
                <w:rFonts w:ascii="Arial" w:hAnsi="Arial" w:cs="Arial"/>
                <w:color w:val="000000"/>
                <w:sz w:val="16"/>
                <w:szCs w:val="16"/>
              </w:rPr>
              <w:t>communication</w:t>
            </w:r>
          </w:p>
        </w:tc>
        <w:tc>
          <w:tcPr>
            <w:tcW w:w="489" w:type="pct"/>
            <w:tcBorders>
              <w:top w:val="nil"/>
              <w:left w:val="nil"/>
              <w:bottom w:val="nil"/>
              <w:right w:val="nil"/>
            </w:tcBorders>
            <w:shd w:val="clear" w:color="000000" w:fill="FFFFFF"/>
            <w:noWrap/>
            <w:vAlign w:val="center"/>
            <w:hideMark/>
          </w:tcPr>
          <w:p w14:paraId="74CF956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225</w:t>
            </w:r>
          </w:p>
        </w:tc>
        <w:tc>
          <w:tcPr>
            <w:tcW w:w="53" w:type="pct"/>
            <w:tcBorders>
              <w:top w:val="nil"/>
              <w:left w:val="nil"/>
              <w:bottom w:val="nil"/>
              <w:right w:val="nil"/>
            </w:tcBorders>
            <w:shd w:val="clear" w:color="000000" w:fill="FFFFFF"/>
            <w:noWrap/>
            <w:vAlign w:val="center"/>
            <w:hideMark/>
          </w:tcPr>
          <w:p w14:paraId="5AA27DDB"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26C32FA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242</w:t>
            </w:r>
          </w:p>
        </w:tc>
        <w:tc>
          <w:tcPr>
            <w:tcW w:w="482" w:type="pct"/>
            <w:tcBorders>
              <w:top w:val="nil"/>
              <w:left w:val="nil"/>
              <w:bottom w:val="single" w:sz="4" w:space="0" w:color="293F5B"/>
              <w:right w:val="nil"/>
            </w:tcBorders>
            <w:shd w:val="clear" w:color="000000" w:fill="E6F2FF"/>
            <w:noWrap/>
            <w:vAlign w:val="center"/>
            <w:hideMark/>
          </w:tcPr>
          <w:p w14:paraId="2908AFA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261</w:t>
            </w:r>
          </w:p>
        </w:tc>
        <w:tc>
          <w:tcPr>
            <w:tcW w:w="482" w:type="pct"/>
            <w:tcBorders>
              <w:top w:val="nil"/>
              <w:left w:val="nil"/>
              <w:bottom w:val="single" w:sz="4" w:space="0" w:color="293F5B"/>
              <w:right w:val="nil"/>
            </w:tcBorders>
            <w:shd w:val="clear" w:color="000000" w:fill="FFFFFF"/>
            <w:noWrap/>
            <w:vAlign w:val="center"/>
            <w:hideMark/>
          </w:tcPr>
          <w:p w14:paraId="4D476F2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217</w:t>
            </w:r>
          </w:p>
        </w:tc>
        <w:tc>
          <w:tcPr>
            <w:tcW w:w="482" w:type="pct"/>
            <w:tcBorders>
              <w:top w:val="nil"/>
              <w:left w:val="nil"/>
              <w:bottom w:val="single" w:sz="4" w:space="0" w:color="293F5B"/>
              <w:right w:val="nil"/>
            </w:tcBorders>
            <w:shd w:val="clear" w:color="000000" w:fill="FFFFFF"/>
            <w:noWrap/>
            <w:vAlign w:val="center"/>
            <w:hideMark/>
          </w:tcPr>
          <w:p w14:paraId="48805B66"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229</w:t>
            </w:r>
          </w:p>
        </w:tc>
        <w:tc>
          <w:tcPr>
            <w:tcW w:w="482" w:type="pct"/>
            <w:tcBorders>
              <w:top w:val="nil"/>
              <w:left w:val="nil"/>
              <w:bottom w:val="single" w:sz="4" w:space="0" w:color="293F5B"/>
              <w:right w:val="nil"/>
            </w:tcBorders>
            <w:shd w:val="clear" w:color="000000" w:fill="FFFFFF"/>
            <w:noWrap/>
            <w:vAlign w:val="center"/>
            <w:hideMark/>
          </w:tcPr>
          <w:p w14:paraId="7F3F3A48"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218</w:t>
            </w:r>
          </w:p>
        </w:tc>
      </w:tr>
      <w:tr w:rsidR="006A0CEA" w:rsidRPr="006A0CEA" w14:paraId="7C7A2006"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57F21E94"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Total transport and</w:t>
            </w:r>
          </w:p>
        </w:tc>
        <w:tc>
          <w:tcPr>
            <w:tcW w:w="489" w:type="pct"/>
            <w:tcBorders>
              <w:top w:val="single" w:sz="4" w:space="0" w:color="293F5B"/>
              <w:left w:val="nil"/>
              <w:bottom w:val="nil"/>
              <w:right w:val="nil"/>
            </w:tcBorders>
            <w:shd w:val="clear" w:color="000000" w:fill="FFFFFF"/>
            <w:noWrap/>
            <w:vAlign w:val="center"/>
            <w:hideMark/>
          </w:tcPr>
          <w:p w14:paraId="7E8BF385"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5A0A3AC3"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557D3802"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3FDA9784"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FF3874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C99B74F"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01A4FF4"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790EAA0D"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742B84F5" w14:textId="77777777" w:rsidR="006A0CEA" w:rsidRPr="006A0CEA" w:rsidRDefault="006A0CEA" w:rsidP="006A0CEA">
            <w:pPr>
              <w:spacing w:before="0" w:after="0" w:line="240" w:lineRule="auto"/>
              <w:ind w:left="170"/>
              <w:rPr>
                <w:rFonts w:ascii="Arial" w:hAnsi="Arial" w:cs="Arial"/>
                <w:b/>
                <w:bCs/>
                <w:color w:val="000000"/>
                <w:sz w:val="16"/>
                <w:szCs w:val="16"/>
              </w:rPr>
            </w:pPr>
            <w:r w:rsidRPr="006A0CEA">
              <w:rPr>
                <w:rFonts w:ascii="Arial" w:hAnsi="Arial" w:cs="Arial"/>
                <w:b/>
                <w:bCs/>
                <w:color w:val="000000"/>
                <w:sz w:val="16"/>
                <w:szCs w:val="16"/>
              </w:rPr>
              <w:t>communication</w:t>
            </w:r>
          </w:p>
        </w:tc>
        <w:tc>
          <w:tcPr>
            <w:tcW w:w="489" w:type="pct"/>
            <w:tcBorders>
              <w:top w:val="nil"/>
              <w:left w:val="nil"/>
              <w:bottom w:val="single" w:sz="4" w:space="0" w:color="293F5B"/>
              <w:right w:val="nil"/>
            </w:tcBorders>
            <w:shd w:val="clear" w:color="000000" w:fill="FFFFFF"/>
            <w:noWrap/>
            <w:vAlign w:val="center"/>
            <w:hideMark/>
          </w:tcPr>
          <w:p w14:paraId="449891BB"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11,503</w:t>
            </w:r>
          </w:p>
        </w:tc>
        <w:tc>
          <w:tcPr>
            <w:tcW w:w="53" w:type="pct"/>
            <w:tcBorders>
              <w:top w:val="nil"/>
              <w:left w:val="nil"/>
              <w:bottom w:val="nil"/>
              <w:right w:val="nil"/>
            </w:tcBorders>
            <w:shd w:val="clear" w:color="000000" w:fill="FFFFFF"/>
            <w:noWrap/>
            <w:vAlign w:val="center"/>
            <w:hideMark/>
          </w:tcPr>
          <w:p w14:paraId="2C1B8DF9"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38225788"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13,461</w:t>
            </w:r>
          </w:p>
        </w:tc>
        <w:tc>
          <w:tcPr>
            <w:tcW w:w="482" w:type="pct"/>
            <w:tcBorders>
              <w:top w:val="nil"/>
              <w:left w:val="nil"/>
              <w:bottom w:val="single" w:sz="4" w:space="0" w:color="293F5B"/>
              <w:right w:val="nil"/>
            </w:tcBorders>
            <w:shd w:val="clear" w:color="000000" w:fill="E6F2FF"/>
            <w:noWrap/>
            <w:vAlign w:val="center"/>
            <w:hideMark/>
          </w:tcPr>
          <w:p w14:paraId="1884E097"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17,508</w:t>
            </w:r>
          </w:p>
        </w:tc>
        <w:tc>
          <w:tcPr>
            <w:tcW w:w="482" w:type="pct"/>
            <w:tcBorders>
              <w:top w:val="nil"/>
              <w:left w:val="nil"/>
              <w:bottom w:val="single" w:sz="4" w:space="0" w:color="293F5B"/>
              <w:right w:val="nil"/>
            </w:tcBorders>
            <w:shd w:val="clear" w:color="000000" w:fill="FFFFFF"/>
            <w:noWrap/>
            <w:vAlign w:val="center"/>
            <w:hideMark/>
          </w:tcPr>
          <w:p w14:paraId="3CA8AEB6"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17,733</w:t>
            </w:r>
          </w:p>
        </w:tc>
        <w:tc>
          <w:tcPr>
            <w:tcW w:w="482" w:type="pct"/>
            <w:tcBorders>
              <w:top w:val="nil"/>
              <w:left w:val="nil"/>
              <w:bottom w:val="single" w:sz="4" w:space="0" w:color="293F5B"/>
              <w:right w:val="nil"/>
            </w:tcBorders>
            <w:shd w:val="clear" w:color="000000" w:fill="FFFFFF"/>
            <w:noWrap/>
            <w:vAlign w:val="center"/>
            <w:hideMark/>
          </w:tcPr>
          <w:p w14:paraId="2E435C40"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16,744</w:t>
            </w:r>
          </w:p>
        </w:tc>
        <w:tc>
          <w:tcPr>
            <w:tcW w:w="482" w:type="pct"/>
            <w:tcBorders>
              <w:top w:val="nil"/>
              <w:left w:val="nil"/>
              <w:bottom w:val="single" w:sz="4" w:space="0" w:color="293F5B"/>
              <w:right w:val="nil"/>
            </w:tcBorders>
            <w:shd w:val="clear" w:color="000000" w:fill="FFFFFF"/>
            <w:noWrap/>
            <w:vAlign w:val="center"/>
            <w:hideMark/>
          </w:tcPr>
          <w:p w14:paraId="6936DECF"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15,225</w:t>
            </w:r>
          </w:p>
        </w:tc>
      </w:tr>
      <w:tr w:rsidR="006A0CEA" w:rsidRPr="006A0CEA" w14:paraId="5445CD69" w14:textId="77777777" w:rsidTr="002418F7">
        <w:trPr>
          <w:divId w:val="614213190"/>
          <w:trHeight w:hRule="exact" w:val="60"/>
        </w:trPr>
        <w:tc>
          <w:tcPr>
            <w:tcW w:w="2049" w:type="pct"/>
            <w:tcBorders>
              <w:top w:val="nil"/>
              <w:left w:val="nil"/>
              <w:bottom w:val="nil"/>
              <w:right w:val="nil"/>
            </w:tcBorders>
            <w:shd w:val="clear" w:color="000000" w:fill="FFFFFF"/>
            <w:noWrap/>
            <w:vAlign w:val="center"/>
            <w:hideMark/>
          </w:tcPr>
          <w:p w14:paraId="429EA26B" w14:textId="77777777" w:rsidR="006A0CEA" w:rsidRPr="006A0CEA" w:rsidRDefault="006A0CEA" w:rsidP="006A0CEA">
            <w:pPr>
              <w:spacing w:before="0" w:after="0" w:line="240" w:lineRule="auto"/>
              <w:ind w:left="170"/>
              <w:rPr>
                <w:rFonts w:ascii="Arial" w:hAnsi="Arial" w:cs="Arial"/>
                <w:b/>
                <w:bCs/>
                <w:color w:val="000000"/>
                <w:sz w:val="16"/>
                <w:szCs w:val="16"/>
              </w:rPr>
            </w:pPr>
            <w:r w:rsidRPr="006A0CEA">
              <w:rPr>
                <w:rFonts w:ascii="Arial" w:hAnsi="Arial" w:cs="Arial"/>
                <w:b/>
                <w:bCs/>
                <w:color w:val="000000"/>
                <w:sz w:val="16"/>
                <w:szCs w:val="16"/>
              </w:rPr>
              <w:t> </w:t>
            </w:r>
          </w:p>
        </w:tc>
        <w:tc>
          <w:tcPr>
            <w:tcW w:w="489" w:type="pct"/>
            <w:tcBorders>
              <w:top w:val="nil"/>
              <w:left w:val="nil"/>
              <w:bottom w:val="nil"/>
              <w:right w:val="nil"/>
            </w:tcBorders>
            <w:shd w:val="clear" w:color="000000" w:fill="FFFFFF"/>
            <w:noWrap/>
            <w:vAlign w:val="center"/>
            <w:hideMark/>
          </w:tcPr>
          <w:p w14:paraId="5AC9B9B6"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53" w:type="pct"/>
            <w:tcBorders>
              <w:top w:val="nil"/>
              <w:left w:val="nil"/>
              <w:bottom w:val="nil"/>
              <w:right w:val="nil"/>
            </w:tcBorders>
            <w:shd w:val="clear" w:color="000000" w:fill="FFFFFF"/>
            <w:noWrap/>
            <w:vAlign w:val="center"/>
            <w:hideMark/>
          </w:tcPr>
          <w:p w14:paraId="07E668F7"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2D558A26"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E6F2FF"/>
            <w:noWrap/>
            <w:vAlign w:val="center"/>
            <w:hideMark/>
          </w:tcPr>
          <w:p w14:paraId="45A1930B"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6292F286"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3A6EDD3D"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4A2A4FD7"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r>
      <w:tr w:rsidR="006A0CEA" w:rsidRPr="006A0CEA" w14:paraId="230A7090"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4E61AFA"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Other economic affairs</w:t>
            </w:r>
          </w:p>
        </w:tc>
        <w:tc>
          <w:tcPr>
            <w:tcW w:w="489" w:type="pct"/>
            <w:tcBorders>
              <w:top w:val="nil"/>
              <w:left w:val="nil"/>
              <w:bottom w:val="nil"/>
              <w:right w:val="nil"/>
            </w:tcBorders>
            <w:shd w:val="clear" w:color="000000" w:fill="FFFFFF"/>
            <w:noWrap/>
            <w:vAlign w:val="center"/>
            <w:hideMark/>
          </w:tcPr>
          <w:p w14:paraId="5AA59686"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1D8C8B3E"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3C686F7"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6234897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48AB556"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285B5792"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533B3FC6"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7AEA864F"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628D11C9"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Tourism and area promotion</w:t>
            </w:r>
          </w:p>
        </w:tc>
        <w:tc>
          <w:tcPr>
            <w:tcW w:w="489" w:type="pct"/>
            <w:tcBorders>
              <w:top w:val="nil"/>
              <w:left w:val="nil"/>
              <w:bottom w:val="nil"/>
              <w:right w:val="nil"/>
            </w:tcBorders>
            <w:shd w:val="clear" w:color="000000" w:fill="FFFFFF"/>
            <w:noWrap/>
            <w:vAlign w:val="center"/>
            <w:hideMark/>
          </w:tcPr>
          <w:p w14:paraId="58F0452D"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189</w:t>
            </w:r>
          </w:p>
        </w:tc>
        <w:tc>
          <w:tcPr>
            <w:tcW w:w="53" w:type="pct"/>
            <w:tcBorders>
              <w:top w:val="nil"/>
              <w:left w:val="nil"/>
              <w:bottom w:val="nil"/>
              <w:right w:val="nil"/>
            </w:tcBorders>
            <w:shd w:val="clear" w:color="000000" w:fill="FFFFFF"/>
            <w:noWrap/>
            <w:vAlign w:val="center"/>
            <w:hideMark/>
          </w:tcPr>
          <w:p w14:paraId="149AC48A"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07298E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208</w:t>
            </w:r>
          </w:p>
        </w:tc>
        <w:tc>
          <w:tcPr>
            <w:tcW w:w="482" w:type="pct"/>
            <w:tcBorders>
              <w:top w:val="nil"/>
              <w:left w:val="nil"/>
              <w:bottom w:val="nil"/>
              <w:right w:val="nil"/>
            </w:tcBorders>
            <w:shd w:val="clear" w:color="000000" w:fill="E6F2FF"/>
            <w:noWrap/>
            <w:vAlign w:val="center"/>
            <w:hideMark/>
          </w:tcPr>
          <w:p w14:paraId="1760CDA8"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184</w:t>
            </w:r>
          </w:p>
        </w:tc>
        <w:tc>
          <w:tcPr>
            <w:tcW w:w="482" w:type="pct"/>
            <w:tcBorders>
              <w:top w:val="nil"/>
              <w:left w:val="nil"/>
              <w:bottom w:val="nil"/>
              <w:right w:val="nil"/>
            </w:tcBorders>
            <w:shd w:val="clear" w:color="000000" w:fill="FFFFFF"/>
            <w:noWrap/>
            <w:vAlign w:val="center"/>
            <w:hideMark/>
          </w:tcPr>
          <w:p w14:paraId="77BE638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189</w:t>
            </w:r>
          </w:p>
        </w:tc>
        <w:tc>
          <w:tcPr>
            <w:tcW w:w="482" w:type="pct"/>
            <w:tcBorders>
              <w:top w:val="nil"/>
              <w:left w:val="nil"/>
              <w:bottom w:val="nil"/>
              <w:right w:val="nil"/>
            </w:tcBorders>
            <w:shd w:val="clear" w:color="000000" w:fill="FFFFFF"/>
            <w:noWrap/>
            <w:vAlign w:val="center"/>
            <w:hideMark/>
          </w:tcPr>
          <w:p w14:paraId="5DFDD091"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181</w:t>
            </w:r>
          </w:p>
        </w:tc>
        <w:tc>
          <w:tcPr>
            <w:tcW w:w="482" w:type="pct"/>
            <w:tcBorders>
              <w:top w:val="nil"/>
              <w:left w:val="nil"/>
              <w:bottom w:val="nil"/>
              <w:right w:val="nil"/>
            </w:tcBorders>
            <w:shd w:val="clear" w:color="000000" w:fill="FFFFFF"/>
            <w:noWrap/>
            <w:vAlign w:val="center"/>
            <w:hideMark/>
          </w:tcPr>
          <w:p w14:paraId="6D373B4A"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182</w:t>
            </w:r>
          </w:p>
        </w:tc>
      </w:tr>
      <w:tr w:rsidR="006A0CEA" w:rsidRPr="006A0CEA" w14:paraId="13137B2F"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22F6B6E"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 xml:space="preserve">Total labour and employment </w:t>
            </w:r>
          </w:p>
        </w:tc>
        <w:tc>
          <w:tcPr>
            <w:tcW w:w="489" w:type="pct"/>
            <w:tcBorders>
              <w:top w:val="nil"/>
              <w:left w:val="nil"/>
              <w:bottom w:val="nil"/>
              <w:right w:val="nil"/>
            </w:tcBorders>
            <w:shd w:val="clear" w:color="000000" w:fill="FFFFFF"/>
            <w:noWrap/>
            <w:vAlign w:val="center"/>
            <w:hideMark/>
          </w:tcPr>
          <w:p w14:paraId="40390FA3"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6819AE4A"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C40311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05A70709"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3C59E09"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F4CC13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3E9C73CE"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415A8A53"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6D696947" w14:textId="77777777" w:rsidR="006A0CEA" w:rsidRPr="006A0CEA" w:rsidRDefault="006A0CEA" w:rsidP="006A0CEA">
            <w:pPr>
              <w:spacing w:before="0" w:after="0" w:line="240" w:lineRule="auto"/>
              <w:ind w:left="340"/>
              <w:rPr>
                <w:rFonts w:ascii="Arial" w:hAnsi="Arial" w:cs="Arial"/>
                <w:color w:val="000000"/>
                <w:sz w:val="16"/>
                <w:szCs w:val="16"/>
              </w:rPr>
            </w:pPr>
            <w:r w:rsidRPr="006A0CEA">
              <w:rPr>
                <w:rFonts w:ascii="Arial" w:hAnsi="Arial" w:cs="Arial"/>
                <w:color w:val="000000"/>
                <w:sz w:val="16"/>
                <w:szCs w:val="16"/>
              </w:rPr>
              <w:t>affairs</w:t>
            </w:r>
          </w:p>
        </w:tc>
        <w:tc>
          <w:tcPr>
            <w:tcW w:w="489" w:type="pct"/>
            <w:tcBorders>
              <w:top w:val="nil"/>
              <w:left w:val="nil"/>
              <w:bottom w:val="nil"/>
              <w:right w:val="nil"/>
            </w:tcBorders>
            <w:shd w:val="clear" w:color="000000" w:fill="FFFFFF"/>
            <w:noWrap/>
            <w:vAlign w:val="center"/>
            <w:hideMark/>
          </w:tcPr>
          <w:p w14:paraId="7FF8B343"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7,592</w:t>
            </w:r>
          </w:p>
        </w:tc>
        <w:tc>
          <w:tcPr>
            <w:tcW w:w="53" w:type="pct"/>
            <w:tcBorders>
              <w:top w:val="nil"/>
              <w:left w:val="nil"/>
              <w:bottom w:val="nil"/>
              <w:right w:val="nil"/>
            </w:tcBorders>
            <w:shd w:val="clear" w:color="000000" w:fill="FFFFFF"/>
            <w:noWrap/>
            <w:vAlign w:val="center"/>
            <w:hideMark/>
          </w:tcPr>
          <w:p w14:paraId="030215E4"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020E8BBF"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7,521</w:t>
            </w:r>
          </w:p>
        </w:tc>
        <w:tc>
          <w:tcPr>
            <w:tcW w:w="482" w:type="pct"/>
            <w:tcBorders>
              <w:top w:val="nil"/>
              <w:left w:val="nil"/>
              <w:bottom w:val="nil"/>
              <w:right w:val="nil"/>
            </w:tcBorders>
            <w:shd w:val="clear" w:color="000000" w:fill="E6F2FF"/>
            <w:noWrap/>
            <w:vAlign w:val="center"/>
            <w:hideMark/>
          </w:tcPr>
          <w:p w14:paraId="0313CF8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5,550</w:t>
            </w:r>
          </w:p>
        </w:tc>
        <w:tc>
          <w:tcPr>
            <w:tcW w:w="482" w:type="pct"/>
            <w:tcBorders>
              <w:top w:val="nil"/>
              <w:left w:val="nil"/>
              <w:bottom w:val="nil"/>
              <w:right w:val="nil"/>
            </w:tcBorders>
            <w:shd w:val="clear" w:color="000000" w:fill="FFFFFF"/>
            <w:noWrap/>
            <w:vAlign w:val="center"/>
            <w:hideMark/>
          </w:tcPr>
          <w:p w14:paraId="2A0DD7F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5,414</w:t>
            </w:r>
          </w:p>
        </w:tc>
        <w:tc>
          <w:tcPr>
            <w:tcW w:w="482" w:type="pct"/>
            <w:tcBorders>
              <w:top w:val="nil"/>
              <w:left w:val="nil"/>
              <w:bottom w:val="nil"/>
              <w:right w:val="nil"/>
            </w:tcBorders>
            <w:shd w:val="clear" w:color="000000" w:fill="FFFFFF"/>
            <w:noWrap/>
            <w:vAlign w:val="center"/>
            <w:hideMark/>
          </w:tcPr>
          <w:p w14:paraId="7022F416"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5,175</w:t>
            </w:r>
          </w:p>
        </w:tc>
        <w:tc>
          <w:tcPr>
            <w:tcW w:w="482" w:type="pct"/>
            <w:tcBorders>
              <w:top w:val="nil"/>
              <w:left w:val="nil"/>
              <w:bottom w:val="nil"/>
              <w:right w:val="nil"/>
            </w:tcBorders>
            <w:shd w:val="clear" w:color="000000" w:fill="FFFFFF"/>
            <w:noWrap/>
            <w:vAlign w:val="center"/>
            <w:hideMark/>
          </w:tcPr>
          <w:p w14:paraId="07FAF37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4,957</w:t>
            </w:r>
          </w:p>
        </w:tc>
      </w:tr>
      <w:tr w:rsidR="006A0CEA" w:rsidRPr="006A0CEA" w14:paraId="4F4297D3"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49795C2E" w14:textId="77777777" w:rsidR="006A0CEA" w:rsidRPr="006A0CEA" w:rsidRDefault="006A0CEA" w:rsidP="006A0CEA">
            <w:pPr>
              <w:spacing w:before="0" w:after="0" w:line="240" w:lineRule="auto"/>
              <w:ind w:left="510"/>
              <w:rPr>
                <w:rFonts w:ascii="Arial" w:hAnsi="Arial" w:cs="Arial"/>
                <w:i/>
                <w:iCs/>
                <w:color w:val="000000"/>
                <w:sz w:val="16"/>
                <w:szCs w:val="16"/>
              </w:rPr>
            </w:pPr>
            <w:r w:rsidRPr="006A0CEA">
              <w:rPr>
                <w:rFonts w:ascii="Arial" w:hAnsi="Arial" w:cs="Arial"/>
                <w:i/>
                <w:iCs/>
                <w:color w:val="000000"/>
                <w:sz w:val="16"/>
                <w:szCs w:val="16"/>
              </w:rPr>
              <w:t>Vocational and industry training</w:t>
            </w:r>
          </w:p>
        </w:tc>
        <w:tc>
          <w:tcPr>
            <w:tcW w:w="489" w:type="pct"/>
            <w:tcBorders>
              <w:top w:val="nil"/>
              <w:left w:val="nil"/>
              <w:bottom w:val="nil"/>
              <w:right w:val="nil"/>
            </w:tcBorders>
            <w:shd w:val="clear" w:color="000000" w:fill="FFFFFF"/>
            <w:noWrap/>
            <w:vAlign w:val="center"/>
            <w:hideMark/>
          </w:tcPr>
          <w:p w14:paraId="4FD23C3B"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4,664</w:t>
            </w:r>
          </w:p>
        </w:tc>
        <w:tc>
          <w:tcPr>
            <w:tcW w:w="53" w:type="pct"/>
            <w:tcBorders>
              <w:top w:val="nil"/>
              <w:left w:val="nil"/>
              <w:bottom w:val="nil"/>
              <w:right w:val="nil"/>
            </w:tcBorders>
            <w:shd w:val="clear" w:color="000000" w:fill="FFFFFF"/>
            <w:noWrap/>
            <w:vAlign w:val="center"/>
            <w:hideMark/>
          </w:tcPr>
          <w:p w14:paraId="4F5D965F"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545EACC7"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4,511</w:t>
            </w:r>
          </w:p>
        </w:tc>
        <w:tc>
          <w:tcPr>
            <w:tcW w:w="482" w:type="pct"/>
            <w:tcBorders>
              <w:top w:val="nil"/>
              <w:left w:val="nil"/>
              <w:bottom w:val="nil"/>
              <w:right w:val="nil"/>
            </w:tcBorders>
            <w:shd w:val="clear" w:color="000000" w:fill="E6F2FF"/>
            <w:noWrap/>
            <w:vAlign w:val="center"/>
            <w:hideMark/>
          </w:tcPr>
          <w:p w14:paraId="4F172835"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2,309</w:t>
            </w:r>
          </w:p>
        </w:tc>
        <w:tc>
          <w:tcPr>
            <w:tcW w:w="482" w:type="pct"/>
            <w:tcBorders>
              <w:top w:val="nil"/>
              <w:left w:val="nil"/>
              <w:bottom w:val="nil"/>
              <w:right w:val="nil"/>
            </w:tcBorders>
            <w:shd w:val="clear" w:color="000000" w:fill="FFFFFF"/>
            <w:noWrap/>
            <w:vAlign w:val="center"/>
            <w:hideMark/>
          </w:tcPr>
          <w:p w14:paraId="466E51E5"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2,064</w:t>
            </w:r>
          </w:p>
        </w:tc>
        <w:tc>
          <w:tcPr>
            <w:tcW w:w="482" w:type="pct"/>
            <w:tcBorders>
              <w:top w:val="nil"/>
              <w:left w:val="nil"/>
              <w:bottom w:val="nil"/>
              <w:right w:val="nil"/>
            </w:tcBorders>
            <w:shd w:val="clear" w:color="000000" w:fill="FFFFFF"/>
            <w:noWrap/>
            <w:vAlign w:val="center"/>
            <w:hideMark/>
          </w:tcPr>
          <w:p w14:paraId="11489377"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1,822</w:t>
            </w:r>
          </w:p>
        </w:tc>
        <w:tc>
          <w:tcPr>
            <w:tcW w:w="482" w:type="pct"/>
            <w:tcBorders>
              <w:top w:val="nil"/>
              <w:left w:val="nil"/>
              <w:bottom w:val="nil"/>
              <w:right w:val="nil"/>
            </w:tcBorders>
            <w:shd w:val="clear" w:color="000000" w:fill="FFFFFF"/>
            <w:noWrap/>
            <w:vAlign w:val="center"/>
            <w:hideMark/>
          </w:tcPr>
          <w:p w14:paraId="284DE478"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1,540</w:t>
            </w:r>
          </w:p>
        </w:tc>
      </w:tr>
      <w:tr w:rsidR="006A0CEA" w:rsidRPr="006A0CEA" w14:paraId="1D854428"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48C75763" w14:textId="77777777" w:rsidR="006A0CEA" w:rsidRPr="006A0CEA" w:rsidRDefault="006A0CEA" w:rsidP="006A0CEA">
            <w:pPr>
              <w:spacing w:before="0" w:after="0" w:line="240" w:lineRule="auto"/>
              <w:ind w:left="510"/>
              <w:rPr>
                <w:rFonts w:ascii="Arial" w:hAnsi="Arial" w:cs="Arial"/>
                <w:i/>
                <w:iCs/>
                <w:color w:val="000000"/>
                <w:sz w:val="16"/>
                <w:szCs w:val="16"/>
              </w:rPr>
            </w:pPr>
            <w:r w:rsidRPr="006A0CEA">
              <w:rPr>
                <w:rFonts w:ascii="Arial" w:hAnsi="Arial" w:cs="Arial"/>
                <w:i/>
                <w:iCs/>
                <w:color w:val="000000"/>
                <w:sz w:val="16"/>
                <w:szCs w:val="16"/>
              </w:rPr>
              <w:t>Labour market assistance to</w:t>
            </w:r>
          </w:p>
        </w:tc>
        <w:tc>
          <w:tcPr>
            <w:tcW w:w="489" w:type="pct"/>
            <w:tcBorders>
              <w:top w:val="nil"/>
              <w:left w:val="nil"/>
              <w:bottom w:val="nil"/>
              <w:right w:val="nil"/>
            </w:tcBorders>
            <w:shd w:val="clear" w:color="000000" w:fill="FFFFFF"/>
            <w:noWrap/>
            <w:vAlign w:val="center"/>
            <w:hideMark/>
          </w:tcPr>
          <w:p w14:paraId="227053B9"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53" w:type="pct"/>
            <w:tcBorders>
              <w:top w:val="nil"/>
              <w:left w:val="nil"/>
              <w:bottom w:val="nil"/>
              <w:right w:val="nil"/>
            </w:tcBorders>
            <w:shd w:val="clear" w:color="000000" w:fill="FFFFFF"/>
            <w:noWrap/>
            <w:vAlign w:val="center"/>
            <w:hideMark/>
          </w:tcPr>
          <w:p w14:paraId="4A48A31E"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5FA6979A"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E6F2FF"/>
            <w:noWrap/>
            <w:vAlign w:val="center"/>
            <w:hideMark/>
          </w:tcPr>
          <w:p w14:paraId="1512E9C1"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119E5FCB"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03CD9796"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013D08BF"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r>
      <w:tr w:rsidR="006A0CEA" w:rsidRPr="006A0CEA" w14:paraId="1C399C12"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C9471ED" w14:textId="77777777" w:rsidR="006A0CEA" w:rsidRPr="006A0CEA" w:rsidRDefault="006A0CEA" w:rsidP="006A0CEA">
            <w:pPr>
              <w:spacing w:before="0" w:after="0" w:line="240" w:lineRule="auto"/>
              <w:ind w:left="680"/>
              <w:rPr>
                <w:rFonts w:ascii="Arial" w:hAnsi="Arial" w:cs="Arial"/>
                <w:i/>
                <w:iCs/>
                <w:color w:val="000000"/>
                <w:sz w:val="16"/>
                <w:szCs w:val="16"/>
              </w:rPr>
            </w:pPr>
            <w:r w:rsidRPr="006A0CEA">
              <w:rPr>
                <w:rFonts w:ascii="Arial" w:hAnsi="Arial" w:cs="Arial"/>
                <w:i/>
                <w:iCs/>
                <w:color w:val="000000"/>
                <w:sz w:val="16"/>
                <w:szCs w:val="16"/>
              </w:rPr>
              <w:t>job seekers and industry</w:t>
            </w:r>
          </w:p>
        </w:tc>
        <w:tc>
          <w:tcPr>
            <w:tcW w:w="489" w:type="pct"/>
            <w:tcBorders>
              <w:top w:val="nil"/>
              <w:left w:val="nil"/>
              <w:bottom w:val="nil"/>
              <w:right w:val="nil"/>
            </w:tcBorders>
            <w:shd w:val="clear" w:color="000000" w:fill="FFFFFF"/>
            <w:noWrap/>
            <w:vAlign w:val="center"/>
            <w:hideMark/>
          </w:tcPr>
          <w:p w14:paraId="05E34357"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2,265</w:t>
            </w:r>
          </w:p>
        </w:tc>
        <w:tc>
          <w:tcPr>
            <w:tcW w:w="53" w:type="pct"/>
            <w:tcBorders>
              <w:top w:val="nil"/>
              <w:left w:val="nil"/>
              <w:bottom w:val="nil"/>
              <w:right w:val="nil"/>
            </w:tcBorders>
            <w:shd w:val="clear" w:color="000000" w:fill="FFFFFF"/>
            <w:noWrap/>
            <w:vAlign w:val="center"/>
            <w:hideMark/>
          </w:tcPr>
          <w:p w14:paraId="7A9B1F34"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2C091819"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2,214</w:t>
            </w:r>
          </w:p>
        </w:tc>
        <w:tc>
          <w:tcPr>
            <w:tcW w:w="482" w:type="pct"/>
            <w:tcBorders>
              <w:top w:val="nil"/>
              <w:left w:val="nil"/>
              <w:bottom w:val="nil"/>
              <w:right w:val="nil"/>
            </w:tcBorders>
            <w:shd w:val="clear" w:color="000000" w:fill="E6F2FF"/>
            <w:noWrap/>
            <w:vAlign w:val="center"/>
            <w:hideMark/>
          </w:tcPr>
          <w:p w14:paraId="73EE3F3C"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2,348</w:t>
            </w:r>
          </w:p>
        </w:tc>
        <w:tc>
          <w:tcPr>
            <w:tcW w:w="482" w:type="pct"/>
            <w:tcBorders>
              <w:top w:val="nil"/>
              <w:left w:val="nil"/>
              <w:bottom w:val="nil"/>
              <w:right w:val="nil"/>
            </w:tcBorders>
            <w:shd w:val="clear" w:color="000000" w:fill="FFFFFF"/>
            <w:noWrap/>
            <w:vAlign w:val="center"/>
            <w:hideMark/>
          </w:tcPr>
          <w:p w14:paraId="15FCDDEE"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2,488</w:t>
            </w:r>
          </w:p>
        </w:tc>
        <w:tc>
          <w:tcPr>
            <w:tcW w:w="482" w:type="pct"/>
            <w:tcBorders>
              <w:top w:val="nil"/>
              <w:left w:val="nil"/>
              <w:bottom w:val="nil"/>
              <w:right w:val="nil"/>
            </w:tcBorders>
            <w:shd w:val="clear" w:color="000000" w:fill="FFFFFF"/>
            <w:noWrap/>
            <w:vAlign w:val="center"/>
            <w:hideMark/>
          </w:tcPr>
          <w:p w14:paraId="20DAB420"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2,518</w:t>
            </w:r>
          </w:p>
        </w:tc>
        <w:tc>
          <w:tcPr>
            <w:tcW w:w="482" w:type="pct"/>
            <w:tcBorders>
              <w:top w:val="nil"/>
              <w:left w:val="nil"/>
              <w:bottom w:val="nil"/>
              <w:right w:val="nil"/>
            </w:tcBorders>
            <w:shd w:val="clear" w:color="000000" w:fill="FFFFFF"/>
            <w:noWrap/>
            <w:vAlign w:val="center"/>
            <w:hideMark/>
          </w:tcPr>
          <w:p w14:paraId="013D001A"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2,575</w:t>
            </w:r>
          </w:p>
        </w:tc>
      </w:tr>
      <w:tr w:rsidR="006A0CEA" w:rsidRPr="006A0CEA" w14:paraId="47F4A5B1"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692521F9" w14:textId="77777777" w:rsidR="006A0CEA" w:rsidRPr="006A0CEA" w:rsidRDefault="006A0CEA" w:rsidP="006A0CEA">
            <w:pPr>
              <w:spacing w:before="0" w:after="0" w:line="240" w:lineRule="auto"/>
              <w:ind w:left="510"/>
              <w:rPr>
                <w:rFonts w:ascii="Arial" w:hAnsi="Arial" w:cs="Arial"/>
                <w:i/>
                <w:iCs/>
                <w:color w:val="000000"/>
                <w:sz w:val="16"/>
                <w:szCs w:val="16"/>
              </w:rPr>
            </w:pPr>
            <w:r w:rsidRPr="006A0CEA">
              <w:rPr>
                <w:rFonts w:ascii="Arial" w:hAnsi="Arial" w:cs="Arial"/>
                <w:i/>
                <w:iCs/>
                <w:color w:val="000000"/>
                <w:sz w:val="16"/>
                <w:szCs w:val="16"/>
              </w:rPr>
              <w:t>Industrial relations</w:t>
            </w:r>
          </w:p>
        </w:tc>
        <w:tc>
          <w:tcPr>
            <w:tcW w:w="489" w:type="pct"/>
            <w:tcBorders>
              <w:top w:val="nil"/>
              <w:left w:val="nil"/>
              <w:bottom w:val="nil"/>
              <w:right w:val="nil"/>
            </w:tcBorders>
            <w:shd w:val="clear" w:color="000000" w:fill="FFFFFF"/>
            <w:noWrap/>
            <w:vAlign w:val="center"/>
            <w:hideMark/>
          </w:tcPr>
          <w:p w14:paraId="50954514"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662</w:t>
            </w:r>
          </w:p>
        </w:tc>
        <w:tc>
          <w:tcPr>
            <w:tcW w:w="53" w:type="pct"/>
            <w:tcBorders>
              <w:top w:val="nil"/>
              <w:left w:val="nil"/>
              <w:bottom w:val="nil"/>
              <w:right w:val="nil"/>
            </w:tcBorders>
            <w:shd w:val="clear" w:color="000000" w:fill="FFFFFF"/>
            <w:noWrap/>
            <w:vAlign w:val="center"/>
            <w:hideMark/>
          </w:tcPr>
          <w:p w14:paraId="0987FCEA" w14:textId="77777777" w:rsidR="006A0CEA" w:rsidRPr="006A0CEA" w:rsidRDefault="006A0CEA" w:rsidP="006A0CEA">
            <w:pPr>
              <w:spacing w:before="0" w:after="0" w:line="240" w:lineRule="auto"/>
              <w:rPr>
                <w:rFonts w:ascii="Arial" w:hAnsi="Arial" w:cs="Arial"/>
                <w:i/>
                <w:iCs/>
                <w:color w:val="000000"/>
                <w:sz w:val="16"/>
                <w:szCs w:val="16"/>
              </w:rPr>
            </w:pPr>
            <w:r w:rsidRPr="006A0CEA">
              <w:rPr>
                <w:rFonts w:ascii="Arial" w:hAnsi="Arial" w:cs="Arial"/>
                <w:i/>
                <w:iCs/>
                <w:color w:val="000000"/>
                <w:sz w:val="16"/>
                <w:szCs w:val="16"/>
              </w:rPr>
              <w:t> </w:t>
            </w:r>
          </w:p>
        </w:tc>
        <w:tc>
          <w:tcPr>
            <w:tcW w:w="482" w:type="pct"/>
            <w:tcBorders>
              <w:top w:val="nil"/>
              <w:left w:val="nil"/>
              <w:bottom w:val="nil"/>
              <w:right w:val="nil"/>
            </w:tcBorders>
            <w:shd w:val="clear" w:color="000000" w:fill="FFFFFF"/>
            <w:noWrap/>
            <w:vAlign w:val="center"/>
            <w:hideMark/>
          </w:tcPr>
          <w:p w14:paraId="40FE5F05"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797</w:t>
            </w:r>
          </w:p>
        </w:tc>
        <w:tc>
          <w:tcPr>
            <w:tcW w:w="482" w:type="pct"/>
            <w:tcBorders>
              <w:top w:val="nil"/>
              <w:left w:val="nil"/>
              <w:bottom w:val="nil"/>
              <w:right w:val="nil"/>
            </w:tcBorders>
            <w:shd w:val="clear" w:color="000000" w:fill="E6F2FF"/>
            <w:noWrap/>
            <w:vAlign w:val="center"/>
            <w:hideMark/>
          </w:tcPr>
          <w:p w14:paraId="79901DA0"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893</w:t>
            </w:r>
          </w:p>
        </w:tc>
        <w:tc>
          <w:tcPr>
            <w:tcW w:w="482" w:type="pct"/>
            <w:tcBorders>
              <w:top w:val="nil"/>
              <w:left w:val="nil"/>
              <w:bottom w:val="nil"/>
              <w:right w:val="nil"/>
            </w:tcBorders>
            <w:shd w:val="clear" w:color="000000" w:fill="FFFFFF"/>
            <w:noWrap/>
            <w:vAlign w:val="center"/>
            <w:hideMark/>
          </w:tcPr>
          <w:p w14:paraId="28CD8906"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862</w:t>
            </w:r>
          </w:p>
        </w:tc>
        <w:tc>
          <w:tcPr>
            <w:tcW w:w="482" w:type="pct"/>
            <w:tcBorders>
              <w:top w:val="nil"/>
              <w:left w:val="nil"/>
              <w:bottom w:val="nil"/>
              <w:right w:val="nil"/>
            </w:tcBorders>
            <w:shd w:val="clear" w:color="000000" w:fill="FFFFFF"/>
            <w:noWrap/>
            <w:vAlign w:val="center"/>
            <w:hideMark/>
          </w:tcPr>
          <w:p w14:paraId="700E756E"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834</w:t>
            </w:r>
          </w:p>
        </w:tc>
        <w:tc>
          <w:tcPr>
            <w:tcW w:w="482" w:type="pct"/>
            <w:tcBorders>
              <w:top w:val="nil"/>
              <w:left w:val="nil"/>
              <w:bottom w:val="nil"/>
              <w:right w:val="nil"/>
            </w:tcBorders>
            <w:shd w:val="clear" w:color="000000" w:fill="FFFFFF"/>
            <w:noWrap/>
            <w:vAlign w:val="center"/>
            <w:hideMark/>
          </w:tcPr>
          <w:p w14:paraId="75BBFD63" w14:textId="77777777" w:rsidR="006A0CEA" w:rsidRPr="006A0CEA" w:rsidRDefault="006A0CEA" w:rsidP="006A0CEA">
            <w:pPr>
              <w:spacing w:before="0" w:after="0" w:line="240" w:lineRule="auto"/>
              <w:jc w:val="right"/>
              <w:rPr>
                <w:rFonts w:ascii="Arial" w:hAnsi="Arial" w:cs="Arial"/>
                <w:i/>
                <w:iCs/>
                <w:color w:val="000000"/>
                <w:sz w:val="16"/>
                <w:szCs w:val="16"/>
              </w:rPr>
            </w:pPr>
            <w:r w:rsidRPr="006A0CEA">
              <w:rPr>
                <w:rFonts w:ascii="Arial" w:hAnsi="Arial" w:cs="Arial"/>
                <w:i/>
                <w:iCs/>
                <w:color w:val="000000"/>
                <w:sz w:val="16"/>
                <w:szCs w:val="16"/>
              </w:rPr>
              <w:t>841</w:t>
            </w:r>
          </w:p>
        </w:tc>
      </w:tr>
      <w:tr w:rsidR="006A0CEA" w:rsidRPr="006A0CEA" w14:paraId="213B3C7C"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0F855258"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Immigration</w:t>
            </w:r>
          </w:p>
        </w:tc>
        <w:tc>
          <w:tcPr>
            <w:tcW w:w="489" w:type="pct"/>
            <w:tcBorders>
              <w:top w:val="nil"/>
              <w:left w:val="nil"/>
              <w:bottom w:val="nil"/>
              <w:right w:val="nil"/>
            </w:tcBorders>
            <w:shd w:val="clear" w:color="000000" w:fill="FFFFFF"/>
            <w:noWrap/>
            <w:vAlign w:val="center"/>
            <w:hideMark/>
          </w:tcPr>
          <w:p w14:paraId="08B4A1AF"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3,409</w:t>
            </w:r>
          </w:p>
        </w:tc>
        <w:tc>
          <w:tcPr>
            <w:tcW w:w="53" w:type="pct"/>
            <w:tcBorders>
              <w:top w:val="nil"/>
              <w:left w:val="nil"/>
              <w:bottom w:val="nil"/>
              <w:right w:val="nil"/>
            </w:tcBorders>
            <w:shd w:val="clear" w:color="000000" w:fill="FFFFFF"/>
            <w:noWrap/>
            <w:vAlign w:val="center"/>
            <w:hideMark/>
          </w:tcPr>
          <w:p w14:paraId="14AB7465"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09CF48D"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3,673</w:t>
            </w:r>
          </w:p>
        </w:tc>
        <w:tc>
          <w:tcPr>
            <w:tcW w:w="482" w:type="pct"/>
            <w:tcBorders>
              <w:top w:val="nil"/>
              <w:left w:val="nil"/>
              <w:bottom w:val="nil"/>
              <w:right w:val="nil"/>
            </w:tcBorders>
            <w:shd w:val="clear" w:color="000000" w:fill="E6F2FF"/>
            <w:noWrap/>
            <w:vAlign w:val="center"/>
            <w:hideMark/>
          </w:tcPr>
          <w:p w14:paraId="705E7EFD"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3,531</w:t>
            </w:r>
          </w:p>
        </w:tc>
        <w:tc>
          <w:tcPr>
            <w:tcW w:w="482" w:type="pct"/>
            <w:tcBorders>
              <w:top w:val="nil"/>
              <w:left w:val="nil"/>
              <w:bottom w:val="nil"/>
              <w:right w:val="nil"/>
            </w:tcBorders>
            <w:shd w:val="clear" w:color="000000" w:fill="FFFFFF"/>
            <w:noWrap/>
            <w:vAlign w:val="center"/>
            <w:hideMark/>
          </w:tcPr>
          <w:p w14:paraId="743AB1D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3,001</w:t>
            </w:r>
          </w:p>
        </w:tc>
        <w:tc>
          <w:tcPr>
            <w:tcW w:w="482" w:type="pct"/>
            <w:tcBorders>
              <w:top w:val="nil"/>
              <w:left w:val="nil"/>
              <w:bottom w:val="nil"/>
              <w:right w:val="nil"/>
            </w:tcBorders>
            <w:shd w:val="clear" w:color="000000" w:fill="FFFFFF"/>
            <w:noWrap/>
            <w:vAlign w:val="center"/>
            <w:hideMark/>
          </w:tcPr>
          <w:p w14:paraId="0AC53763"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2,979</w:t>
            </w:r>
          </w:p>
        </w:tc>
        <w:tc>
          <w:tcPr>
            <w:tcW w:w="482" w:type="pct"/>
            <w:tcBorders>
              <w:top w:val="nil"/>
              <w:left w:val="nil"/>
              <w:bottom w:val="nil"/>
              <w:right w:val="nil"/>
            </w:tcBorders>
            <w:shd w:val="clear" w:color="000000" w:fill="FFFFFF"/>
            <w:noWrap/>
            <w:vAlign w:val="center"/>
            <w:hideMark/>
          </w:tcPr>
          <w:p w14:paraId="4AEA7FF2"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3,027</w:t>
            </w:r>
          </w:p>
        </w:tc>
      </w:tr>
      <w:tr w:rsidR="006A0CEA" w:rsidRPr="006A0CEA" w14:paraId="79DBB28D"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788C2527"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Other economic affairs nec</w:t>
            </w:r>
          </w:p>
        </w:tc>
        <w:tc>
          <w:tcPr>
            <w:tcW w:w="489" w:type="pct"/>
            <w:tcBorders>
              <w:top w:val="nil"/>
              <w:left w:val="nil"/>
              <w:bottom w:val="nil"/>
              <w:right w:val="nil"/>
            </w:tcBorders>
            <w:shd w:val="clear" w:color="000000" w:fill="FFFFFF"/>
            <w:noWrap/>
            <w:vAlign w:val="center"/>
            <w:hideMark/>
          </w:tcPr>
          <w:p w14:paraId="337A4DA4"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10,592</w:t>
            </w:r>
          </w:p>
        </w:tc>
        <w:tc>
          <w:tcPr>
            <w:tcW w:w="53" w:type="pct"/>
            <w:tcBorders>
              <w:top w:val="nil"/>
              <w:left w:val="nil"/>
              <w:bottom w:val="nil"/>
              <w:right w:val="nil"/>
            </w:tcBorders>
            <w:shd w:val="clear" w:color="000000" w:fill="FFFFFF"/>
            <w:noWrap/>
            <w:vAlign w:val="center"/>
            <w:hideMark/>
          </w:tcPr>
          <w:p w14:paraId="76016BCF"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2F91DF3C"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3,533</w:t>
            </w:r>
          </w:p>
        </w:tc>
        <w:tc>
          <w:tcPr>
            <w:tcW w:w="482" w:type="pct"/>
            <w:tcBorders>
              <w:top w:val="nil"/>
              <w:left w:val="nil"/>
              <w:bottom w:val="single" w:sz="4" w:space="0" w:color="293F5B"/>
              <w:right w:val="nil"/>
            </w:tcBorders>
            <w:shd w:val="clear" w:color="000000" w:fill="E6F2FF"/>
            <w:noWrap/>
            <w:vAlign w:val="center"/>
            <w:hideMark/>
          </w:tcPr>
          <w:p w14:paraId="0A2DBE2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3,183</w:t>
            </w:r>
          </w:p>
        </w:tc>
        <w:tc>
          <w:tcPr>
            <w:tcW w:w="482" w:type="pct"/>
            <w:tcBorders>
              <w:top w:val="nil"/>
              <w:left w:val="nil"/>
              <w:bottom w:val="single" w:sz="4" w:space="0" w:color="293F5B"/>
              <w:right w:val="nil"/>
            </w:tcBorders>
            <w:shd w:val="clear" w:color="000000" w:fill="FFFFFF"/>
            <w:noWrap/>
            <w:vAlign w:val="center"/>
            <w:hideMark/>
          </w:tcPr>
          <w:p w14:paraId="17E5220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3,043</w:t>
            </w:r>
          </w:p>
        </w:tc>
        <w:tc>
          <w:tcPr>
            <w:tcW w:w="482" w:type="pct"/>
            <w:tcBorders>
              <w:top w:val="nil"/>
              <w:left w:val="nil"/>
              <w:bottom w:val="single" w:sz="4" w:space="0" w:color="293F5B"/>
              <w:right w:val="nil"/>
            </w:tcBorders>
            <w:shd w:val="clear" w:color="000000" w:fill="FFFFFF"/>
            <w:noWrap/>
            <w:vAlign w:val="center"/>
            <w:hideMark/>
          </w:tcPr>
          <w:p w14:paraId="4C575F6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2,939</w:t>
            </w:r>
          </w:p>
        </w:tc>
        <w:tc>
          <w:tcPr>
            <w:tcW w:w="482" w:type="pct"/>
            <w:tcBorders>
              <w:top w:val="nil"/>
              <w:left w:val="nil"/>
              <w:bottom w:val="single" w:sz="4" w:space="0" w:color="293F5B"/>
              <w:right w:val="nil"/>
            </w:tcBorders>
            <w:shd w:val="clear" w:color="000000" w:fill="FFFFFF"/>
            <w:noWrap/>
            <w:vAlign w:val="center"/>
            <w:hideMark/>
          </w:tcPr>
          <w:p w14:paraId="4EF3CBB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2,934</w:t>
            </w:r>
          </w:p>
        </w:tc>
      </w:tr>
      <w:tr w:rsidR="006A0CEA" w:rsidRPr="006A0CEA" w14:paraId="20CDB312"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7C5DC175"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Total other economic affairs</w:t>
            </w:r>
          </w:p>
        </w:tc>
        <w:tc>
          <w:tcPr>
            <w:tcW w:w="489" w:type="pct"/>
            <w:tcBorders>
              <w:top w:val="single" w:sz="4" w:space="0" w:color="293F5B"/>
              <w:left w:val="nil"/>
              <w:bottom w:val="single" w:sz="4" w:space="0" w:color="293F5B"/>
              <w:right w:val="nil"/>
            </w:tcBorders>
            <w:shd w:val="clear" w:color="000000" w:fill="FFFFFF"/>
            <w:noWrap/>
            <w:vAlign w:val="center"/>
            <w:hideMark/>
          </w:tcPr>
          <w:p w14:paraId="33D3979F"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21,781</w:t>
            </w:r>
          </w:p>
        </w:tc>
        <w:tc>
          <w:tcPr>
            <w:tcW w:w="53" w:type="pct"/>
            <w:tcBorders>
              <w:top w:val="nil"/>
              <w:left w:val="nil"/>
              <w:bottom w:val="nil"/>
              <w:right w:val="nil"/>
            </w:tcBorders>
            <w:shd w:val="clear" w:color="000000" w:fill="FFFFFF"/>
            <w:noWrap/>
            <w:vAlign w:val="center"/>
            <w:hideMark/>
          </w:tcPr>
          <w:p w14:paraId="576C7AD0"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77B06569"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14,935</w:t>
            </w:r>
          </w:p>
        </w:tc>
        <w:tc>
          <w:tcPr>
            <w:tcW w:w="482" w:type="pct"/>
            <w:tcBorders>
              <w:top w:val="nil"/>
              <w:left w:val="nil"/>
              <w:bottom w:val="single" w:sz="4" w:space="0" w:color="293F5B"/>
              <w:right w:val="nil"/>
            </w:tcBorders>
            <w:shd w:val="clear" w:color="000000" w:fill="E6F2FF"/>
            <w:noWrap/>
            <w:vAlign w:val="center"/>
            <w:hideMark/>
          </w:tcPr>
          <w:p w14:paraId="452F63E8"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12,447</w:t>
            </w:r>
          </w:p>
        </w:tc>
        <w:tc>
          <w:tcPr>
            <w:tcW w:w="482" w:type="pct"/>
            <w:tcBorders>
              <w:top w:val="nil"/>
              <w:left w:val="nil"/>
              <w:bottom w:val="single" w:sz="4" w:space="0" w:color="293F5B"/>
              <w:right w:val="nil"/>
            </w:tcBorders>
            <w:shd w:val="clear" w:color="000000" w:fill="FFFFFF"/>
            <w:noWrap/>
            <w:vAlign w:val="center"/>
            <w:hideMark/>
          </w:tcPr>
          <w:p w14:paraId="46189160"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11,647</w:t>
            </w:r>
          </w:p>
        </w:tc>
        <w:tc>
          <w:tcPr>
            <w:tcW w:w="482" w:type="pct"/>
            <w:tcBorders>
              <w:top w:val="nil"/>
              <w:left w:val="nil"/>
              <w:bottom w:val="single" w:sz="4" w:space="0" w:color="293F5B"/>
              <w:right w:val="nil"/>
            </w:tcBorders>
            <w:shd w:val="clear" w:color="000000" w:fill="FFFFFF"/>
            <w:noWrap/>
            <w:vAlign w:val="center"/>
            <w:hideMark/>
          </w:tcPr>
          <w:p w14:paraId="378DDE67"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11,274</w:t>
            </w:r>
          </w:p>
        </w:tc>
        <w:tc>
          <w:tcPr>
            <w:tcW w:w="482" w:type="pct"/>
            <w:tcBorders>
              <w:top w:val="nil"/>
              <w:left w:val="nil"/>
              <w:bottom w:val="single" w:sz="4" w:space="0" w:color="293F5B"/>
              <w:right w:val="nil"/>
            </w:tcBorders>
            <w:shd w:val="clear" w:color="000000" w:fill="FFFFFF"/>
            <w:noWrap/>
            <w:vAlign w:val="center"/>
            <w:hideMark/>
          </w:tcPr>
          <w:p w14:paraId="5899D6AE"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11,100</w:t>
            </w:r>
          </w:p>
        </w:tc>
      </w:tr>
      <w:tr w:rsidR="006A0CEA" w:rsidRPr="006A0CEA" w14:paraId="5548090B" w14:textId="77777777" w:rsidTr="002418F7">
        <w:trPr>
          <w:divId w:val="614213190"/>
          <w:trHeight w:hRule="exact" w:val="60"/>
        </w:trPr>
        <w:tc>
          <w:tcPr>
            <w:tcW w:w="2049" w:type="pct"/>
            <w:tcBorders>
              <w:top w:val="nil"/>
              <w:left w:val="nil"/>
              <w:bottom w:val="nil"/>
              <w:right w:val="nil"/>
            </w:tcBorders>
            <w:shd w:val="clear" w:color="000000" w:fill="FFFFFF"/>
            <w:noWrap/>
            <w:vAlign w:val="center"/>
            <w:hideMark/>
          </w:tcPr>
          <w:p w14:paraId="0E5B758F"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nil"/>
              <w:left w:val="nil"/>
              <w:bottom w:val="nil"/>
              <w:right w:val="nil"/>
            </w:tcBorders>
            <w:shd w:val="clear" w:color="000000" w:fill="FFFFFF"/>
            <w:noWrap/>
            <w:vAlign w:val="center"/>
            <w:hideMark/>
          </w:tcPr>
          <w:p w14:paraId="65B9B56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2070408D"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0D6933CC"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17F4D30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26509D0B"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DA57F3E"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510F5BF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3DEAB7C6" w14:textId="77777777" w:rsidTr="002418F7">
        <w:trPr>
          <w:divId w:val="614213190"/>
          <w:trHeight w:hRule="exact" w:val="60"/>
        </w:trPr>
        <w:tc>
          <w:tcPr>
            <w:tcW w:w="2049" w:type="pct"/>
            <w:tcBorders>
              <w:top w:val="nil"/>
              <w:left w:val="nil"/>
              <w:bottom w:val="nil"/>
              <w:right w:val="nil"/>
            </w:tcBorders>
            <w:shd w:val="clear" w:color="000000" w:fill="FFFFFF"/>
            <w:noWrap/>
            <w:vAlign w:val="center"/>
            <w:hideMark/>
          </w:tcPr>
          <w:p w14:paraId="478FBD9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nil"/>
              <w:left w:val="nil"/>
              <w:bottom w:val="nil"/>
              <w:right w:val="nil"/>
            </w:tcBorders>
            <w:shd w:val="clear" w:color="000000" w:fill="FFFFFF"/>
            <w:noWrap/>
            <w:vAlign w:val="center"/>
            <w:hideMark/>
          </w:tcPr>
          <w:p w14:paraId="706843F5"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6B03F78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23AE01D"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77B480B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62B9DD1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0F62BC35"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59DAE75D"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7CFEB2CA"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7098EA5D"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Other purposes</w:t>
            </w:r>
          </w:p>
        </w:tc>
        <w:tc>
          <w:tcPr>
            <w:tcW w:w="489" w:type="pct"/>
            <w:tcBorders>
              <w:top w:val="nil"/>
              <w:left w:val="nil"/>
              <w:bottom w:val="nil"/>
              <w:right w:val="nil"/>
            </w:tcBorders>
            <w:shd w:val="clear" w:color="000000" w:fill="FFFFFF"/>
            <w:noWrap/>
            <w:vAlign w:val="center"/>
            <w:hideMark/>
          </w:tcPr>
          <w:p w14:paraId="3563DDE8"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53" w:type="pct"/>
            <w:tcBorders>
              <w:top w:val="nil"/>
              <w:left w:val="nil"/>
              <w:bottom w:val="nil"/>
              <w:right w:val="nil"/>
            </w:tcBorders>
            <w:shd w:val="clear" w:color="000000" w:fill="FFFFFF"/>
            <w:noWrap/>
            <w:vAlign w:val="center"/>
            <w:hideMark/>
          </w:tcPr>
          <w:p w14:paraId="5344EB51"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16045AB2"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E6F2FF"/>
            <w:noWrap/>
            <w:vAlign w:val="center"/>
            <w:hideMark/>
          </w:tcPr>
          <w:p w14:paraId="40181117"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654828F"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232194AC"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5A51538A"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r>
      <w:tr w:rsidR="006A0CEA" w:rsidRPr="006A0CEA" w14:paraId="0EAA056E"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521DF188"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Public debt interest</w:t>
            </w:r>
          </w:p>
        </w:tc>
        <w:tc>
          <w:tcPr>
            <w:tcW w:w="489" w:type="pct"/>
            <w:tcBorders>
              <w:top w:val="nil"/>
              <w:left w:val="nil"/>
              <w:bottom w:val="nil"/>
              <w:right w:val="nil"/>
            </w:tcBorders>
            <w:shd w:val="clear" w:color="000000" w:fill="FFFFFF"/>
            <w:noWrap/>
            <w:vAlign w:val="center"/>
            <w:hideMark/>
          </w:tcPr>
          <w:p w14:paraId="61C7DBE0"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18,517</w:t>
            </w:r>
          </w:p>
        </w:tc>
        <w:tc>
          <w:tcPr>
            <w:tcW w:w="53" w:type="pct"/>
            <w:tcBorders>
              <w:top w:val="nil"/>
              <w:left w:val="nil"/>
              <w:bottom w:val="nil"/>
              <w:right w:val="nil"/>
            </w:tcBorders>
            <w:shd w:val="clear" w:color="000000" w:fill="FFFFFF"/>
            <w:noWrap/>
            <w:vAlign w:val="center"/>
            <w:hideMark/>
          </w:tcPr>
          <w:p w14:paraId="4B4B08AD"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1898A8B2"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22,152</w:t>
            </w:r>
          </w:p>
        </w:tc>
        <w:tc>
          <w:tcPr>
            <w:tcW w:w="482" w:type="pct"/>
            <w:tcBorders>
              <w:top w:val="nil"/>
              <w:left w:val="nil"/>
              <w:bottom w:val="nil"/>
              <w:right w:val="nil"/>
            </w:tcBorders>
            <w:shd w:val="clear" w:color="000000" w:fill="E6F2FF"/>
            <w:noWrap/>
            <w:vAlign w:val="center"/>
            <w:hideMark/>
          </w:tcPr>
          <w:p w14:paraId="338C71F5"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22,611</w:t>
            </w:r>
          </w:p>
        </w:tc>
        <w:tc>
          <w:tcPr>
            <w:tcW w:w="482" w:type="pct"/>
            <w:tcBorders>
              <w:top w:val="nil"/>
              <w:left w:val="nil"/>
              <w:bottom w:val="nil"/>
              <w:right w:val="nil"/>
            </w:tcBorders>
            <w:shd w:val="clear" w:color="000000" w:fill="FFFFFF"/>
            <w:noWrap/>
            <w:vAlign w:val="center"/>
            <w:hideMark/>
          </w:tcPr>
          <w:p w14:paraId="2DFC8DCF"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23,890</w:t>
            </w:r>
          </w:p>
        </w:tc>
        <w:tc>
          <w:tcPr>
            <w:tcW w:w="482" w:type="pct"/>
            <w:tcBorders>
              <w:top w:val="nil"/>
              <w:left w:val="nil"/>
              <w:bottom w:val="nil"/>
              <w:right w:val="nil"/>
            </w:tcBorders>
            <w:shd w:val="clear" w:color="000000" w:fill="FFFFFF"/>
            <w:noWrap/>
            <w:vAlign w:val="center"/>
            <w:hideMark/>
          </w:tcPr>
          <w:p w14:paraId="4CD914D1"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26,224</w:t>
            </w:r>
          </w:p>
        </w:tc>
        <w:tc>
          <w:tcPr>
            <w:tcW w:w="482" w:type="pct"/>
            <w:tcBorders>
              <w:top w:val="nil"/>
              <w:left w:val="nil"/>
              <w:bottom w:val="nil"/>
              <w:right w:val="nil"/>
            </w:tcBorders>
            <w:shd w:val="clear" w:color="000000" w:fill="FFFFFF"/>
            <w:noWrap/>
            <w:vAlign w:val="center"/>
            <w:hideMark/>
          </w:tcPr>
          <w:p w14:paraId="3F006EDE"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29,077</w:t>
            </w:r>
          </w:p>
        </w:tc>
      </w:tr>
      <w:tr w:rsidR="006A0CEA" w:rsidRPr="006A0CEA" w14:paraId="3FE00227"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2B9F0B14" w14:textId="77777777" w:rsidR="006A0CEA" w:rsidRPr="006A0CEA" w:rsidRDefault="006A0CEA" w:rsidP="006A0CEA">
            <w:pPr>
              <w:spacing w:before="0" w:after="0" w:line="240" w:lineRule="auto"/>
              <w:ind w:left="340"/>
              <w:rPr>
                <w:rFonts w:ascii="Arial" w:hAnsi="Arial" w:cs="Arial"/>
                <w:i/>
                <w:iCs/>
                <w:sz w:val="16"/>
                <w:szCs w:val="16"/>
              </w:rPr>
            </w:pPr>
            <w:r w:rsidRPr="006A0CEA">
              <w:rPr>
                <w:rFonts w:ascii="Arial" w:hAnsi="Arial" w:cs="Arial"/>
                <w:i/>
                <w:iCs/>
                <w:sz w:val="16"/>
                <w:szCs w:val="16"/>
              </w:rPr>
              <w:t>Interest on Commonwealth</w:t>
            </w:r>
          </w:p>
        </w:tc>
        <w:tc>
          <w:tcPr>
            <w:tcW w:w="489" w:type="pct"/>
            <w:tcBorders>
              <w:top w:val="nil"/>
              <w:left w:val="nil"/>
              <w:bottom w:val="nil"/>
              <w:right w:val="nil"/>
            </w:tcBorders>
            <w:shd w:val="clear" w:color="000000" w:fill="FFFFFF"/>
            <w:noWrap/>
            <w:vAlign w:val="center"/>
            <w:hideMark/>
          </w:tcPr>
          <w:p w14:paraId="0F78C800"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53" w:type="pct"/>
            <w:tcBorders>
              <w:top w:val="nil"/>
              <w:left w:val="nil"/>
              <w:bottom w:val="nil"/>
              <w:right w:val="nil"/>
            </w:tcBorders>
            <w:shd w:val="clear" w:color="000000" w:fill="FFFFFF"/>
            <w:noWrap/>
            <w:vAlign w:val="center"/>
            <w:hideMark/>
          </w:tcPr>
          <w:p w14:paraId="279D514A"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9443A94"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E6F2FF"/>
            <w:noWrap/>
            <w:vAlign w:val="center"/>
            <w:hideMark/>
          </w:tcPr>
          <w:p w14:paraId="29883089"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68BAB968"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E67A91D"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49CFB1AC"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r>
      <w:tr w:rsidR="006A0CEA" w:rsidRPr="006A0CEA" w14:paraId="5E28D421"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0FBF76E0" w14:textId="77777777" w:rsidR="006A0CEA" w:rsidRPr="006A0CEA" w:rsidRDefault="006A0CEA" w:rsidP="006A0CEA">
            <w:pPr>
              <w:spacing w:before="0" w:after="0" w:line="240" w:lineRule="auto"/>
              <w:ind w:left="510"/>
              <w:rPr>
                <w:rFonts w:ascii="Arial" w:hAnsi="Arial" w:cs="Arial"/>
                <w:i/>
                <w:iCs/>
                <w:sz w:val="16"/>
                <w:szCs w:val="16"/>
              </w:rPr>
            </w:pPr>
            <w:r w:rsidRPr="006A0CEA">
              <w:rPr>
                <w:rFonts w:ascii="Arial" w:hAnsi="Arial" w:cs="Arial"/>
                <w:i/>
                <w:iCs/>
                <w:sz w:val="16"/>
                <w:szCs w:val="16"/>
              </w:rPr>
              <w:t>Government's behalf</w:t>
            </w:r>
          </w:p>
        </w:tc>
        <w:tc>
          <w:tcPr>
            <w:tcW w:w="489" w:type="pct"/>
            <w:tcBorders>
              <w:top w:val="nil"/>
              <w:left w:val="nil"/>
              <w:bottom w:val="nil"/>
              <w:right w:val="nil"/>
            </w:tcBorders>
            <w:shd w:val="clear" w:color="000000" w:fill="FFFFFF"/>
            <w:noWrap/>
            <w:vAlign w:val="center"/>
            <w:hideMark/>
          </w:tcPr>
          <w:p w14:paraId="3F4027A6"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18,517</w:t>
            </w:r>
          </w:p>
        </w:tc>
        <w:tc>
          <w:tcPr>
            <w:tcW w:w="53" w:type="pct"/>
            <w:tcBorders>
              <w:top w:val="nil"/>
              <w:left w:val="nil"/>
              <w:bottom w:val="nil"/>
              <w:right w:val="nil"/>
            </w:tcBorders>
            <w:shd w:val="clear" w:color="000000" w:fill="FFFFFF"/>
            <w:noWrap/>
            <w:vAlign w:val="center"/>
            <w:hideMark/>
          </w:tcPr>
          <w:p w14:paraId="1B3DCE98"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2D2B550B"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22,152</w:t>
            </w:r>
          </w:p>
        </w:tc>
        <w:tc>
          <w:tcPr>
            <w:tcW w:w="482" w:type="pct"/>
            <w:tcBorders>
              <w:top w:val="nil"/>
              <w:left w:val="nil"/>
              <w:bottom w:val="nil"/>
              <w:right w:val="nil"/>
            </w:tcBorders>
            <w:shd w:val="clear" w:color="000000" w:fill="E6F2FF"/>
            <w:noWrap/>
            <w:vAlign w:val="center"/>
            <w:hideMark/>
          </w:tcPr>
          <w:p w14:paraId="726A46D5"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22,611</w:t>
            </w:r>
          </w:p>
        </w:tc>
        <w:tc>
          <w:tcPr>
            <w:tcW w:w="482" w:type="pct"/>
            <w:tcBorders>
              <w:top w:val="nil"/>
              <w:left w:val="nil"/>
              <w:bottom w:val="nil"/>
              <w:right w:val="nil"/>
            </w:tcBorders>
            <w:shd w:val="clear" w:color="000000" w:fill="FFFFFF"/>
            <w:noWrap/>
            <w:vAlign w:val="center"/>
            <w:hideMark/>
          </w:tcPr>
          <w:p w14:paraId="722C504A"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23,890</w:t>
            </w:r>
          </w:p>
        </w:tc>
        <w:tc>
          <w:tcPr>
            <w:tcW w:w="482" w:type="pct"/>
            <w:tcBorders>
              <w:top w:val="nil"/>
              <w:left w:val="nil"/>
              <w:bottom w:val="nil"/>
              <w:right w:val="nil"/>
            </w:tcBorders>
            <w:shd w:val="clear" w:color="000000" w:fill="FFFFFF"/>
            <w:noWrap/>
            <w:vAlign w:val="center"/>
            <w:hideMark/>
          </w:tcPr>
          <w:p w14:paraId="29110AEA"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26,224</w:t>
            </w:r>
          </w:p>
        </w:tc>
        <w:tc>
          <w:tcPr>
            <w:tcW w:w="482" w:type="pct"/>
            <w:tcBorders>
              <w:top w:val="nil"/>
              <w:left w:val="nil"/>
              <w:bottom w:val="nil"/>
              <w:right w:val="nil"/>
            </w:tcBorders>
            <w:shd w:val="clear" w:color="000000" w:fill="FFFFFF"/>
            <w:noWrap/>
            <w:vAlign w:val="center"/>
            <w:hideMark/>
          </w:tcPr>
          <w:p w14:paraId="0DDC795E"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29,077</w:t>
            </w:r>
          </w:p>
        </w:tc>
      </w:tr>
      <w:tr w:rsidR="006A0CEA" w:rsidRPr="006A0CEA" w14:paraId="58C8F572"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5F5ECCAE"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Nominal superannuation interest</w:t>
            </w:r>
          </w:p>
        </w:tc>
        <w:tc>
          <w:tcPr>
            <w:tcW w:w="489" w:type="pct"/>
            <w:tcBorders>
              <w:top w:val="nil"/>
              <w:left w:val="nil"/>
              <w:bottom w:val="nil"/>
              <w:right w:val="nil"/>
            </w:tcBorders>
            <w:shd w:val="clear" w:color="000000" w:fill="FFFFFF"/>
            <w:noWrap/>
            <w:vAlign w:val="center"/>
            <w:hideMark/>
          </w:tcPr>
          <w:p w14:paraId="52DF0F1E"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8,974</w:t>
            </w:r>
          </w:p>
        </w:tc>
        <w:tc>
          <w:tcPr>
            <w:tcW w:w="53" w:type="pct"/>
            <w:tcBorders>
              <w:top w:val="nil"/>
              <w:left w:val="nil"/>
              <w:bottom w:val="nil"/>
              <w:right w:val="nil"/>
            </w:tcBorders>
            <w:shd w:val="clear" w:color="000000" w:fill="FFFFFF"/>
            <w:noWrap/>
            <w:vAlign w:val="center"/>
            <w:hideMark/>
          </w:tcPr>
          <w:p w14:paraId="5253DEEB"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69BC239"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12,334</w:t>
            </w:r>
          </w:p>
        </w:tc>
        <w:tc>
          <w:tcPr>
            <w:tcW w:w="482" w:type="pct"/>
            <w:tcBorders>
              <w:top w:val="nil"/>
              <w:left w:val="nil"/>
              <w:bottom w:val="nil"/>
              <w:right w:val="nil"/>
            </w:tcBorders>
            <w:shd w:val="clear" w:color="000000" w:fill="E6F2FF"/>
            <w:noWrap/>
            <w:vAlign w:val="center"/>
            <w:hideMark/>
          </w:tcPr>
          <w:p w14:paraId="5076F147"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13,631</w:t>
            </w:r>
          </w:p>
        </w:tc>
        <w:tc>
          <w:tcPr>
            <w:tcW w:w="482" w:type="pct"/>
            <w:tcBorders>
              <w:top w:val="nil"/>
              <w:left w:val="nil"/>
              <w:bottom w:val="nil"/>
              <w:right w:val="nil"/>
            </w:tcBorders>
            <w:shd w:val="clear" w:color="000000" w:fill="FFFFFF"/>
            <w:noWrap/>
            <w:vAlign w:val="center"/>
            <w:hideMark/>
          </w:tcPr>
          <w:p w14:paraId="7E13124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13,941</w:t>
            </w:r>
          </w:p>
        </w:tc>
        <w:tc>
          <w:tcPr>
            <w:tcW w:w="482" w:type="pct"/>
            <w:tcBorders>
              <w:top w:val="nil"/>
              <w:left w:val="nil"/>
              <w:bottom w:val="nil"/>
              <w:right w:val="nil"/>
            </w:tcBorders>
            <w:shd w:val="clear" w:color="000000" w:fill="FFFFFF"/>
            <w:noWrap/>
            <w:vAlign w:val="center"/>
            <w:hideMark/>
          </w:tcPr>
          <w:p w14:paraId="3CB0ED55"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14,637</w:t>
            </w:r>
          </w:p>
        </w:tc>
        <w:tc>
          <w:tcPr>
            <w:tcW w:w="482" w:type="pct"/>
            <w:tcBorders>
              <w:top w:val="nil"/>
              <w:left w:val="nil"/>
              <w:bottom w:val="nil"/>
              <w:right w:val="nil"/>
            </w:tcBorders>
            <w:shd w:val="clear" w:color="000000" w:fill="FFFFFF"/>
            <w:noWrap/>
            <w:vAlign w:val="center"/>
            <w:hideMark/>
          </w:tcPr>
          <w:p w14:paraId="6A8DB0EA"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15,033</w:t>
            </w:r>
          </w:p>
        </w:tc>
      </w:tr>
      <w:tr w:rsidR="006A0CEA" w:rsidRPr="006A0CEA" w14:paraId="5F019567"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307CFA98"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General purpose inter-government</w:t>
            </w:r>
          </w:p>
        </w:tc>
        <w:tc>
          <w:tcPr>
            <w:tcW w:w="489" w:type="pct"/>
            <w:tcBorders>
              <w:top w:val="nil"/>
              <w:left w:val="nil"/>
              <w:bottom w:val="nil"/>
              <w:right w:val="nil"/>
            </w:tcBorders>
            <w:shd w:val="clear" w:color="000000" w:fill="FFFFFF"/>
            <w:noWrap/>
            <w:vAlign w:val="center"/>
            <w:hideMark/>
          </w:tcPr>
          <w:p w14:paraId="45A66D70"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53" w:type="pct"/>
            <w:tcBorders>
              <w:top w:val="nil"/>
              <w:left w:val="nil"/>
              <w:bottom w:val="nil"/>
              <w:right w:val="nil"/>
            </w:tcBorders>
            <w:shd w:val="clear" w:color="000000" w:fill="FFFFFF"/>
            <w:noWrap/>
            <w:vAlign w:val="center"/>
            <w:hideMark/>
          </w:tcPr>
          <w:p w14:paraId="1CC141D3"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D06F0DA"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4E52B3AF"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55C42E45"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622FE3E8"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62472920"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r>
      <w:tr w:rsidR="006A0CEA" w:rsidRPr="006A0CEA" w14:paraId="416E0D8F"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5ACD7605" w14:textId="77777777" w:rsidR="006A0CEA" w:rsidRPr="006A0CEA" w:rsidRDefault="006A0CEA" w:rsidP="006A0CEA">
            <w:pPr>
              <w:spacing w:before="0" w:after="0" w:line="240" w:lineRule="auto"/>
              <w:ind w:left="340"/>
              <w:rPr>
                <w:rFonts w:ascii="Arial" w:hAnsi="Arial" w:cs="Arial"/>
                <w:sz w:val="16"/>
                <w:szCs w:val="16"/>
              </w:rPr>
            </w:pPr>
            <w:r w:rsidRPr="006A0CEA">
              <w:rPr>
                <w:rFonts w:ascii="Arial" w:hAnsi="Arial" w:cs="Arial"/>
                <w:sz w:val="16"/>
                <w:szCs w:val="16"/>
              </w:rPr>
              <w:t>transactions</w:t>
            </w:r>
          </w:p>
        </w:tc>
        <w:tc>
          <w:tcPr>
            <w:tcW w:w="489" w:type="pct"/>
            <w:tcBorders>
              <w:top w:val="nil"/>
              <w:left w:val="nil"/>
              <w:bottom w:val="nil"/>
              <w:right w:val="nil"/>
            </w:tcBorders>
            <w:shd w:val="clear" w:color="000000" w:fill="FFFFFF"/>
            <w:noWrap/>
            <w:vAlign w:val="center"/>
            <w:hideMark/>
          </w:tcPr>
          <w:p w14:paraId="17358359"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81,679</w:t>
            </w:r>
          </w:p>
        </w:tc>
        <w:tc>
          <w:tcPr>
            <w:tcW w:w="53" w:type="pct"/>
            <w:tcBorders>
              <w:top w:val="nil"/>
              <w:left w:val="nil"/>
              <w:bottom w:val="nil"/>
              <w:right w:val="nil"/>
            </w:tcBorders>
            <w:shd w:val="clear" w:color="000000" w:fill="FFFFFF"/>
            <w:noWrap/>
            <w:vAlign w:val="center"/>
            <w:hideMark/>
          </w:tcPr>
          <w:p w14:paraId="7AFCA586"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49670EB9"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89,841</w:t>
            </w:r>
          </w:p>
        </w:tc>
        <w:tc>
          <w:tcPr>
            <w:tcW w:w="482" w:type="pct"/>
            <w:tcBorders>
              <w:top w:val="nil"/>
              <w:left w:val="nil"/>
              <w:bottom w:val="nil"/>
              <w:right w:val="nil"/>
            </w:tcBorders>
            <w:shd w:val="clear" w:color="000000" w:fill="E6F2FF"/>
            <w:noWrap/>
            <w:vAlign w:val="center"/>
            <w:hideMark/>
          </w:tcPr>
          <w:p w14:paraId="11ACB197"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95,947</w:t>
            </w:r>
          </w:p>
        </w:tc>
        <w:tc>
          <w:tcPr>
            <w:tcW w:w="482" w:type="pct"/>
            <w:tcBorders>
              <w:top w:val="nil"/>
              <w:left w:val="nil"/>
              <w:bottom w:val="nil"/>
              <w:right w:val="nil"/>
            </w:tcBorders>
            <w:shd w:val="clear" w:color="000000" w:fill="FFFFFF"/>
            <w:noWrap/>
            <w:vAlign w:val="center"/>
            <w:hideMark/>
          </w:tcPr>
          <w:p w14:paraId="2925B44A"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99,872</w:t>
            </w:r>
          </w:p>
        </w:tc>
        <w:tc>
          <w:tcPr>
            <w:tcW w:w="482" w:type="pct"/>
            <w:tcBorders>
              <w:top w:val="nil"/>
              <w:left w:val="nil"/>
              <w:bottom w:val="nil"/>
              <w:right w:val="nil"/>
            </w:tcBorders>
            <w:shd w:val="clear" w:color="000000" w:fill="FFFFFF"/>
            <w:noWrap/>
            <w:vAlign w:val="center"/>
            <w:hideMark/>
          </w:tcPr>
          <w:p w14:paraId="26824AD5"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105,443</w:t>
            </w:r>
          </w:p>
        </w:tc>
        <w:tc>
          <w:tcPr>
            <w:tcW w:w="482" w:type="pct"/>
            <w:tcBorders>
              <w:top w:val="nil"/>
              <w:left w:val="nil"/>
              <w:bottom w:val="nil"/>
              <w:right w:val="nil"/>
            </w:tcBorders>
            <w:shd w:val="clear" w:color="000000" w:fill="FFFFFF"/>
            <w:noWrap/>
            <w:vAlign w:val="center"/>
            <w:hideMark/>
          </w:tcPr>
          <w:p w14:paraId="6F7D9FF3"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108,790</w:t>
            </w:r>
          </w:p>
        </w:tc>
      </w:tr>
      <w:tr w:rsidR="006A0CEA" w:rsidRPr="006A0CEA" w14:paraId="6C0F3501"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360B1086" w14:textId="77777777" w:rsidR="006A0CEA" w:rsidRPr="006A0CEA" w:rsidRDefault="006A0CEA" w:rsidP="006A0CEA">
            <w:pPr>
              <w:spacing w:before="0" w:after="0" w:line="240" w:lineRule="auto"/>
              <w:ind w:left="340"/>
              <w:rPr>
                <w:rFonts w:ascii="Arial" w:hAnsi="Arial" w:cs="Arial"/>
                <w:i/>
                <w:iCs/>
                <w:sz w:val="16"/>
                <w:szCs w:val="16"/>
              </w:rPr>
            </w:pPr>
            <w:r w:rsidRPr="006A0CEA">
              <w:rPr>
                <w:rFonts w:ascii="Arial" w:hAnsi="Arial" w:cs="Arial"/>
                <w:i/>
                <w:iCs/>
                <w:sz w:val="16"/>
                <w:szCs w:val="16"/>
              </w:rPr>
              <w:t xml:space="preserve">General revenue assistance - </w:t>
            </w:r>
          </w:p>
        </w:tc>
        <w:tc>
          <w:tcPr>
            <w:tcW w:w="489" w:type="pct"/>
            <w:tcBorders>
              <w:top w:val="nil"/>
              <w:left w:val="nil"/>
              <w:bottom w:val="nil"/>
              <w:right w:val="nil"/>
            </w:tcBorders>
            <w:shd w:val="clear" w:color="000000" w:fill="FFFFFF"/>
            <w:noWrap/>
            <w:vAlign w:val="center"/>
            <w:hideMark/>
          </w:tcPr>
          <w:p w14:paraId="6185BBE5"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53" w:type="pct"/>
            <w:tcBorders>
              <w:top w:val="nil"/>
              <w:left w:val="nil"/>
              <w:bottom w:val="nil"/>
              <w:right w:val="nil"/>
            </w:tcBorders>
            <w:shd w:val="clear" w:color="000000" w:fill="FFFFFF"/>
            <w:noWrap/>
            <w:vAlign w:val="center"/>
            <w:hideMark/>
          </w:tcPr>
          <w:p w14:paraId="62862A83"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019DA20"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E6F2FF"/>
            <w:noWrap/>
            <w:vAlign w:val="center"/>
            <w:hideMark/>
          </w:tcPr>
          <w:p w14:paraId="0AD1E51B"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314EEA5E"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3B81DC69"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7FF16DD3"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r>
      <w:tr w:rsidR="006A0CEA" w:rsidRPr="006A0CEA" w14:paraId="07724529"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E716339" w14:textId="77777777" w:rsidR="006A0CEA" w:rsidRPr="006A0CEA" w:rsidRDefault="006A0CEA" w:rsidP="006A0CEA">
            <w:pPr>
              <w:spacing w:before="0" w:after="0" w:line="240" w:lineRule="auto"/>
              <w:ind w:left="510"/>
              <w:rPr>
                <w:rFonts w:ascii="Arial" w:hAnsi="Arial" w:cs="Arial"/>
                <w:i/>
                <w:iCs/>
                <w:sz w:val="16"/>
                <w:szCs w:val="16"/>
              </w:rPr>
            </w:pPr>
            <w:r w:rsidRPr="006A0CEA">
              <w:rPr>
                <w:rFonts w:ascii="Arial" w:hAnsi="Arial" w:cs="Arial"/>
                <w:i/>
                <w:iCs/>
                <w:sz w:val="16"/>
                <w:szCs w:val="16"/>
              </w:rPr>
              <w:t>states and territories</w:t>
            </w:r>
          </w:p>
        </w:tc>
        <w:tc>
          <w:tcPr>
            <w:tcW w:w="489" w:type="pct"/>
            <w:tcBorders>
              <w:top w:val="nil"/>
              <w:left w:val="nil"/>
              <w:bottom w:val="nil"/>
              <w:right w:val="nil"/>
            </w:tcBorders>
            <w:shd w:val="clear" w:color="000000" w:fill="FFFFFF"/>
            <w:noWrap/>
            <w:vAlign w:val="center"/>
            <w:hideMark/>
          </w:tcPr>
          <w:p w14:paraId="7EF83EEC"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77,531</w:t>
            </w:r>
          </w:p>
        </w:tc>
        <w:tc>
          <w:tcPr>
            <w:tcW w:w="53" w:type="pct"/>
            <w:tcBorders>
              <w:top w:val="nil"/>
              <w:left w:val="nil"/>
              <w:bottom w:val="nil"/>
              <w:right w:val="nil"/>
            </w:tcBorders>
            <w:shd w:val="clear" w:color="000000" w:fill="FFFFFF"/>
            <w:noWrap/>
            <w:vAlign w:val="center"/>
            <w:hideMark/>
          </w:tcPr>
          <w:p w14:paraId="1492CCF0"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ECCC790"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88,021</w:t>
            </w:r>
          </w:p>
        </w:tc>
        <w:tc>
          <w:tcPr>
            <w:tcW w:w="482" w:type="pct"/>
            <w:tcBorders>
              <w:top w:val="nil"/>
              <w:left w:val="nil"/>
              <w:bottom w:val="nil"/>
              <w:right w:val="nil"/>
            </w:tcBorders>
            <w:shd w:val="clear" w:color="000000" w:fill="E6F2FF"/>
            <w:noWrap/>
            <w:vAlign w:val="center"/>
            <w:hideMark/>
          </w:tcPr>
          <w:p w14:paraId="7110B7E0"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92,470</w:t>
            </w:r>
          </w:p>
        </w:tc>
        <w:tc>
          <w:tcPr>
            <w:tcW w:w="482" w:type="pct"/>
            <w:tcBorders>
              <w:top w:val="nil"/>
              <w:left w:val="nil"/>
              <w:bottom w:val="nil"/>
              <w:right w:val="nil"/>
            </w:tcBorders>
            <w:shd w:val="clear" w:color="000000" w:fill="FFFFFF"/>
            <w:noWrap/>
            <w:vAlign w:val="center"/>
            <w:hideMark/>
          </w:tcPr>
          <w:p w14:paraId="296B010A"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96,345</w:t>
            </w:r>
          </w:p>
        </w:tc>
        <w:tc>
          <w:tcPr>
            <w:tcW w:w="482" w:type="pct"/>
            <w:tcBorders>
              <w:top w:val="nil"/>
              <w:left w:val="nil"/>
              <w:bottom w:val="nil"/>
              <w:right w:val="nil"/>
            </w:tcBorders>
            <w:shd w:val="clear" w:color="000000" w:fill="FFFFFF"/>
            <w:noWrap/>
            <w:vAlign w:val="center"/>
            <w:hideMark/>
          </w:tcPr>
          <w:p w14:paraId="0913AF6F"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101,782</w:t>
            </w:r>
          </w:p>
        </w:tc>
        <w:tc>
          <w:tcPr>
            <w:tcW w:w="482" w:type="pct"/>
            <w:tcBorders>
              <w:top w:val="nil"/>
              <w:left w:val="nil"/>
              <w:bottom w:val="nil"/>
              <w:right w:val="nil"/>
            </w:tcBorders>
            <w:shd w:val="clear" w:color="000000" w:fill="FFFFFF"/>
            <w:noWrap/>
            <w:vAlign w:val="center"/>
            <w:hideMark/>
          </w:tcPr>
          <w:p w14:paraId="533DDDC9"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105,261</w:t>
            </w:r>
          </w:p>
        </w:tc>
      </w:tr>
      <w:tr w:rsidR="006A0CEA" w:rsidRPr="006A0CEA" w14:paraId="44E4208E"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4532E7ED" w14:textId="77777777" w:rsidR="006A0CEA" w:rsidRPr="006A0CEA" w:rsidRDefault="006A0CEA" w:rsidP="006A0CEA">
            <w:pPr>
              <w:spacing w:before="0" w:after="0" w:line="240" w:lineRule="auto"/>
              <w:ind w:left="340"/>
              <w:rPr>
                <w:rFonts w:ascii="Arial" w:hAnsi="Arial" w:cs="Arial"/>
                <w:i/>
                <w:iCs/>
                <w:sz w:val="16"/>
                <w:szCs w:val="16"/>
              </w:rPr>
            </w:pPr>
            <w:r w:rsidRPr="006A0CEA">
              <w:rPr>
                <w:rFonts w:ascii="Arial" w:hAnsi="Arial" w:cs="Arial"/>
                <w:i/>
                <w:iCs/>
                <w:sz w:val="16"/>
                <w:szCs w:val="16"/>
              </w:rPr>
              <w:t>Local government assistance</w:t>
            </w:r>
          </w:p>
        </w:tc>
        <w:tc>
          <w:tcPr>
            <w:tcW w:w="489" w:type="pct"/>
            <w:tcBorders>
              <w:top w:val="nil"/>
              <w:left w:val="nil"/>
              <w:bottom w:val="nil"/>
              <w:right w:val="nil"/>
            </w:tcBorders>
            <w:shd w:val="clear" w:color="000000" w:fill="FFFFFF"/>
            <w:noWrap/>
            <w:vAlign w:val="center"/>
            <w:hideMark/>
          </w:tcPr>
          <w:p w14:paraId="4CF85646"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4,148</w:t>
            </w:r>
          </w:p>
        </w:tc>
        <w:tc>
          <w:tcPr>
            <w:tcW w:w="53" w:type="pct"/>
            <w:tcBorders>
              <w:top w:val="nil"/>
              <w:left w:val="nil"/>
              <w:bottom w:val="nil"/>
              <w:right w:val="nil"/>
            </w:tcBorders>
            <w:shd w:val="clear" w:color="000000" w:fill="FFFFFF"/>
            <w:noWrap/>
            <w:vAlign w:val="center"/>
            <w:hideMark/>
          </w:tcPr>
          <w:p w14:paraId="6E1299D6" w14:textId="77777777" w:rsidR="006A0CEA" w:rsidRPr="006A0CEA" w:rsidRDefault="006A0CEA" w:rsidP="006A0CEA">
            <w:pPr>
              <w:spacing w:before="0" w:after="0" w:line="240" w:lineRule="auto"/>
              <w:rPr>
                <w:rFonts w:ascii="Arial" w:hAnsi="Arial" w:cs="Arial"/>
                <w:i/>
                <w:iCs/>
                <w:sz w:val="16"/>
                <w:szCs w:val="16"/>
              </w:rPr>
            </w:pPr>
            <w:r w:rsidRPr="006A0CEA">
              <w:rPr>
                <w:rFonts w:ascii="Arial" w:hAnsi="Arial" w:cs="Arial"/>
                <w:i/>
                <w:iCs/>
                <w:sz w:val="16"/>
                <w:szCs w:val="16"/>
              </w:rPr>
              <w:t> </w:t>
            </w:r>
          </w:p>
        </w:tc>
        <w:tc>
          <w:tcPr>
            <w:tcW w:w="482" w:type="pct"/>
            <w:tcBorders>
              <w:top w:val="nil"/>
              <w:left w:val="nil"/>
              <w:bottom w:val="nil"/>
              <w:right w:val="nil"/>
            </w:tcBorders>
            <w:shd w:val="clear" w:color="000000" w:fill="FFFFFF"/>
            <w:noWrap/>
            <w:vAlign w:val="center"/>
            <w:hideMark/>
          </w:tcPr>
          <w:p w14:paraId="5AA4A1D9"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1,820</w:t>
            </w:r>
          </w:p>
        </w:tc>
        <w:tc>
          <w:tcPr>
            <w:tcW w:w="482" w:type="pct"/>
            <w:tcBorders>
              <w:top w:val="nil"/>
              <w:left w:val="nil"/>
              <w:bottom w:val="nil"/>
              <w:right w:val="nil"/>
            </w:tcBorders>
            <w:shd w:val="clear" w:color="000000" w:fill="E6F2FF"/>
            <w:noWrap/>
            <w:vAlign w:val="center"/>
            <w:hideMark/>
          </w:tcPr>
          <w:p w14:paraId="78E1EC74"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3,476</w:t>
            </w:r>
          </w:p>
        </w:tc>
        <w:tc>
          <w:tcPr>
            <w:tcW w:w="482" w:type="pct"/>
            <w:tcBorders>
              <w:top w:val="nil"/>
              <w:left w:val="nil"/>
              <w:bottom w:val="nil"/>
              <w:right w:val="nil"/>
            </w:tcBorders>
            <w:shd w:val="clear" w:color="000000" w:fill="FFFFFF"/>
            <w:noWrap/>
            <w:vAlign w:val="center"/>
            <w:hideMark/>
          </w:tcPr>
          <w:p w14:paraId="0E390A31"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3,527</w:t>
            </w:r>
          </w:p>
        </w:tc>
        <w:tc>
          <w:tcPr>
            <w:tcW w:w="482" w:type="pct"/>
            <w:tcBorders>
              <w:top w:val="nil"/>
              <w:left w:val="nil"/>
              <w:bottom w:val="nil"/>
              <w:right w:val="nil"/>
            </w:tcBorders>
            <w:shd w:val="clear" w:color="000000" w:fill="FFFFFF"/>
            <w:noWrap/>
            <w:vAlign w:val="center"/>
            <w:hideMark/>
          </w:tcPr>
          <w:p w14:paraId="3D48AA94"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3,661</w:t>
            </w:r>
          </w:p>
        </w:tc>
        <w:tc>
          <w:tcPr>
            <w:tcW w:w="482" w:type="pct"/>
            <w:tcBorders>
              <w:top w:val="nil"/>
              <w:left w:val="nil"/>
              <w:bottom w:val="nil"/>
              <w:right w:val="nil"/>
            </w:tcBorders>
            <w:shd w:val="clear" w:color="000000" w:fill="FFFFFF"/>
            <w:noWrap/>
            <w:vAlign w:val="center"/>
            <w:hideMark/>
          </w:tcPr>
          <w:p w14:paraId="27C4D31F" w14:textId="77777777" w:rsidR="006A0CEA" w:rsidRPr="006A0CEA" w:rsidRDefault="006A0CEA" w:rsidP="006A0CEA">
            <w:pPr>
              <w:spacing w:before="0" w:after="0" w:line="240" w:lineRule="auto"/>
              <w:jc w:val="right"/>
              <w:rPr>
                <w:rFonts w:ascii="Arial" w:hAnsi="Arial" w:cs="Arial"/>
                <w:i/>
                <w:iCs/>
                <w:sz w:val="16"/>
                <w:szCs w:val="16"/>
              </w:rPr>
            </w:pPr>
            <w:r w:rsidRPr="006A0CEA">
              <w:rPr>
                <w:rFonts w:ascii="Arial" w:hAnsi="Arial" w:cs="Arial"/>
                <w:i/>
                <w:iCs/>
                <w:sz w:val="16"/>
                <w:szCs w:val="16"/>
              </w:rPr>
              <w:t>3,529</w:t>
            </w:r>
          </w:p>
        </w:tc>
      </w:tr>
      <w:tr w:rsidR="006A0CEA" w:rsidRPr="006A0CEA" w14:paraId="354CE7BC"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7EC1CEAF" w14:textId="77777777" w:rsidR="006A0CEA" w:rsidRPr="006A0CEA" w:rsidRDefault="006A0CEA" w:rsidP="006A0CEA">
            <w:pPr>
              <w:spacing w:before="0" w:after="0" w:line="240" w:lineRule="auto"/>
              <w:ind w:left="170"/>
              <w:rPr>
                <w:rFonts w:ascii="Arial" w:hAnsi="Arial" w:cs="Arial"/>
                <w:color w:val="000000"/>
                <w:sz w:val="16"/>
                <w:szCs w:val="16"/>
              </w:rPr>
            </w:pPr>
            <w:r w:rsidRPr="006A0CEA">
              <w:rPr>
                <w:rFonts w:ascii="Arial" w:hAnsi="Arial" w:cs="Arial"/>
                <w:color w:val="000000"/>
                <w:sz w:val="16"/>
                <w:szCs w:val="16"/>
              </w:rPr>
              <w:t>Natural disaster relief</w:t>
            </w:r>
          </w:p>
        </w:tc>
        <w:tc>
          <w:tcPr>
            <w:tcW w:w="489" w:type="pct"/>
            <w:tcBorders>
              <w:top w:val="nil"/>
              <w:left w:val="nil"/>
              <w:bottom w:val="nil"/>
              <w:right w:val="nil"/>
            </w:tcBorders>
            <w:shd w:val="clear" w:color="000000" w:fill="FFFFFF"/>
            <w:noWrap/>
            <w:vAlign w:val="center"/>
            <w:hideMark/>
          </w:tcPr>
          <w:p w14:paraId="6C230D6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5,840</w:t>
            </w:r>
          </w:p>
        </w:tc>
        <w:tc>
          <w:tcPr>
            <w:tcW w:w="53" w:type="pct"/>
            <w:tcBorders>
              <w:top w:val="nil"/>
              <w:left w:val="nil"/>
              <w:bottom w:val="nil"/>
              <w:right w:val="nil"/>
            </w:tcBorders>
            <w:shd w:val="clear" w:color="000000" w:fill="FFFFFF"/>
            <w:noWrap/>
            <w:vAlign w:val="center"/>
            <w:hideMark/>
          </w:tcPr>
          <w:p w14:paraId="17C51B2E"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2" w:type="pct"/>
            <w:tcBorders>
              <w:top w:val="nil"/>
              <w:left w:val="nil"/>
              <w:bottom w:val="nil"/>
              <w:right w:val="nil"/>
            </w:tcBorders>
            <w:shd w:val="clear" w:color="000000" w:fill="FFFFFF"/>
            <w:noWrap/>
            <w:vAlign w:val="center"/>
            <w:hideMark/>
          </w:tcPr>
          <w:p w14:paraId="7FB07E90"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3,533</w:t>
            </w:r>
          </w:p>
        </w:tc>
        <w:tc>
          <w:tcPr>
            <w:tcW w:w="482" w:type="pct"/>
            <w:tcBorders>
              <w:top w:val="nil"/>
              <w:left w:val="nil"/>
              <w:bottom w:val="nil"/>
              <w:right w:val="nil"/>
            </w:tcBorders>
            <w:shd w:val="clear" w:color="000000" w:fill="E6F2FF"/>
            <w:noWrap/>
            <w:vAlign w:val="center"/>
            <w:hideMark/>
          </w:tcPr>
          <w:p w14:paraId="30F445C3"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1,610</w:t>
            </w:r>
          </w:p>
        </w:tc>
        <w:tc>
          <w:tcPr>
            <w:tcW w:w="482" w:type="pct"/>
            <w:tcBorders>
              <w:top w:val="nil"/>
              <w:left w:val="nil"/>
              <w:bottom w:val="nil"/>
              <w:right w:val="nil"/>
            </w:tcBorders>
            <w:shd w:val="clear" w:color="000000" w:fill="FFFFFF"/>
            <w:noWrap/>
            <w:vAlign w:val="center"/>
            <w:hideMark/>
          </w:tcPr>
          <w:p w14:paraId="26250F9A"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898</w:t>
            </w:r>
          </w:p>
        </w:tc>
        <w:tc>
          <w:tcPr>
            <w:tcW w:w="482" w:type="pct"/>
            <w:tcBorders>
              <w:top w:val="nil"/>
              <w:left w:val="nil"/>
              <w:bottom w:val="nil"/>
              <w:right w:val="nil"/>
            </w:tcBorders>
            <w:shd w:val="clear" w:color="000000" w:fill="FFFFFF"/>
            <w:noWrap/>
            <w:vAlign w:val="center"/>
            <w:hideMark/>
          </w:tcPr>
          <w:p w14:paraId="76D43E8A"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275</w:t>
            </w:r>
          </w:p>
        </w:tc>
        <w:tc>
          <w:tcPr>
            <w:tcW w:w="482" w:type="pct"/>
            <w:tcBorders>
              <w:top w:val="nil"/>
              <w:left w:val="nil"/>
              <w:bottom w:val="nil"/>
              <w:right w:val="nil"/>
            </w:tcBorders>
            <w:shd w:val="clear" w:color="000000" w:fill="FFFFFF"/>
            <w:noWrap/>
            <w:vAlign w:val="center"/>
            <w:hideMark/>
          </w:tcPr>
          <w:p w14:paraId="47702BCB" w14:textId="77777777" w:rsidR="006A0CEA" w:rsidRPr="006A0CEA" w:rsidRDefault="006A0CEA" w:rsidP="006A0CEA">
            <w:pPr>
              <w:spacing w:before="0" w:after="0" w:line="240" w:lineRule="auto"/>
              <w:jc w:val="right"/>
              <w:rPr>
                <w:rFonts w:ascii="Arial" w:hAnsi="Arial" w:cs="Arial"/>
                <w:color w:val="000000"/>
                <w:sz w:val="16"/>
                <w:szCs w:val="16"/>
              </w:rPr>
            </w:pPr>
            <w:r w:rsidRPr="006A0CEA">
              <w:rPr>
                <w:rFonts w:ascii="Arial" w:hAnsi="Arial" w:cs="Arial"/>
                <w:color w:val="000000"/>
                <w:sz w:val="16"/>
                <w:szCs w:val="16"/>
              </w:rPr>
              <w:t>264</w:t>
            </w:r>
          </w:p>
        </w:tc>
      </w:tr>
      <w:tr w:rsidR="006A0CEA" w:rsidRPr="006A0CEA" w14:paraId="7177DD8C"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6262DABB" w14:textId="77777777" w:rsidR="006A0CEA" w:rsidRPr="006A0CEA" w:rsidRDefault="006A0CEA" w:rsidP="006A0CEA">
            <w:pPr>
              <w:spacing w:before="0" w:after="0" w:line="240" w:lineRule="auto"/>
              <w:ind w:left="170"/>
              <w:rPr>
                <w:rFonts w:ascii="Arial" w:hAnsi="Arial" w:cs="Arial"/>
                <w:sz w:val="16"/>
                <w:szCs w:val="16"/>
              </w:rPr>
            </w:pPr>
            <w:r w:rsidRPr="006A0CEA">
              <w:rPr>
                <w:rFonts w:ascii="Arial" w:hAnsi="Arial" w:cs="Arial"/>
                <w:sz w:val="16"/>
                <w:szCs w:val="16"/>
              </w:rPr>
              <w:t>Contingency reserve</w:t>
            </w:r>
          </w:p>
        </w:tc>
        <w:tc>
          <w:tcPr>
            <w:tcW w:w="489" w:type="pct"/>
            <w:tcBorders>
              <w:top w:val="nil"/>
              <w:left w:val="nil"/>
              <w:bottom w:val="nil"/>
              <w:right w:val="nil"/>
            </w:tcBorders>
            <w:shd w:val="clear" w:color="000000" w:fill="FFFFFF"/>
            <w:noWrap/>
            <w:vAlign w:val="center"/>
            <w:hideMark/>
          </w:tcPr>
          <w:p w14:paraId="056E240F"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0</w:t>
            </w:r>
          </w:p>
        </w:tc>
        <w:tc>
          <w:tcPr>
            <w:tcW w:w="53" w:type="pct"/>
            <w:tcBorders>
              <w:top w:val="nil"/>
              <w:left w:val="nil"/>
              <w:bottom w:val="nil"/>
              <w:right w:val="nil"/>
            </w:tcBorders>
            <w:shd w:val="clear" w:color="000000" w:fill="FFFFFF"/>
            <w:noWrap/>
            <w:vAlign w:val="center"/>
            <w:hideMark/>
          </w:tcPr>
          <w:p w14:paraId="6D6A0B0B" w14:textId="77777777" w:rsidR="006A0CEA" w:rsidRPr="006A0CEA" w:rsidRDefault="006A0CEA" w:rsidP="006A0CEA">
            <w:pPr>
              <w:spacing w:before="0" w:after="0" w:line="240" w:lineRule="auto"/>
              <w:rPr>
                <w:rFonts w:ascii="Arial" w:hAnsi="Arial" w:cs="Arial"/>
                <w:sz w:val="16"/>
                <w:szCs w:val="16"/>
              </w:rPr>
            </w:pPr>
            <w:r w:rsidRPr="006A0CEA">
              <w:rPr>
                <w:rFonts w:ascii="Arial" w:hAnsi="Arial" w:cs="Arial"/>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18369CA9"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449</w:t>
            </w:r>
          </w:p>
        </w:tc>
        <w:tc>
          <w:tcPr>
            <w:tcW w:w="482" w:type="pct"/>
            <w:tcBorders>
              <w:top w:val="nil"/>
              <w:left w:val="nil"/>
              <w:bottom w:val="single" w:sz="4" w:space="0" w:color="293F5B"/>
              <w:right w:val="nil"/>
            </w:tcBorders>
            <w:shd w:val="clear" w:color="000000" w:fill="E6F2FF"/>
            <w:noWrap/>
            <w:vAlign w:val="center"/>
            <w:hideMark/>
          </w:tcPr>
          <w:p w14:paraId="0224B605"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-56</w:t>
            </w:r>
          </w:p>
        </w:tc>
        <w:tc>
          <w:tcPr>
            <w:tcW w:w="482" w:type="pct"/>
            <w:tcBorders>
              <w:top w:val="nil"/>
              <w:left w:val="nil"/>
              <w:bottom w:val="single" w:sz="4" w:space="0" w:color="293F5B"/>
              <w:right w:val="nil"/>
            </w:tcBorders>
            <w:shd w:val="clear" w:color="000000" w:fill="FFFFFF"/>
            <w:noWrap/>
            <w:vAlign w:val="center"/>
            <w:hideMark/>
          </w:tcPr>
          <w:p w14:paraId="5567A140"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5,967</w:t>
            </w:r>
          </w:p>
        </w:tc>
        <w:tc>
          <w:tcPr>
            <w:tcW w:w="482" w:type="pct"/>
            <w:tcBorders>
              <w:top w:val="nil"/>
              <w:left w:val="nil"/>
              <w:bottom w:val="single" w:sz="4" w:space="0" w:color="293F5B"/>
              <w:right w:val="nil"/>
            </w:tcBorders>
            <w:shd w:val="clear" w:color="000000" w:fill="FFFFFF"/>
            <w:noWrap/>
            <w:vAlign w:val="center"/>
            <w:hideMark/>
          </w:tcPr>
          <w:p w14:paraId="03A20061"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9,638</w:t>
            </w:r>
          </w:p>
        </w:tc>
        <w:tc>
          <w:tcPr>
            <w:tcW w:w="482" w:type="pct"/>
            <w:tcBorders>
              <w:top w:val="nil"/>
              <w:left w:val="nil"/>
              <w:bottom w:val="single" w:sz="4" w:space="0" w:color="293F5B"/>
              <w:right w:val="nil"/>
            </w:tcBorders>
            <w:shd w:val="clear" w:color="000000" w:fill="FFFFFF"/>
            <w:noWrap/>
            <w:vAlign w:val="center"/>
            <w:hideMark/>
          </w:tcPr>
          <w:p w14:paraId="78F53179" w14:textId="77777777" w:rsidR="006A0CEA" w:rsidRPr="006A0CEA" w:rsidRDefault="006A0CEA" w:rsidP="006A0CEA">
            <w:pPr>
              <w:spacing w:before="0" w:after="0" w:line="240" w:lineRule="auto"/>
              <w:jc w:val="right"/>
              <w:rPr>
                <w:rFonts w:ascii="Arial" w:hAnsi="Arial" w:cs="Arial"/>
                <w:sz w:val="16"/>
                <w:szCs w:val="16"/>
              </w:rPr>
            </w:pPr>
            <w:r w:rsidRPr="006A0CEA">
              <w:rPr>
                <w:rFonts w:ascii="Arial" w:hAnsi="Arial" w:cs="Arial"/>
                <w:sz w:val="16"/>
                <w:szCs w:val="16"/>
              </w:rPr>
              <w:t>16,427</w:t>
            </w:r>
          </w:p>
        </w:tc>
      </w:tr>
      <w:tr w:rsidR="006A0CEA" w:rsidRPr="006A0CEA" w14:paraId="050200E5" w14:textId="77777777" w:rsidTr="002418F7">
        <w:trPr>
          <w:divId w:val="614213190"/>
          <w:trHeight w:hRule="exact" w:val="226"/>
        </w:trPr>
        <w:tc>
          <w:tcPr>
            <w:tcW w:w="2049" w:type="pct"/>
            <w:tcBorders>
              <w:top w:val="nil"/>
              <w:left w:val="nil"/>
              <w:bottom w:val="nil"/>
              <w:right w:val="nil"/>
            </w:tcBorders>
            <w:shd w:val="clear" w:color="000000" w:fill="FFFFFF"/>
            <w:noWrap/>
            <w:vAlign w:val="center"/>
            <w:hideMark/>
          </w:tcPr>
          <w:p w14:paraId="1E7B47F6"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Total other purposes</w:t>
            </w:r>
          </w:p>
        </w:tc>
        <w:tc>
          <w:tcPr>
            <w:tcW w:w="489" w:type="pct"/>
            <w:tcBorders>
              <w:top w:val="single" w:sz="4" w:space="0" w:color="293F5B"/>
              <w:left w:val="nil"/>
              <w:bottom w:val="single" w:sz="4" w:space="0" w:color="293F5B"/>
              <w:right w:val="nil"/>
            </w:tcBorders>
            <w:shd w:val="clear" w:color="000000" w:fill="FFFFFF"/>
            <w:noWrap/>
            <w:vAlign w:val="center"/>
            <w:hideMark/>
          </w:tcPr>
          <w:p w14:paraId="7A8464D5"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115,011</w:t>
            </w:r>
          </w:p>
        </w:tc>
        <w:tc>
          <w:tcPr>
            <w:tcW w:w="53" w:type="pct"/>
            <w:tcBorders>
              <w:top w:val="nil"/>
              <w:left w:val="nil"/>
              <w:bottom w:val="nil"/>
              <w:right w:val="nil"/>
            </w:tcBorders>
            <w:shd w:val="clear" w:color="000000" w:fill="FFFFFF"/>
            <w:noWrap/>
            <w:vAlign w:val="center"/>
            <w:hideMark/>
          </w:tcPr>
          <w:p w14:paraId="441D2F9F"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2EB8C480"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128,309</w:t>
            </w:r>
          </w:p>
        </w:tc>
        <w:tc>
          <w:tcPr>
            <w:tcW w:w="482" w:type="pct"/>
            <w:tcBorders>
              <w:top w:val="nil"/>
              <w:left w:val="nil"/>
              <w:bottom w:val="single" w:sz="4" w:space="0" w:color="293F5B"/>
              <w:right w:val="nil"/>
            </w:tcBorders>
            <w:shd w:val="clear" w:color="000000" w:fill="E6F2FF"/>
            <w:noWrap/>
            <w:vAlign w:val="center"/>
            <w:hideMark/>
          </w:tcPr>
          <w:p w14:paraId="01571EE5"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133,743</w:t>
            </w:r>
          </w:p>
        </w:tc>
        <w:tc>
          <w:tcPr>
            <w:tcW w:w="482" w:type="pct"/>
            <w:tcBorders>
              <w:top w:val="nil"/>
              <w:left w:val="nil"/>
              <w:bottom w:val="single" w:sz="4" w:space="0" w:color="293F5B"/>
              <w:right w:val="nil"/>
            </w:tcBorders>
            <w:shd w:val="clear" w:color="000000" w:fill="FFFFFF"/>
            <w:noWrap/>
            <w:vAlign w:val="center"/>
            <w:hideMark/>
          </w:tcPr>
          <w:p w14:paraId="0648FA1B"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144,569</w:t>
            </w:r>
          </w:p>
        </w:tc>
        <w:tc>
          <w:tcPr>
            <w:tcW w:w="482" w:type="pct"/>
            <w:tcBorders>
              <w:top w:val="nil"/>
              <w:left w:val="nil"/>
              <w:bottom w:val="single" w:sz="4" w:space="0" w:color="293F5B"/>
              <w:right w:val="nil"/>
            </w:tcBorders>
            <w:shd w:val="clear" w:color="000000" w:fill="FFFFFF"/>
            <w:noWrap/>
            <w:vAlign w:val="center"/>
            <w:hideMark/>
          </w:tcPr>
          <w:p w14:paraId="38AF9927"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156,217</w:t>
            </w:r>
          </w:p>
        </w:tc>
        <w:tc>
          <w:tcPr>
            <w:tcW w:w="482" w:type="pct"/>
            <w:tcBorders>
              <w:top w:val="nil"/>
              <w:left w:val="nil"/>
              <w:bottom w:val="single" w:sz="4" w:space="0" w:color="293F5B"/>
              <w:right w:val="nil"/>
            </w:tcBorders>
            <w:shd w:val="clear" w:color="000000" w:fill="FFFFFF"/>
            <w:noWrap/>
            <w:vAlign w:val="center"/>
            <w:hideMark/>
          </w:tcPr>
          <w:p w14:paraId="43934D1C"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169,591</w:t>
            </w:r>
          </w:p>
        </w:tc>
      </w:tr>
      <w:tr w:rsidR="006A0CEA" w:rsidRPr="006A0CEA" w14:paraId="433CA0FE" w14:textId="77777777" w:rsidTr="002418F7">
        <w:trPr>
          <w:divId w:val="614213190"/>
          <w:trHeight w:hRule="exact" w:val="60"/>
        </w:trPr>
        <w:tc>
          <w:tcPr>
            <w:tcW w:w="2049" w:type="pct"/>
            <w:tcBorders>
              <w:top w:val="nil"/>
              <w:left w:val="nil"/>
              <w:bottom w:val="nil"/>
              <w:right w:val="nil"/>
            </w:tcBorders>
            <w:shd w:val="clear" w:color="000000" w:fill="FFFFFF"/>
            <w:noWrap/>
            <w:vAlign w:val="center"/>
            <w:hideMark/>
          </w:tcPr>
          <w:p w14:paraId="38E8FCE0" w14:textId="77777777" w:rsidR="006A0CEA" w:rsidRPr="006A0CEA" w:rsidRDefault="006A0CEA" w:rsidP="006A0CEA">
            <w:pPr>
              <w:spacing w:before="0" w:after="0" w:line="240" w:lineRule="auto"/>
              <w:rPr>
                <w:rFonts w:ascii="Arial" w:hAnsi="Arial" w:cs="Arial"/>
                <w:color w:val="000000"/>
                <w:sz w:val="16"/>
                <w:szCs w:val="16"/>
              </w:rPr>
            </w:pPr>
            <w:r w:rsidRPr="006A0CEA">
              <w:rPr>
                <w:rFonts w:ascii="Arial" w:hAnsi="Arial" w:cs="Arial"/>
                <w:color w:val="000000"/>
                <w:sz w:val="16"/>
                <w:szCs w:val="16"/>
              </w:rPr>
              <w:t> </w:t>
            </w:r>
          </w:p>
        </w:tc>
        <w:tc>
          <w:tcPr>
            <w:tcW w:w="489" w:type="pct"/>
            <w:tcBorders>
              <w:top w:val="nil"/>
              <w:left w:val="nil"/>
              <w:bottom w:val="nil"/>
              <w:right w:val="nil"/>
            </w:tcBorders>
            <w:shd w:val="clear" w:color="000000" w:fill="FFFFFF"/>
            <w:noWrap/>
            <w:vAlign w:val="center"/>
            <w:hideMark/>
          </w:tcPr>
          <w:p w14:paraId="5D39F33E"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53" w:type="pct"/>
            <w:tcBorders>
              <w:top w:val="nil"/>
              <w:left w:val="nil"/>
              <w:bottom w:val="nil"/>
              <w:right w:val="nil"/>
            </w:tcBorders>
            <w:shd w:val="clear" w:color="000000" w:fill="FFFFFF"/>
            <w:noWrap/>
            <w:vAlign w:val="center"/>
            <w:hideMark/>
          </w:tcPr>
          <w:p w14:paraId="13357182"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045055DB"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E6F2FF"/>
            <w:noWrap/>
            <w:vAlign w:val="center"/>
            <w:hideMark/>
          </w:tcPr>
          <w:p w14:paraId="18FA6CEE"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5A31AD0B"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3EC85CE2"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nil"/>
              <w:right w:val="nil"/>
            </w:tcBorders>
            <w:shd w:val="clear" w:color="000000" w:fill="FFFFFF"/>
            <w:noWrap/>
            <w:vAlign w:val="center"/>
            <w:hideMark/>
          </w:tcPr>
          <w:p w14:paraId="27A0146F"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r>
      <w:tr w:rsidR="006A0CEA" w:rsidRPr="006A0CEA" w14:paraId="0B02D37E" w14:textId="77777777" w:rsidTr="002418F7">
        <w:trPr>
          <w:divId w:val="614213190"/>
          <w:trHeight w:hRule="exact" w:val="226"/>
        </w:trPr>
        <w:tc>
          <w:tcPr>
            <w:tcW w:w="2049" w:type="pct"/>
            <w:tcBorders>
              <w:top w:val="nil"/>
              <w:left w:val="nil"/>
              <w:bottom w:val="single" w:sz="4" w:space="0" w:color="293F5B"/>
              <w:right w:val="nil"/>
            </w:tcBorders>
            <w:shd w:val="clear" w:color="000000" w:fill="FFFFFF"/>
            <w:noWrap/>
            <w:vAlign w:val="center"/>
            <w:hideMark/>
          </w:tcPr>
          <w:p w14:paraId="07F912BC"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Total expenses</w:t>
            </w:r>
          </w:p>
        </w:tc>
        <w:tc>
          <w:tcPr>
            <w:tcW w:w="489" w:type="pct"/>
            <w:tcBorders>
              <w:top w:val="nil"/>
              <w:left w:val="nil"/>
              <w:bottom w:val="single" w:sz="4" w:space="0" w:color="293F5B"/>
              <w:right w:val="nil"/>
            </w:tcBorders>
            <w:shd w:val="clear" w:color="000000" w:fill="FFFFFF"/>
            <w:noWrap/>
            <w:vAlign w:val="center"/>
            <w:hideMark/>
          </w:tcPr>
          <w:p w14:paraId="79505D55"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623,050</w:t>
            </w:r>
          </w:p>
        </w:tc>
        <w:tc>
          <w:tcPr>
            <w:tcW w:w="53" w:type="pct"/>
            <w:tcBorders>
              <w:top w:val="nil"/>
              <w:left w:val="nil"/>
              <w:bottom w:val="single" w:sz="4" w:space="0" w:color="293F5B"/>
              <w:right w:val="nil"/>
            </w:tcBorders>
            <w:shd w:val="clear" w:color="000000" w:fill="FFFFFF"/>
            <w:noWrap/>
            <w:vAlign w:val="center"/>
            <w:hideMark/>
          </w:tcPr>
          <w:p w14:paraId="1B197812" w14:textId="77777777" w:rsidR="006A0CEA" w:rsidRPr="006A0CEA" w:rsidRDefault="006A0CEA" w:rsidP="006A0CEA">
            <w:pPr>
              <w:spacing w:before="0" w:after="0" w:line="240" w:lineRule="auto"/>
              <w:rPr>
                <w:rFonts w:ascii="Arial" w:hAnsi="Arial" w:cs="Arial"/>
                <w:b/>
                <w:bCs/>
                <w:color w:val="000000"/>
                <w:sz w:val="16"/>
                <w:szCs w:val="16"/>
              </w:rPr>
            </w:pPr>
            <w:r w:rsidRPr="006A0CEA">
              <w:rPr>
                <w:rFonts w:ascii="Arial" w:hAnsi="Arial" w:cs="Arial"/>
                <w:b/>
                <w:bCs/>
                <w:color w:val="000000"/>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3B201D7C"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644,788</w:t>
            </w:r>
          </w:p>
        </w:tc>
        <w:tc>
          <w:tcPr>
            <w:tcW w:w="482" w:type="pct"/>
            <w:tcBorders>
              <w:top w:val="nil"/>
              <w:left w:val="nil"/>
              <w:bottom w:val="single" w:sz="4" w:space="0" w:color="293F5B"/>
              <w:right w:val="nil"/>
            </w:tcBorders>
            <w:shd w:val="clear" w:color="000000" w:fill="E6F2FF"/>
            <w:noWrap/>
            <w:vAlign w:val="center"/>
            <w:hideMark/>
          </w:tcPr>
          <w:p w14:paraId="5A17FACF"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684,085</w:t>
            </w:r>
          </w:p>
        </w:tc>
        <w:tc>
          <w:tcPr>
            <w:tcW w:w="482" w:type="pct"/>
            <w:tcBorders>
              <w:top w:val="nil"/>
              <w:left w:val="nil"/>
              <w:bottom w:val="single" w:sz="4" w:space="0" w:color="293F5B"/>
              <w:right w:val="nil"/>
            </w:tcBorders>
            <w:shd w:val="clear" w:color="000000" w:fill="FFFFFF"/>
            <w:noWrap/>
            <w:vAlign w:val="center"/>
            <w:hideMark/>
          </w:tcPr>
          <w:p w14:paraId="64FDAC17"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715,382</w:t>
            </w:r>
          </w:p>
        </w:tc>
        <w:tc>
          <w:tcPr>
            <w:tcW w:w="482" w:type="pct"/>
            <w:tcBorders>
              <w:top w:val="nil"/>
              <w:left w:val="nil"/>
              <w:bottom w:val="single" w:sz="4" w:space="0" w:color="293F5B"/>
              <w:right w:val="nil"/>
            </w:tcBorders>
            <w:shd w:val="clear" w:color="000000" w:fill="FFFFFF"/>
            <w:noWrap/>
            <w:vAlign w:val="center"/>
            <w:hideMark/>
          </w:tcPr>
          <w:p w14:paraId="72BFE6D6"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743,324</w:t>
            </w:r>
          </w:p>
        </w:tc>
        <w:tc>
          <w:tcPr>
            <w:tcW w:w="482" w:type="pct"/>
            <w:tcBorders>
              <w:top w:val="nil"/>
              <w:left w:val="nil"/>
              <w:bottom w:val="single" w:sz="4" w:space="0" w:color="293F5B"/>
              <w:right w:val="nil"/>
            </w:tcBorders>
            <w:shd w:val="clear" w:color="000000" w:fill="FFFFFF"/>
            <w:noWrap/>
            <w:vAlign w:val="center"/>
            <w:hideMark/>
          </w:tcPr>
          <w:p w14:paraId="4707A2F1" w14:textId="77777777" w:rsidR="006A0CEA" w:rsidRPr="006A0CEA" w:rsidRDefault="006A0CEA" w:rsidP="006A0CEA">
            <w:pPr>
              <w:spacing w:before="0" w:after="0" w:line="240" w:lineRule="auto"/>
              <w:jc w:val="right"/>
              <w:rPr>
                <w:rFonts w:ascii="Arial" w:hAnsi="Arial" w:cs="Arial"/>
                <w:b/>
                <w:bCs/>
                <w:color w:val="000000"/>
                <w:sz w:val="16"/>
                <w:szCs w:val="16"/>
              </w:rPr>
            </w:pPr>
            <w:r w:rsidRPr="006A0CEA">
              <w:rPr>
                <w:rFonts w:ascii="Arial" w:hAnsi="Arial" w:cs="Arial"/>
                <w:b/>
                <w:bCs/>
                <w:color w:val="000000"/>
                <w:sz w:val="16"/>
                <w:szCs w:val="16"/>
              </w:rPr>
              <w:t>771,779</w:t>
            </w:r>
          </w:p>
        </w:tc>
      </w:tr>
    </w:tbl>
    <w:p w14:paraId="73B11772" w14:textId="0BB32520" w:rsidR="00233251" w:rsidRPr="00233251" w:rsidRDefault="00C855DF" w:rsidP="00173739">
      <w:pPr>
        <w:pStyle w:val="ChartandTableFootnoteAlpha"/>
        <w:numPr>
          <w:ilvl w:val="0"/>
          <w:numId w:val="25"/>
        </w:numPr>
      </w:pPr>
      <w:r w:rsidRPr="000177D7">
        <w:t>The hospital services sub</w:t>
      </w:r>
      <w:r w:rsidR="00D34B95">
        <w:noBreakHyphen/>
      </w:r>
      <w:r w:rsidRPr="000177D7">
        <w:t>function predominantly reflects Commonwealth funding to the states and territories for veterans</w:t>
      </w:r>
      <w:r w:rsidR="00D34B95">
        <w:t>’</w:t>
      </w:r>
      <w:r w:rsidRPr="000177D7">
        <w:t xml:space="preserve"> hospital services.</w:t>
      </w:r>
    </w:p>
    <w:p w14:paraId="059F762A" w14:textId="77777777" w:rsidR="00C855DF" w:rsidRDefault="00C855DF" w:rsidP="007E06CF">
      <w:pPr>
        <w:pStyle w:val="ChartLine"/>
      </w:pPr>
    </w:p>
    <w:sectPr w:rsidR="00C855DF" w:rsidSect="007B6D59">
      <w:footerReference w:type="even" r:id="rId22"/>
      <w:headerReference w:type="first" r:id="rId23"/>
      <w:footerReference w:type="first" r:id="rId24"/>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CDBB" w14:textId="77777777" w:rsidR="00AD7E1E" w:rsidRDefault="00AD7E1E" w:rsidP="00E40261">
      <w:pPr>
        <w:spacing w:after="0" w:line="240" w:lineRule="auto"/>
      </w:pPr>
      <w:r>
        <w:separator/>
      </w:r>
    </w:p>
  </w:endnote>
  <w:endnote w:type="continuationSeparator" w:id="0">
    <w:p w14:paraId="2F665894" w14:textId="77777777" w:rsidR="00AD7E1E" w:rsidRDefault="00AD7E1E" w:rsidP="00E40261">
      <w:pPr>
        <w:spacing w:after="0" w:line="240" w:lineRule="auto"/>
      </w:pPr>
      <w:r>
        <w:continuationSeparator/>
      </w:r>
    </w:p>
  </w:endnote>
  <w:endnote w:type="continuationNotice" w:id="1">
    <w:p w14:paraId="151E72CF" w14:textId="77777777" w:rsidR="00AD7E1E" w:rsidRDefault="00AD7E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00D" w14:textId="112D8A3A" w:rsidR="0050166A" w:rsidRDefault="0050166A" w:rsidP="00BF5E88">
    <w:pPr>
      <w:pStyle w:val="FooterEven"/>
    </w:pPr>
    <w:r w:rsidRPr="00653D2B">
      <w:rPr>
        <w:b/>
      </w:rPr>
      <w:t xml:space="preserve">Page </w:t>
    </w:r>
    <w:r w:rsidRPr="00653D2B">
      <w:rPr>
        <w:b/>
        <w:bCs/>
      </w:rPr>
      <w:fldChar w:fldCharType="begin"/>
    </w:r>
    <w:r w:rsidRPr="00653D2B">
      <w:rPr>
        <w:b/>
      </w:rPr>
      <w:instrText xml:space="preserve"> PAGE  \* Arabic  \* MERGEFORMAT </w:instrText>
    </w:r>
    <w:r w:rsidRPr="00653D2B">
      <w:rPr>
        <w:b/>
        <w:bCs/>
      </w:rPr>
      <w:fldChar w:fldCharType="separate"/>
    </w:r>
    <w:r w:rsidRPr="00653D2B">
      <w:rPr>
        <w:b/>
        <w:bCs/>
      </w:rPr>
      <w:t>6</w:t>
    </w:r>
    <w:r w:rsidRPr="00653D2B">
      <w:rPr>
        <w:b/>
        <w:bCs/>
      </w:rPr>
      <w:fldChar w:fldCharType="end"/>
    </w:r>
    <w:r w:rsidRPr="00653D2B">
      <w:t xml:space="preserve">  |  </w:t>
    </w:r>
    <w:r w:rsidR="00D959BC">
      <w:fldChar w:fldCharType="begin"/>
    </w:r>
    <w:r w:rsidR="00D959BC">
      <w:instrText xml:space="preserve"> SUBJECT   \* MERGEFORMAT </w:instrText>
    </w:r>
    <w:r w:rsidR="00D959BC">
      <w:fldChar w:fldCharType="separate"/>
    </w:r>
    <w:r w:rsidR="00533A7B">
      <w:t>Statement 6: Expenses and Net Capital Investment</w:t>
    </w:r>
    <w:r w:rsidR="00D959B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DCC8" w14:textId="32DADE15" w:rsidR="0050166A" w:rsidRPr="001A7712" w:rsidRDefault="003B17F1" w:rsidP="00BF5E88">
    <w:pPr>
      <w:pStyle w:val="FooterOdd"/>
    </w:pPr>
    <w:fldSimple w:instr=" SUBJECT   \* MERGEFORMAT ">
      <w:r w:rsidR="00533A7B">
        <w:t>Statement 6: Expenses and Net Capital Investment</w:t>
      </w:r>
    </w:fldSimple>
    <w:r w:rsidR="0050166A" w:rsidRPr="001A7712">
      <w:t xml:space="preserve">  |  </w:t>
    </w:r>
    <w:r w:rsidR="0050166A" w:rsidRPr="00653D2B">
      <w:rPr>
        <w:b/>
        <w:bCs/>
      </w:rPr>
      <w:t xml:space="preserve">Page </w:t>
    </w:r>
    <w:r w:rsidR="0050166A" w:rsidRPr="00653D2B">
      <w:rPr>
        <w:b/>
        <w:bCs/>
      </w:rPr>
      <w:fldChar w:fldCharType="begin"/>
    </w:r>
    <w:r w:rsidR="0050166A" w:rsidRPr="00653D2B">
      <w:rPr>
        <w:b/>
        <w:bCs/>
      </w:rPr>
      <w:instrText xml:space="preserve"> PAGE  \* Arabic  \* MERGEFORMAT </w:instrText>
    </w:r>
    <w:r w:rsidR="0050166A" w:rsidRPr="00653D2B">
      <w:rPr>
        <w:b/>
        <w:bCs/>
      </w:rPr>
      <w:fldChar w:fldCharType="separate"/>
    </w:r>
    <w:r w:rsidR="0050166A" w:rsidRPr="00653D2B">
      <w:rPr>
        <w:b/>
        <w:bCs/>
      </w:rPr>
      <w:t>1</w:t>
    </w:r>
    <w:r w:rsidR="0050166A" w:rsidRPr="00653D2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EA20" w14:textId="028B6FDE"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959BC">
      <w:fldChar w:fldCharType="begin"/>
    </w:r>
    <w:r w:rsidR="00D959BC">
      <w:instrText xml:space="preserve"> SUBJECT   \* MERGEFORMAT </w:instrText>
    </w:r>
    <w:r w:rsidR="00D959BC">
      <w:fldChar w:fldCharType="separate"/>
    </w:r>
    <w:r w:rsidR="00533A7B">
      <w:t>Statement 6: Expenses and Net Capital Investment</w:t>
    </w:r>
    <w:r w:rsidR="00D959B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FED51" w14:textId="0F77B700" w:rsidR="004C3F27" w:rsidRDefault="003B17F1" w:rsidP="002A6A16">
    <w:pPr>
      <w:pStyle w:val="FooterOdd"/>
    </w:pPr>
    <w:fldSimple w:instr=" SUBJECT   \* MERGEFORMAT ">
      <w:r w:rsidR="00533A7B">
        <w:t>Statement 6: Expenses and Net Capital Investment</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3769" w14:textId="627603D5" w:rsidR="00551E91" w:rsidRPr="004779EC" w:rsidRDefault="003B17F1" w:rsidP="004779EC">
    <w:pPr>
      <w:pStyle w:val="FooterOdd"/>
    </w:pPr>
    <w:fldSimple w:instr=" SUBJECT   \* MERGEFORMAT ">
      <w:r w:rsidR="00533A7B">
        <w:t>Statement 6: Expenses and Net Capital Investment</w:t>
      </w:r>
    </w:fldSimple>
    <w:r w:rsidR="004779EC" w:rsidRPr="00B3705D">
      <w:t xml:space="preserve">  |  </w:t>
    </w:r>
    <w:r w:rsidR="004779EC" w:rsidRPr="00B3705D">
      <w:rPr>
        <w:b/>
        <w:bCs/>
      </w:rPr>
      <w:t xml:space="preserve">Page </w:t>
    </w:r>
    <w:r w:rsidR="004779EC" w:rsidRPr="00B3705D">
      <w:rPr>
        <w:b/>
        <w:bCs/>
      </w:rPr>
      <w:fldChar w:fldCharType="begin"/>
    </w:r>
    <w:r w:rsidR="004779EC" w:rsidRPr="00B3705D">
      <w:rPr>
        <w:b/>
        <w:bCs/>
      </w:rPr>
      <w:instrText xml:space="preserve"> PAGE  \* Arabic  \* MERGEFORMAT </w:instrText>
    </w:r>
    <w:r w:rsidR="004779EC" w:rsidRPr="00B3705D">
      <w:rPr>
        <w:b/>
        <w:bCs/>
      </w:rPr>
      <w:fldChar w:fldCharType="separate"/>
    </w:r>
    <w:r w:rsidR="004779EC">
      <w:rPr>
        <w:b/>
        <w:bCs/>
      </w:rPr>
      <w:t>1</w:t>
    </w:r>
    <w:r w:rsidR="004779EC"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478B" w14:textId="5094E70B" w:rsidR="009717C0" w:rsidRDefault="005D5939"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D959BC">
      <w:fldChar w:fldCharType="begin"/>
    </w:r>
    <w:r w:rsidR="00D959BC">
      <w:instrText>SUBJECT   \* MERGEFORMAT</w:instrText>
    </w:r>
    <w:r w:rsidR="00D959BC">
      <w:fldChar w:fldCharType="separate"/>
    </w:r>
    <w:r w:rsidR="00533A7B">
      <w:t>Statement 6: Expenses and Net Capital Investment</w:t>
    </w:r>
    <w:r w:rsidR="00D959BC">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C9FC" w14:textId="22C52528" w:rsidR="009717C0" w:rsidRDefault="003B17F1" w:rsidP="005D5939">
    <w:pPr>
      <w:pStyle w:val="FooterOdd"/>
    </w:pPr>
    <w:fldSimple w:instr=" SUBJECT   \* MERGEFORMAT ">
      <w:r w:rsidR="00533A7B">
        <w:t>Statement 6: Expenses and Net Capital Investment</w:t>
      </w:r>
    </w:fldSimple>
    <w:r w:rsidR="005D5939" w:rsidRPr="00B3705D">
      <w:t xml:space="preserve">  |  </w:t>
    </w:r>
    <w:r w:rsidR="005D5939" w:rsidRPr="00B3705D">
      <w:rPr>
        <w:b/>
        <w:bCs/>
      </w:rPr>
      <w:t xml:space="preserve">Page </w:t>
    </w:r>
    <w:r w:rsidR="005D5939" w:rsidRPr="00B3705D">
      <w:rPr>
        <w:b/>
        <w:bCs/>
      </w:rPr>
      <w:fldChar w:fldCharType="begin"/>
    </w:r>
    <w:r w:rsidR="005D5939" w:rsidRPr="00B3705D">
      <w:rPr>
        <w:b/>
        <w:bCs/>
      </w:rPr>
      <w:instrText xml:space="preserve"> PAGE  \* Arabic  \* MERGEFORMAT </w:instrText>
    </w:r>
    <w:r w:rsidR="005D5939" w:rsidRPr="00B3705D">
      <w:rPr>
        <w:b/>
        <w:bCs/>
      </w:rPr>
      <w:fldChar w:fldCharType="separate"/>
    </w:r>
    <w:r w:rsidR="005D5939">
      <w:rPr>
        <w:b/>
        <w:bCs/>
      </w:rPr>
      <w:t>1</w:t>
    </w:r>
    <w:r w:rsidR="005D5939"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59894" w14:textId="77777777" w:rsidR="00AD7E1E" w:rsidRPr="003C1CA4" w:rsidRDefault="00AD7E1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1EAC456" w14:textId="77777777" w:rsidR="00AD7E1E" w:rsidRDefault="00AD7E1E" w:rsidP="00E40261">
      <w:pPr>
        <w:spacing w:after="0" w:line="240" w:lineRule="auto"/>
      </w:pPr>
      <w:r>
        <w:continuationSeparator/>
      </w:r>
    </w:p>
  </w:footnote>
  <w:footnote w:type="continuationNotice" w:id="1">
    <w:p w14:paraId="74DE8B8A" w14:textId="77777777" w:rsidR="00AD7E1E" w:rsidRDefault="00AD7E1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A28EE" w14:textId="6A5C1F2B" w:rsidR="0050166A" w:rsidRDefault="0050166A" w:rsidP="001C5E21">
    <w:pPr>
      <w:pStyle w:val="Header"/>
      <w:tabs>
        <w:tab w:val="clear" w:pos="4153"/>
        <w:tab w:val="clear" w:pos="8306"/>
        <w:tab w:val="left" w:pos="5086"/>
      </w:tabs>
    </w:pPr>
    <w:r>
      <w:rPr>
        <w:noProof/>
      </w:rPr>
      <w:drawing>
        <wp:anchor distT="0" distB="0" distL="114300" distR="114300" simplePos="0" relativeHeight="251658246" behindDoc="1" locked="0" layoutInCell="1" allowOverlap="1" wp14:anchorId="5867B5D7" wp14:editId="79806330">
          <wp:simplePos x="0" y="0"/>
          <wp:positionH relativeFrom="page">
            <wp:align>center</wp:align>
          </wp:positionH>
          <wp:positionV relativeFrom="page">
            <wp:align>center</wp:align>
          </wp:positionV>
          <wp:extent cx="7560000" cy="10691902"/>
          <wp:effectExtent l="0" t="0" r="3175" b="0"/>
          <wp:wrapNone/>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r w:rsidR="004779EC">
      <w:rPr>
        <w:noProof/>
      </w:rPr>
      <w:drawing>
        <wp:anchor distT="0" distB="0" distL="114300" distR="114300" simplePos="0" relativeHeight="251658241" behindDoc="1" locked="1" layoutInCell="1" allowOverlap="1" wp14:anchorId="6B24A756" wp14:editId="602F512E">
          <wp:simplePos x="0" y="0"/>
          <wp:positionH relativeFrom="page">
            <wp:posOffset>0</wp:posOffset>
          </wp:positionH>
          <wp:positionV relativeFrom="page">
            <wp:align>top</wp:align>
          </wp:positionV>
          <wp:extent cx="7560000" cy="10688400"/>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D842" w14:textId="774FB394" w:rsidR="0050166A" w:rsidRPr="000004EA" w:rsidRDefault="004779EC" w:rsidP="000004EA">
    <w:pPr>
      <w:pStyle w:val="Header"/>
    </w:pPr>
    <w:r>
      <w:rPr>
        <w:noProof/>
      </w:rPr>
      <w:drawing>
        <wp:anchor distT="0" distB="0" distL="114300" distR="114300" simplePos="0" relativeHeight="251658240" behindDoc="1" locked="1" layoutInCell="1" allowOverlap="1" wp14:anchorId="0F14819C" wp14:editId="124A397D">
          <wp:simplePos x="0" y="0"/>
          <wp:positionH relativeFrom="page">
            <wp:posOffset>0</wp:posOffset>
          </wp:positionH>
          <wp:positionV relativeFrom="page">
            <wp:align>top</wp:align>
          </wp:positionV>
          <wp:extent cx="7560000" cy="10688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5DDEC17C" w14:textId="77777777" w:rsidTr="00AC502D">
      <w:trPr>
        <w:trHeight w:hRule="exact" w:val="340"/>
      </w:trPr>
      <w:tc>
        <w:tcPr>
          <w:tcW w:w="7797" w:type="dxa"/>
        </w:tcPr>
        <w:p w14:paraId="537C2D32" w14:textId="71D228F1" w:rsidR="008C56E1" w:rsidRPr="008C56E1" w:rsidRDefault="008C56E1" w:rsidP="008C56E1">
          <w:pPr>
            <w:pStyle w:val="HeaderEven"/>
          </w:pPr>
          <w:r w:rsidRPr="008C56E1">
            <w:rPr>
              <w:noProof/>
              <w:position w:val="-8"/>
            </w:rPr>
            <w:drawing>
              <wp:inline distT="0" distB="0" distL="0" distR="0" wp14:anchorId="4B034A98" wp14:editId="2DA27706">
                <wp:extent cx="878400" cy="19800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r w:rsidR="00D959BC">
            <w:fldChar w:fldCharType="begin"/>
          </w:r>
          <w:r w:rsidR="00D959BC">
            <w:instrText xml:space="preserve"> T</w:instrText>
          </w:r>
          <w:r w:rsidR="00D959BC">
            <w:instrText xml:space="preserve">ITLE   \* MERGEFORMAT </w:instrText>
          </w:r>
          <w:r w:rsidR="00D959BC">
            <w:fldChar w:fldCharType="separate"/>
          </w:r>
          <w:r w:rsidR="00533A7B">
            <w:t>Budget Paper No. 1</w:t>
          </w:r>
          <w:r w:rsidR="00D959BC">
            <w:fldChar w:fldCharType="end"/>
          </w:r>
        </w:p>
      </w:tc>
    </w:tr>
  </w:tbl>
  <w:p w14:paraId="45B1A895" w14:textId="47A929F4" w:rsidR="004C3F27" w:rsidRPr="00AA5439" w:rsidRDefault="004779EC" w:rsidP="004779EC">
    <w:pPr>
      <w:pStyle w:val="Header"/>
    </w:pPr>
    <w:r>
      <w:rPr>
        <w:noProof/>
        <w:sz w:val="2"/>
        <w:szCs w:val="2"/>
      </w:rPr>
      <w:drawing>
        <wp:anchor distT="0" distB="0" distL="114300" distR="114300" simplePos="0" relativeHeight="251658244" behindDoc="1" locked="1" layoutInCell="1" allowOverlap="1" wp14:anchorId="1743BDFF" wp14:editId="448C39D7">
          <wp:simplePos x="0" y="0"/>
          <wp:positionH relativeFrom="page">
            <wp:posOffset>0</wp:posOffset>
          </wp:positionH>
          <wp:positionV relativeFrom="page">
            <wp:align>top</wp:align>
          </wp:positionV>
          <wp:extent cx="7560000" cy="10688400"/>
          <wp:effectExtent l="0" t="0" r="317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4DC02332" w14:textId="77777777" w:rsidTr="00F83C31">
      <w:trPr>
        <w:trHeight w:hRule="exact" w:val="340"/>
      </w:trPr>
      <w:tc>
        <w:tcPr>
          <w:tcW w:w="7797" w:type="dxa"/>
          <w:vAlign w:val="center"/>
        </w:tcPr>
        <w:p w14:paraId="16120E6D" w14:textId="209CD41C" w:rsidR="00945C29" w:rsidRDefault="003B17F1" w:rsidP="000635BE">
          <w:pPr>
            <w:pStyle w:val="HeaderOdd"/>
          </w:pPr>
          <w:fldSimple w:instr=" TITLE   \* MERGEFORMAT ">
            <w:r w:rsidR="00533A7B">
              <w:t>Budget Paper No. 1</w:t>
            </w:r>
          </w:fldSimple>
          <w:r w:rsidR="00945C29">
            <w:t xml:space="preserve">  |  </w:t>
          </w:r>
          <w:r w:rsidR="00945C29" w:rsidRPr="00D47C6E">
            <w:rPr>
              <w:noProof/>
              <w:position w:val="-6"/>
            </w:rPr>
            <w:drawing>
              <wp:inline distT="0" distB="0" distL="0" distR="0" wp14:anchorId="511AEB43" wp14:editId="063F1FCA">
                <wp:extent cx="860400" cy="144000"/>
                <wp:effectExtent l="0" t="0" r="0" b="889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5F130676" w14:textId="5172F6A3" w:rsidR="004C3F27" w:rsidRPr="004779EC" w:rsidRDefault="004779EC" w:rsidP="004779EC">
    <w:pPr>
      <w:pStyle w:val="HeaderOdd"/>
    </w:pPr>
    <w:r>
      <w:rPr>
        <w:noProof/>
        <w:sz w:val="2"/>
        <w:szCs w:val="2"/>
      </w:rPr>
      <w:drawing>
        <wp:anchor distT="0" distB="0" distL="114300" distR="114300" simplePos="0" relativeHeight="251658245" behindDoc="1" locked="1" layoutInCell="1" allowOverlap="1" wp14:anchorId="6D125429" wp14:editId="5293C73E">
          <wp:simplePos x="0" y="0"/>
          <wp:positionH relativeFrom="page">
            <wp:posOffset>0</wp:posOffset>
          </wp:positionH>
          <wp:positionV relativeFrom="page">
            <wp:align>top</wp:align>
          </wp:positionV>
          <wp:extent cx="7560000" cy="106884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0E03" w14:textId="1E505DC3" w:rsidR="004C3F27" w:rsidRDefault="004779EC">
    <w:pPr>
      <w:pStyle w:val="Header"/>
      <w:rPr>
        <w:sz w:val="2"/>
        <w:szCs w:val="2"/>
      </w:rPr>
    </w:pPr>
    <w:r>
      <w:rPr>
        <w:noProof/>
        <w:sz w:val="2"/>
        <w:szCs w:val="2"/>
      </w:rPr>
      <w:drawing>
        <wp:anchor distT="0" distB="0" distL="114300" distR="114300" simplePos="0" relativeHeight="251658242" behindDoc="1" locked="1" layoutInCell="1" allowOverlap="1" wp14:anchorId="06B46E33" wp14:editId="0619E8B2">
          <wp:simplePos x="0" y="0"/>
          <wp:positionH relativeFrom="page">
            <wp:posOffset>0</wp:posOffset>
          </wp:positionH>
          <wp:positionV relativeFrom="page">
            <wp:align>top</wp:align>
          </wp:positionV>
          <wp:extent cx="7560000" cy="10688400"/>
          <wp:effectExtent l="0" t="0" r="317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p w14:paraId="4B4A6D7E" w14:textId="77777777" w:rsidR="004C3F27" w:rsidRDefault="004C3F27">
    <w:pPr>
      <w:pStyle w:val="Header"/>
      <w:rPr>
        <w:sz w:val="2"/>
        <w:szCs w:val="2"/>
      </w:rPr>
    </w:pPr>
  </w:p>
  <w:p w14:paraId="6F1D46D6" w14:textId="7B8A1A56" w:rsidR="004C3F27" w:rsidRPr="005B2F30" w:rsidRDefault="004C3F27">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AA35" w14:textId="2114E323" w:rsidR="00350202" w:rsidRPr="004779EC" w:rsidRDefault="004779EC" w:rsidP="004779EC">
    <w:pPr>
      <w:pStyle w:val="Header"/>
    </w:pPr>
    <w:r>
      <w:rPr>
        <w:noProof/>
        <w:sz w:val="2"/>
        <w:szCs w:val="2"/>
      </w:rPr>
      <w:drawing>
        <wp:anchor distT="0" distB="0" distL="114300" distR="114300" simplePos="0" relativeHeight="251658243" behindDoc="1" locked="1" layoutInCell="1" allowOverlap="1" wp14:anchorId="395A763B" wp14:editId="2B009B07">
          <wp:simplePos x="0" y="0"/>
          <wp:positionH relativeFrom="page">
            <wp:posOffset>0</wp:posOffset>
          </wp:positionH>
          <wp:positionV relativeFrom="page">
            <wp:align>top</wp:align>
          </wp:positionV>
          <wp:extent cx="7560000" cy="10688400"/>
          <wp:effectExtent l="0" t="0" r="317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A1AA5"/>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2813052"/>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0B346BA7"/>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0C857600"/>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6"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1AB66AC8"/>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25E461F2"/>
    <w:multiLevelType w:val="singleLevel"/>
    <w:tmpl w:val="C64E315A"/>
    <w:lvl w:ilvl="0">
      <w:start w:val="1"/>
      <w:numFmt w:val="lowerLetter"/>
      <w:lvlText w:val="%1)"/>
      <w:lvlJc w:val="left"/>
      <w:pPr>
        <w:ind w:left="360" w:hanging="360"/>
      </w:pPr>
      <w:rPr>
        <w:b w:val="0"/>
        <w:i w:val="0"/>
        <w:color w:val="000000"/>
        <w:sz w:val="16"/>
      </w:rPr>
    </w:lvl>
  </w:abstractNum>
  <w:abstractNum w:abstractNumId="19" w15:restartNumberingAfterBreak="0">
    <w:nsid w:val="26D45ECA"/>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2B0B0B25"/>
    <w:multiLevelType w:val="singleLevel"/>
    <w:tmpl w:val="C64E315A"/>
    <w:lvl w:ilvl="0">
      <w:start w:val="1"/>
      <w:numFmt w:val="lowerLetter"/>
      <w:lvlText w:val="%1)"/>
      <w:lvlJc w:val="left"/>
      <w:pPr>
        <w:ind w:left="360" w:hanging="360"/>
      </w:pPr>
      <w:rPr>
        <w:b w:val="0"/>
        <w:i w:val="0"/>
        <w:color w:val="000000"/>
        <w:sz w:val="16"/>
      </w:rPr>
    </w:lvl>
  </w:abstractNum>
  <w:abstractNum w:abstractNumId="21" w15:restartNumberingAfterBreak="0">
    <w:nsid w:val="2B7D03E3"/>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2F062D5F"/>
    <w:multiLevelType w:val="singleLevel"/>
    <w:tmpl w:val="C64E315A"/>
    <w:lvl w:ilvl="0">
      <w:start w:val="1"/>
      <w:numFmt w:val="lowerLetter"/>
      <w:lvlText w:val="%1)"/>
      <w:lvlJc w:val="left"/>
      <w:pPr>
        <w:ind w:left="360" w:hanging="360"/>
      </w:pPr>
      <w:rPr>
        <w:b w:val="0"/>
        <w:i w:val="0"/>
        <w:color w:val="000000"/>
        <w:sz w:val="16"/>
      </w:rPr>
    </w:lvl>
  </w:abstractNum>
  <w:abstractNum w:abstractNumId="23"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2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5" w15:restartNumberingAfterBreak="0">
    <w:nsid w:val="4B9E3E7A"/>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54C4378E"/>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57F056D8"/>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8" w15:restartNumberingAfterBreak="0">
    <w:nsid w:val="643A4F69"/>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0" w15:restartNumberingAfterBreak="0">
    <w:nsid w:val="6A120317"/>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1" w15:restartNumberingAfterBreak="0">
    <w:nsid w:val="79853E54"/>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C2B3F3E"/>
    <w:multiLevelType w:val="multilevel"/>
    <w:tmpl w:val="B18492B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03410866">
    <w:abstractNumId w:val="24"/>
  </w:num>
  <w:num w:numId="2" w16cid:durableId="70975900">
    <w:abstractNumId w:val="15"/>
  </w:num>
  <w:num w:numId="3" w16cid:durableId="1903564601">
    <w:abstractNumId w:val="14"/>
  </w:num>
  <w:num w:numId="4" w16cid:durableId="2146897109">
    <w:abstractNumId w:val="23"/>
  </w:num>
  <w:num w:numId="5" w16cid:durableId="20129037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5683523">
    <w:abstractNumId w:val="27"/>
  </w:num>
  <w:num w:numId="7" w16cid:durableId="146291032">
    <w:abstractNumId w:val="26"/>
  </w:num>
  <w:num w:numId="8" w16cid:durableId="124323150">
    <w:abstractNumId w:val="25"/>
  </w:num>
  <w:num w:numId="9" w16cid:durableId="995035931">
    <w:abstractNumId w:val="18"/>
  </w:num>
  <w:num w:numId="10" w16cid:durableId="855533381">
    <w:abstractNumId w:val="13"/>
  </w:num>
  <w:num w:numId="11" w16cid:durableId="1093673346">
    <w:abstractNumId w:val="20"/>
  </w:num>
  <w:num w:numId="12" w16cid:durableId="1223100966">
    <w:abstractNumId w:val="30"/>
  </w:num>
  <w:num w:numId="13" w16cid:durableId="1738241903">
    <w:abstractNumId w:val="10"/>
  </w:num>
  <w:num w:numId="14" w16cid:durableId="867447374">
    <w:abstractNumId w:val="28"/>
  </w:num>
  <w:num w:numId="15" w16cid:durableId="1264144389">
    <w:abstractNumId w:val="21"/>
  </w:num>
  <w:num w:numId="16" w16cid:durableId="2142262248">
    <w:abstractNumId w:val="32"/>
  </w:num>
  <w:num w:numId="17" w16cid:durableId="893929810">
    <w:abstractNumId w:val="19"/>
  </w:num>
  <w:num w:numId="18" w16cid:durableId="1216086226">
    <w:abstractNumId w:val="17"/>
  </w:num>
  <w:num w:numId="19" w16cid:durableId="15844135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3788566">
    <w:abstractNumId w:val="22"/>
  </w:num>
  <w:num w:numId="21" w16cid:durableId="1941722353">
    <w:abstractNumId w:val="11"/>
  </w:num>
  <w:num w:numId="22" w16cid:durableId="752749395">
    <w:abstractNumId w:val="12"/>
  </w:num>
  <w:num w:numId="23" w16cid:durableId="123103464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7783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77819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2917910">
    <w:abstractNumId w:val="16"/>
  </w:num>
  <w:num w:numId="27" w16cid:durableId="19596449">
    <w:abstractNumId w:val="29"/>
  </w:num>
  <w:num w:numId="28" w16cid:durableId="1300645690">
    <w:abstractNumId w:val="9"/>
  </w:num>
  <w:num w:numId="29" w16cid:durableId="1221672152">
    <w:abstractNumId w:val="7"/>
  </w:num>
  <w:num w:numId="30" w16cid:durableId="2103725001">
    <w:abstractNumId w:val="6"/>
  </w:num>
  <w:num w:numId="31" w16cid:durableId="404496681">
    <w:abstractNumId w:val="5"/>
  </w:num>
  <w:num w:numId="32" w16cid:durableId="1406757114">
    <w:abstractNumId w:val="4"/>
  </w:num>
  <w:num w:numId="33" w16cid:durableId="208760512">
    <w:abstractNumId w:val="8"/>
  </w:num>
  <w:num w:numId="34" w16cid:durableId="2092238642">
    <w:abstractNumId w:val="3"/>
  </w:num>
  <w:num w:numId="35" w16cid:durableId="1191576932">
    <w:abstractNumId w:val="2"/>
  </w:num>
  <w:num w:numId="36" w16cid:durableId="213080076">
    <w:abstractNumId w:val="1"/>
  </w:num>
  <w:num w:numId="37" w16cid:durableId="534276548">
    <w:abstractNumId w:val="0"/>
  </w:num>
  <w:num w:numId="38" w16cid:durableId="13720772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mirrorMargins/>
  <w:attachedTemplate r:id="rId1"/>
  <w:linkStyles/>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855DF"/>
    <w:rsid w:val="000004EA"/>
    <w:rsid w:val="000021A0"/>
    <w:rsid w:val="00002B84"/>
    <w:rsid w:val="0000613B"/>
    <w:rsid w:val="00006F89"/>
    <w:rsid w:val="000116D3"/>
    <w:rsid w:val="00011DBB"/>
    <w:rsid w:val="00012D16"/>
    <w:rsid w:val="000134BF"/>
    <w:rsid w:val="00013EA8"/>
    <w:rsid w:val="000177F1"/>
    <w:rsid w:val="00017849"/>
    <w:rsid w:val="00017855"/>
    <w:rsid w:val="00023479"/>
    <w:rsid w:val="00024BA4"/>
    <w:rsid w:val="00025295"/>
    <w:rsid w:val="00025345"/>
    <w:rsid w:val="00025603"/>
    <w:rsid w:val="00025A8B"/>
    <w:rsid w:val="00027226"/>
    <w:rsid w:val="00027B3A"/>
    <w:rsid w:val="00032C1D"/>
    <w:rsid w:val="000358B4"/>
    <w:rsid w:val="00035D8D"/>
    <w:rsid w:val="000366F0"/>
    <w:rsid w:val="000418FA"/>
    <w:rsid w:val="00041F6B"/>
    <w:rsid w:val="00046E46"/>
    <w:rsid w:val="00047CC6"/>
    <w:rsid w:val="00050689"/>
    <w:rsid w:val="00051C5A"/>
    <w:rsid w:val="000520E5"/>
    <w:rsid w:val="000524EE"/>
    <w:rsid w:val="000546EB"/>
    <w:rsid w:val="00055942"/>
    <w:rsid w:val="00057C7C"/>
    <w:rsid w:val="00061B74"/>
    <w:rsid w:val="000622DA"/>
    <w:rsid w:val="00062A9C"/>
    <w:rsid w:val="000635BE"/>
    <w:rsid w:val="00064E59"/>
    <w:rsid w:val="000674EF"/>
    <w:rsid w:val="00067802"/>
    <w:rsid w:val="00071E64"/>
    <w:rsid w:val="0007208D"/>
    <w:rsid w:val="00072438"/>
    <w:rsid w:val="0007277F"/>
    <w:rsid w:val="00072BB6"/>
    <w:rsid w:val="000779B7"/>
    <w:rsid w:val="0008399A"/>
    <w:rsid w:val="0008597F"/>
    <w:rsid w:val="000866C8"/>
    <w:rsid w:val="00091388"/>
    <w:rsid w:val="00094892"/>
    <w:rsid w:val="0009551B"/>
    <w:rsid w:val="000A0062"/>
    <w:rsid w:val="000A1250"/>
    <w:rsid w:val="000A12E2"/>
    <w:rsid w:val="000A1481"/>
    <w:rsid w:val="000A2E17"/>
    <w:rsid w:val="000A2E82"/>
    <w:rsid w:val="000A42F6"/>
    <w:rsid w:val="000A4A1E"/>
    <w:rsid w:val="000A4D1E"/>
    <w:rsid w:val="000A4DB3"/>
    <w:rsid w:val="000A59F9"/>
    <w:rsid w:val="000A5C47"/>
    <w:rsid w:val="000B289F"/>
    <w:rsid w:val="000B38A8"/>
    <w:rsid w:val="000B6617"/>
    <w:rsid w:val="000B66E5"/>
    <w:rsid w:val="000C1838"/>
    <w:rsid w:val="000C2317"/>
    <w:rsid w:val="000C4C52"/>
    <w:rsid w:val="000C5137"/>
    <w:rsid w:val="000C5340"/>
    <w:rsid w:val="000C5413"/>
    <w:rsid w:val="000C548E"/>
    <w:rsid w:val="000C6701"/>
    <w:rsid w:val="000C7AFA"/>
    <w:rsid w:val="000D1D43"/>
    <w:rsid w:val="000D27BF"/>
    <w:rsid w:val="000D29B8"/>
    <w:rsid w:val="000D3856"/>
    <w:rsid w:val="000D56AC"/>
    <w:rsid w:val="000D689D"/>
    <w:rsid w:val="000D78F4"/>
    <w:rsid w:val="000E105B"/>
    <w:rsid w:val="000E12E5"/>
    <w:rsid w:val="000E149B"/>
    <w:rsid w:val="000E1A46"/>
    <w:rsid w:val="000E32B8"/>
    <w:rsid w:val="000E493D"/>
    <w:rsid w:val="000E54C8"/>
    <w:rsid w:val="000E5DEB"/>
    <w:rsid w:val="000F236D"/>
    <w:rsid w:val="000F4836"/>
    <w:rsid w:val="000F51BF"/>
    <w:rsid w:val="000F6064"/>
    <w:rsid w:val="000F606B"/>
    <w:rsid w:val="000F751F"/>
    <w:rsid w:val="00100719"/>
    <w:rsid w:val="00103F2F"/>
    <w:rsid w:val="00103F65"/>
    <w:rsid w:val="00104273"/>
    <w:rsid w:val="0010686B"/>
    <w:rsid w:val="0011175D"/>
    <w:rsid w:val="00111E32"/>
    <w:rsid w:val="00112985"/>
    <w:rsid w:val="00112988"/>
    <w:rsid w:val="00113372"/>
    <w:rsid w:val="001137B8"/>
    <w:rsid w:val="001151F2"/>
    <w:rsid w:val="0011561D"/>
    <w:rsid w:val="00116A6B"/>
    <w:rsid w:val="00117868"/>
    <w:rsid w:val="00122CF5"/>
    <w:rsid w:val="001231C4"/>
    <w:rsid w:val="0012397F"/>
    <w:rsid w:val="001254C4"/>
    <w:rsid w:val="00125B58"/>
    <w:rsid w:val="001265F8"/>
    <w:rsid w:val="001276CB"/>
    <w:rsid w:val="00130397"/>
    <w:rsid w:val="001315D0"/>
    <w:rsid w:val="00132F69"/>
    <w:rsid w:val="001347F7"/>
    <w:rsid w:val="001369F5"/>
    <w:rsid w:val="00136E6F"/>
    <w:rsid w:val="00137210"/>
    <w:rsid w:val="00140313"/>
    <w:rsid w:val="00140635"/>
    <w:rsid w:val="00141AAC"/>
    <w:rsid w:val="00142730"/>
    <w:rsid w:val="0014460E"/>
    <w:rsid w:val="00144B30"/>
    <w:rsid w:val="00145AF0"/>
    <w:rsid w:val="00145C76"/>
    <w:rsid w:val="001465FF"/>
    <w:rsid w:val="001472CA"/>
    <w:rsid w:val="00147C9D"/>
    <w:rsid w:val="001503DD"/>
    <w:rsid w:val="00152BD9"/>
    <w:rsid w:val="00156794"/>
    <w:rsid w:val="00160928"/>
    <w:rsid w:val="00161E55"/>
    <w:rsid w:val="00163400"/>
    <w:rsid w:val="001652E8"/>
    <w:rsid w:val="001710EC"/>
    <w:rsid w:val="001715F6"/>
    <w:rsid w:val="00171B3A"/>
    <w:rsid w:val="00172507"/>
    <w:rsid w:val="00172801"/>
    <w:rsid w:val="00172A9E"/>
    <w:rsid w:val="00172CFE"/>
    <w:rsid w:val="00173739"/>
    <w:rsid w:val="00175121"/>
    <w:rsid w:val="00181F16"/>
    <w:rsid w:val="0018366A"/>
    <w:rsid w:val="00184B5E"/>
    <w:rsid w:val="001908A0"/>
    <w:rsid w:val="00190F21"/>
    <w:rsid w:val="0019115B"/>
    <w:rsid w:val="00195609"/>
    <w:rsid w:val="00195D9D"/>
    <w:rsid w:val="001970E6"/>
    <w:rsid w:val="0019745A"/>
    <w:rsid w:val="001977F7"/>
    <w:rsid w:val="001A161C"/>
    <w:rsid w:val="001A1D3F"/>
    <w:rsid w:val="001A256C"/>
    <w:rsid w:val="001A34AA"/>
    <w:rsid w:val="001A4F4A"/>
    <w:rsid w:val="001A5A92"/>
    <w:rsid w:val="001A64D7"/>
    <w:rsid w:val="001A7712"/>
    <w:rsid w:val="001A7BF1"/>
    <w:rsid w:val="001B0702"/>
    <w:rsid w:val="001B42BE"/>
    <w:rsid w:val="001B42F7"/>
    <w:rsid w:val="001B43D1"/>
    <w:rsid w:val="001B5D0E"/>
    <w:rsid w:val="001B6194"/>
    <w:rsid w:val="001B7652"/>
    <w:rsid w:val="001C01EA"/>
    <w:rsid w:val="001C29BA"/>
    <w:rsid w:val="001C3870"/>
    <w:rsid w:val="001C4076"/>
    <w:rsid w:val="001C4B04"/>
    <w:rsid w:val="001C552D"/>
    <w:rsid w:val="001C5AB2"/>
    <w:rsid w:val="001C5E21"/>
    <w:rsid w:val="001C6569"/>
    <w:rsid w:val="001C7BB9"/>
    <w:rsid w:val="001D1D29"/>
    <w:rsid w:val="001D21DD"/>
    <w:rsid w:val="001D2433"/>
    <w:rsid w:val="001D26C8"/>
    <w:rsid w:val="001D2865"/>
    <w:rsid w:val="001D2DB2"/>
    <w:rsid w:val="001D331E"/>
    <w:rsid w:val="001D33D6"/>
    <w:rsid w:val="001D371C"/>
    <w:rsid w:val="001E0008"/>
    <w:rsid w:val="001E034C"/>
    <w:rsid w:val="001E2990"/>
    <w:rsid w:val="001E35D4"/>
    <w:rsid w:val="001E6273"/>
    <w:rsid w:val="001E6FD3"/>
    <w:rsid w:val="001E70AF"/>
    <w:rsid w:val="001E7CF4"/>
    <w:rsid w:val="001F08E1"/>
    <w:rsid w:val="001F11CD"/>
    <w:rsid w:val="001F1813"/>
    <w:rsid w:val="001F2976"/>
    <w:rsid w:val="001F447E"/>
    <w:rsid w:val="001F5DFB"/>
    <w:rsid w:val="001F71FF"/>
    <w:rsid w:val="002015FF"/>
    <w:rsid w:val="00201C37"/>
    <w:rsid w:val="00202539"/>
    <w:rsid w:val="00203CDB"/>
    <w:rsid w:val="0020418C"/>
    <w:rsid w:val="002044C8"/>
    <w:rsid w:val="00204C80"/>
    <w:rsid w:val="00205F59"/>
    <w:rsid w:val="00206A05"/>
    <w:rsid w:val="0020711A"/>
    <w:rsid w:val="00210671"/>
    <w:rsid w:val="00211A20"/>
    <w:rsid w:val="0021388C"/>
    <w:rsid w:val="00213FFD"/>
    <w:rsid w:val="002156AA"/>
    <w:rsid w:val="0021657E"/>
    <w:rsid w:val="0021687D"/>
    <w:rsid w:val="002203D7"/>
    <w:rsid w:val="002205D0"/>
    <w:rsid w:val="002211C5"/>
    <w:rsid w:val="0022280C"/>
    <w:rsid w:val="00225A2F"/>
    <w:rsid w:val="00225B59"/>
    <w:rsid w:val="00233251"/>
    <w:rsid w:val="002336B4"/>
    <w:rsid w:val="00233CE2"/>
    <w:rsid w:val="00234F91"/>
    <w:rsid w:val="00237F04"/>
    <w:rsid w:val="002418F7"/>
    <w:rsid w:val="00242462"/>
    <w:rsid w:val="00242479"/>
    <w:rsid w:val="002429A9"/>
    <w:rsid w:val="002434F2"/>
    <w:rsid w:val="00244690"/>
    <w:rsid w:val="0024480B"/>
    <w:rsid w:val="00244D6D"/>
    <w:rsid w:val="0024521A"/>
    <w:rsid w:val="00246D75"/>
    <w:rsid w:val="0024728A"/>
    <w:rsid w:val="00250208"/>
    <w:rsid w:val="00250CC7"/>
    <w:rsid w:val="00252221"/>
    <w:rsid w:val="002526A3"/>
    <w:rsid w:val="002554F8"/>
    <w:rsid w:val="00255A66"/>
    <w:rsid w:val="00255A83"/>
    <w:rsid w:val="002573D2"/>
    <w:rsid w:val="0025762A"/>
    <w:rsid w:val="00257A7A"/>
    <w:rsid w:val="00257B36"/>
    <w:rsid w:val="00260310"/>
    <w:rsid w:val="00261469"/>
    <w:rsid w:val="00261551"/>
    <w:rsid w:val="0026291A"/>
    <w:rsid w:val="00263225"/>
    <w:rsid w:val="002640AE"/>
    <w:rsid w:val="0026411B"/>
    <w:rsid w:val="00264BB2"/>
    <w:rsid w:val="00267200"/>
    <w:rsid w:val="00267956"/>
    <w:rsid w:val="00272E11"/>
    <w:rsid w:val="00273A7D"/>
    <w:rsid w:val="002751FF"/>
    <w:rsid w:val="00277D3A"/>
    <w:rsid w:val="00280BA3"/>
    <w:rsid w:val="00281016"/>
    <w:rsid w:val="00281716"/>
    <w:rsid w:val="002821F4"/>
    <w:rsid w:val="00282620"/>
    <w:rsid w:val="00284CE2"/>
    <w:rsid w:val="00285D43"/>
    <w:rsid w:val="00286E97"/>
    <w:rsid w:val="002921C5"/>
    <w:rsid w:val="00293731"/>
    <w:rsid w:val="0029529A"/>
    <w:rsid w:val="002A0441"/>
    <w:rsid w:val="002A1002"/>
    <w:rsid w:val="002A6758"/>
    <w:rsid w:val="002A679D"/>
    <w:rsid w:val="002A6A16"/>
    <w:rsid w:val="002A7408"/>
    <w:rsid w:val="002A7560"/>
    <w:rsid w:val="002A7F91"/>
    <w:rsid w:val="002B01E9"/>
    <w:rsid w:val="002B0DD5"/>
    <w:rsid w:val="002B0DE0"/>
    <w:rsid w:val="002B0F78"/>
    <w:rsid w:val="002B205B"/>
    <w:rsid w:val="002B486E"/>
    <w:rsid w:val="002B511C"/>
    <w:rsid w:val="002B6106"/>
    <w:rsid w:val="002B636B"/>
    <w:rsid w:val="002B74ED"/>
    <w:rsid w:val="002C1E75"/>
    <w:rsid w:val="002C2097"/>
    <w:rsid w:val="002C3DEB"/>
    <w:rsid w:val="002C4502"/>
    <w:rsid w:val="002C596C"/>
    <w:rsid w:val="002C79FB"/>
    <w:rsid w:val="002D0490"/>
    <w:rsid w:val="002D0A30"/>
    <w:rsid w:val="002D0CBC"/>
    <w:rsid w:val="002D1275"/>
    <w:rsid w:val="002D1BC3"/>
    <w:rsid w:val="002D41B3"/>
    <w:rsid w:val="002D513C"/>
    <w:rsid w:val="002D789E"/>
    <w:rsid w:val="002E0AFF"/>
    <w:rsid w:val="002E1B1F"/>
    <w:rsid w:val="002E349F"/>
    <w:rsid w:val="002E3BAA"/>
    <w:rsid w:val="002E4FB9"/>
    <w:rsid w:val="002E638A"/>
    <w:rsid w:val="002E6AC0"/>
    <w:rsid w:val="002E7B71"/>
    <w:rsid w:val="002E7CEB"/>
    <w:rsid w:val="002F01D8"/>
    <w:rsid w:val="002F08B9"/>
    <w:rsid w:val="002F116C"/>
    <w:rsid w:val="002F2045"/>
    <w:rsid w:val="002F209E"/>
    <w:rsid w:val="002F40F3"/>
    <w:rsid w:val="002F4257"/>
    <w:rsid w:val="002F44F8"/>
    <w:rsid w:val="002F65ED"/>
    <w:rsid w:val="0030270A"/>
    <w:rsid w:val="00302AD0"/>
    <w:rsid w:val="00303AC3"/>
    <w:rsid w:val="00305105"/>
    <w:rsid w:val="0030765F"/>
    <w:rsid w:val="00307A85"/>
    <w:rsid w:val="003146C3"/>
    <w:rsid w:val="00316F1A"/>
    <w:rsid w:val="0031734E"/>
    <w:rsid w:val="0031773D"/>
    <w:rsid w:val="00321021"/>
    <w:rsid w:val="0032148A"/>
    <w:rsid w:val="00321676"/>
    <w:rsid w:val="00321DED"/>
    <w:rsid w:val="00324252"/>
    <w:rsid w:val="00324C79"/>
    <w:rsid w:val="003250D1"/>
    <w:rsid w:val="00326554"/>
    <w:rsid w:val="003303B0"/>
    <w:rsid w:val="00331069"/>
    <w:rsid w:val="00331D72"/>
    <w:rsid w:val="00331F72"/>
    <w:rsid w:val="003324BB"/>
    <w:rsid w:val="003345E9"/>
    <w:rsid w:val="00335270"/>
    <w:rsid w:val="003410F8"/>
    <w:rsid w:val="003421CD"/>
    <w:rsid w:val="003451F5"/>
    <w:rsid w:val="003478ED"/>
    <w:rsid w:val="00350202"/>
    <w:rsid w:val="00350208"/>
    <w:rsid w:val="003506C0"/>
    <w:rsid w:val="00350991"/>
    <w:rsid w:val="003520A9"/>
    <w:rsid w:val="00353322"/>
    <w:rsid w:val="00353C1F"/>
    <w:rsid w:val="003556F0"/>
    <w:rsid w:val="00357886"/>
    <w:rsid w:val="00360947"/>
    <w:rsid w:val="00362939"/>
    <w:rsid w:val="00364A79"/>
    <w:rsid w:val="00365C58"/>
    <w:rsid w:val="003672A4"/>
    <w:rsid w:val="00370DC2"/>
    <w:rsid w:val="00371B8D"/>
    <w:rsid w:val="00374731"/>
    <w:rsid w:val="00376330"/>
    <w:rsid w:val="00376656"/>
    <w:rsid w:val="00377927"/>
    <w:rsid w:val="0038007F"/>
    <w:rsid w:val="00380A98"/>
    <w:rsid w:val="00381D29"/>
    <w:rsid w:val="003829E0"/>
    <w:rsid w:val="00382D9E"/>
    <w:rsid w:val="00382E3D"/>
    <w:rsid w:val="00384225"/>
    <w:rsid w:val="00385C4A"/>
    <w:rsid w:val="0038796D"/>
    <w:rsid w:val="00390FA3"/>
    <w:rsid w:val="003915C4"/>
    <w:rsid w:val="0039437C"/>
    <w:rsid w:val="00394DB3"/>
    <w:rsid w:val="0039566D"/>
    <w:rsid w:val="00395AC3"/>
    <w:rsid w:val="00397611"/>
    <w:rsid w:val="003A0019"/>
    <w:rsid w:val="003A0F6F"/>
    <w:rsid w:val="003A19BE"/>
    <w:rsid w:val="003A24A2"/>
    <w:rsid w:val="003A268E"/>
    <w:rsid w:val="003A3AC2"/>
    <w:rsid w:val="003A3D7C"/>
    <w:rsid w:val="003A4FCB"/>
    <w:rsid w:val="003A5F9E"/>
    <w:rsid w:val="003A707A"/>
    <w:rsid w:val="003A7348"/>
    <w:rsid w:val="003B14CA"/>
    <w:rsid w:val="003B17F1"/>
    <w:rsid w:val="003B1DAB"/>
    <w:rsid w:val="003B22E4"/>
    <w:rsid w:val="003B3670"/>
    <w:rsid w:val="003B4040"/>
    <w:rsid w:val="003B572C"/>
    <w:rsid w:val="003B59B2"/>
    <w:rsid w:val="003B6FFC"/>
    <w:rsid w:val="003C1580"/>
    <w:rsid w:val="003C1CA4"/>
    <w:rsid w:val="003C5119"/>
    <w:rsid w:val="003D08E5"/>
    <w:rsid w:val="003D10CB"/>
    <w:rsid w:val="003D22E4"/>
    <w:rsid w:val="003D3025"/>
    <w:rsid w:val="003D33D3"/>
    <w:rsid w:val="003D3BE3"/>
    <w:rsid w:val="003D44F9"/>
    <w:rsid w:val="003D737B"/>
    <w:rsid w:val="003E0B64"/>
    <w:rsid w:val="003E1B04"/>
    <w:rsid w:val="003E23E1"/>
    <w:rsid w:val="003E2DEF"/>
    <w:rsid w:val="003E38D9"/>
    <w:rsid w:val="003E4922"/>
    <w:rsid w:val="003E7F38"/>
    <w:rsid w:val="003F21FC"/>
    <w:rsid w:val="003F2C32"/>
    <w:rsid w:val="003F3B58"/>
    <w:rsid w:val="003F42F4"/>
    <w:rsid w:val="003F522B"/>
    <w:rsid w:val="003F70CC"/>
    <w:rsid w:val="003F7CEB"/>
    <w:rsid w:val="00404995"/>
    <w:rsid w:val="004056DD"/>
    <w:rsid w:val="0040576C"/>
    <w:rsid w:val="00405C40"/>
    <w:rsid w:val="00405DBC"/>
    <w:rsid w:val="00406D26"/>
    <w:rsid w:val="00407057"/>
    <w:rsid w:val="0040732D"/>
    <w:rsid w:val="004073DB"/>
    <w:rsid w:val="00410A25"/>
    <w:rsid w:val="00410AC2"/>
    <w:rsid w:val="00411CE4"/>
    <w:rsid w:val="00411FE5"/>
    <w:rsid w:val="004127EB"/>
    <w:rsid w:val="00412EDF"/>
    <w:rsid w:val="0041361B"/>
    <w:rsid w:val="00414D61"/>
    <w:rsid w:val="00415803"/>
    <w:rsid w:val="00417ABB"/>
    <w:rsid w:val="00420013"/>
    <w:rsid w:val="004216F8"/>
    <w:rsid w:val="004233DE"/>
    <w:rsid w:val="00424782"/>
    <w:rsid w:val="0042481F"/>
    <w:rsid w:val="00425763"/>
    <w:rsid w:val="0042678D"/>
    <w:rsid w:val="00434627"/>
    <w:rsid w:val="00435D31"/>
    <w:rsid w:val="004368D6"/>
    <w:rsid w:val="0043731A"/>
    <w:rsid w:val="00437A81"/>
    <w:rsid w:val="00440766"/>
    <w:rsid w:val="00441171"/>
    <w:rsid w:val="00442ACB"/>
    <w:rsid w:val="00443F67"/>
    <w:rsid w:val="00444C99"/>
    <w:rsid w:val="004452AA"/>
    <w:rsid w:val="00445C2D"/>
    <w:rsid w:val="004465B5"/>
    <w:rsid w:val="00447E2C"/>
    <w:rsid w:val="00450E95"/>
    <w:rsid w:val="004523F7"/>
    <w:rsid w:val="00453533"/>
    <w:rsid w:val="00454E01"/>
    <w:rsid w:val="00455F97"/>
    <w:rsid w:val="00460852"/>
    <w:rsid w:val="00460D82"/>
    <w:rsid w:val="00461951"/>
    <w:rsid w:val="0046258E"/>
    <w:rsid w:val="0046367C"/>
    <w:rsid w:val="0046391C"/>
    <w:rsid w:val="004674C7"/>
    <w:rsid w:val="00467F20"/>
    <w:rsid w:val="0047176C"/>
    <w:rsid w:val="004762A3"/>
    <w:rsid w:val="00476844"/>
    <w:rsid w:val="004779EC"/>
    <w:rsid w:val="0048563A"/>
    <w:rsid w:val="0048593C"/>
    <w:rsid w:val="00485F94"/>
    <w:rsid w:val="00486674"/>
    <w:rsid w:val="00486BF9"/>
    <w:rsid w:val="00487416"/>
    <w:rsid w:val="00487687"/>
    <w:rsid w:val="004877ED"/>
    <w:rsid w:val="004903A1"/>
    <w:rsid w:val="004908C8"/>
    <w:rsid w:val="00491B18"/>
    <w:rsid w:val="00493C6B"/>
    <w:rsid w:val="00493D44"/>
    <w:rsid w:val="00495143"/>
    <w:rsid w:val="004958EF"/>
    <w:rsid w:val="00496221"/>
    <w:rsid w:val="004A0DBD"/>
    <w:rsid w:val="004A162C"/>
    <w:rsid w:val="004A26A0"/>
    <w:rsid w:val="004A4D34"/>
    <w:rsid w:val="004A5EC1"/>
    <w:rsid w:val="004B0B38"/>
    <w:rsid w:val="004B2436"/>
    <w:rsid w:val="004B31DC"/>
    <w:rsid w:val="004B3AEB"/>
    <w:rsid w:val="004B47DB"/>
    <w:rsid w:val="004B4EA1"/>
    <w:rsid w:val="004B5998"/>
    <w:rsid w:val="004B5DD9"/>
    <w:rsid w:val="004B6167"/>
    <w:rsid w:val="004C18CC"/>
    <w:rsid w:val="004C3F27"/>
    <w:rsid w:val="004C79BD"/>
    <w:rsid w:val="004D02AE"/>
    <w:rsid w:val="004D0AF7"/>
    <w:rsid w:val="004D1596"/>
    <w:rsid w:val="004D360E"/>
    <w:rsid w:val="004D5AA5"/>
    <w:rsid w:val="004D5D0D"/>
    <w:rsid w:val="004D70C4"/>
    <w:rsid w:val="004E1494"/>
    <w:rsid w:val="004E24D8"/>
    <w:rsid w:val="004E5180"/>
    <w:rsid w:val="004E7AE6"/>
    <w:rsid w:val="004F3FD9"/>
    <w:rsid w:val="004F60DD"/>
    <w:rsid w:val="004F6E56"/>
    <w:rsid w:val="00500562"/>
    <w:rsid w:val="00500AD2"/>
    <w:rsid w:val="00500CB0"/>
    <w:rsid w:val="0050166A"/>
    <w:rsid w:val="00502ECE"/>
    <w:rsid w:val="00511297"/>
    <w:rsid w:val="0051130A"/>
    <w:rsid w:val="00513F16"/>
    <w:rsid w:val="00513FCE"/>
    <w:rsid w:val="005151D9"/>
    <w:rsid w:val="00515BB0"/>
    <w:rsid w:val="00520B4B"/>
    <w:rsid w:val="00521919"/>
    <w:rsid w:val="00521B25"/>
    <w:rsid w:val="0052371B"/>
    <w:rsid w:val="00523F32"/>
    <w:rsid w:val="00523FB5"/>
    <w:rsid w:val="00526AB7"/>
    <w:rsid w:val="00526D9F"/>
    <w:rsid w:val="00531557"/>
    <w:rsid w:val="005316E1"/>
    <w:rsid w:val="00532259"/>
    <w:rsid w:val="00533A7B"/>
    <w:rsid w:val="00533CB5"/>
    <w:rsid w:val="00534769"/>
    <w:rsid w:val="00537115"/>
    <w:rsid w:val="005418A2"/>
    <w:rsid w:val="005430A6"/>
    <w:rsid w:val="00544C1D"/>
    <w:rsid w:val="005457AA"/>
    <w:rsid w:val="00545D28"/>
    <w:rsid w:val="005476BD"/>
    <w:rsid w:val="00551E91"/>
    <w:rsid w:val="00553523"/>
    <w:rsid w:val="00562B56"/>
    <w:rsid w:val="00562FA8"/>
    <w:rsid w:val="005633C9"/>
    <w:rsid w:val="005642C7"/>
    <w:rsid w:val="0056474D"/>
    <w:rsid w:val="005657C9"/>
    <w:rsid w:val="005663A4"/>
    <w:rsid w:val="005676C1"/>
    <w:rsid w:val="00567965"/>
    <w:rsid w:val="005718F2"/>
    <w:rsid w:val="00574C9D"/>
    <w:rsid w:val="0057503B"/>
    <w:rsid w:val="005775C4"/>
    <w:rsid w:val="00580067"/>
    <w:rsid w:val="00580C3E"/>
    <w:rsid w:val="005824B7"/>
    <w:rsid w:val="00582BE1"/>
    <w:rsid w:val="00583683"/>
    <w:rsid w:val="00590804"/>
    <w:rsid w:val="00591D89"/>
    <w:rsid w:val="00592792"/>
    <w:rsid w:val="00593846"/>
    <w:rsid w:val="00597249"/>
    <w:rsid w:val="005979C4"/>
    <w:rsid w:val="005A1B78"/>
    <w:rsid w:val="005A26A7"/>
    <w:rsid w:val="005A43A4"/>
    <w:rsid w:val="005A4519"/>
    <w:rsid w:val="005A4F8F"/>
    <w:rsid w:val="005A5C6D"/>
    <w:rsid w:val="005A5E92"/>
    <w:rsid w:val="005A5FB5"/>
    <w:rsid w:val="005A6F5F"/>
    <w:rsid w:val="005A73BE"/>
    <w:rsid w:val="005B1F13"/>
    <w:rsid w:val="005B2F30"/>
    <w:rsid w:val="005B3010"/>
    <w:rsid w:val="005B37A7"/>
    <w:rsid w:val="005B4290"/>
    <w:rsid w:val="005B4A27"/>
    <w:rsid w:val="005B70B0"/>
    <w:rsid w:val="005C1192"/>
    <w:rsid w:val="005C33B8"/>
    <w:rsid w:val="005C3DD2"/>
    <w:rsid w:val="005C51EE"/>
    <w:rsid w:val="005C5C0A"/>
    <w:rsid w:val="005C6E7C"/>
    <w:rsid w:val="005D0A08"/>
    <w:rsid w:val="005D14C9"/>
    <w:rsid w:val="005D21DB"/>
    <w:rsid w:val="005D21E0"/>
    <w:rsid w:val="005D23CB"/>
    <w:rsid w:val="005D2BF3"/>
    <w:rsid w:val="005D3665"/>
    <w:rsid w:val="005D3DD0"/>
    <w:rsid w:val="005D4A09"/>
    <w:rsid w:val="005D4FDE"/>
    <w:rsid w:val="005D5124"/>
    <w:rsid w:val="005D54DE"/>
    <w:rsid w:val="005D5939"/>
    <w:rsid w:val="005D6ADA"/>
    <w:rsid w:val="005E1316"/>
    <w:rsid w:val="005E1A91"/>
    <w:rsid w:val="005E2DE5"/>
    <w:rsid w:val="005E3ECB"/>
    <w:rsid w:val="005E499D"/>
    <w:rsid w:val="005E49A2"/>
    <w:rsid w:val="005E4F85"/>
    <w:rsid w:val="005E530A"/>
    <w:rsid w:val="005E6F7D"/>
    <w:rsid w:val="005E75AF"/>
    <w:rsid w:val="005E792C"/>
    <w:rsid w:val="005E7EAC"/>
    <w:rsid w:val="005E7FE7"/>
    <w:rsid w:val="005F2065"/>
    <w:rsid w:val="005F3DC7"/>
    <w:rsid w:val="005F478C"/>
    <w:rsid w:val="005F582C"/>
    <w:rsid w:val="005F7818"/>
    <w:rsid w:val="005F79A5"/>
    <w:rsid w:val="005F7C0B"/>
    <w:rsid w:val="006003C0"/>
    <w:rsid w:val="0060096E"/>
    <w:rsid w:val="00600C62"/>
    <w:rsid w:val="00601A77"/>
    <w:rsid w:val="00601E69"/>
    <w:rsid w:val="0060305C"/>
    <w:rsid w:val="006030DD"/>
    <w:rsid w:val="0060376E"/>
    <w:rsid w:val="006052A5"/>
    <w:rsid w:val="006060F4"/>
    <w:rsid w:val="00606B21"/>
    <w:rsid w:val="0060705D"/>
    <w:rsid w:val="00613A75"/>
    <w:rsid w:val="00614554"/>
    <w:rsid w:val="00614FC4"/>
    <w:rsid w:val="006200F8"/>
    <w:rsid w:val="0062016C"/>
    <w:rsid w:val="00620A11"/>
    <w:rsid w:val="00621BF2"/>
    <w:rsid w:val="00622A0F"/>
    <w:rsid w:val="00622CDB"/>
    <w:rsid w:val="00623C2C"/>
    <w:rsid w:val="00624DD3"/>
    <w:rsid w:val="00626923"/>
    <w:rsid w:val="00627A36"/>
    <w:rsid w:val="00634750"/>
    <w:rsid w:val="00635DED"/>
    <w:rsid w:val="006402CE"/>
    <w:rsid w:val="00640DD9"/>
    <w:rsid w:val="006432CC"/>
    <w:rsid w:val="006467BA"/>
    <w:rsid w:val="00646F1D"/>
    <w:rsid w:val="00647BAE"/>
    <w:rsid w:val="006522B8"/>
    <w:rsid w:val="00653D2B"/>
    <w:rsid w:val="00655AA9"/>
    <w:rsid w:val="006568AA"/>
    <w:rsid w:val="00657F6C"/>
    <w:rsid w:val="00661591"/>
    <w:rsid w:val="00661EF0"/>
    <w:rsid w:val="00664F1B"/>
    <w:rsid w:val="00666387"/>
    <w:rsid w:val="00666CF7"/>
    <w:rsid w:val="00666E10"/>
    <w:rsid w:val="00670493"/>
    <w:rsid w:val="00670620"/>
    <w:rsid w:val="00671031"/>
    <w:rsid w:val="0067127E"/>
    <w:rsid w:val="00671F41"/>
    <w:rsid w:val="00672F6B"/>
    <w:rsid w:val="00672FAA"/>
    <w:rsid w:val="00673828"/>
    <w:rsid w:val="00676033"/>
    <w:rsid w:val="00677EBB"/>
    <w:rsid w:val="006801C9"/>
    <w:rsid w:val="00680768"/>
    <w:rsid w:val="006826C5"/>
    <w:rsid w:val="00682D05"/>
    <w:rsid w:val="006832AA"/>
    <w:rsid w:val="00683662"/>
    <w:rsid w:val="00683D8B"/>
    <w:rsid w:val="006849A1"/>
    <w:rsid w:val="00686941"/>
    <w:rsid w:val="00686CE4"/>
    <w:rsid w:val="0069084D"/>
    <w:rsid w:val="00692105"/>
    <w:rsid w:val="006921F3"/>
    <w:rsid w:val="00693C03"/>
    <w:rsid w:val="0069603A"/>
    <w:rsid w:val="006A0CEA"/>
    <w:rsid w:val="006A0EDE"/>
    <w:rsid w:val="006A0F49"/>
    <w:rsid w:val="006A42D1"/>
    <w:rsid w:val="006A52B2"/>
    <w:rsid w:val="006B0954"/>
    <w:rsid w:val="006B4DA1"/>
    <w:rsid w:val="006B719C"/>
    <w:rsid w:val="006B7458"/>
    <w:rsid w:val="006C1494"/>
    <w:rsid w:val="006C3094"/>
    <w:rsid w:val="006C3E1F"/>
    <w:rsid w:val="006C4809"/>
    <w:rsid w:val="006C4947"/>
    <w:rsid w:val="006C4A90"/>
    <w:rsid w:val="006C5081"/>
    <w:rsid w:val="006C7D2B"/>
    <w:rsid w:val="006D1928"/>
    <w:rsid w:val="006D1D92"/>
    <w:rsid w:val="006D4A4D"/>
    <w:rsid w:val="006D5376"/>
    <w:rsid w:val="006D77EA"/>
    <w:rsid w:val="006E0E3C"/>
    <w:rsid w:val="006E1367"/>
    <w:rsid w:val="006E18BA"/>
    <w:rsid w:val="006E22BD"/>
    <w:rsid w:val="006E27F3"/>
    <w:rsid w:val="006E5176"/>
    <w:rsid w:val="006E5C12"/>
    <w:rsid w:val="006E5D07"/>
    <w:rsid w:val="006E7F46"/>
    <w:rsid w:val="006F0BBB"/>
    <w:rsid w:val="006F0C1E"/>
    <w:rsid w:val="006F1439"/>
    <w:rsid w:val="006F3841"/>
    <w:rsid w:val="006F39EB"/>
    <w:rsid w:val="006F4A0A"/>
    <w:rsid w:val="006F6AA0"/>
    <w:rsid w:val="006F71B0"/>
    <w:rsid w:val="006F7AC1"/>
    <w:rsid w:val="00700345"/>
    <w:rsid w:val="007016FA"/>
    <w:rsid w:val="00701C28"/>
    <w:rsid w:val="00702304"/>
    <w:rsid w:val="0070249A"/>
    <w:rsid w:val="00703689"/>
    <w:rsid w:val="007040A5"/>
    <w:rsid w:val="0070524E"/>
    <w:rsid w:val="0070591F"/>
    <w:rsid w:val="00706153"/>
    <w:rsid w:val="00706CC2"/>
    <w:rsid w:val="00711BD7"/>
    <w:rsid w:val="00711DAA"/>
    <w:rsid w:val="0072063E"/>
    <w:rsid w:val="00721ADA"/>
    <w:rsid w:val="00722AEE"/>
    <w:rsid w:val="00723227"/>
    <w:rsid w:val="00723B0D"/>
    <w:rsid w:val="00724366"/>
    <w:rsid w:val="0072449F"/>
    <w:rsid w:val="007270EE"/>
    <w:rsid w:val="007273EE"/>
    <w:rsid w:val="00727C32"/>
    <w:rsid w:val="007316DB"/>
    <w:rsid w:val="00732D69"/>
    <w:rsid w:val="00734358"/>
    <w:rsid w:val="00737C1C"/>
    <w:rsid w:val="00740207"/>
    <w:rsid w:val="007408AE"/>
    <w:rsid w:val="007425D7"/>
    <w:rsid w:val="0074308B"/>
    <w:rsid w:val="0074527D"/>
    <w:rsid w:val="007459D0"/>
    <w:rsid w:val="0074767D"/>
    <w:rsid w:val="00747713"/>
    <w:rsid w:val="007507C7"/>
    <w:rsid w:val="007510B8"/>
    <w:rsid w:val="007519BF"/>
    <w:rsid w:val="0075218B"/>
    <w:rsid w:val="0075435F"/>
    <w:rsid w:val="00754609"/>
    <w:rsid w:val="00754CF2"/>
    <w:rsid w:val="00755120"/>
    <w:rsid w:val="00755AFF"/>
    <w:rsid w:val="00755F34"/>
    <w:rsid w:val="00760A4A"/>
    <w:rsid w:val="00762905"/>
    <w:rsid w:val="0076665D"/>
    <w:rsid w:val="007703C7"/>
    <w:rsid w:val="0077213D"/>
    <w:rsid w:val="00772D66"/>
    <w:rsid w:val="007744F8"/>
    <w:rsid w:val="00774A82"/>
    <w:rsid w:val="0077537B"/>
    <w:rsid w:val="00776C1F"/>
    <w:rsid w:val="007814A3"/>
    <w:rsid w:val="00787DEE"/>
    <w:rsid w:val="0079026D"/>
    <w:rsid w:val="007905E8"/>
    <w:rsid w:val="00791275"/>
    <w:rsid w:val="007913DD"/>
    <w:rsid w:val="00792F0C"/>
    <w:rsid w:val="00795289"/>
    <w:rsid w:val="00797D1C"/>
    <w:rsid w:val="007A10F9"/>
    <w:rsid w:val="007A11F3"/>
    <w:rsid w:val="007A3455"/>
    <w:rsid w:val="007A3E9C"/>
    <w:rsid w:val="007A5877"/>
    <w:rsid w:val="007A711D"/>
    <w:rsid w:val="007B5B7E"/>
    <w:rsid w:val="007B6D59"/>
    <w:rsid w:val="007C1FEC"/>
    <w:rsid w:val="007C28CC"/>
    <w:rsid w:val="007C5068"/>
    <w:rsid w:val="007C5F8A"/>
    <w:rsid w:val="007C713A"/>
    <w:rsid w:val="007C74A7"/>
    <w:rsid w:val="007D2D27"/>
    <w:rsid w:val="007D3684"/>
    <w:rsid w:val="007D4969"/>
    <w:rsid w:val="007D5AEF"/>
    <w:rsid w:val="007D7927"/>
    <w:rsid w:val="007E052B"/>
    <w:rsid w:val="007E05DF"/>
    <w:rsid w:val="007E06CF"/>
    <w:rsid w:val="007E2B7A"/>
    <w:rsid w:val="007E2BFF"/>
    <w:rsid w:val="007E3B28"/>
    <w:rsid w:val="007E5257"/>
    <w:rsid w:val="007E57F5"/>
    <w:rsid w:val="007F0188"/>
    <w:rsid w:val="007F1128"/>
    <w:rsid w:val="007F3E3B"/>
    <w:rsid w:val="007F5591"/>
    <w:rsid w:val="007F6768"/>
    <w:rsid w:val="00800E06"/>
    <w:rsid w:val="00804961"/>
    <w:rsid w:val="008056B2"/>
    <w:rsid w:val="00805B92"/>
    <w:rsid w:val="008074BD"/>
    <w:rsid w:val="00807C9E"/>
    <w:rsid w:val="0081059A"/>
    <w:rsid w:val="00810DA1"/>
    <w:rsid w:val="00811606"/>
    <w:rsid w:val="00812028"/>
    <w:rsid w:val="00812152"/>
    <w:rsid w:val="00813391"/>
    <w:rsid w:val="00815095"/>
    <w:rsid w:val="00815BAB"/>
    <w:rsid w:val="00816841"/>
    <w:rsid w:val="00816A65"/>
    <w:rsid w:val="00822029"/>
    <w:rsid w:val="0082258A"/>
    <w:rsid w:val="00823B6F"/>
    <w:rsid w:val="00823D96"/>
    <w:rsid w:val="00824E07"/>
    <w:rsid w:val="00825208"/>
    <w:rsid w:val="008253FB"/>
    <w:rsid w:val="00826A24"/>
    <w:rsid w:val="00827AAC"/>
    <w:rsid w:val="00827C76"/>
    <w:rsid w:val="00831720"/>
    <w:rsid w:val="008320D2"/>
    <w:rsid w:val="0083217A"/>
    <w:rsid w:val="00833E77"/>
    <w:rsid w:val="00834D74"/>
    <w:rsid w:val="008361DF"/>
    <w:rsid w:val="00842CC7"/>
    <w:rsid w:val="008442A7"/>
    <w:rsid w:val="00845CD0"/>
    <w:rsid w:val="0084606D"/>
    <w:rsid w:val="0084759D"/>
    <w:rsid w:val="00847DF1"/>
    <w:rsid w:val="00850F5E"/>
    <w:rsid w:val="00850F70"/>
    <w:rsid w:val="00851408"/>
    <w:rsid w:val="00852A8E"/>
    <w:rsid w:val="00853211"/>
    <w:rsid w:val="00856B69"/>
    <w:rsid w:val="00860085"/>
    <w:rsid w:val="00861E8D"/>
    <w:rsid w:val="008620FC"/>
    <w:rsid w:val="0086257A"/>
    <w:rsid w:val="00864C34"/>
    <w:rsid w:val="00866AAE"/>
    <w:rsid w:val="008708E8"/>
    <w:rsid w:val="0087097B"/>
    <w:rsid w:val="00870FC7"/>
    <w:rsid w:val="00871394"/>
    <w:rsid w:val="0087157F"/>
    <w:rsid w:val="0087273E"/>
    <w:rsid w:val="00872F5D"/>
    <w:rsid w:val="008730A8"/>
    <w:rsid w:val="008737FE"/>
    <w:rsid w:val="00873A32"/>
    <w:rsid w:val="00873CC8"/>
    <w:rsid w:val="00880B26"/>
    <w:rsid w:val="00880FF8"/>
    <w:rsid w:val="00881D59"/>
    <w:rsid w:val="00881D90"/>
    <w:rsid w:val="0088209A"/>
    <w:rsid w:val="00885620"/>
    <w:rsid w:val="00887A74"/>
    <w:rsid w:val="0089254E"/>
    <w:rsid w:val="00893776"/>
    <w:rsid w:val="00894E2A"/>
    <w:rsid w:val="00894E99"/>
    <w:rsid w:val="00895316"/>
    <w:rsid w:val="00897912"/>
    <w:rsid w:val="008A0987"/>
    <w:rsid w:val="008A1C76"/>
    <w:rsid w:val="008A3BF8"/>
    <w:rsid w:val="008A576E"/>
    <w:rsid w:val="008A5FF7"/>
    <w:rsid w:val="008A7D38"/>
    <w:rsid w:val="008B1A68"/>
    <w:rsid w:val="008B1E8C"/>
    <w:rsid w:val="008B2E98"/>
    <w:rsid w:val="008B5D68"/>
    <w:rsid w:val="008C0576"/>
    <w:rsid w:val="008C1C67"/>
    <w:rsid w:val="008C22FB"/>
    <w:rsid w:val="008C2AAD"/>
    <w:rsid w:val="008C314D"/>
    <w:rsid w:val="008C49BD"/>
    <w:rsid w:val="008C56E1"/>
    <w:rsid w:val="008C7F3A"/>
    <w:rsid w:val="008D03E0"/>
    <w:rsid w:val="008D119C"/>
    <w:rsid w:val="008D289A"/>
    <w:rsid w:val="008D3CA1"/>
    <w:rsid w:val="008D3D64"/>
    <w:rsid w:val="008D3DB7"/>
    <w:rsid w:val="008D3EF8"/>
    <w:rsid w:val="008D45DE"/>
    <w:rsid w:val="008D56AB"/>
    <w:rsid w:val="008D5D8A"/>
    <w:rsid w:val="008D71E5"/>
    <w:rsid w:val="008D79F5"/>
    <w:rsid w:val="008E2B78"/>
    <w:rsid w:val="008E48AF"/>
    <w:rsid w:val="008E53BD"/>
    <w:rsid w:val="008E6D3B"/>
    <w:rsid w:val="008E7225"/>
    <w:rsid w:val="008F0567"/>
    <w:rsid w:val="008F1311"/>
    <w:rsid w:val="008F395B"/>
    <w:rsid w:val="008F5121"/>
    <w:rsid w:val="008F55F8"/>
    <w:rsid w:val="008F5C53"/>
    <w:rsid w:val="0090041A"/>
    <w:rsid w:val="00902DA8"/>
    <w:rsid w:val="00903559"/>
    <w:rsid w:val="00903818"/>
    <w:rsid w:val="00905DE4"/>
    <w:rsid w:val="00906B73"/>
    <w:rsid w:val="0090721F"/>
    <w:rsid w:val="009079A6"/>
    <w:rsid w:val="00910C27"/>
    <w:rsid w:val="0091145B"/>
    <w:rsid w:val="00914783"/>
    <w:rsid w:val="009178B7"/>
    <w:rsid w:val="009310E8"/>
    <w:rsid w:val="00931EB8"/>
    <w:rsid w:val="00932479"/>
    <w:rsid w:val="009326CE"/>
    <w:rsid w:val="00933457"/>
    <w:rsid w:val="009335B3"/>
    <w:rsid w:val="0093363A"/>
    <w:rsid w:val="009345C5"/>
    <w:rsid w:val="00935CC1"/>
    <w:rsid w:val="00936B5A"/>
    <w:rsid w:val="00937BF5"/>
    <w:rsid w:val="00937CDD"/>
    <w:rsid w:val="00937E09"/>
    <w:rsid w:val="00941CD3"/>
    <w:rsid w:val="009429CF"/>
    <w:rsid w:val="0094345F"/>
    <w:rsid w:val="00943C8B"/>
    <w:rsid w:val="00945853"/>
    <w:rsid w:val="00945C29"/>
    <w:rsid w:val="009509A8"/>
    <w:rsid w:val="00950E21"/>
    <w:rsid w:val="009526DA"/>
    <w:rsid w:val="0095468B"/>
    <w:rsid w:val="009556CB"/>
    <w:rsid w:val="00955C09"/>
    <w:rsid w:val="00955F42"/>
    <w:rsid w:val="009563EA"/>
    <w:rsid w:val="009571A1"/>
    <w:rsid w:val="00963468"/>
    <w:rsid w:val="00963EE7"/>
    <w:rsid w:val="00964365"/>
    <w:rsid w:val="00966197"/>
    <w:rsid w:val="0096657A"/>
    <w:rsid w:val="009669FE"/>
    <w:rsid w:val="00966C5F"/>
    <w:rsid w:val="00967C2D"/>
    <w:rsid w:val="009710CB"/>
    <w:rsid w:val="009710E7"/>
    <w:rsid w:val="009717C0"/>
    <w:rsid w:val="00973C63"/>
    <w:rsid w:val="0097578B"/>
    <w:rsid w:val="009774BC"/>
    <w:rsid w:val="00977AE9"/>
    <w:rsid w:val="009804F5"/>
    <w:rsid w:val="00980702"/>
    <w:rsid w:val="00981995"/>
    <w:rsid w:val="009820F6"/>
    <w:rsid w:val="00982A7D"/>
    <w:rsid w:val="009845FF"/>
    <w:rsid w:val="0098629D"/>
    <w:rsid w:val="009908E3"/>
    <w:rsid w:val="0099216A"/>
    <w:rsid w:val="00992620"/>
    <w:rsid w:val="00993EF6"/>
    <w:rsid w:val="00994F8B"/>
    <w:rsid w:val="00996C5A"/>
    <w:rsid w:val="00997029"/>
    <w:rsid w:val="009A0DC2"/>
    <w:rsid w:val="009A12F7"/>
    <w:rsid w:val="009A28F3"/>
    <w:rsid w:val="009A4579"/>
    <w:rsid w:val="009A50FB"/>
    <w:rsid w:val="009A553C"/>
    <w:rsid w:val="009A7DCC"/>
    <w:rsid w:val="009B2CFA"/>
    <w:rsid w:val="009B2D01"/>
    <w:rsid w:val="009B34BD"/>
    <w:rsid w:val="009B4087"/>
    <w:rsid w:val="009B510B"/>
    <w:rsid w:val="009B5A18"/>
    <w:rsid w:val="009B699D"/>
    <w:rsid w:val="009B728A"/>
    <w:rsid w:val="009B77F6"/>
    <w:rsid w:val="009C2067"/>
    <w:rsid w:val="009C37E9"/>
    <w:rsid w:val="009C3A40"/>
    <w:rsid w:val="009C4865"/>
    <w:rsid w:val="009C4905"/>
    <w:rsid w:val="009C5016"/>
    <w:rsid w:val="009C5A26"/>
    <w:rsid w:val="009C7225"/>
    <w:rsid w:val="009D0904"/>
    <w:rsid w:val="009D2070"/>
    <w:rsid w:val="009D2B17"/>
    <w:rsid w:val="009D44CF"/>
    <w:rsid w:val="009D457B"/>
    <w:rsid w:val="009D7662"/>
    <w:rsid w:val="009D7A63"/>
    <w:rsid w:val="009E15D2"/>
    <w:rsid w:val="009E766A"/>
    <w:rsid w:val="009E7CDB"/>
    <w:rsid w:val="009F018A"/>
    <w:rsid w:val="009F16DA"/>
    <w:rsid w:val="009F47BB"/>
    <w:rsid w:val="009F51EF"/>
    <w:rsid w:val="00A0082A"/>
    <w:rsid w:val="00A01F2E"/>
    <w:rsid w:val="00A0362B"/>
    <w:rsid w:val="00A03EC5"/>
    <w:rsid w:val="00A04475"/>
    <w:rsid w:val="00A0457C"/>
    <w:rsid w:val="00A0464F"/>
    <w:rsid w:val="00A047E1"/>
    <w:rsid w:val="00A04FC9"/>
    <w:rsid w:val="00A053A8"/>
    <w:rsid w:val="00A054C4"/>
    <w:rsid w:val="00A0586B"/>
    <w:rsid w:val="00A06387"/>
    <w:rsid w:val="00A07FDC"/>
    <w:rsid w:val="00A11384"/>
    <w:rsid w:val="00A12C3A"/>
    <w:rsid w:val="00A12E24"/>
    <w:rsid w:val="00A2047D"/>
    <w:rsid w:val="00A241B0"/>
    <w:rsid w:val="00A26245"/>
    <w:rsid w:val="00A262DB"/>
    <w:rsid w:val="00A268AC"/>
    <w:rsid w:val="00A26B1F"/>
    <w:rsid w:val="00A27919"/>
    <w:rsid w:val="00A279B8"/>
    <w:rsid w:val="00A27CA6"/>
    <w:rsid w:val="00A302D9"/>
    <w:rsid w:val="00A30B72"/>
    <w:rsid w:val="00A32E2C"/>
    <w:rsid w:val="00A36559"/>
    <w:rsid w:val="00A36880"/>
    <w:rsid w:val="00A40755"/>
    <w:rsid w:val="00A4172D"/>
    <w:rsid w:val="00A41A8F"/>
    <w:rsid w:val="00A41DEE"/>
    <w:rsid w:val="00A44D3B"/>
    <w:rsid w:val="00A45A44"/>
    <w:rsid w:val="00A45A61"/>
    <w:rsid w:val="00A46178"/>
    <w:rsid w:val="00A52AFA"/>
    <w:rsid w:val="00A53530"/>
    <w:rsid w:val="00A5717A"/>
    <w:rsid w:val="00A575D2"/>
    <w:rsid w:val="00A64D72"/>
    <w:rsid w:val="00A65847"/>
    <w:rsid w:val="00A65E5E"/>
    <w:rsid w:val="00A703FD"/>
    <w:rsid w:val="00A71770"/>
    <w:rsid w:val="00A7196F"/>
    <w:rsid w:val="00A73EAE"/>
    <w:rsid w:val="00A74A89"/>
    <w:rsid w:val="00A74B57"/>
    <w:rsid w:val="00A7518E"/>
    <w:rsid w:val="00A769F1"/>
    <w:rsid w:val="00A77B90"/>
    <w:rsid w:val="00A80CFE"/>
    <w:rsid w:val="00A819BF"/>
    <w:rsid w:val="00A82298"/>
    <w:rsid w:val="00A84540"/>
    <w:rsid w:val="00A85845"/>
    <w:rsid w:val="00A86934"/>
    <w:rsid w:val="00A8769F"/>
    <w:rsid w:val="00A91C2C"/>
    <w:rsid w:val="00A92022"/>
    <w:rsid w:val="00A920EF"/>
    <w:rsid w:val="00A939E3"/>
    <w:rsid w:val="00A95E40"/>
    <w:rsid w:val="00A9645E"/>
    <w:rsid w:val="00A964E3"/>
    <w:rsid w:val="00AA2169"/>
    <w:rsid w:val="00AA36C5"/>
    <w:rsid w:val="00AA44F3"/>
    <w:rsid w:val="00AA5439"/>
    <w:rsid w:val="00AA71F1"/>
    <w:rsid w:val="00AB0902"/>
    <w:rsid w:val="00AB1EED"/>
    <w:rsid w:val="00AB2BEA"/>
    <w:rsid w:val="00AB2DB1"/>
    <w:rsid w:val="00AB3E1B"/>
    <w:rsid w:val="00AB43A7"/>
    <w:rsid w:val="00AB472E"/>
    <w:rsid w:val="00AB5C31"/>
    <w:rsid w:val="00AB5E51"/>
    <w:rsid w:val="00AB5F08"/>
    <w:rsid w:val="00AB63E5"/>
    <w:rsid w:val="00AB6877"/>
    <w:rsid w:val="00AB6D80"/>
    <w:rsid w:val="00AC0266"/>
    <w:rsid w:val="00AC125D"/>
    <w:rsid w:val="00AC2FED"/>
    <w:rsid w:val="00AC3317"/>
    <w:rsid w:val="00AC502D"/>
    <w:rsid w:val="00AC69A6"/>
    <w:rsid w:val="00AD2213"/>
    <w:rsid w:val="00AD54BD"/>
    <w:rsid w:val="00AD5A00"/>
    <w:rsid w:val="00AD648B"/>
    <w:rsid w:val="00AD68DA"/>
    <w:rsid w:val="00AD6902"/>
    <w:rsid w:val="00AD6BB3"/>
    <w:rsid w:val="00AD75E2"/>
    <w:rsid w:val="00AD7E1E"/>
    <w:rsid w:val="00AE1197"/>
    <w:rsid w:val="00AE2C18"/>
    <w:rsid w:val="00AE33DC"/>
    <w:rsid w:val="00AE3603"/>
    <w:rsid w:val="00AE4EEB"/>
    <w:rsid w:val="00AE6B13"/>
    <w:rsid w:val="00AE6EB0"/>
    <w:rsid w:val="00AF14CA"/>
    <w:rsid w:val="00AF2376"/>
    <w:rsid w:val="00AF247B"/>
    <w:rsid w:val="00AF2882"/>
    <w:rsid w:val="00AF2A87"/>
    <w:rsid w:val="00AF2D39"/>
    <w:rsid w:val="00AF55F5"/>
    <w:rsid w:val="00AF70A5"/>
    <w:rsid w:val="00AF7CE1"/>
    <w:rsid w:val="00AF7D7B"/>
    <w:rsid w:val="00B018D1"/>
    <w:rsid w:val="00B01968"/>
    <w:rsid w:val="00B03EF8"/>
    <w:rsid w:val="00B03FBC"/>
    <w:rsid w:val="00B04D68"/>
    <w:rsid w:val="00B051A6"/>
    <w:rsid w:val="00B0564F"/>
    <w:rsid w:val="00B06A83"/>
    <w:rsid w:val="00B07EA1"/>
    <w:rsid w:val="00B100B8"/>
    <w:rsid w:val="00B10F62"/>
    <w:rsid w:val="00B11662"/>
    <w:rsid w:val="00B11922"/>
    <w:rsid w:val="00B12546"/>
    <w:rsid w:val="00B148DD"/>
    <w:rsid w:val="00B15937"/>
    <w:rsid w:val="00B16C50"/>
    <w:rsid w:val="00B17AA0"/>
    <w:rsid w:val="00B204AB"/>
    <w:rsid w:val="00B21391"/>
    <w:rsid w:val="00B218C1"/>
    <w:rsid w:val="00B22CC0"/>
    <w:rsid w:val="00B230FE"/>
    <w:rsid w:val="00B2322A"/>
    <w:rsid w:val="00B23A4E"/>
    <w:rsid w:val="00B24B34"/>
    <w:rsid w:val="00B26C0C"/>
    <w:rsid w:val="00B3269E"/>
    <w:rsid w:val="00B34BF0"/>
    <w:rsid w:val="00B357BA"/>
    <w:rsid w:val="00B360A0"/>
    <w:rsid w:val="00B37DDB"/>
    <w:rsid w:val="00B42A37"/>
    <w:rsid w:val="00B4411D"/>
    <w:rsid w:val="00B445A7"/>
    <w:rsid w:val="00B5329A"/>
    <w:rsid w:val="00B5529E"/>
    <w:rsid w:val="00B55640"/>
    <w:rsid w:val="00B561FF"/>
    <w:rsid w:val="00B60D90"/>
    <w:rsid w:val="00B62CFB"/>
    <w:rsid w:val="00B62D4E"/>
    <w:rsid w:val="00B62ED2"/>
    <w:rsid w:val="00B63330"/>
    <w:rsid w:val="00B63751"/>
    <w:rsid w:val="00B6485F"/>
    <w:rsid w:val="00B66744"/>
    <w:rsid w:val="00B66C99"/>
    <w:rsid w:val="00B676A2"/>
    <w:rsid w:val="00B67B80"/>
    <w:rsid w:val="00B70398"/>
    <w:rsid w:val="00B711EA"/>
    <w:rsid w:val="00B7170F"/>
    <w:rsid w:val="00B72FF0"/>
    <w:rsid w:val="00B73699"/>
    <w:rsid w:val="00B742E3"/>
    <w:rsid w:val="00B75873"/>
    <w:rsid w:val="00B779DB"/>
    <w:rsid w:val="00B82A4B"/>
    <w:rsid w:val="00B834CB"/>
    <w:rsid w:val="00B83501"/>
    <w:rsid w:val="00B83B5A"/>
    <w:rsid w:val="00B83E3C"/>
    <w:rsid w:val="00B85924"/>
    <w:rsid w:val="00B87D0F"/>
    <w:rsid w:val="00B91AED"/>
    <w:rsid w:val="00B92AB5"/>
    <w:rsid w:val="00B92D99"/>
    <w:rsid w:val="00B94F12"/>
    <w:rsid w:val="00B96500"/>
    <w:rsid w:val="00B96A23"/>
    <w:rsid w:val="00B977BC"/>
    <w:rsid w:val="00B97FF9"/>
    <w:rsid w:val="00BA04ED"/>
    <w:rsid w:val="00BA05FC"/>
    <w:rsid w:val="00BA06C6"/>
    <w:rsid w:val="00BA0734"/>
    <w:rsid w:val="00BA1778"/>
    <w:rsid w:val="00BA2CC8"/>
    <w:rsid w:val="00BA341B"/>
    <w:rsid w:val="00BA44E4"/>
    <w:rsid w:val="00BA581B"/>
    <w:rsid w:val="00BA5D65"/>
    <w:rsid w:val="00BA6C08"/>
    <w:rsid w:val="00BA7246"/>
    <w:rsid w:val="00BB126F"/>
    <w:rsid w:val="00BB207D"/>
    <w:rsid w:val="00BB3997"/>
    <w:rsid w:val="00BB3EF0"/>
    <w:rsid w:val="00BB4AB4"/>
    <w:rsid w:val="00BB52EC"/>
    <w:rsid w:val="00BC1668"/>
    <w:rsid w:val="00BC20E5"/>
    <w:rsid w:val="00BC2A6A"/>
    <w:rsid w:val="00BC4E72"/>
    <w:rsid w:val="00BC6C06"/>
    <w:rsid w:val="00BD0EDD"/>
    <w:rsid w:val="00BD0FBA"/>
    <w:rsid w:val="00BD18C7"/>
    <w:rsid w:val="00BD657C"/>
    <w:rsid w:val="00BE1010"/>
    <w:rsid w:val="00BE2420"/>
    <w:rsid w:val="00BE3811"/>
    <w:rsid w:val="00BE42DB"/>
    <w:rsid w:val="00BE6974"/>
    <w:rsid w:val="00BE712B"/>
    <w:rsid w:val="00BF0941"/>
    <w:rsid w:val="00BF1E5E"/>
    <w:rsid w:val="00BF33B0"/>
    <w:rsid w:val="00BF38C8"/>
    <w:rsid w:val="00BF460E"/>
    <w:rsid w:val="00BF5A80"/>
    <w:rsid w:val="00BF5E88"/>
    <w:rsid w:val="00BF7299"/>
    <w:rsid w:val="00C039AE"/>
    <w:rsid w:val="00C04E7C"/>
    <w:rsid w:val="00C05AE1"/>
    <w:rsid w:val="00C05F0A"/>
    <w:rsid w:val="00C060D7"/>
    <w:rsid w:val="00C061E5"/>
    <w:rsid w:val="00C06530"/>
    <w:rsid w:val="00C06B67"/>
    <w:rsid w:val="00C116DC"/>
    <w:rsid w:val="00C12294"/>
    <w:rsid w:val="00C122EE"/>
    <w:rsid w:val="00C123F2"/>
    <w:rsid w:val="00C12739"/>
    <w:rsid w:val="00C136C4"/>
    <w:rsid w:val="00C15DD5"/>
    <w:rsid w:val="00C16223"/>
    <w:rsid w:val="00C1656A"/>
    <w:rsid w:val="00C21110"/>
    <w:rsid w:val="00C23D50"/>
    <w:rsid w:val="00C2560D"/>
    <w:rsid w:val="00C273AD"/>
    <w:rsid w:val="00C3055E"/>
    <w:rsid w:val="00C30EF1"/>
    <w:rsid w:val="00C33129"/>
    <w:rsid w:val="00C353C7"/>
    <w:rsid w:val="00C36274"/>
    <w:rsid w:val="00C36B73"/>
    <w:rsid w:val="00C41C87"/>
    <w:rsid w:val="00C4253A"/>
    <w:rsid w:val="00C4293F"/>
    <w:rsid w:val="00C42F31"/>
    <w:rsid w:val="00C44195"/>
    <w:rsid w:val="00C442C2"/>
    <w:rsid w:val="00C4493E"/>
    <w:rsid w:val="00C456C3"/>
    <w:rsid w:val="00C46038"/>
    <w:rsid w:val="00C461BE"/>
    <w:rsid w:val="00C508F8"/>
    <w:rsid w:val="00C515DB"/>
    <w:rsid w:val="00C52619"/>
    <w:rsid w:val="00C53234"/>
    <w:rsid w:val="00C53E14"/>
    <w:rsid w:val="00C570F5"/>
    <w:rsid w:val="00C57773"/>
    <w:rsid w:val="00C601D0"/>
    <w:rsid w:val="00C62AC6"/>
    <w:rsid w:val="00C64CC1"/>
    <w:rsid w:val="00C64F89"/>
    <w:rsid w:val="00C72CF9"/>
    <w:rsid w:val="00C734EC"/>
    <w:rsid w:val="00C735D1"/>
    <w:rsid w:val="00C74BE0"/>
    <w:rsid w:val="00C756FD"/>
    <w:rsid w:val="00C757A2"/>
    <w:rsid w:val="00C7597F"/>
    <w:rsid w:val="00C75ABC"/>
    <w:rsid w:val="00C764E0"/>
    <w:rsid w:val="00C80DCD"/>
    <w:rsid w:val="00C81BBB"/>
    <w:rsid w:val="00C83636"/>
    <w:rsid w:val="00C85062"/>
    <w:rsid w:val="00C855DF"/>
    <w:rsid w:val="00C8697D"/>
    <w:rsid w:val="00C872EA"/>
    <w:rsid w:val="00C93398"/>
    <w:rsid w:val="00C9389A"/>
    <w:rsid w:val="00C94AB7"/>
    <w:rsid w:val="00C9620B"/>
    <w:rsid w:val="00CA02D6"/>
    <w:rsid w:val="00CA3B59"/>
    <w:rsid w:val="00CA3F11"/>
    <w:rsid w:val="00CA3F12"/>
    <w:rsid w:val="00CA3FDE"/>
    <w:rsid w:val="00CA4E6B"/>
    <w:rsid w:val="00CA7B5C"/>
    <w:rsid w:val="00CB2D05"/>
    <w:rsid w:val="00CB4204"/>
    <w:rsid w:val="00CB6941"/>
    <w:rsid w:val="00CB69D0"/>
    <w:rsid w:val="00CB7193"/>
    <w:rsid w:val="00CB75F2"/>
    <w:rsid w:val="00CC19E0"/>
    <w:rsid w:val="00CC2941"/>
    <w:rsid w:val="00CC35F9"/>
    <w:rsid w:val="00CC40B2"/>
    <w:rsid w:val="00CC6004"/>
    <w:rsid w:val="00CD0E9C"/>
    <w:rsid w:val="00CD0F96"/>
    <w:rsid w:val="00CD18EF"/>
    <w:rsid w:val="00CD1F2A"/>
    <w:rsid w:val="00CD4129"/>
    <w:rsid w:val="00CD4C90"/>
    <w:rsid w:val="00CD4D4A"/>
    <w:rsid w:val="00CD6A1C"/>
    <w:rsid w:val="00CD7095"/>
    <w:rsid w:val="00CD7CB3"/>
    <w:rsid w:val="00CE3941"/>
    <w:rsid w:val="00CE7B66"/>
    <w:rsid w:val="00CF45C0"/>
    <w:rsid w:val="00CF5B37"/>
    <w:rsid w:val="00CF5FBD"/>
    <w:rsid w:val="00CF68D1"/>
    <w:rsid w:val="00D00E9D"/>
    <w:rsid w:val="00D014C2"/>
    <w:rsid w:val="00D10E3C"/>
    <w:rsid w:val="00D13BF9"/>
    <w:rsid w:val="00D14587"/>
    <w:rsid w:val="00D1656D"/>
    <w:rsid w:val="00D1685E"/>
    <w:rsid w:val="00D16C1B"/>
    <w:rsid w:val="00D17D5C"/>
    <w:rsid w:val="00D20066"/>
    <w:rsid w:val="00D211CC"/>
    <w:rsid w:val="00D23CBB"/>
    <w:rsid w:val="00D25E5B"/>
    <w:rsid w:val="00D27078"/>
    <w:rsid w:val="00D270F4"/>
    <w:rsid w:val="00D2751A"/>
    <w:rsid w:val="00D27D35"/>
    <w:rsid w:val="00D27FF4"/>
    <w:rsid w:val="00D33A6E"/>
    <w:rsid w:val="00D3481E"/>
    <w:rsid w:val="00D3490B"/>
    <w:rsid w:val="00D34B95"/>
    <w:rsid w:val="00D363C9"/>
    <w:rsid w:val="00D44BFF"/>
    <w:rsid w:val="00D45FE5"/>
    <w:rsid w:val="00D466AA"/>
    <w:rsid w:val="00D47C6E"/>
    <w:rsid w:val="00D526B8"/>
    <w:rsid w:val="00D53D79"/>
    <w:rsid w:val="00D54951"/>
    <w:rsid w:val="00D5569F"/>
    <w:rsid w:val="00D5657B"/>
    <w:rsid w:val="00D5658F"/>
    <w:rsid w:val="00D56C86"/>
    <w:rsid w:val="00D6062F"/>
    <w:rsid w:val="00D61C5F"/>
    <w:rsid w:val="00D62392"/>
    <w:rsid w:val="00D6649E"/>
    <w:rsid w:val="00D70936"/>
    <w:rsid w:val="00D70B77"/>
    <w:rsid w:val="00D727DC"/>
    <w:rsid w:val="00D74DC9"/>
    <w:rsid w:val="00D75EFA"/>
    <w:rsid w:val="00D80099"/>
    <w:rsid w:val="00D80C3B"/>
    <w:rsid w:val="00D80ECA"/>
    <w:rsid w:val="00D816EB"/>
    <w:rsid w:val="00D81A31"/>
    <w:rsid w:val="00D82B0F"/>
    <w:rsid w:val="00D82C0E"/>
    <w:rsid w:val="00D84B6D"/>
    <w:rsid w:val="00D855F0"/>
    <w:rsid w:val="00D864D4"/>
    <w:rsid w:val="00D86B36"/>
    <w:rsid w:val="00D915FD"/>
    <w:rsid w:val="00D9170E"/>
    <w:rsid w:val="00D93796"/>
    <w:rsid w:val="00D93F64"/>
    <w:rsid w:val="00D9445E"/>
    <w:rsid w:val="00D95849"/>
    <w:rsid w:val="00D959BC"/>
    <w:rsid w:val="00D96847"/>
    <w:rsid w:val="00D97105"/>
    <w:rsid w:val="00DA03EB"/>
    <w:rsid w:val="00DA094B"/>
    <w:rsid w:val="00DA0AD5"/>
    <w:rsid w:val="00DA1AFA"/>
    <w:rsid w:val="00DA1D59"/>
    <w:rsid w:val="00DA1DFB"/>
    <w:rsid w:val="00DA42A3"/>
    <w:rsid w:val="00DA58C6"/>
    <w:rsid w:val="00DA63A8"/>
    <w:rsid w:val="00DA798F"/>
    <w:rsid w:val="00DB2E34"/>
    <w:rsid w:val="00DB35A4"/>
    <w:rsid w:val="00DB3F88"/>
    <w:rsid w:val="00DB513A"/>
    <w:rsid w:val="00DB54C1"/>
    <w:rsid w:val="00DB746B"/>
    <w:rsid w:val="00DC030A"/>
    <w:rsid w:val="00DC05A0"/>
    <w:rsid w:val="00DC108A"/>
    <w:rsid w:val="00DC5875"/>
    <w:rsid w:val="00DC5A94"/>
    <w:rsid w:val="00DC5D4C"/>
    <w:rsid w:val="00DC7248"/>
    <w:rsid w:val="00DD1B8B"/>
    <w:rsid w:val="00DD2CF8"/>
    <w:rsid w:val="00DD3366"/>
    <w:rsid w:val="00DD5E2D"/>
    <w:rsid w:val="00DD6538"/>
    <w:rsid w:val="00DD7E1F"/>
    <w:rsid w:val="00DE3E7A"/>
    <w:rsid w:val="00DE504B"/>
    <w:rsid w:val="00DE5AF9"/>
    <w:rsid w:val="00DE5C1A"/>
    <w:rsid w:val="00DE71D2"/>
    <w:rsid w:val="00DF0011"/>
    <w:rsid w:val="00DF2239"/>
    <w:rsid w:val="00DF23DA"/>
    <w:rsid w:val="00DF3F72"/>
    <w:rsid w:val="00DF4CD3"/>
    <w:rsid w:val="00DF5A91"/>
    <w:rsid w:val="00DF6D31"/>
    <w:rsid w:val="00E025F4"/>
    <w:rsid w:val="00E02CF4"/>
    <w:rsid w:val="00E032B2"/>
    <w:rsid w:val="00E04E49"/>
    <w:rsid w:val="00E11FAE"/>
    <w:rsid w:val="00E11FC2"/>
    <w:rsid w:val="00E127AD"/>
    <w:rsid w:val="00E12984"/>
    <w:rsid w:val="00E12C29"/>
    <w:rsid w:val="00E1627B"/>
    <w:rsid w:val="00E17523"/>
    <w:rsid w:val="00E210CA"/>
    <w:rsid w:val="00E26771"/>
    <w:rsid w:val="00E271BC"/>
    <w:rsid w:val="00E2773B"/>
    <w:rsid w:val="00E27BBA"/>
    <w:rsid w:val="00E30758"/>
    <w:rsid w:val="00E31DB3"/>
    <w:rsid w:val="00E3333E"/>
    <w:rsid w:val="00E34276"/>
    <w:rsid w:val="00E34DA3"/>
    <w:rsid w:val="00E36ECA"/>
    <w:rsid w:val="00E37BAA"/>
    <w:rsid w:val="00E40261"/>
    <w:rsid w:val="00E404C5"/>
    <w:rsid w:val="00E424AE"/>
    <w:rsid w:val="00E44810"/>
    <w:rsid w:val="00E44A00"/>
    <w:rsid w:val="00E44E0C"/>
    <w:rsid w:val="00E4574A"/>
    <w:rsid w:val="00E461CC"/>
    <w:rsid w:val="00E46758"/>
    <w:rsid w:val="00E4685E"/>
    <w:rsid w:val="00E47746"/>
    <w:rsid w:val="00E51773"/>
    <w:rsid w:val="00E54D5A"/>
    <w:rsid w:val="00E558A6"/>
    <w:rsid w:val="00E578D2"/>
    <w:rsid w:val="00E57E68"/>
    <w:rsid w:val="00E63828"/>
    <w:rsid w:val="00E650F2"/>
    <w:rsid w:val="00E66821"/>
    <w:rsid w:val="00E6750B"/>
    <w:rsid w:val="00E70282"/>
    <w:rsid w:val="00E70569"/>
    <w:rsid w:val="00E71045"/>
    <w:rsid w:val="00E718B8"/>
    <w:rsid w:val="00E74EE2"/>
    <w:rsid w:val="00E75A1D"/>
    <w:rsid w:val="00E80210"/>
    <w:rsid w:val="00E805D6"/>
    <w:rsid w:val="00E809B5"/>
    <w:rsid w:val="00E81B70"/>
    <w:rsid w:val="00E832BC"/>
    <w:rsid w:val="00E8380C"/>
    <w:rsid w:val="00E84D06"/>
    <w:rsid w:val="00E85029"/>
    <w:rsid w:val="00E85F7C"/>
    <w:rsid w:val="00E91A0F"/>
    <w:rsid w:val="00E91AE7"/>
    <w:rsid w:val="00E921ED"/>
    <w:rsid w:val="00E927AA"/>
    <w:rsid w:val="00E954BB"/>
    <w:rsid w:val="00E957C5"/>
    <w:rsid w:val="00EA4C2D"/>
    <w:rsid w:val="00EA52E4"/>
    <w:rsid w:val="00EA5761"/>
    <w:rsid w:val="00EA6071"/>
    <w:rsid w:val="00EA6618"/>
    <w:rsid w:val="00EA6CF2"/>
    <w:rsid w:val="00EB02CA"/>
    <w:rsid w:val="00EB047C"/>
    <w:rsid w:val="00EB077B"/>
    <w:rsid w:val="00EB095B"/>
    <w:rsid w:val="00EB0C01"/>
    <w:rsid w:val="00EB342E"/>
    <w:rsid w:val="00EB39F5"/>
    <w:rsid w:val="00EB3E4E"/>
    <w:rsid w:val="00EB478E"/>
    <w:rsid w:val="00EB48E0"/>
    <w:rsid w:val="00EB4943"/>
    <w:rsid w:val="00EB56B5"/>
    <w:rsid w:val="00EB6597"/>
    <w:rsid w:val="00EB7312"/>
    <w:rsid w:val="00EB7A45"/>
    <w:rsid w:val="00EC00A0"/>
    <w:rsid w:val="00EC018A"/>
    <w:rsid w:val="00EC087D"/>
    <w:rsid w:val="00EC1878"/>
    <w:rsid w:val="00EC233A"/>
    <w:rsid w:val="00EC3617"/>
    <w:rsid w:val="00EC587C"/>
    <w:rsid w:val="00ED026F"/>
    <w:rsid w:val="00ED10B5"/>
    <w:rsid w:val="00ED11F1"/>
    <w:rsid w:val="00ED1C90"/>
    <w:rsid w:val="00ED339F"/>
    <w:rsid w:val="00ED4E4C"/>
    <w:rsid w:val="00ED562D"/>
    <w:rsid w:val="00ED6C96"/>
    <w:rsid w:val="00ED7814"/>
    <w:rsid w:val="00ED7D76"/>
    <w:rsid w:val="00ED7DA5"/>
    <w:rsid w:val="00EE4527"/>
    <w:rsid w:val="00EE5E03"/>
    <w:rsid w:val="00EE6FF2"/>
    <w:rsid w:val="00EE788D"/>
    <w:rsid w:val="00EF1B7E"/>
    <w:rsid w:val="00EF21E6"/>
    <w:rsid w:val="00EF3320"/>
    <w:rsid w:val="00EF338C"/>
    <w:rsid w:val="00EF3430"/>
    <w:rsid w:val="00EF37A0"/>
    <w:rsid w:val="00EF3FAA"/>
    <w:rsid w:val="00EF40D4"/>
    <w:rsid w:val="00EF4359"/>
    <w:rsid w:val="00EF4608"/>
    <w:rsid w:val="00EF4C8A"/>
    <w:rsid w:val="00EF6862"/>
    <w:rsid w:val="00F03FD4"/>
    <w:rsid w:val="00F04972"/>
    <w:rsid w:val="00F05C4C"/>
    <w:rsid w:val="00F07CDC"/>
    <w:rsid w:val="00F11365"/>
    <w:rsid w:val="00F11400"/>
    <w:rsid w:val="00F13DC1"/>
    <w:rsid w:val="00F149EA"/>
    <w:rsid w:val="00F15649"/>
    <w:rsid w:val="00F16C64"/>
    <w:rsid w:val="00F179E1"/>
    <w:rsid w:val="00F17B5E"/>
    <w:rsid w:val="00F2515C"/>
    <w:rsid w:val="00F25185"/>
    <w:rsid w:val="00F25E03"/>
    <w:rsid w:val="00F33510"/>
    <w:rsid w:val="00F362DE"/>
    <w:rsid w:val="00F36A71"/>
    <w:rsid w:val="00F42A08"/>
    <w:rsid w:val="00F44C5E"/>
    <w:rsid w:val="00F45AC1"/>
    <w:rsid w:val="00F47419"/>
    <w:rsid w:val="00F51A71"/>
    <w:rsid w:val="00F51DA2"/>
    <w:rsid w:val="00F5420D"/>
    <w:rsid w:val="00F5639E"/>
    <w:rsid w:val="00F60990"/>
    <w:rsid w:val="00F6227D"/>
    <w:rsid w:val="00F630DB"/>
    <w:rsid w:val="00F66B62"/>
    <w:rsid w:val="00F7039E"/>
    <w:rsid w:val="00F71C1C"/>
    <w:rsid w:val="00F76EE4"/>
    <w:rsid w:val="00F7720A"/>
    <w:rsid w:val="00F812DE"/>
    <w:rsid w:val="00F82B3F"/>
    <w:rsid w:val="00F83121"/>
    <w:rsid w:val="00F83C31"/>
    <w:rsid w:val="00F84F40"/>
    <w:rsid w:val="00F87904"/>
    <w:rsid w:val="00F87DC7"/>
    <w:rsid w:val="00F90855"/>
    <w:rsid w:val="00F90D3F"/>
    <w:rsid w:val="00F94117"/>
    <w:rsid w:val="00F974B9"/>
    <w:rsid w:val="00F97705"/>
    <w:rsid w:val="00FA0C9B"/>
    <w:rsid w:val="00FA2227"/>
    <w:rsid w:val="00FA24C2"/>
    <w:rsid w:val="00FA2992"/>
    <w:rsid w:val="00FA2D02"/>
    <w:rsid w:val="00FA4921"/>
    <w:rsid w:val="00FA7D31"/>
    <w:rsid w:val="00FB0F42"/>
    <w:rsid w:val="00FB467E"/>
    <w:rsid w:val="00FB56D0"/>
    <w:rsid w:val="00FB6281"/>
    <w:rsid w:val="00FC2A87"/>
    <w:rsid w:val="00FC3A4C"/>
    <w:rsid w:val="00FC3E10"/>
    <w:rsid w:val="00FC6F10"/>
    <w:rsid w:val="00FC7371"/>
    <w:rsid w:val="00FD02BA"/>
    <w:rsid w:val="00FD1A01"/>
    <w:rsid w:val="00FD7EE6"/>
    <w:rsid w:val="00FE28FE"/>
    <w:rsid w:val="00FE48A3"/>
    <w:rsid w:val="00FE61F4"/>
    <w:rsid w:val="00FE670C"/>
    <w:rsid w:val="00FE7F80"/>
    <w:rsid w:val="00FF5C7C"/>
    <w:rsid w:val="0813C779"/>
    <w:rsid w:val="0E472E84"/>
    <w:rsid w:val="16960868"/>
    <w:rsid w:val="42378FCB"/>
    <w:rsid w:val="4A297953"/>
    <w:rsid w:val="64180ED1"/>
    <w:rsid w:val="695B732A"/>
    <w:rsid w:val="7620CDD5"/>
    <w:rsid w:val="79B29C6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C8D9"/>
  <w15:chartTrackingRefBased/>
  <w15:docId w15:val="{F29933F4-5870-4997-9EEC-FF708803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9BC"/>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959BC"/>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959BC"/>
    <w:pPr>
      <w:spacing w:before="240" w:after="240"/>
      <w:outlineLvl w:val="1"/>
    </w:pPr>
    <w:rPr>
      <w:rFonts w:ascii="Arial Bold" w:hAnsi="Arial Bold"/>
      <w:b/>
      <w:sz w:val="26"/>
    </w:rPr>
  </w:style>
  <w:style w:type="paragraph" w:styleId="Heading3">
    <w:name w:val="heading 3"/>
    <w:basedOn w:val="HeadingBase"/>
    <w:next w:val="Normal"/>
    <w:link w:val="Heading3Char"/>
    <w:qFormat/>
    <w:rsid w:val="00D959BC"/>
    <w:pPr>
      <w:spacing w:before="120" w:after="120"/>
      <w:outlineLvl w:val="2"/>
    </w:pPr>
    <w:rPr>
      <w:rFonts w:ascii="Arial Bold" w:hAnsi="Arial Bold"/>
      <w:b/>
      <w:sz w:val="22"/>
    </w:rPr>
  </w:style>
  <w:style w:type="paragraph" w:styleId="Heading4">
    <w:name w:val="heading 4"/>
    <w:basedOn w:val="HeadingBase"/>
    <w:next w:val="Normal"/>
    <w:link w:val="Heading4Char"/>
    <w:qFormat/>
    <w:rsid w:val="00D959BC"/>
    <w:pPr>
      <w:spacing w:after="120"/>
      <w:outlineLvl w:val="3"/>
    </w:pPr>
    <w:rPr>
      <w:rFonts w:ascii="Arial Bold" w:hAnsi="Arial Bold"/>
      <w:b/>
      <w:sz w:val="20"/>
    </w:rPr>
  </w:style>
  <w:style w:type="paragraph" w:styleId="Heading5">
    <w:name w:val="heading 5"/>
    <w:basedOn w:val="HeadingBase"/>
    <w:next w:val="Normal"/>
    <w:link w:val="Heading5Char"/>
    <w:qFormat/>
    <w:rsid w:val="00D959BC"/>
    <w:pPr>
      <w:spacing w:after="120"/>
      <w:outlineLvl w:val="4"/>
    </w:pPr>
    <w:rPr>
      <w:bCs/>
      <w:i/>
      <w:iCs/>
      <w:sz w:val="20"/>
      <w:szCs w:val="26"/>
    </w:rPr>
  </w:style>
  <w:style w:type="paragraph" w:styleId="Heading6">
    <w:name w:val="heading 6"/>
    <w:basedOn w:val="HeadingBase"/>
    <w:next w:val="Normal"/>
    <w:link w:val="Heading6Char"/>
    <w:rsid w:val="00D959BC"/>
    <w:pPr>
      <w:spacing w:after="120"/>
      <w:outlineLvl w:val="5"/>
    </w:pPr>
    <w:rPr>
      <w:bCs/>
      <w:sz w:val="20"/>
      <w:szCs w:val="22"/>
    </w:rPr>
  </w:style>
  <w:style w:type="paragraph" w:styleId="Heading7">
    <w:name w:val="heading 7"/>
    <w:basedOn w:val="HeadingBase"/>
    <w:next w:val="Normal"/>
    <w:link w:val="Heading7Char"/>
    <w:rsid w:val="00D959BC"/>
    <w:pPr>
      <w:spacing w:before="120"/>
      <w:outlineLvl w:val="6"/>
    </w:pPr>
    <w:rPr>
      <w:sz w:val="20"/>
      <w:szCs w:val="24"/>
    </w:rPr>
  </w:style>
  <w:style w:type="paragraph" w:styleId="Heading8">
    <w:name w:val="heading 8"/>
    <w:basedOn w:val="HeadingBase"/>
    <w:next w:val="Normal"/>
    <w:link w:val="Heading8Char"/>
    <w:rsid w:val="00D959BC"/>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959BC"/>
    <w:pPr>
      <w:spacing w:after="60"/>
      <w:outlineLvl w:val="8"/>
    </w:pPr>
    <w:rPr>
      <w:rFonts w:ascii="Cambria" w:hAnsi="Cambria"/>
      <w:sz w:val="22"/>
      <w:szCs w:val="22"/>
    </w:rPr>
  </w:style>
  <w:style w:type="character" w:default="1" w:styleId="DefaultParagraphFont">
    <w:name w:val="Default Paragraph Font"/>
    <w:uiPriority w:val="1"/>
    <w:semiHidden/>
    <w:unhideWhenUsed/>
    <w:rsid w:val="00D959B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59BC"/>
  </w:style>
  <w:style w:type="paragraph" w:styleId="Header">
    <w:name w:val="header"/>
    <w:basedOn w:val="HeaderBase"/>
    <w:link w:val="HeaderChar"/>
    <w:rsid w:val="00D959BC"/>
    <w:pPr>
      <w:tabs>
        <w:tab w:val="center" w:pos="4153"/>
        <w:tab w:val="right" w:pos="8306"/>
      </w:tabs>
    </w:pPr>
  </w:style>
  <w:style w:type="character" w:customStyle="1" w:styleId="HeaderChar">
    <w:name w:val="Header Char"/>
    <w:basedOn w:val="DefaultParagraphFont"/>
    <w:link w:val="Header"/>
    <w:rsid w:val="00D959BC"/>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959BC"/>
    <w:pPr>
      <w:tabs>
        <w:tab w:val="center" w:pos="4153"/>
        <w:tab w:val="right" w:pos="8306"/>
      </w:tabs>
    </w:pPr>
  </w:style>
  <w:style w:type="character" w:customStyle="1" w:styleId="FooterChar">
    <w:name w:val="Footer Char"/>
    <w:basedOn w:val="DefaultParagraphFont"/>
    <w:link w:val="Footer"/>
    <w:rsid w:val="00D959BC"/>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959BC"/>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959BC"/>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959BC"/>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959BC"/>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959BC"/>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959BC"/>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959BC"/>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959BC"/>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959BC"/>
    <w:pPr>
      <w:jc w:val="center"/>
    </w:pPr>
    <w:rPr>
      <w:rFonts w:ascii="Arial Bold" w:hAnsi="Arial Bold"/>
      <w:b/>
      <w:caps/>
      <w:sz w:val="22"/>
    </w:rPr>
  </w:style>
  <w:style w:type="paragraph" w:customStyle="1" w:styleId="FileProperties">
    <w:name w:val="File Properties"/>
    <w:basedOn w:val="Normal"/>
    <w:rsid w:val="00D959BC"/>
    <w:pPr>
      <w:spacing w:before="0"/>
    </w:pPr>
    <w:rPr>
      <w:i/>
    </w:rPr>
  </w:style>
  <w:style w:type="paragraph" w:customStyle="1" w:styleId="AlphaParagraph">
    <w:name w:val="Alpha Paragraph"/>
    <w:basedOn w:val="Normal"/>
    <w:rsid w:val="00D959BC"/>
    <w:pPr>
      <w:numPr>
        <w:numId w:val="1"/>
      </w:numPr>
      <w:tabs>
        <w:tab w:val="clear" w:pos="567"/>
        <w:tab w:val="num" w:pos="360"/>
      </w:tabs>
      <w:ind w:left="0" w:firstLine="0"/>
    </w:pPr>
  </w:style>
  <w:style w:type="paragraph" w:customStyle="1" w:styleId="HeadingBase">
    <w:name w:val="Heading Base"/>
    <w:rsid w:val="00D959BC"/>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959BC"/>
    <w:rPr>
      <w:bCs/>
      <w:color w:val="002A54" w:themeColor="text2"/>
      <w:szCs w:val="52"/>
    </w:rPr>
  </w:style>
  <w:style w:type="paragraph" w:customStyle="1" w:styleId="BoxText">
    <w:name w:val="Box Text"/>
    <w:basedOn w:val="Normal"/>
    <w:link w:val="BoxTextChar"/>
    <w:qFormat/>
    <w:rsid w:val="00D959BC"/>
    <w:pPr>
      <w:spacing w:before="120" w:after="120" w:line="240" w:lineRule="auto"/>
    </w:pPr>
  </w:style>
  <w:style w:type="paragraph" w:customStyle="1" w:styleId="BoxBullet">
    <w:name w:val="Box Bullet"/>
    <w:basedOn w:val="BoxText"/>
    <w:rsid w:val="00D959BC"/>
    <w:pPr>
      <w:numPr>
        <w:numId w:val="2"/>
      </w:numPr>
    </w:pPr>
  </w:style>
  <w:style w:type="paragraph" w:customStyle="1" w:styleId="BoxHeading">
    <w:name w:val="Box Heading"/>
    <w:basedOn w:val="HeadingBase"/>
    <w:next w:val="BoxText"/>
    <w:rsid w:val="00D959BC"/>
    <w:pPr>
      <w:spacing w:before="120" w:after="120"/>
    </w:pPr>
    <w:rPr>
      <w:b/>
      <w:sz w:val="20"/>
    </w:rPr>
  </w:style>
  <w:style w:type="character" w:customStyle="1" w:styleId="Heading6Char">
    <w:name w:val="Heading 6 Char"/>
    <w:basedOn w:val="DefaultParagraphFont"/>
    <w:link w:val="Heading6"/>
    <w:rsid w:val="00D959BC"/>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
    <w:basedOn w:val="Normal"/>
    <w:link w:val="BulletChar"/>
    <w:qFormat/>
    <w:rsid w:val="00D959BC"/>
    <w:pPr>
      <w:numPr>
        <w:numId w:val="3"/>
      </w:numPr>
      <w:spacing w:after="160"/>
      <w:ind w:left="284" w:hanging="284"/>
    </w:pPr>
  </w:style>
  <w:style w:type="paragraph" w:styleId="Caption">
    <w:name w:val="caption"/>
    <w:basedOn w:val="Normal"/>
    <w:next w:val="Normal"/>
    <w:rsid w:val="00D959BC"/>
    <w:rPr>
      <w:b/>
      <w:bCs/>
    </w:rPr>
  </w:style>
  <w:style w:type="paragraph" w:customStyle="1" w:styleId="ChartandTableFootnote">
    <w:name w:val="Chart and Table Footnote"/>
    <w:basedOn w:val="HeadingBase"/>
    <w:next w:val="Normal"/>
    <w:rsid w:val="00D959BC"/>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D959BC"/>
    <w:pPr>
      <w:keepNext w:val="0"/>
      <w:numPr>
        <w:numId w:val="19"/>
      </w:numPr>
      <w:spacing w:before="30"/>
    </w:pPr>
    <w:rPr>
      <w:color w:val="000000"/>
      <w:sz w:val="16"/>
    </w:rPr>
  </w:style>
  <w:style w:type="paragraph" w:customStyle="1" w:styleId="ChartandTableFootnoteSmall">
    <w:name w:val="Chart and Table Footnote Small"/>
    <w:basedOn w:val="HeadingBase"/>
    <w:next w:val="Normal"/>
    <w:rsid w:val="00D959BC"/>
    <w:pPr>
      <w:keepNext w:val="0"/>
      <w:tabs>
        <w:tab w:val="left" w:pos="284"/>
      </w:tabs>
      <w:jc w:val="both"/>
    </w:pPr>
    <w:rPr>
      <w:color w:val="000000"/>
      <w:sz w:val="15"/>
    </w:rPr>
  </w:style>
  <w:style w:type="paragraph" w:customStyle="1" w:styleId="ChartGraphic">
    <w:name w:val="Chart Graphic"/>
    <w:basedOn w:val="HeadingBase"/>
    <w:rsid w:val="00D959BC"/>
    <w:rPr>
      <w:sz w:val="20"/>
    </w:rPr>
  </w:style>
  <w:style w:type="paragraph" w:customStyle="1" w:styleId="TableLine">
    <w:name w:val="Table Line"/>
    <w:basedOn w:val="Normal"/>
    <w:next w:val="Normal"/>
    <w:autoRedefine/>
    <w:rsid w:val="00D959BC"/>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959BC"/>
    <w:pPr>
      <w:spacing w:after="60"/>
    </w:pPr>
    <w:rPr>
      <w:sz w:val="19"/>
    </w:rPr>
  </w:style>
  <w:style w:type="character" w:styleId="CommentReference">
    <w:name w:val="annotation reference"/>
    <w:basedOn w:val="DefaultParagraphFont"/>
    <w:rsid w:val="00D959BC"/>
    <w:rPr>
      <w:sz w:val="16"/>
      <w:szCs w:val="16"/>
    </w:rPr>
  </w:style>
  <w:style w:type="paragraph" w:styleId="CommentText">
    <w:name w:val="annotation text"/>
    <w:basedOn w:val="Normal"/>
    <w:link w:val="CommentTextChar"/>
    <w:rsid w:val="00D959BC"/>
  </w:style>
  <w:style w:type="character" w:customStyle="1" w:styleId="CommentTextChar">
    <w:name w:val="Comment Text Char"/>
    <w:basedOn w:val="DefaultParagraphFont"/>
    <w:link w:val="CommentText"/>
    <w:rsid w:val="00D959BC"/>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959BC"/>
    <w:rPr>
      <w:b/>
      <w:bCs/>
    </w:rPr>
  </w:style>
  <w:style w:type="character" w:customStyle="1" w:styleId="CommentSubjectChar">
    <w:name w:val="Comment Subject Char"/>
    <w:basedOn w:val="CommentTextChar"/>
    <w:link w:val="CommentSubject"/>
    <w:semiHidden/>
    <w:rsid w:val="00D959BC"/>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959BC"/>
    <w:pPr>
      <w:spacing w:after="720"/>
      <w:outlineLvl w:val="9"/>
    </w:pPr>
  </w:style>
  <w:style w:type="character" w:styleId="Strong">
    <w:name w:val="Strong"/>
    <w:basedOn w:val="DefaultParagraphFont"/>
    <w:uiPriority w:val="22"/>
    <w:qFormat/>
    <w:rsid w:val="00D959BC"/>
    <w:rPr>
      <w:b/>
      <w:bCs/>
      <w:color w:val="002A54" w:themeColor="text2"/>
    </w:rPr>
  </w:style>
  <w:style w:type="paragraph" w:customStyle="1" w:styleId="Dash">
    <w:name w:val="Dash"/>
    <w:basedOn w:val="Normal"/>
    <w:qFormat/>
    <w:rsid w:val="00D959BC"/>
    <w:pPr>
      <w:numPr>
        <w:ilvl w:val="1"/>
        <w:numId w:val="3"/>
      </w:numPr>
      <w:tabs>
        <w:tab w:val="left" w:pos="567"/>
      </w:tabs>
    </w:pPr>
  </w:style>
  <w:style w:type="paragraph" w:styleId="DocumentMap">
    <w:name w:val="Document Map"/>
    <w:basedOn w:val="Normal"/>
    <w:link w:val="DocumentMapChar"/>
    <w:semiHidden/>
    <w:rsid w:val="00D959BC"/>
    <w:pPr>
      <w:shd w:val="clear" w:color="auto" w:fill="000080"/>
    </w:pPr>
    <w:rPr>
      <w:rFonts w:ascii="Tahoma" w:hAnsi="Tahoma" w:cs="Tahoma"/>
    </w:rPr>
  </w:style>
  <w:style w:type="character" w:customStyle="1" w:styleId="DocumentMapChar">
    <w:name w:val="Document Map Char"/>
    <w:basedOn w:val="DefaultParagraphFont"/>
    <w:link w:val="DocumentMap"/>
    <w:semiHidden/>
    <w:rsid w:val="00D959BC"/>
    <w:rPr>
      <w:rFonts w:ascii="Tahoma" w:eastAsia="Times New Roman" w:hAnsi="Tahoma" w:cs="Tahoma"/>
      <w:sz w:val="19"/>
      <w:szCs w:val="20"/>
      <w:shd w:val="clear" w:color="auto" w:fill="000080"/>
      <w:lang w:eastAsia="en-AU"/>
    </w:rPr>
  </w:style>
  <w:style w:type="paragraph" w:customStyle="1" w:styleId="DoubleDot">
    <w:name w:val="Double Dot"/>
    <w:basedOn w:val="Normal"/>
    <w:rsid w:val="00D959BC"/>
    <w:pPr>
      <w:numPr>
        <w:ilvl w:val="2"/>
        <w:numId w:val="3"/>
      </w:numPr>
      <w:tabs>
        <w:tab w:val="clear" w:pos="850"/>
        <w:tab w:val="num" w:pos="360"/>
        <w:tab w:val="left" w:pos="851"/>
      </w:tabs>
    </w:pPr>
  </w:style>
  <w:style w:type="paragraph" w:customStyle="1" w:styleId="FigureHeading">
    <w:name w:val="Figure Heading"/>
    <w:basedOn w:val="HeadingBase"/>
    <w:next w:val="ChartGraphic"/>
    <w:rsid w:val="00D959BC"/>
    <w:pPr>
      <w:spacing w:before="120" w:after="20"/>
    </w:pPr>
    <w:rPr>
      <w:b/>
      <w:sz w:val="20"/>
    </w:rPr>
  </w:style>
  <w:style w:type="paragraph" w:customStyle="1" w:styleId="FooterBase">
    <w:name w:val="Footer Base"/>
    <w:rsid w:val="00D959BC"/>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959BC"/>
    <w:pPr>
      <w:pBdr>
        <w:top w:val="single" w:sz="4" w:space="10" w:color="002A54" w:themeColor="text2"/>
      </w:pBdr>
      <w:jc w:val="left"/>
    </w:pPr>
    <w:rPr>
      <w:sz w:val="18"/>
    </w:rPr>
  </w:style>
  <w:style w:type="paragraph" w:customStyle="1" w:styleId="FooterOdd">
    <w:name w:val="Footer Odd"/>
    <w:basedOn w:val="Footer"/>
    <w:qFormat/>
    <w:rsid w:val="00D959BC"/>
    <w:pPr>
      <w:pBdr>
        <w:top w:val="single" w:sz="4" w:space="10" w:color="002A54" w:themeColor="text2"/>
      </w:pBdr>
      <w:jc w:val="right"/>
    </w:pPr>
    <w:rPr>
      <w:sz w:val="18"/>
    </w:rPr>
  </w:style>
  <w:style w:type="character" w:styleId="FootnoteReference">
    <w:name w:val="footnote reference"/>
    <w:basedOn w:val="DefaultParagraphFont"/>
    <w:rsid w:val="00D959BC"/>
    <w:rPr>
      <w:vertAlign w:val="superscript"/>
    </w:rPr>
  </w:style>
  <w:style w:type="paragraph" w:styleId="FootnoteText">
    <w:name w:val="footnote text"/>
    <w:basedOn w:val="Normal"/>
    <w:link w:val="FootnoteTextChar"/>
    <w:rsid w:val="00D959BC"/>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959BC"/>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959BC"/>
    <w:rPr>
      <w:rFonts w:ascii="Book Antiqua" w:hAnsi="Book Antiqua"/>
      <w:i/>
      <w:dstrike w:val="0"/>
      <w:color w:val="auto"/>
      <w:sz w:val="20"/>
      <w:vertAlign w:val="baseline"/>
    </w:rPr>
  </w:style>
  <w:style w:type="paragraph" w:customStyle="1" w:styleId="HeaderBase">
    <w:name w:val="Header Base"/>
    <w:rsid w:val="00D959BC"/>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959BC"/>
  </w:style>
  <w:style w:type="paragraph" w:customStyle="1" w:styleId="HeaderOdd">
    <w:name w:val="Header Odd"/>
    <w:basedOn w:val="HeaderBase"/>
    <w:rsid w:val="00D959BC"/>
    <w:pPr>
      <w:jc w:val="right"/>
    </w:pPr>
  </w:style>
  <w:style w:type="character" w:customStyle="1" w:styleId="Heading1Char">
    <w:name w:val="Heading 1 Char"/>
    <w:basedOn w:val="DefaultParagraphFont"/>
    <w:link w:val="Heading1"/>
    <w:rsid w:val="00D959BC"/>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959BC"/>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959BC"/>
    <w:rPr>
      <w:rFonts w:ascii="Arial Bold" w:eastAsia="Times New Roman" w:hAnsi="Arial Bold" w:cs="Times New Roman"/>
      <w:b/>
      <w:szCs w:val="20"/>
      <w:lang w:eastAsia="en-AU"/>
    </w:rPr>
  </w:style>
  <w:style w:type="paragraph" w:customStyle="1" w:styleId="Heading3noTOC">
    <w:name w:val="Heading 3 no TOC"/>
    <w:basedOn w:val="Heading3"/>
    <w:rsid w:val="00D959BC"/>
    <w:pPr>
      <w:outlineLvl w:val="9"/>
    </w:pPr>
  </w:style>
  <w:style w:type="character" w:customStyle="1" w:styleId="Heading4Char">
    <w:name w:val="Heading 4 Char"/>
    <w:basedOn w:val="DefaultParagraphFont"/>
    <w:link w:val="Heading4"/>
    <w:rsid w:val="00D959BC"/>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959BC"/>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959BC"/>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959BC"/>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959BC"/>
    <w:rPr>
      <w:rFonts w:ascii="Times New Roman" w:hAnsi="Times New Roman"/>
      <w:vanish/>
      <w:sz w:val="16"/>
    </w:rPr>
  </w:style>
  <w:style w:type="character" w:styleId="Hyperlink">
    <w:name w:val="Hyperlink"/>
    <w:basedOn w:val="DefaultParagraphFont"/>
    <w:uiPriority w:val="99"/>
    <w:unhideWhenUsed/>
    <w:rsid w:val="00D959BC"/>
    <w:rPr>
      <w:color w:val="auto"/>
      <w:u w:val="single"/>
    </w:rPr>
  </w:style>
  <w:style w:type="paragraph" w:styleId="Index4">
    <w:name w:val="index 4"/>
    <w:basedOn w:val="Normal"/>
    <w:next w:val="Normal"/>
    <w:autoRedefine/>
    <w:semiHidden/>
    <w:rsid w:val="00D959BC"/>
    <w:pPr>
      <w:ind w:left="800" w:hanging="200"/>
    </w:pPr>
  </w:style>
  <w:style w:type="paragraph" w:styleId="Index5">
    <w:name w:val="index 5"/>
    <w:basedOn w:val="Normal"/>
    <w:next w:val="Normal"/>
    <w:autoRedefine/>
    <w:semiHidden/>
    <w:rsid w:val="00D959BC"/>
    <w:pPr>
      <w:ind w:left="1000" w:hanging="200"/>
    </w:pPr>
  </w:style>
  <w:style w:type="paragraph" w:styleId="Index6">
    <w:name w:val="index 6"/>
    <w:basedOn w:val="Normal"/>
    <w:next w:val="Normal"/>
    <w:autoRedefine/>
    <w:semiHidden/>
    <w:rsid w:val="00D959BC"/>
    <w:pPr>
      <w:ind w:left="1200" w:hanging="200"/>
    </w:pPr>
  </w:style>
  <w:style w:type="paragraph" w:styleId="Index7">
    <w:name w:val="index 7"/>
    <w:basedOn w:val="Normal"/>
    <w:next w:val="Normal"/>
    <w:autoRedefine/>
    <w:semiHidden/>
    <w:rsid w:val="00D959BC"/>
    <w:pPr>
      <w:ind w:left="1400" w:hanging="200"/>
    </w:pPr>
  </w:style>
  <w:style w:type="paragraph" w:styleId="Index8">
    <w:name w:val="index 8"/>
    <w:basedOn w:val="Normal"/>
    <w:next w:val="Normal"/>
    <w:autoRedefine/>
    <w:semiHidden/>
    <w:rsid w:val="00D959BC"/>
    <w:pPr>
      <w:ind w:left="1600" w:hanging="200"/>
    </w:pPr>
  </w:style>
  <w:style w:type="paragraph" w:styleId="Index9">
    <w:name w:val="index 9"/>
    <w:basedOn w:val="Normal"/>
    <w:next w:val="Normal"/>
    <w:autoRedefine/>
    <w:semiHidden/>
    <w:rsid w:val="00D959BC"/>
    <w:pPr>
      <w:ind w:left="1800" w:hanging="200"/>
    </w:pPr>
  </w:style>
  <w:style w:type="paragraph" w:styleId="MacroText">
    <w:name w:val="macro"/>
    <w:link w:val="MacroTextChar"/>
    <w:unhideWhenUsed/>
    <w:rsid w:val="00D959BC"/>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959BC"/>
    <w:rPr>
      <w:rFonts w:ascii="Courier New" w:eastAsia="Times New Roman" w:hAnsi="Courier New" w:cs="Courier New"/>
      <w:sz w:val="20"/>
      <w:szCs w:val="20"/>
      <w:lang w:eastAsia="en-AU"/>
    </w:rPr>
  </w:style>
  <w:style w:type="paragraph" w:styleId="NormalIndent">
    <w:name w:val="Normal Indent"/>
    <w:basedOn w:val="Normal"/>
    <w:rsid w:val="00D959BC"/>
    <w:pPr>
      <w:ind w:left="567"/>
    </w:pPr>
  </w:style>
  <w:style w:type="paragraph" w:customStyle="1" w:styleId="NoteTableHeading">
    <w:name w:val="Note Table Heading"/>
    <w:basedOn w:val="HeadingBase"/>
    <w:next w:val="Normal"/>
    <w:rsid w:val="00D959BC"/>
    <w:pPr>
      <w:spacing w:before="240"/>
    </w:pPr>
    <w:rPr>
      <w:b/>
      <w:sz w:val="20"/>
    </w:rPr>
  </w:style>
  <w:style w:type="paragraph" w:customStyle="1" w:styleId="OverviewParagraph">
    <w:name w:val="Overview Paragraph"/>
    <w:basedOn w:val="Normal"/>
    <w:rsid w:val="00D959BC"/>
    <w:pPr>
      <w:spacing w:before="120" w:after="120" w:line="240" w:lineRule="auto"/>
    </w:pPr>
  </w:style>
  <w:style w:type="character" w:styleId="PageNumber">
    <w:name w:val="page number"/>
    <w:basedOn w:val="DefaultParagraphFont"/>
    <w:rsid w:val="00D959BC"/>
    <w:rPr>
      <w:rFonts w:ascii="Arial" w:hAnsi="Arial" w:cs="Arial"/>
    </w:rPr>
  </w:style>
  <w:style w:type="paragraph" w:customStyle="1" w:styleId="SingleParagraph">
    <w:name w:val="Single Paragraph"/>
    <w:basedOn w:val="Normal"/>
    <w:rsid w:val="00D959BC"/>
    <w:pPr>
      <w:spacing w:before="0" w:after="0"/>
    </w:pPr>
  </w:style>
  <w:style w:type="paragraph" w:customStyle="1" w:styleId="Source">
    <w:name w:val="Source"/>
    <w:basedOn w:val="Normal"/>
    <w:rsid w:val="00D959BC"/>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959BC"/>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959BC"/>
    <w:pPr>
      <w:jc w:val="center"/>
    </w:pPr>
  </w:style>
  <w:style w:type="paragraph" w:customStyle="1" w:styleId="TableColumnHeadingLeft">
    <w:name w:val="Table Column Heading Left"/>
    <w:basedOn w:val="TableColumnHeadingBase"/>
    <w:next w:val="Normal"/>
    <w:rsid w:val="00D959BC"/>
  </w:style>
  <w:style w:type="paragraph" w:customStyle="1" w:styleId="TableColumnHeadingRight">
    <w:name w:val="Table Column Heading Right"/>
    <w:basedOn w:val="TableColumnHeadingBase"/>
    <w:next w:val="Normal"/>
    <w:rsid w:val="00D959BC"/>
    <w:pPr>
      <w:jc w:val="right"/>
    </w:pPr>
  </w:style>
  <w:style w:type="paragraph" w:customStyle="1" w:styleId="TableGraphic">
    <w:name w:val="Table Graphic"/>
    <w:basedOn w:val="Normal"/>
    <w:next w:val="Normal"/>
    <w:link w:val="TableGraphicChar"/>
    <w:rsid w:val="00D959BC"/>
    <w:pPr>
      <w:spacing w:after="0" w:line="240" w:lineRule="auto"/>
      <w:ind w:right="-113"/>
    </w:pPr>
  </w:style>
  <w:style w:type="table" w:styleId="TableGrid">
    <w:name w:val="Table Grid"/>
    <w:basedOn w:val="TableNormal"/>
    <w:rsid w:val="00D959BC"/>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959BC"/>
    <w:pPr>
      <w:spacing w:before="120" w:after="20"/>
    </w:pPr>
    <w:rPr>
      <w:b/>
      <w:sz w:val="20"/>
    </w:rPr>
  </w:style>
  <w:style w:type="paragraph" w:customStyle="1" w:styleId="TableHeadingcontinued">
    <w:name w:val="Table Heading continued"/>
    <w:basedOn w:val="HeadingBase"/>
    <w:next w:val="TableGraphic"/>
    <w:rsid w:val="00D959BC"/>
    <w:pPr>
      <w:spacing w:before="120" w:after="20"/>
    </w:pPr>
    <w:rPr>
      <w:rFonts w:ascii="Arial Bold" w:hAnsi="Arial Bold"/>
      <w:b/>
      <w:sz w:val="20"/>
    </w:rPr>
  </w:style>
  <w:style w:type="paragraph" w:styleId="TableofFigures">
    <w:name w:val="table of figures"/>
    <w:basedOn w:val="Normal"/>
    <w:next w:val="Normal"/>
    <w:rsid w:val="00D959BC"/>
  </w:style>
  <w:style w:type="paragraph" w:customStyle="1" w:styleId="TableTextBase">
    <w:name w:val="Table Text Base"/>
    <w:basedOn w:val="Normal"/>
    <w:rsid w:val="00D959BC"/>
    <w:pPr>
      <w:spacing w:before="20" w:after="20" w:line="240" w:lineRule="auto"/>
    </w:pPr>
    <w:rPr>
      <w:rFonts w:ascii="Arial" w:hAnsi="Arial"/>
      <w:sz w:val="16"/>
    </w:rPr>
  </w:style>
  <w:style w:type="paragraph" w:customStyle="1" w:styleId="TableTextCentred">
    <w:name w:val="Table Text Centred"/>
    <w:basedOn w:val="TableTextBase"/>
    <w:rsid w:val="00D959BC"/>
    <w:pPr>
      <w:jc w:val="center"/>
    </w:pPr>
  </w:style>
  <w:style w:type="paragraph" w:customStyle="1" w:styleId="TableTextIndented">
    <w:name w:val="Table Text Indented"/>
    <w:basedOn w:val="TableTextBase"/>
    <w:rsid w:val="00D959BC"/>
    <w:pPr>
      <w:ind w:left="284"/>
    </w:pPr>
  </w:style>
  <w:style w:type="paragraph" w:customStyle="1" w:styleId="TableTextLeft">
    <w:name w:val="Table Text Left"/>
    <w:basedOn w:val="TableTextBase"/>
    <w:rsid w:val="00D959BC"/>
  </w:style>
  <w:style w:type="paragraph" w:customStyle="1" w:styleId="TableTextRight">
    <w:name w:val="Table Text Right"/>
    <w:basedOn w:val="TableTextBase"/>
    <w:rsid w:val="00D959BC"/>
    <w:pPr>
      <w:jc w:val="right"/>
    </w:pPr>
  </w:style>
  <w:style w:type="paragraph" w:styleId="TOAHeading">
    <w:name w:val="toa heading"/>
    <w:basedOn w:val="Normal"/>
    <w:next w:val="Normal"/>
    <w:rsid w:val="00D959BC"/>
    <w:pPr>
      <w:spacing w:before="120"/>
    </w:pPr>
    <w:rPr>
      <w:rFonts w:ascii="Arial" w:hAnsi="Arial" w:cs="Arial"/>
      <w:b/>
      <w:bCs/>
      <w:sz w:val="24"/>
      <w:szCs w:val="24"/>
    </w:rPr>
  </w:style>
  <w:style w:type="paragraph" w:styleId="TOC1">
    <w:name w:val="toc 1"/>
    <w:basedOn w:val="HeaderBase"/>
    <w:next w:val="Normal"/>
    <w:uiPriority w:val="2"/>
    <w:rsid w:val="00D959B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D959B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959BC"/>
    <w:pPr>
      <w:tabs>
        <w:tab w:val="right" w:leader="dot" w:pos="7700"/>
      </w:tabs>
      <w:spacing w:before="40"/>
      <w:ind w:right="851"/>
    </w:pPr>
    <w:rPr>
      <w:sz w:val="20"/>
    </w:rPr>
  </w:style>
  <w:style w:type="paragraph" w:styleId="TOC4">
    <w:name w:val="toc 4"/>
    <w:basedOn w:val="HeadingBase"/>
    <w:next w:val="Normal"/>
    <w:uiPriority w:val="2"/>
    <w:unhideWhenUsed/>
    <w:rsid w:val="00D959BC"/>
    <w:pPr>
      <w:tabs>
        <w:tab w:val="right" w:leader="dot" w:pos="7700"/>
      </w:tabs>
      <w:spacing w:before="40"/>
      <w:ind w:right="851"/>
    </w:pPr>
    <w:rPr>
      <w:sz w:val="20"/>
    </w:rPr>
  </w:style>
  <w:style w:type="paragraph" w:styleId="TOC5">
    <w:name w:val="toc 5"/>
    <w:basedOn w:val="Normal"/>
    <w:next w:val="Normal"/>
    <w:autoRedefine/>
    <w:uiPriority w:val="2"/>
    <w:semiHidden/>
    <w:rsid w:val="00D959BC"/>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959BC"/>
    <w:pPr>
      <w:tabs>
        <w:tab w:val="left" w:pos="851"/>
      </w:tabs>
      <w:ind w:left="851" w:hanging="851"/>
    </w:pPr>
    <w:rPr>
      <w:color w:val="000000"/>
    </w:rPr>
  </w:style>
  <w:style w:type="paragraph" w:styleId="TOC7">
    <w:name w:val="toc 7"/>
    <w:basedOn w:val="Normal"/>
    <w:next w:val="Normal"/>
    <w:autoRedefine/>
    <w:uiPriority w:val="2"/>
    <w:semiHidden/>
    <w:rsid w:val="00D959BC"/>
    <w:pPr>
      <w:ind w:left="1200"/>
    </w:pPr>
  </w:style>
  <w:style w:type="paragraph" w:styleId="TOC8">
    <w:name w:val="toc 8"/>
    <w:basedOn w:val="Normal"/>
    <w:next w:val="Normal"/>
    <w:autoRedefine/>
    <w:uiPriority w:val="2"/>
    <w:semiHidden/>
    <w:rsid w:val="00D959BC"/>
    <w:pPr>
      <w:ind w:left="1400"/>
    </w:pPr>
  </w:style>
  <w:style w:type="paragraph" w:styleId="TOC9">
    <w:name w:val="toc 9"/>
    <w:basedOn w:val="Normal"/>
    <w:next w:val="Normal"/>
    <w:autoRedefine/>
    <w:uiPriority w:val="2"/>
    <w:semiHidden/>
    <w:rsid w:val="00D959BC"/>
    <w:pPr>
      <w:ind w:left="1600"/>
    </w:pPr>
  </w:style>
  <w:style w:type="paragraph" w:customStyle="1" w:styleId="TPHeading1">
    <w:name w:val="TP Heading 1"/>
    <w:basedOn w:val="HeadingBase"/>
    <w:semiHidden/>
    <w:rsid w:val="00D959BC"/>
    <w:pPr>
      <w:spacing w:before="60" w:after="60"/>
      <w:ind w:left="1134"/>
    </w:pPr>
    <w:rPr>
      <w:rFonts w:ascii="Arial Bold" w:hAnsi="Arial Bold"/>
      <w:b/>
      <w:caps/>
      <w:spacing w:val="-10"/>
      <w:sz w:val="28"/>
    </w:rPr>
  </w:style>
  <w:style w:type="paragraph" w:customStyle="1" w:styleId="TPHeading2">
    <w:name w:val="TP Heading 2"/>
    <w:basedOn w:val="HeadingBase"/>
    <w:semiHidden/>
    <w:rsid w:val="00D959BC"/>
    <w:pPr>
      <w:ind w:left="1134"/>
    </w:pPr>
    <w:rPr>
      <w:caps/>
      <w:spacing w:val="-10"/>
      <w:sz w:val="28"/>
    </w:rPr>
  </w:style>
  <w:style w:type="paragraph" w:customStyle="1" w:styleId="TPHeading3">
    <w:name w:val="TP Heading 3"/>
    <w:basedOn w:val="HeadingBase"/>
    <w:semiHidden/>
    <w:rsid w:val="00D959BC"/>
    <w:pPr>
      <w:ind w:left="1134"/>
    </w:pPr>
    <w:rPr>
      <w:caps/>
      <w:spacing w:val="-10"/>
    </w:rPr>
  </w:style>
  <w:style w:type="paragraph" w:customStyle="1" w:styleId="TPHeading3bold">
    <w:name w:val="TP Heading 3 bold"/>
    <w:basedOn w:val="TPHeading3"/>
    <w:semiHidden/>
    <w:rsid w:val="00D959BC"/>
    <w:rPr>
      <w:rFonts w:cs="Arial"/>
      <w:b/>
      <w:sz w:val="22"/>
      <w:szCs w:val="22"/>
    </w:rPr>
  </w:style>
  <w:style w:type="paragraph" w:customStyle="1" w:styleId="TPHEADING3boldspace">
    <w:name w:val="TP HEADING 3 bold space"/>
    <w:basedOn w:val="TPHeading3bold"/>
    <w:semiHidden/>
    <w:rsid w:val="00D959BC"/>
    <w:pPr>
      <w:spacing w:after="120"/>
    </w:pPr>
  </w:style>
  <w:style w:type="paragraph" w:customStyle="1" w:styleId="TPHEADING3space">
    <w:name w:val="TP HEADING 3 space"/>
    <w:basedOn w:val="TPHeading3"/>
    <w:semiHidden/>
    <w:rsid w:val="00D959BC"/>
    <w:pPr>
      <w:spacing w:before="120" w:after="120"/>
    </w:pPr>
    <w:rPr>
      <w:rFonts w:cs="Arial"/>
      <w:sz w:val="22"/>
      <w:szCs w:val="22"/>
    </w:rPr>
  </w:style>
  <w:style w:type="paragraph" w:customStyle="1" w:styleId="TPHeading4">
    <w:name w:val="TP Heading 4"/>
    <w:basedOn w:val="TPHeading3"/>
    <w:semiHidden/>
    <w:rsid w:val="00D959BC"/>
    <w:rPr>
      <w:sz w:val="20"/>
    </w:rPr>
  </w:style>
  <w:style w:type="paragraph" w:customStyle="1" w:styleId="TPHEADING4space">
    <w:name w:val="TP HEADING 4 space"/>
    <w:basedOn w:val="TPHEADING3space"/>
    <w:semiHidden/>
    <w:rsid w:val="00D959BC"/>
  </w:style>
  <w:style w:type="paragraph" w:customStyle="1" w:styleId="ChartLine">
    <w:name w:val="Chart Line"/>
    <w:basedOn w:val="Normal"/>
    <w:autoRedefine/>
    <w:qFormat/>
    <w:rsid w:val="00D959BC"/>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959BC"/>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959BC"/>
    <w:rPr>
      <w:sz w:val="16"/>
    </w:rPr>
  </w:style>
  <w:style w:type="paragraph" w:customStyle="1" w:styleId="Box-continuedon">
    <w:name w:val="Box - continued on"/>
    <w:basedOn w:val="Normal"/>
    <w:qFormat/>
    <w:rsid w:val="00D959BC"/>
    <w:pPr>
      <w:jc w:val="right"/>
    </w:pPr>
    <w:rPr>
      <w:rFonts w:asciiTheme="majorHAnsi" w:hAnsiTheme="majorHAnsi" w:cstheme="majorHAnsi"/>
      <w:i/>
      <w:iCs/>
      <w:sz w:val="18"/>
      <w:szCs w:val="24"/>
    </w:rPr>
  </w:style>
  <w:style w:type="paragraph" w:customStyle="1" w:styleId="BoxHeading2">
    <w:name w:val="Box Heading 2"/>
    <w:basedOn w:val="BoxHeading"/>
    <w:autoRedefine/>
    <w:rsid w:val="00D959BC"/>
    <w:pPr>
      <w:spacing w:after="0"/>
    </w:pPr>
    <w:rPr>
      <w:b w:val="0"/>
      <w:bCs/>
      <w:szCs w:val="14"/>
    </w:rPr>
  </w:style>
  <w:style w:type="character" w:customStyle="1" w:styleId="Heading9Char">
    <w:name w:val="Heading 9 Char"/>
    <w:basedOn w:val="DefaultParagraphFont"/>
    <w:link w:val="Heading9"/>
    <w:uiPriority w:val="9"/>
    <w:rsid w:val="00D959BC"/>
    <w:rPr>
      <w:rFonts w:ascii="Cambria" w:eastAsia="Times New Roman" w:hAnsi="Cambria" w:cs="Times New Roman"/>
      <w:lang w:eastAsia="en-AU"/>
    </w:rPr>
  </w:style>
  <w:style w:type="paragraph" w:customStyle="1" w:styleId="GhostLine">
    <w:name w:val="Ghost Line"/>
    <w:basedOn w:val="NoSpacing"/>
    <w:qFormat/>
    <w:rsid w:val="00D959BC"/>
    <w:pPr>
      <w:jc w:val="both"/>
    </w:pPr>
    <w:rPr>
      <w:rFonts w:ascii="Book Antiqua" w:hAnsi="Book Antiqua"/>
      <w:sz w:val="2"/>
    </w:rPr>
  </w:style>
  <w:style w:type="paragraph" w:styleId="NoSpacing">
    <w:name w:val="No Spacing"/>
    <w:uiPriority w:val="1"/>
    <w:qFormat/>
    <w:rsid w:val="00D959BC"/>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rsid w:val="00C855DF"/>
    <w:rPr>
      <w:rFonts w:ascii="Arial" w:eastAsia="Times New Roman" w:hAnsi="Arial" w:cs="Times New Roman"/>
      <w:color w:val="000000"/>
      <w:sz w:val="16"/>
      <w:szCs w:val="20"/>
      <w:lang w:eastAsia="en-AU"/>
    </w:rPr>
  </w:style>
  <w:style w:type="paragraph" w:customStyle="1" w:styleId="StatementWhite">
    <w:name w:val="Statement White"/>
    <w:basedOn w:val="Normal"/>
    <w:autoRedefine/>
    <w:qFormat/>
    <w:rsid w:val="00C855DF"/>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C855DF"/>
    <w:pPr>
      <w:pBdr>
        <w:top w:val="single" w:sz="4" w:space="10" w:color="FFFFFF" w:themeColor="background1"/>
      </w:pBdr>
    </w:pPr>
    <w:rPr>
      <w:color w:val="FFFFFF" w:themeColor="background1"/>
    </w:rPr>
  </w:style>
  <w:style w:type="paragraph" w:customStyle="1" w:styleId="BoxSubHeading">
    <w:name w:val="Box Sub Heading"/>
    <w:basedOn w:val="Heading6"/>
    <w:rsid w:val="00C855DF"/>
    <w:pPr>
      <w:spacing w:before="120" w:after="40"/>
    </w:pPr>
  </w:style>
  <w:style w:type="paragraph" w:customStyle="1" w:styleId="ChartHeading">
    <w:name w:val="Chart Heading"/>
    <w:basedOn w:val="HeadingBase"/>
    <w:next w:val="ChartGraphic"/>
    <w:qFormat/>
    <w:rsid w:val="00C855DF"/>
    <w:pPr>
      <w:spacing w:before="120" w:after="20"/>
    </w:pPr>
    <w:rPr>
      <w:b/>
      <w:sz w:val="20"/>
    </w:rPr>
  </w:style>
  <w:style w:type="character" w:styleId="EndnoteReference">
    <w:name w:val="endnote reference"/>
    <w:basedOn w:val="DefaultParagraphFont"/>
    <w:unhideWhenUsed/>
    <w:rsid w:val="00C855DF"/>
    <w:rPr>
      <w:vertAlign w:val="superscript"/>
    </w:rPr>
  </w:style>
  <w:style w:type="paragraph" w:styleId="EndnoteText">
    <w:name w:val="endnote text"/>
    <w:basedOn w:val="Normal"/>
    <w:link w:val="EndnoteTextChar"/>
    <w:unhideWhenUsed/>
    <w:rsid w:val="00C855DF"/>
    <w:rPr>
      <w:rFonts w:asciiTheme="minorHAnsi" w:hAnsiTheme="minorHAnsi"/>
    </w:rPr>
  </w:style>
  <w:style w:type="character" w:customStyle="1" w:styleId="EndnoteTextChar">
    <w:name w:val="Endnote Text Char"/>
    <w:basedOn w:val="DefaultParagraphFont"/>
    <w:link w:val="EndnoteText"/>
    <w:rsid w:val="00C855DF"/>
    <w:rPr>
      <w:rFonts w:eastAsia="Times New Roman" w:cs="Times New Roman"/>
      <w:sz w:val="19"/>
      <w:szCs w:val="20"/>
      <w:lang w:eastAsia="en-AU"/>
    </w:rPr>
  </w:style>
  <w:style w:type="paragraph" w:styleId="Index1">
    <w:name w:val="index 1"/>
    <w:basedOn w:val="Normal"/>
    <w:next w:val="Normal"/>
    <w:rsid w:val="00C855DF"/>
    <w:pPr>
      <w:ind w:left="200" w:hanging="200"/>
    </w:pPr>
    <w:rPr>
      <w:rFonts w:asciiTheme="minorHAnsi" w:hAnsiTheme="minorHAnsi"/>
    </w:rPr>
  </w:style>
  <w:style w:type="paragraph" w:styleId="Index2">
    <w:name w:val="index 2"/>
    <w:basedOn w:val="Normal"/>
    <w:next w:val="Normal"/>
    <w:rsid w:val="00C855DF"/>
    <w:pPr>
      <w:ind w:left="400" w:hanging="200"/>
    </w:pPr>
    <w:rPr>
      <w:rFonts w:asciiTheme="minorHAnsi" w:hAnsiTheme="minorHAnsi"/>
    </w:rPr>
  </w:style>
  <w:style w:type="paragraph" w:styleId="Index3">
    <w:name w:val="index 3"/>
    <w:basedOn w:val="Normal"/>
    <w:next w:val="Normal"/>
    <w:rsid w:val="00C855DF"/>
    <w:pPr>
      <w:ind w:left="600" w:hanging="200"/>
    </w:pPr>
    <w:rPr>
      <w:rFonts w:asciiTheme="minorHAnsi" w:hAnsiTheme="minorHAnsi"/>
    </w:rPr>
  </w:style>
  <w:style w:type="paragraph" w:styleId="IndexHeading">
    <w:name w:val="index heading"/>
    <w:basedOn w:val="Normal"/>
    <w:next w:val="Index1"/>
    <w:rsid w:val="00C855DF"/>
    <w:rPr>
      <w:rFonts w:ascii="Arial Bold" w:hAnsi="Arial Bold" w:cs="Arial"/>
      <w:b/>
      <w:bCs/>
      <w:color w:val="002B54"/>
    </w:rPr>
  </w:style>
  <w:style w:type="paragraph" w:styleId="TableofAuthorities">
    <w:name w:val="table of authorities"/>
    <w:basedOn w:val="Normal"/>
    <w:next w:val="Normal"/>
    <w:rsid w:val="00C855DF"/>
    <w:pPr>
      <w:ind w:left="200" w:hanging="200"/>
    </w:pPr>
    <w:rPr>
      <w:rFonts w:asciiTheme="minorHAnsi" w:hAnsiTheme="minorHAnsi"/>
    </w:rPr>
  </w:style>
  <w:style w:type="paragraph" w:customStyle="1" w:styleId="StatementWhite-Bullet">
    <w:name w:val="Statement White - Bullet"/>
    <w:basedOn w:val="Bullet"/>
    <w:qFormat/>
    <w:rsid w:val="00C855DF"/>
    <w:pPr>
      <w:numPr>
        <w:numId w:val="0"/>
      </w:numPr>
      <w:tabs>
        <w:tab w:val="num" w:pos="283"/>
      </w:tabs>
      <w:ind w:left="284" w:hanging="284"/>
    </w:pPr>
    <w:rPr>
      <w:rFonts w:asciiTheme="minorHAnsi" w:hAnsiTheme="minorHAnsi"/>
      <w:color w:val="FFFFFF" w:themeColor="background1"/>
    </w:rPr>
  </w:style>
  <w:style w:type="character" w:customStyle="1" w:styleId="BoxTextChar">
    <w:name w:val="Box Text Char"/>
    <w:link w:val="BoxText"/>
    <w:rsid w:val="00C855DF"/>
    <w:rPr>
      <w:rFonts w:ascii="Book Antiqua" w:eastAsia="Times New Roman" w:hAnsi="Book Antiqua" w:cs="Times New Roman"/>
      <w:sz w:val="19"/>
      <w:szCs w:val="20"/>
      <w:lang w:eastAsia="en-AU"/>
    </w:rPr>
  </w:style>
  <w:style w:type="character" w:customStyle="1" w:styleId="BulletChar">
    <w:name w:val="Bullet Char"/>
    <w:aliases w:val="b Char,Body Char,Bullet + line Char,b + line Char,b + line Char Char,b Char Char,b1 Char,level 1 Char,Bullets Char,Number Char,L Char,List Paragraph Char,List Paragraph1 Char,List Paragraph11 Char,List Paragraph2 Char,Recommendation Char"/>
    <w:link w:val="Bullet"/>
    <w:qFormat/>
    <w:locked/>
    <w:rsid w:val="00C855DF"/>
    <w:rPr>
      <w:rFonts w:ascii="Book Antiqua" w:eastAsia="Times New Roman" w:hAnsi="Book Antiqua" w:cs="Times New Roman"/>
      <w:sz w:val="19"/>
      <w:szCs w:val="20"/>
      <w:lang w:eastAsia="en-AU"/>
    </w:rPr>
  </w:style>
  <w:style w:type="paragraph" w:customStyle="1" w:styleId="BlockedQuotation">
    <w:name w:val="Blocked Quotation"/>
    <w:basedOn w:val="Normal"/>
    <w:rsid w:val="00C855DF"/>
    <w:pPr>
      <w:spacing w:before="0" w:line="260" w:lineRule="exact"/>
      <w:ind w:left="567"/>
      <w:jc w:val="both"/>
    </w:pPr>
    <w:rPr>
      <w:sz w:val="20"/>
    </w:rPr>
  </w:style>
  <w:style w:type="paragraph" w:customStyle="1" w:styleId="AppendixHeading">
    <w:name w:val="Appendix Heading"/>
    <w:basedOn w:val="HeadingBase"/>
    <w:rsid w:val="00C855DF"/>
    <w:pPr>
      <w:spacing w:after="240"/>
      <w:outlineLvl w:val="3"/>
    </w:pPr>
    <w:rPr>
      <w:rFonts w:ascii="Arial Bold" w:hAnsi="Arial Bold"/>
      <w:b/>
      <w:sz w:val="30"/>
    </w:rPr>
  </w:style>
  <w:style w:type="paragraph" w:styleId="BalloonText">
    <w:name w:val="Balloon Text"/>
    <w:basedOn w:val="Normal"/>
    <w:link w:val="BalloonTextChar"/>
    <w:rsid w:val="00C855DF"/>
    <w:pPr>
      <w:spacing w:before="0" w:line="260" w:lineRule="exact"/>
      <w:jc w:val="both"/>
    </w:pPr>
    <w:rPr>
      <w:rFonts w:ascii="Tahoma" w:hAnsi="Tahoma" w:cs="Tahoma"/>
      <w:sz w:val="16"/>
      <w:szCs w:val="16"/>
    </w:rPr>
  </w:style>
  <w:style w:type="character" w:customStyle="1" w:styleId="BalloonTextChar">
    <w:name w:val="Balloon Text Char"/>
    <w:basedOn w:val="DefaultParagraphFont"/>
    <w:link w:val="BalloonText"/>
    <w:rsid w:val="00C855DF"/>
    <w:rPr>
      <w:rFonts w:ascii="Tahoma" w:eastAsia="Times New Roman" w:hAnsi="Tahoma" w:cs="Tahoma"/>
      <w:sz w:val="16"/>
      <w:szCs w:val="16"/>
      <w:lang w:eastAsia="en-AU"/>
    </w:rPr>
  </w:style>
  <w:style w:type="paragraph" w:customStyle="1" w:styleId="ContentsnoToC">
    <w:name w:val="Contents no ToC"/>
    <w:basedOn w:val="ContentsHeading"/>
    <w:rsid w:val="00C855DF"/>
    <w:pPr>
      <w:jc w:val="center"/>
    </w:pPr>
    <w:rPr>
      <w:kern w:val="0"/>
    </w:rPr>
  </w:style>
  <w:style w:type="paragraph" w:customStyle="1" w:styleId="SourceBox">
    <w:name w:val="Source Box"/>
    <w:basedOn w:val="Source"/>
    <w:rsid w:val="00C855DF"/>
    <w:pPr>
      <w:spacing w:before="0" w:after="120"/>
      <w:jc w:val="both"/>
    </w:pPr>
  </w:style>
  <w:style w:type="paragraph" w:customStyle="1" w:styleId="TableColumnHeadingS118pt">
    <w:name w:val="Table Column Heading S11 8 pt"/>
    <w:basedOn w:val="TableColumnHeadingBase"/>
    <w:rsid w:val="00C855DF"/>
    <w:pPr>
      <w:spacing w:after="0"/>
    </w:pPr>
    <w:rPr>
      <w:rFonts w:ascii="Arial" w:hAnsi="Arial"/>
    </w:rPr>
  </w:style>
  <w:style w:type="paragraph" w:customStyle="1" w:styleId="TableColumnHeadingS119pt">
    <w:name w:val="Table Column Heading S11 9 pt"/>
    <w:basedOn w:val="TableColumnHeadingBase"/>
    <w:rsid w:val="00C855DF"/>
    <w:pPr>
      <w:spacing w:before="60" w:after="60"/>
    </w:pPr>
    <w:rPr>
      <w:rFonts w:ascii="Arial" w:hAnsi="Arial"/>
      <w:sz w:val="18"/>
    </w:rPr>
  </w:style>
  <w:style w:type="paragraph" w:customStyle="1" w:styleId="Boxcontinuedover">
    <w:name w:val="Box continued over"/>
    <w:basedOn w:val="BoxText"/>
    <w:qFormat/>
    <w:rsid w:val="00C855DF"/>
    <w:pPr>
      <w:spacing w:before="240" w:after="0"/>
      <w:jc w:val="right"/>
    </w:pPr>
    <w:rPr>
      <w:rFonts w:ascii="Arial" w:hAnsi="Arial"/>
      <w:b/>
      <w:bCs/>
      <w:sz w:val="18"/>
      <w:szCs w:val="16"/>
    </w:rPr>
  </w:style>
  <w:style w:type="character" w:customStyle="1" w:styleId="TableGraphicChar">
    <w:name w:val="Table Graphic Char"/>
    <w:link w:val="TableGraphic"/>
    <w:rsid w:val="00C855DF"/>
    <w:rPr>
      <w:rFonts w:ascii="Book Antiqua" w:eastAsia="Times New Roman" w:hAnsi="Book Antiqua" w:cs="Times New Roman"/>
      <w:sz w:val="19"/>
      <w:szCs w:val="20"/>
      <w:lang w:eastAsia="en-AU"/>
    </w:rPr>
  </w:style>
  <w:style w:type="paragraph" w:styleId="BodyText">
    <w:name w:val="Body Text"/>
    <w:basedOn w:val="Normal"/>
    <w:link w:val="BodyTextChar"/>
    <w:uiPriority w:val="1"/>
    <w:qFormat/>
    <w:rsid w:val="00C855DF"/>
    <w:pPr>
      <w:widowControl w:val="0"/>
      <w:spacing w:before="0" w:after="0" w:line="240" w:lineRule="auto"/>
    </w:pPr>
    <w:rPr>
      <w:rFonts w:eastAsia="Book Antiqua" w:cs="Book Antiqua"/>
      <w:sz w:val="20"/>
      <w:lang w:val="en-US" w:eastAsia="en-US"/>
    </w:rPr>
  </w:style>
  <w:style w:type="character" w:customStyle="1" w:styleId="BodyTextChar">
    <w:name w:val="Body Text Char"/>
    <w:basedOn w:val="DefaultParagraphFont"/>
    <w:link w:val="BodyText"/>
    <w:uiPriority w:val="1"/>
    <w:rsid w:val="00C855DF"/>
    <w:rPr>
      <w:rFonts w:ascii="Book Antiqua" w:eastAsia="Book Antiqua" w:hAnsi="Book Antiqua" w:cs="Book Antiqua"/>
      <w:sz w:val="20"/>
      <w:szCs w:val="20"/>
      <w:lang w:val="en-US"/>
    </w:rPr>
  </w:style>
  <w:style w:type="paragraph" w:styleId="Revision">
    <w:name w:val="Revision"/>
    <w:hidden/>
    <w:uiPriority w:val="99"/>
    <w:semiHidden/>
    <w:rsid w:val="00C855DF"/>
    <w:pPr>
      <w:spacing w:after="0" w:line="240" w:lineRule="auto"/>
    </w:pPr>
    <w:rPr>
      <w:rFonts w:ascii="Book Antiqua" w:eastAsia="Times New Roman" w:hAnsi="Book Antiqua" w:cs="Times New Roman"/>
      <w:sz w:val="20"/>
      <w:szCs w:val="20"/>
      <w:lang w:eastAsia="en-AU"/>
    </w:rPr>
  </w:style>
  <w:style w:type="paragraph" w:styleId="ListParagraph">
    <w:name w:val="List Paragraph"/>
    <w:basedOn w:val="Normal"/>
    <w:uiPriority w:val="34"/>
    <w:qFormat/>
    <w:rsid w:val="00C855DF"/>
    <w:pPr>
      <w:spacing w:before="0" w:after="160" w:line="259"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C855DF"/>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C855DF"/>
    <w:rPr>
      <w:color w:val="E61E26" w:themeColor="followedHyperlink"/>
      <w:u w:val="single"/>
    </w:rPr>
  </w:style>
  <w:style w:type="paragraph" w:customStyle="1" w:styleId="Default">
    <w:name w:val="Default"/>
    <w:rsid w:val="00C855DF"/>
    <w:pPr>
      <w:autoSpaceDE w:val="0"/>
      <w:autoSpaceDN w:val="0"/>
      <w:adjustRightInd w:val="0"/>
      <w:spacing w:after="0" w:line="240" w:lineRule="auto"/>
    </w:pPr>
    <w:rPr>
      <w:rFonts w:ascii="Book Antiqua" w:hAnsi="Book Antiqua" w:cs="Book Antiqua"/>
      <w:color w:val="000000"/>
      <w:sz w:val="24"/>
      <w:szCs w:val="24"/>
    </w:rPr>
  </w:style>
  <w:style w:type="character" w:customStyle="1" w:styleId="Mention1">
    <w:name w:val="Mention1"/>
    <w:basedOn w:val="DefaultParagraphFont"/>
    <w:uiPriority w:val="99"/>
    <w:unhideWhenUsed/>
    <w:rsid w:val="00C855DF"/>
    <w:rPr>
      <w:color w:val="2B579A"/>
      <w:shd w:val="clear" w:color="auto" w:fill="E1DFDD"/>
    </w:rPr>
  </w:style>
  <w:style w:type="character" w:styleId="UnresolvedMention">
    <w:name w:val="Unresolved Mention"/>
    <w:basedOn w:val="DefaultParagraphFont"/>
    <w:uiPriority w:val="99"/>
    <w:semiHidden/>
    <w:unhideWhenUsed/>
    <w:rsid w:val="00C53234"/>
    <w:rPr>
      <w:color w:val="605E5C"/>
      <w:shd w:val="clear" w:color="auto" w:fill="E1DFDD"/>
    </w:rPr>
  </w:style>
  <w:style w:type="character" w:customStyle="1" w:styleId="ui-provider">
    <w:name w:val="ui-provider"/>
    <w:basedOn w:val="DefaultParagraphFont"/>
    <w:rsid w:val="00513F16"/>
  </w:style>
  <w:style w:type="character" w:customStyle="1" w:styleId="normaltextrun">
    <w:name w:val="normaltextrun"/>
    <w:basedOn w:val="DefaultParagraphFont"/>
    <w:rsid w:val="00B561FF"/>
  </w:style>
  <w:style w:type="character" w:styleId="PlaceholderText">
    <w:name w:val="Placeholder Text"/>
    <w:basedOn w:val="DefaultParagraphFont"/>
    <w:uiPriority w:val="99"/>
    <w:semiHidden/>
    <w:rsid w:val="00E650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949">
      <w:bodyDiv w:val="1"/>
      <w:marLeft w:val="0"/>
      <w:marRight w:val="0"/>
      <w:marTop w:val="0"/>
      <w:marBottom w:val="0"/>
      <w:divBdr>
        <w:top w:val="none" w:sz="0" w:space="0" w:color="auto"/>
        <w:left w:val="none" w:sz="0" w:space="0" w:color="auto"/>
        <w:bottom w:val="none" w:sz="0" w:space="0" w:color="auto"/>
        <w:right w:val="none" w:sz="0" w:space="0" w:color="auto"/>
      </w:divBdr>
    </w:div>
    <w:div w:id="20977554">
      <w:bodyDiv w:val="1"/>
      <w:marLeft w:val="0"/>
      <w:marRight w:val="0"/>
      <w:marTop w:val="0"/>
      <w:marBottom w:val="0"/>
      <w:divBdr>
        <w:top w:val="none" w:sz="0" w:space="0" w:color="auto"/>
        <w:left w:val="none" w:sz="0" w:space="0" w:color="auto"/>
        <w:bottom w:val="none" w:sz="0" w:space="0" w:color="auto"/>
        <w:right w:val="none" w:sz="0" w:space="0" w:color="auto"/>
      </w:divBdr>
    </w:div>
    <w:div w:id="24329534">
      <w:bodyDiv w:val="1"/>
      <w:marLeft w:val="0"/>
      <w:marRight w:val="0"/>
      <w:marTop w:val="0"/>
      <w:marBottom w:val="0"/>
      <w:divBdr>
        <w:top w:val="none" w:sz="0" w:space="0" w:color="auto"/>
        <w:left w:val="none" w:sz="0" w:space="0" w:color="auto"/>
        <w:bottom w:val="none" w:sz="0" w:space="0" w:color="auto"/>
        <w:right w:val="none" w:sz="0" w:space="0" w:color="auto"/>
      </w:divBdr>
    </w:div>
    <w:div w:id="43648089">
      <w:bodyDiv w:val="1"/>
      <w:marLeft w:val="0"/>
      <w:marRight w:val="0"/>
      <w:marTop w:val="0"/>
      <w:marBottom w:val="0"/>
      <w:divBdr>
        <w:top w:val="none" w:sz="0" w:space="0" w:color="auto"/>
        <w:left w:val="none" w:sz="0" w:space="0" w:color="auto"/>
        <w:bottom w:val="none" w:sz="0" w:space="0" w:color="auto"/>
        <w:right w:val="none" w:sz="0" w:space="0" w:color="auto"/>
      </w:divBdr>
    </w:div>
    <w:div w:id="55275667">
      <w:bodyDiv w:val="1"/>
      <w:marLeft w:val="0"/>
      <w:marRight w:val="0"/>
      <w:marTop w:val="0"/>
      <w:marBottom w:val="0"/>
      <w:divBdr>
        <w:top w:val="none" w:sz="0" w:space="0" w:color="auto"/>
        <w:left w:val="none" w:sz="0" w:space="0" w:color="auto"/>
        <w:bottom w:val="none" w:sz="0" w:space="0" w:color="auto"/>
        <w:right w:val="none" w:sz="0" w:space="0" w:color="auto"/>
      </w:divBdr>
    </w:div>
    <w:div w:id="58141168">
      <w:bodyDiv w:val="1"/>
      <w:marLeft w:val="0"/>
      <w:marRight w:val="0"/>
      <w:marTop w:val="0"/>
      <w:marBottom w:val="0"/>
      <w:divBdr>
        <w:top w:val="none" w:sz="0" w:space="0" w:color="auto"/>
        <w:left w:val="none" w:sz="0" w:space="0" w:color="auto"/>
        <w:bottom w:val="none" w:sz="0" w:space="0" w:color="auto"/>
        <w:right w:val="none" w:sz="0" w:space="0" w:color="auto"/>
      </w:divBdr>
    </w:div>
    <w:div w:id="60250581">
      <w:bodyDiv w:val="1"/>
      <w:marLeft w:val="0"/>
      <w:marRight w:val="0"/>
      <w:marTop w:val="0"/>
      <w:marBottom w:val="0"/>
      <w:divBdr>
        <w:top w:val="none" w:sz="0" w:space="0" w:color="auto"/>
        <w:left w:val="none" w:sz="0" w:space="0" w:color="auto"/>
        <w:bottom w:val="none" w:sz="0" w:space="0" w:color="auto"/>
        <w:right w:val="none" w:sz="0" w:space="0" w:color="auto"/>
      </w:divBdr>
    </w:div>
    <w:div w:id="64231814">
      <w:bodyDiv w:val="1"/>
      <w:marLeft w:val="0"/>
      <w:marRight w:val="0"/>
      <w:marTop w:val="0"/>
      <w:marBottom w:val="0"/>
      <w:divBdr>
        <w:top w:val="none" w:sz="0" w:space="0" w:color="auto"/>
        <w:left w:val="none" w:sz="0" w:space="0" w:color="auto"/>
        <w:bottom w:val="none" w:sz="0" w:space="0" w:color="auto"/>
        <w:right w:val="none" w:sz="0" w:space="0" w:color="auto"/>
      </w:divBdr>
    </w:div>
    <w:div w:id="77560850">
      <w:bodyDiv w:val="1"/>
      <w:marLeft w:val="0"/>
      <w:marRight w:val="0"/>
      <w:marTop w:val="0"/>
      <w:marBottom w:val="0"/>
      <w:divBdr>
        <w:top w:val="none" w:sz="0" w:space="0" w:color="auto"/>
        <w:left w:val="none" w:sz="0" w:space="0" w:color="auto"/>
        <w:bottom w:val="none" w:sz="0" w:space="0" w:color="auto"/>
        <w:right w:val="none" w:sz="0" w:space="0" w:color="auto"/>
      </w:divBdr>
    </w:div>
    <w:div w:id="88165415">
      <w:bodyDiv w:val="1"/>
      <w:marLeft w:val="0"/>
      <w:marRight w:val="0"/>
      <w:marTop w:val="0"/>
      <w:marBottom w:val="0"/>
      <w:divBdr>
        <w:top w:val="none" w:sz="0" w:space="0" w:color="auto"/>
        <w:left w:val="none" w:sz="0" w:space="0" w:color="auto"/>
        <w:bottom w:val="none" w:sz="0" w:space="0" w:color="auto"/>
        <w:right w:val="none" w:sz="0" w:space="0" w:color="auto"/>
      </w:divBdr>
    </w:div>
    <w:div w:id="97987561">
      <w:bodyDiv w:val="1"/>
      <w:marLeft w:val="0"/>
      <w:marRight w:val="0"/>
      <w:marTop w:val="0"/>
      <w:marBottom w:val="0"/>
      <w:divBdr>
        <w:top w:val="none" w:sz="0" w:space="0" w:color="auto"/>
        <w:left w:val="none" w:sz="0" w:space="0" w:color="auto"/>
        <w:bottom w:val="none" w:sz="0" w:space="0" w:color="auto"/>
        <w:right w:val="none" w:sz="0" w:space="0" w:color="auto"/>
      </w:divBdr>
    </w:div>
    <w:div w:id="102039803">
      <w:bodyDiv w:val="1"/>
      <w:marLeft w:val="0"/>
      <w:marRight w:val="0"/>
      <w:marTop w:val="0"/>
      <w:marBottom w:val="0"/>
      <w:divBdr>
        <w:top w:val="none" w:sz="0" w:space="0" w:color="auto"/>
        <w:left w:val="none" w:sz="0" w:space="0" w:color="auto"/>
        <w:bottom w:val="none" w:sz="0" w:space="0" w:color="auto"/>
        <w:right w:val="none" w:sz="0" w:space="0" w:color="auto"/>
      </w:divBdr>
    </w:div>
    <w:div w:id="104734130">
      <w:bodyDiv w:val="1"/>
      <w:marLeft w:val="0"/>
      <w:marRight w:val="0"/>
      <w:marTop w:val="0"/>
      <w:marBottom w:val="0"/>
      <w:divBdr>
        <w:top w:val="none" w:sz="0" w:space="0" w:color="auto"/>
        <w:left w:val="none" w:sz="0" w:space="0" w:color="auto"/>
        <w:bottom w:val="none" w:sz="0" w:space="0" w:color="auto"/>
        <w:right w:val="none" w:sz="0" w:space="0" w:color="auto"/>
      </w:divBdr>
    </w:div>
    <w:div w:id="105972765">
      <w:bodyDiv w:val="1"/>
      <w:marLeft w:val="0"/>
      <w:marRight w:val="0"/>
      <w:marTop w:val="0"/>
      <w:marBottom w:val="0"/>
      <w:divBdr>
        <w:top w:val="none" w:sz="0" w:space="0" w:color="auto"/>
        <w:left w:val="none" w:sz="0" w:space="0" w:color="auto"/>
        <w:bottom w:val="none" w:sz="0" w:space="0" w:color="auto"/>
        <w:right w:val="none" w:sz="0" w:space="0" w:color="auto"/>
      </w:divBdr>
    </w:div>
    <w:div w:id="107285718">
      <w:bodyDiv w:val="1"/>
      <w:marLeft w:val="0"/>
      <w:marRight w:val="0"/>
      <w:marTop w:val="0"/>
      <w:marBottom w:val="0"/>
      <w:divBdr>
        <w:top w:val="none" w:sz="0" w:space="0" w:color="auto"/>
        <w:left w:val="none" w:sz="0" w:space="0" w:color="auto"/>
        <w:bottom w:val="none" w:sz="0" w:space="0" w:color="auto"/>
        <w:right w:val="none" w:sz="0" w:space="0" w:color="auto"/>
      </w:divBdr>
    </w:div>
    <w:div w:id="133450762">
      <w:bodyDiv w:val="1"/>
      <w:marLeft w:val="0"/>
      <w:marRight w:val="0"/>
      <w:marTop w:val="0"/>
      <w:marBottom w:val="0"/>
      <w:divBdr>
        <w:top w:val="none" w:sz="0" w:space="0" w:color="auto"/>
        <w:left w:val="none" w:sz="0" w:space="0" w:color="auto"/>
        <w:bottom w:val="none" w:sz="0" w:space="0" w:color="auto"/>
        <w:right w:val="none" w:sz="0" w:space="0" w:color="auto"/>
      </w:divBdr>
    </w:div>
    <w:div w:id="135151617">
      <w:bodyDiv w:val="1"/>
      <w:marLeft w:val="0"/>
      <w:marRight w:val="0"/>
      <w:marTop w:val="0"/>
      <w:marBottom w:val="0"/>
      <w:divBdr>
        <w:top w:val="none" w:sz="0" w:space="0" w:color="auto"/>
        <w:left w:val="none" w:sz="0" w:space="0" w:color="auto"/>
        <w:bottom w:val="none" w:sz="0" w:space="0" w:color="auto"/>
        <w:right w:val="none" w:sz="0" w:space="0" w:color="auto"/>
      </w:divBdr>
    </w:div>
    <w:div w:id="141503696">
      <w:bodyDiv w:val="1"/>
      <w:marLeft w:val="0"/>
      <w:marRight w:val="0"/>
      <w:marTop w:val="0"/>
      <w:marBottom w:val="0"/>
      <w:divBdr>
        <w:top w:val="none" w:sz="0" w:space="0" w:color="auto"/>
        <w:left w:val="none" w:sz="0" w:space="0" w:color="auto"/>
        <w:bottom w:val="none" w:sz="0" w:space="0" w:color="auto"/>
        <w:right w:val="none" w:sz="0" w:space="0" w:color="auto"/>
      </w:divBdr>
    </w:div>
    <w:div w:id="154879055">
      <w:bodyDiv w:val="1"/>
      <w:marLeft w:val="0"/>
      <w:marRight w:val="0"/>
      <w:marTop w:val="0"/>
      <w:marBottom w:val="0"/>
      <w:divBdr>
        <w:top w:val="none" w:sz="0" w:space="0" w:color="auto"/>
        <w:left w:val="none" w:sz="0" w:space="0" w:color="auto"/>
        <w:bottom w:val="none" w:sz="0" w:space="0" w:color="auto"/>
        <w:right w:val="none" w:sz="0" w:space="0" w:color="auto"/>
      </w:divBdr>
    </w:div>
    <w:div w:id="155924154">
      <w:bodyDiv w:val="1"/>
      <w:marLeft w:val="0"/>
      <w:marRight w:val="0"/>
      <w:marTop w:val="0"/>
      <w:marBottom w:val="0"/>
      <w:divBdr>
        <w:top w:val="none" w:sz="0" w:space="0" w:color="auto"/>
        <w:left w:val="none" w:sz="0" w:space="0" w:color="auto"/>
        <w:bottom w:val="none" w:sz="0" w:space="0" w:color="auto"/>
        <w:right w:val="none" w:sz="0" w:space="0" w:color="auto"/>
      </w:divBdr>
    </w:div>
    <w:div w:id="162665024">
      <w:bodyDiv w:val="1"/>
      <w:marLeft w:val="0"/>
      <w:marRight w:val="0"/>
      <w:marTop w:val="0"/>
      <w:marBottom w:val="0"/>
      <w:divBdr>
        <w:top w:val="none" w:sz="0" w:space="0" w:color="auto"/>
        <w:left w:val="none" w:sz="0" w:space="0" w:color="auto"/>
        <w:bottom w:val="none" w:sz="0" w:space="0" w:color="auto"/>
        <w:right w:val="none" w:sz="0" w:space="0" w:color="auto"/>
      </w:divBdr>
    </w:div>
    <w:div w:id="166602917">
      <w:bodyDiv w:val="1"/>
      <w:marLeft w:val="0"/>
      <w:marRight w:val="0"/>
      <w:marTop w:val="0"/>
      <w:marBottom w:val="0"/>
      <w:divBdr>
        <w:top w:val="none" w:sz="0" w:space="0" w:color="auto"/>
        <w:left w:val="none" w:sz="0" w:space="0" w:color="auto"/>
        <w:bottom w:val="none" w:sz="0" w:space="0" w:color="auto"/>
        <w:right w:val="none" w:sz="0" w:space="0" w:color="auto"/>
      </w:divBdr>
    </w:div>
    <w:div w:id="175315333">
      <w:bodyDiv w:val="1"/>
      <w:marLeft w:val="0"/>
      <w:marRight w:val="0"/>
      <w:marTop w:val="0"/>
      <w:marBottom w:val="0"/>
      <w:divBdr>
        <w:top w:val="none" w:sz="0" w:space="0" w:color="auto"/>
        <w:left w:val="none" w:sz="0" w:space="0" w:color="auto"/>
        <w:bottom w:val="none" w:sz="0" w:space="0" w:color="auto"/>
        <w:right w:val="none" w:sz="0" w:space="0" w:color="auto"/>
      </w:divBdr>
    </w:div>
    <w:div w:id="180516081">
      <w:bodyDiv w:val="1"/>
      <w:marLeft w:val="0"/>
      <w:marRight w:val="0"/>
      <w:marTop w:val="0"/>
      <w:marBottom w:val="0"/>
      <w:divBdr>
        <w:top w:val="none" w:sz="0" w:space="0" w:color="auto"/>
        <w:left w:val="none" w:sz="0" w:space="0" w:color="auto"/>
        <w:bottom w:val="none" w:sz="0" w:space="0" w:color="auto"/>
        <w:right w:val="none" w:sz="0" w:space="0" w:color="auto"/>
      </w:divBdr>
    </w:div>
    <w:div w:id="183061245">
      <w:bodyDiv w:val="1"/>
      <w:marLeft w:val="0"/>
      <w:marRight w:val="0"/>
      <w:marTop w:val="0"/>
      <w:marBottom w:val="0"/>
      <w:divBdr>
        <w:top w:val="none" w:sz="0" w:space="0" w:color="auto"/>
        <w:left w:val="none" w:sz="0" w:space="0" w:color="auto"/>
        <w:bottom w:val="none" w:sz="0" w:space="0" w:color="auto"/>
        <w:right w:val="none" w:sz="0" w:space="0" w:color="auto"/>
      </w:divBdr>
    </w:div>
    <w:div w:id="186064263">
      <w:bodyDiv w:val="1"/>
      <w:marLeft w:val="0"/>
      <w:marRight w:val="0"/>
      <w:marTop w:val="0"/>
      <w:marBottom w:val="0"/>
      <w:divBdr>
        <w:top w:val="none" w:sz="0" w:space="0" w:color="auto"/>
        <w:left w:val="none" w:sz="0" w:space="0" w:color="auto"/>
        <w:bottom w:val="none" w:sz="0" w:space="0" w:color="auto"/>
        <w:right w:val="none" w:sz="0" w:space="0" w:color="auto"/>
      </w:divBdr>
    </w:div>
    <w:div w:id="186407910">
      <w:bodyDiv w:val="1"/>
      <w:marLeft w:val="0"/>
      <w:marRight w:val="0"/>
      <w:marTop w:val="0"/>
      <w:marBottom w:val="0"/>
      <w:divBdr>
        <w:top w:val="none" w:sz="0" w:space="0" w:color="auto"/>
        <w:left w:val="none" w:sz="0" w:space="0" w:color="auto"/>
        <w:bottom w:val="none" w:sz="0" w:space="0" w:color="auto"/>
        <w:right w:val="none" w:sz="0" w:space="0" w:color="auto"/>
      </w:divBdr>
    </w:div>
    <w:div w:id="194925325">
      <w:bodyDiv w:val="1"/>
      <w:marLeft w:val="0"/>
      <w:marRight w:val="0"/>
      <w:marTop w:val="0"/>
      <w:marBottom w:val="0"/>
      <w:divBdr>
        <w:top w:val="none" w:sz="0" w:space="0" w:color="auto"/>
        <w:left w:val="none" w:sz="0" w:space="0" w:color="auto"/>
        <w:bottom w:val="none" w:sz="0" w:space="0" w:color="auto"/>
        <w:right w:val="none" w:sz="0" w:space="0" w:color="auto"/>
      </w:divBdr>
    </w:div>
    <w:div w:id="197013112">
      <w:bodyDiv w:val="1"/>
      <w:marLeft w:val="0"/>
      <w:marRight w:val="0"/>
      <w:marTop w:val="0"/>
      <w:marBottom w:val="0"/>
      <w:divBdr>
        <w:top w:val="none" w:sz="0" w:space="0" w:color="auto"/>
        <w:left w:val="none" w:sz="0" w:space="0" w:color="auto"/>
        <w:bottom w:val="none" w:sz="0" w:space="0" w:color="auto"/>
        <w:right w:val="none" w:sz="0" w:space="0" w:color="auto"/>
      </w:divBdr>
    </w:div>
    <w:div w:id="197472673">
      <w:bodyDiv w:val="1"/>
      <w:marLeft w:val="0"/>
      <w:marRight w:val="0"/>
      <w:marTop w:val="0"/>
      <w:marBottom w:val="0"/>
      <w:divBdr>
        <w:top w:val="none" w:sz="0" w:space="0" w:color="auto"/>
        <w:left w:val="none" w:sz="0" w:space="0" w:color="auto"/>
        <w:bottom w:val="none" w:sz="0" w:space="0" w:color="auto"/>
        <w:right w:val="none" w:sz="0" w:space="0" w:color="auto"/>
      </w:divBdr>
    </w:div>
    <w:div w:id="200555892">
      <w:bodyDiv w:val="1"/>
      <w:marLeft w:val="0"/>
      <w:marRight w:val="0"/>
      <w:marTop w:val="0"/>
      <w:marBottom w:val="0"/>
      <w:divBdr>
        <w:top w:val="none" w:sz="0" w:space="0" w:color="auto"/>
        <w:left w:val="none" w:sz="0" w:space="0" w:color="auto"/>
        <w:bottom w:val="none" w:sz="0" w:space="0" w:color="auto"/>
        <w:right w:val="none" w:sz="0" w:space="0" w:color="auto"/>
      </w:divBdr>
    </w:div>
    <w:div w:id="205219180">
      <w:bodyDiv w:val="1"/>
      <w:marLeft w:val="0"/>
      <w:marRight w:val="0"/>
      <w:marTop w:val="0"/>
      <w:marBottom w:val="0"/>
      <w:divBdr>
        <w:top w:val="none" w:sz="0" w:space="0" w:color="auto"/>
        <w:left w:val="none" w:sz="0" w:space="0" w:color="auto"/>
        <w:bottom w:val="none" w:sz="0" w:space="0" w:color="auto"/>
        <w:right w:val="none" w:sz="0" w:space="0" w:color="auto"/>
      </w:divBdr>
    </w:div>
    <w:div w:id="205261100">
      <w:bodyDiv w:val="1"/>
      <w:marLeft w:val="0"/>
      <w:marRight w:val="0"/>
      <w:marTop w:val="0"/>
      <w:marBottom w:val="0"/>
      <w:divBdr>
        <w:top w:val="none" w:sz="0" w:space="0" w:color="auto"/>
        <w:left w:val="none" w:sz="0" w:space="0" w:color="auto"/>
        <w:bottom w:val="none" w:sz="0" w:space="0" w:color="auto"/>
        <w:right w:val="none" w:sz="0" w:space="0" w:color="auto"/>
      </w:divBdr>
    </w:div>
    <w:div w:id="208107405">
      <w:bodyDiv w:val="1"/>
      <w:marLeft w:val="0"/>
      <w:marRight w:val="0"/>
      <w:marTop w:val="0"/>
      <w:marBottom w:val="0"/>
      <w:divBdr>
        <w:top w:val="none" w:sz="0" w:space="0" w:color="auto"/>
        <w:left w:val="none" w:sz="0" w:space="0" w:color="auto"/>
        <w:bottom w:val="none" w:sz="0" w:space="0" w:color="auto"/>
        <w:right w:val="none" w:sz="0" w:space="0" w:color="auto"/>
      </w:divBdr>
    </w:div>
    <w:div w:id="218445201">
      <w:bodyDiv w:val="1"/>
      <w:marLeft w:val="0"/>
      <w:marRight w:val="0"/>
      <w:marTop w:val="0"/>
      <w:marBottom w:val="0"/>
      <w:divBdr>
        <w:top w:val="none" w:sz="0" w:space="0" w:color="auto"/>
        <w:left w:val="none" w:sz="0" w:space="0" w:color="auto"/>
        <w:bottom w:val="none" w:sz="0" w:space="0" w:color="auto"/>
        <w:right w:val="none" w:sz="0" w:space="0" w:color="auto"/>
      </w:divBdr>
    </w:div>
    <w:div w:id="218711732">
      <w:bodyDiv w:val="1"/>
      <w:marLeft w:val="0"/>
      <w:marRight w:val="0"/>
      <w:marTop w:val="0"/>
      <w:marBottom w:val="0"/>
      <w:divBdr>
        <w:top w:val="none" w:sz="0" w:space="0" w:color="auto"/>
        <w:left w:val="none" w:sz="0" w:space="0" w:color="auto"/>
        <w:bottom w:val="none" w:sz="0" w:space="0" w:color="auto"/>
        <w:right w:val="none" w:sz="0" w:space="0" w:color="auto"/>
      </w:divBdr>
    </w:div>
    <w:div w:id="220991013">
      <w:bodyDiv w:val="1"/>
      <w:marLeft w:val="0"/>
      <w:marRight w:val="0"/>
      <w:marTop w:val="0"/>
      <w:marBottom w:val="0"/>
      <w:divBdr>
        <w:top w:val="none" w:sz="0" w:space="0" w:color="auto"/>
        <w:left w:val="none" w:sz="0" w:space="0" w:color="auto"/>
        <w:bottom w:val="none" w:sz="0" w:space="0" w:color="auto"/>
        <w:right w:val="none" w:sz="0" w:space="0" w:color="auto"/>
      </w:divBdr>
    </w:div>
    <w:div w:id="221598212">
      <w:bodyDiv w:val="1"/>
      <w:marLeft w:val="0"/>
      <w:marRight w:val="0"/>
      <w:marTop w:val="0"/>
      <w:marBottom w:val="0"/>
      <w:divBdr>
        <w:top w:val="none" w:sz="0" w:space="0" w:color="auto"/>
        <w:left w:val="none" w:sz="0" w:space="0" w:color="auto"/>
        <w:bottom w:val="none" w:sz="0" w:space="0" w:color="auto"/>
        <w:right w:val="none" w:sz="0" w:space="0" w:color="auto"/>
      </w:divBdr>
    </w:div>
    <w:div w:id="226888458">
      <w:bodyDiv w:val="1"/>
      <w:marLeft w:val="0"/>
      <w:marRight w:val="0"/>
      <w:marTop w:val="0"/>
      <w:marBottom w:val="0"/>
      <w:divBdr>
        <w:top w:val="none" w:sz="0" w:space="0" w:color="auto"/>
        <w:left w:val="none" w:sz="0" w:space="0" w:color="auto"/>
        <w:bottom w:val="none" w:sz="0" w:space="0" w:color="auto"/>
        <w:right w:val="none" w:sz="0" w:space="0" w:color="auto"/>
      </w:divBdr>
    </w:div>
    <w:div w:id="229777798">
      <w:bodyDiv w:val="1"/>
      <w:marLeft w:val="0"/>
      <w:marRight w:val="0"/>
      <w:marTop w:val="0"/>
      <w:marBottom w:val="0"/>
      <w:divBdr>
        <w:top w:val="none" w:sz="0" w:space="0" w:color="auto"/>
        <w:left w:val="none" w:sz="0" w:space="0" w:color="auto"/>
        <w:bottom w:val="none" w:sz="0" w:space="0" w:color="auto"/>
        <w:right w:val="none" w:sz="0" w:space="0" w:color="auto"/>
      </w:divBdr>
    </w:div>
    <w:div w:id="231165403">
      <w:bodyDiv w:val="1"/>
      <w:marLeft w:val="0"/>
      <w:marRight w:val="0"/>
      <w:marTop w:val="0"/>
      <w:marBottom w:val="0"/>
      <w:divBdr>
        <w:top w:val="none" w:sz="0" w:space="0" w:color="auto"/>
        <w:left w:val="none" w:sz="0" w:space="0" w:color="auto"/>
        <w:bottom w:val="none" w:sz="0" w:space="0" w:color="auto"/>
        <w:right w:val="none" w:sz="0" w:space="0" w:color="auto"/>
      </w:divBdr>
    </w:div>
    <w:div w:id="231550653">
      <w:bodyDiv w:val="1"/>
      <w:marLeft w:val="0"/>
      <w:marRight w:val="0"/>
      <w:marTop w:val="0"/>
      <w:marBottom w:val="0"/>
      <w:divBdr>
        <w:top w:val="none" w:sz="0" w:space="0" w:color="auto"/>
        <w:left w:val="none" w:sz="0" w:space="0" w:color="auto"/>
        <w:bottom w:val="none" w:sz="0" w:space="0" w:color="auto"/>
        <w:right w:val="none" w:sz="0" w:space="0" w:color="auto"/>
      </w:divBdr>
    </w:div>
    <w:div w:id="233393818">
      <w:bodyDiv w:val="1"/>
      <w:marLeft w:val="0"/>
      <w:marRight w:val="0"/>
      <w:marTop w:val="0"/>
      <w:marBottom w:val="0"/>
      <w:divBdr>
        <w:top w:val="none" w:sz="0" w:space="0" w:color="auto"/>
        <w:left w:val="none" w:sz="0" w:space="0" w:color="auto"/>
        <w:bottom w:val="none" w:sz="0" w:space="0" w:color="auto"/>
        <w:right w:val="none" w:sz="0" w:space="0" w:color="auto"/>
      </w:divBdr>
    </w:div>
    <w:div w:id="233589982">
      <w:bodyDiv w:val="1"/>
      <w:marLeft w:val="0"/>
      <w:marRight w:val="0"/>
      <w:marTop w:val="0"/>
      <w:marBottom w:val="0"/>
      <w:divBdr>
        <w:top w:val="none" w:sz="0" w:space="0" w:color="auto"/>
        <w:left w:val="none" w:sz="0" w:space="0" w:color="auto"/>
        <w:bottom w:val="none" w:sz="0" w:space="0" w:color="auto"/>
        <w:right w:val="none" w:sz="0" w:space="0" w:color="auto"/>
      </w:divBdr>
    </w:div>
    <w:div w:id="235408237">
      <w:bodyDiv w:val="1"/>
      <w:marLeft w:val="0"/>
      <w:marRight w:val="0"/>
      <w:marTop w:val="0"/>
      <w:marBottom w:val="0"/>
      <w:divBdr>
        <w:top w:val="none" w:sz="0" w:space="0" w:color="auto"/>
        <w:left w:val="none" w:sz="0" w:space="0" w:color="auto"/>
        <w:bottom w:val="none" w:sz="0" w:space="0" w:color="auto"/>
        <w:right w:val="none" w:sz="0" w:space="0" w:color="auto"/>
      </w:divBdr>
    </w:div>
    <w:div w:id="242108915">
      <w:bodyDiv w:val="1"/>
      <w:marLeft w:val="0"/>
      <w:marRight w:val="0"/>
      <w:marTop w:val="0"/>
      <w:marBottom w:val="0"/>
      <w:divBdr>
        <w:top w:val="none" w:sz="0" w:space="0" w:color="auto"/>
        <w:left w:val="none" w:sz="0" w:space="0" w:color="auto"/>
        <w:bottom w:val="none" w:sz="0" w:space="0" w:color="auto"/>
        <w:right w:val="none" w:sz="0" w:space="0" w:color="auto"/>
      </w:divBdr>
    </w:div>
    <w:div w:id="243495103">
      <w:bodyDiv w:val="1"/>
      <w:marLeft w:val="0"/>
      <w:marRight w:val="0"/>
      <w:marTop w:val="0"/>
      <w:marBottom w:val="0"/>
      <w:divBdr>
        <w:top w:val="none" w:sz="0" w:space="0" w:color="auto"/>
        <w:left w:val="none" w:sz="0" w:space="0" w:color="auto"/>
        <w:bottom w:val="none" w:sz="0" w:space="0" w:color="auto"/>
        <w:right w:val="none" w:sz="0" w:space="0" w:color="auto"/>
      </w:divBdr>
    </w:div>
    <w:div w:id="248318809">
      <w:bodyDiv w:val="1"/>
      <w:marLeft w:val="0"/>
      <w:marRight w:val="0"/>
      <w:marTop w:val="0"/>
      <w:marBottom w:val="0"/>
      <w:divBdr>
        <w:top w:val="none" w:sz="0" w:space="0" w:color="auto"/>
        <w:left w:val="none" w:sz="0" w:space="0" w:color="auto"/>
        <w:bottom w:val="none" w:sz="0" w:space="0" w:color="auto"/>
        <w:right w:val="none" w:sz="0" w:space="0" w:color="auto"/>
      </w:divBdr>
    </w:div>
    <w:div w:id="253174277">
      <w:bodyDiv w:val="1"/>
      <w:marLeft w:val="0"/>
      <w:marRight w:val="0"/>
      <w:marTop w:val="0"/>
      <w:marBottom w:val="0"/>
      <w:divBdr>
        <w:top w:val="none" w:sz="0" w:space="0" w:color="auto"/>
        <w:left w:val="none" w:sz="0" w:space="0" w:color="auto"/>
        <w:bottom w:val="none" w:sz="0" w:space="0" w:color="auto"/>
        <w:right w:val="none" w:sz="0" w:space="0" w:color="auto"/>
      </w:divBdr>
    </w:div>
    <w:div w:id="255137512">
      <w:bodyDiv w:val="1"/>
      <w:marLeft w:val="0"/>
      <w:marRight w:val="0"/>
      <w:marTop w:val="0"/>
      <w:marBottom w:val="0"/>
      <w:divBdr>
        <w:top w:val="none" w:sz="0" w:space="0" w:color="auto"/>
        <w:left w:val="none" w:sz="0" w:space="0" w:color="auto"/>
        <w:bottom w:val="none" w:sz="0" w:space="0" w:color="auto"/>
        <w:right w:val="none" w:sz="0" w:space="0" w:color="auto"/>
      </w:divBdr>
    </w:div>
    <w:div w:id="258104652">
      <w:bodyDiv w:val="1"/>
      <w:marLeft w:val="0"/>
      <w:marRight w:val="0"/>
      <w:marTop w:val="0"/>
      <w:marBottom w:val="0"/>
      <w:divBdr>
        <w:top w:val="none" w:sz="0" w:space="0" w:color="auto"/>
        <w:left w:val="none" w:sz="0" w:space="0" w:color="auto"/>
        <w:bottom w:val="none" w:sz="0" w:space="0" w:color="auto"/>
        <w:right w:val="none" w:sz="0" w:space="0" w:color="auto"/>
      </w:divBdr>
    </w:div>
    <w:div w:id="263655502">
      <w:bodyDiv w:val="1"/>
      <w:marLeft w:val="0"/>
      <w:marRight w:val="0"/>
      <w:marTop w:val="0"/>
      <w:marBottom w:val="0"/>
      <w:divBdr>
        <w:top w:val="none" w:sz="0" w:space="0" w:color="auto"/>
        <w:left w:val="none" w:sz="0" w:space="0" w:color="auto"/>
        <w:bottom w:val="none" w:sz="0" w:space="0" w:color="auto"/>
        <w:right w:val="none" w:sz="0" w:space="0" w:color="auto"/>
      </w:divBdr>
    </w:div>
    <w:div w:id="272984350">
      <w:bodyDiv w:val="1"/>
      <w:marLeft w:val="0"/>
      <w:marRight w:val="0"/>
      <w:marTop w:val="0"/>
      <w:marBottom w:val="0"/>
      <w:divBdr>
        <w:top w:val="none" w:sz="0" w:space="0" w:color="auto"/>
        <w:left w:val="none" w:sz="0" w:space="0" w:color="auto"/>
        <w:bottom w:val="none" w:sz="0" w:space="0" w:color="auto"/>
        <w:right w:val="none" w:sz="0" w:space="0" w:color="auto"/>
      </w:divBdr>
    </w:div>
    <w:div w:id="290333441">
      <w:bodyDiv w:val="1"/>
      <w:marLeft w:val="0"/>
      <w:marRight w:val="0"/>
      <w:marTop w:val="0"/>
      <w:marBottom w:val="0"/>
      <w:divBdr>
        <w:top w:val="none" w:sz="0" w:space="0" w:color="auto"/>
        <w:left w:val="none" w:sz="0" w:space="0" w:color="auto"/>
        <w:bottom w:val="none" w:sz="0" w:space="0" w:color="auto"/>
        <w:right w:val="none" w:sz="0" w:space="0" w:color="auto"/>
      </w:divBdr>
    </w:div>
    <w:div w:id="290940247">
      <w:bodyDiv w:val="1"/>
      <w:marLeft w:val="0"/>
      <w:marRight w:val="0"/>
      <w:marTop w:val="0"/>
      <w:marBottom w:val="0"/>
      <w:divBdr>
        <w:top w:val="none" w:sz="0" w:space="0" w:color="auto"/>
        <w:left w:val="none" w:sz="0" w:space="0" w:color="auto"/>
        <w:bottom w:val="none" w:sz="0" w:space="0" w:color="auto"/>
        <w:right w:val="none" w:sz="0" w:space="0" w:color="auto"/>
      </w:divBdr>
    </w:div>
    <w:div w:id="302085468">
      <w:bodyDiv w:val="1"/>
      <w:marLeft w:val="0"/>
      <w:marRight w:val="0"/>
      <w:marTop w:val="0"/>
      <w:marBottom w:val="0"/>
      <w:divBdr>
        <w:top w:val="none" w:sz="0" w:space="0" w:color="auto"/>
        <w:left w:val="none" w:sz="0" w:space="0" w:color="auto"/>
        <w:bottom w:val="none" w:sz="0" w:space="0" w:color="auto"/>
        <w:right w:val="none" w:sz="0" w:space="0" w:color="auto"/>
      </w:divBdr>
    </w:div>
    <w:div w:id="302659974">
      <w:bodyDiv w:val="1"/>
      <w:marLeft w:val="0"/>
      <w:marRight w:val="0"/>
      <w:marTop w:val="0"/>
      <w:marBottom w:val="0"/>
      <w:divBdr>
        <w:top w:val="none" w:sz="0" w:space="0" w:color="auto"/>
        <w:left w:val="none" w:sz="0" w:space="0" w:color="auto"/>
        <w:bottom w:val="none" w:sz="0" w:space="0" w:color="auto"/>
        <w:right w:val="none" w:sz="0" w:space="0" w:color="auto"/>
      </w:divBdr>
    </w:div>
    <w:div w:id="305550358">
      <w:bodyDiv w:val="1"/>
      <w:marLeft w:val="0"/>
      <w:marRight w:val="0"/>
      <w:marTop w:val="0"/>
      <w:marBottom w:val="0"/>
      <w:divBdr>
        <w:top w:val="none" w:sz="0" w:space="0" w:color="auto"/>
        <w:left w:val="none" w:sz="0" w:space="0" w:color="auto"/>
        <w:bottom w:val="none" w:sz="0" w:space="0" w:color="auto"/>
        <w:right w:val="none" w:sz="0" w:space="0" w:color="auto"/>
      </w:divBdr>
    </w:div>
    <w:div w:id="315577654">
      <w:bodyDiv w:val="1"/>
      <w:marLeft w:val="0"/>
      <w:marRight w:val="0"/>
      <w:marTop w:val="0"/>
      <w:marBottom w:val="0"/>
      <w:divBdr>
        <w:top w:val="none" w:sz="0" w:space="0" w:color="auto"/>
        <w:left w:val="none" w:sz="0" w:space="0" w:color="auto"/>
        <w:bottom w:val="none" w:sz="0" w:space="0" w:color="auto"/>
        <w:right w:val="none" w:sz="0" w:space="0" w:color="auto"/>
      </w:divBdr>
    </w:div>
    <w:div w:id="324011307">
      <w:bodyDiv w:val="1"/>
      <w:marLeft w:val="0"/>
      <w:marRight w:val="0"/>
      <w:marTop w:val="0"/>
      <w:marBottom w:val="0"/>
      <w:divBdr>
        <w:top w:val="none" w:sz="0" w:space="0" w:color="auto"/>
        <w:left w:val="none" w:sz="0" w:space="0" w:color="auto"/>
        <w:bottom w:val="none" w:sz="0" w:space="0" w:color="auto"/>
        <w:right w:val="none" w:sz="0" w:space="0" w:color="auto"/>
      </w:divBdr>
    </w:div>
    <w:div w:id="326632393">
      <w:bodyDiv w:val="1"/>
      <w:marLeft w:val="0"/>
      <w:marRight w:val="0"/>
      <w:marTop w:val="0"/>
      <w:marBottom w:val="0"/>
      <w:divBdr>
        <w:top w:val="none" w:sz="0" w:space="0" w:color="auto"/>
        <w:left w:val="none" w:sz="0" w:space="0" w:color="auto"/>
        <w:bottom w:val="none" w:sz="0" w:space="0" w:color="auto"/>
        <w:right w:val="none" w:sz="0" w:space="0" w:color="auto"/>
      </w:divBdr>
    </w:div>
    <w:div w:id="339090253">
      <w:bodyDiv w:val="1"/>
      <w:marLeft w:val="0"/>
      <w:marRight w:val="0"/>
      <w:marTop w:val="0"/>
      <w:marBottom w:val="0"/>
      <w:divBdr>
        <w:top w:val="none" w:sz="0" w:space="0" w:color="auto"/>
        <w:left w:val="none" w:sz="0" w:space="0" w:color="auto"/>
        <w:bottom w:val="none" w:sz="0" w:space="0" w:color="auto"/>
        <w:right w:val="none" w:sz="0" w:space="0" w:color="auto"/>
      </w:divBdr>
    </w:div>
    <w:div w:id="353188856">
      <w:bodyDiv w:val="1"/>
      <w:marLeft w:val="0"/>
      <w:marRight w:val="0"/>
      <w:marTop w:val="0"/>
      <w:marBottom w:val="0"/>
      <w:divBdr>
        <w:top w:val="none" w:sz="0" w:space="0" w:color="auto"/>
        <w:left w:val="none" w:sz="0" w:space="0" w:color="auto"/>
        <w:bottom w:val="none" w:sz="0" w:space="0" w:color="auto"/>
        <w:right w:val="none" w:sz="0" w:space="0" w:color="auto"/>
      </w:divBdr>
    </w:div>
    <w:div w:id="353769711">
      <w:bodyDiv w:val="1"/>
      <w:marLeft w:val="0"/>
      <w:marRight w:val="0"/>
      <w:marTop w:val="0"/>
      <w:marBottom w:val="0"/>
      <w:divBdr>
        <w:top w:val="none" w:sz="0" w:space="0" w:color="auto"/>
        <w:left w:val="none" w:sz="0" w:space="0" w:color="auto"/>
        <w:bottom w:val="none" w:sz="0" w:space="0" w:color="auto"/>
        <w:right w:val="none" w:sz="0" w:space="0" w:color="auto"/>
      </w:divBdr>
    </w:div>
    <w:div w:id="356856977">
      <w:bodyDiv w:val="1"/>
      <w:marLeft w:val="0"/>
      <w:marRight w:val="0"/>
      <w:marTop w:val="0"/>
      <w:marBottom w:val="0"/>
      <w:divBdr>
        <w:top w:val="none" w:sz="0" w:space="0" w:color="auto"/>
        <w:left w:val="none" w:sz="0" w:space="0" w:color="auto"/>
        <w:bottom w:val="none" w:sz="0" w:space="0" w:color="auto"/>
        <w:right w:val="none" w:sz="0" w:space="0" w:color="auto"/>
      </w:divBdr>
    </w:div>
    <w:div w:id="357241600">
      <w:bodyDiv w:val="1"/>
      <w:marLeft w:val="0"/>
      <w:marRight w:val="0"/>
      <w:marTop w:val="0"/>
      <w:marBottom w:val="0"/>
      <w:divBdr>
        <w:top w:val="none" w:sz="0" w:space="0" w:color="auto"/>
        <w:left w:val="none" w:sz="0" w:space="0" w:color="auto"/>
        <w:bottom w:val="none" w:sz="0" w:space="0" w:color="auto"/>
        <w:right w:val="none" w:sz="0" w:space="0" w:color="auto"/>
      </w:divBdr>
    </w:div>
    <w:div w:id="363138952">
      <w:bodyDiv w:val="1"/>
      <w:marLeft w:val="0"/>
      <w:marRight w:val="0"/>
      <w:marTop w:val="0"/>
      <w:marBottom w:val="0"/>
      <w:divBdr>
        <w:top w:val="none" w:sz="0" w:space="0" w:color="auto"/>
        <w:left w:val="none" w:sz="0" w:space="0" w:color="auto"/>
        <w:bottom w:val="none" w:sz="0" w:space="0" w:color="auto"/>
        <w:right w:val="none" w:sz="0" w:space="0" w:color="auto"/>
      </w:divBdr>
    </w:div>
    <w:div w:id="364260953">
      <w:bodyDiv w:val="1"/>
      <w:marLeft w:val="0"/>
      <w:marRight w:val="0"/>
      <w:marTop w:val="0"/>
      <w:marBottom w:val="0"/>
      <w:divBdr>
        <w:top w:val="none" w:sz="0" w:space="0" w:color="auto"/>
        <w:left w:val="none" w:sz="0" w:space="0" w:color="auto"/>
        <w:bottom w:val="none" w:sz="0" w:space="0" w:color="auto"/>
        <w:right w:val="none" w:sz="0" w:space="0" w:color="auto"/>
      </w:divBdr>
    </w:div>
    <w:div w:id="380397685">
      <w:bodyDiv w:val="1"/>
      <w:marLeft w:val="0"/>
      <w:marRight w:val="0"/>
      <w:marTop w:val="0"/>
      <w:marBottom w:val="0"/>
      <w:divBdr>
        <w:top w:val="none" w:sz="0" w:space="0" w:color="auto"/>
        <w:left w:val="none" w:sz="0" w:space="0" w:color="auto"/>
        <w:bottom w:val="none" w:sz="0" w:space="0" w:color="auto"/>
        <w:right w:val="none" w:sz="0" w:space="0" w:color="auto"/>
      </w:divBdr>
    </w:div>
    <w:div w:id="382025821">
      <w:bodyDiv w:val="1"/>
      <w:marLeft w:val="0"/>
      <w:marRight w:val="0"/>
      <w:marTop w:val="0"/>
      <w:marBottom w:val="0"/>
      <w:divBdr>
        <w:top w:val="none" w:sz="0" w:space="0" w:color="auto"/>
        <w:left w:val="none" w:sz="0" w:space="0" w:color="auto"/>
        <w:bottom w:val="none" w:sz="0" w:space="0" w:color="auto"/>
        <w:right w:val="none" w:sz="0" w:space="0" w:color="auto"/>
      </w:divBdr>
    </w:div>
    <w:div w:id="395319225">
      <w:bodyDiv w:val="1"/>
      <w:marLeft w:val="0"/>
      <w:marRight w:val="0"/>
      <w:marTop w:val="0"/>
      <w:marBottom w:val="0"/>
      <w:divBdr>
        <w:top w:val="none" w:sz="0" w:space="0" w:color="auto"/>
        <w:left w:val="none" w:sz="0" w:space="0" w:color="auto"/>
        <w:bottom w:val="none" w:sz="0" w:space="0" w:color="auto"/>
        <w:right w:val="none" w:sz="0" w:space="0" w:color="auto"/>
      </w:divBdr>
    </w:div>
    <w:div w:id="406726429">
      <w:bodyDiv w:val="1"/>
      <w:marLeft w:val="0"/>
      <w:marRight w:val="0"/>
      <w:marTop w:val="0"/>
      <w:marBottom w:val="0"/>
      <w:divBdr>
        <w:top w:val="none" w:sz="0" w:space="0" w:color="auto"/>
        <w:left w:val="none" w:sz="0" w:space="0" w:color="auto"/>
        <w:bottom w:val="none" w:sz="0" w:space="0" w:color="auto"/>
        <w:right w:val="none" w:sz="0" w:space="0" w:color="auto"/>
      </w:divBdr>
    </w:div>
    <w:div w:id="415832072">
      <w:bodyDiv w:val="1"/>
      <w:marLeft w:val="0"/>
      <w:marRight w:val="0"/>
      <w:marTop w:val="0"/>
      <w:marBottom w:val="0"/>
      <w:divBdr>
        <w:top w:val="none" w:sz="0" w:space="0" w:color="auto"/>
        <w:left w:val="none" w:sz="0" w:space="0" w:color="auto"/>
        <w:bottom w:val="none" w:sz="0" w:space="0" w:color="auto"/>
        <w:right w:val="none" w:sz="0" w:space="0" w:color="auto"/>
      </w:divBdr>
    </w:div>
    <w:div w:id="419912472">
      <w:bodyDiv w:val="1"/>
      <w:marLeft w:val="0"/>
      <w:marRight w:val="0"/>
      <w:marTop w:val="0"/>
      <w:marBottom w:val="0"/>
      <w:divBdr>
        <w:top w:val="none" w:sz="0" w:space="0" w:color="auto"/>
        <w:left w:val="none" w:sz="0" w:space="0" w:color="auto"/>
        <w:bottom w:val="none" w:sz="0" w:space="0" w:color="auto"/>
        <w:right w:val="none" w:sz="0" w:space="0" w:color="auto"/>
      </w:divBdr>
    </w:div>
    <w:div w:id="420226125">
      <w:bodyDiv w:val="1"/>
      <w:marLeft w:val="0"/>
      <w:marRight w:val="0"/>
      <w:marTop w:val="0"/>
      <w:marBottom w:val="0"/>
      <w:divBdr>
        <w:top w:val="none" w:sz="0" w:space="0" w:color="auto"/>
        <w:left w:val="none" w:sz="0" w:space="0" w:color="auto"/>
        <w:bottom w:val="none" w:sz="0" w:space="0" w:color="auto"/>
        <w:right w:val="none" w:sz="0" w:space="0" w:color="auto"/>
      </w:divBdr>
    </w:div>
    <w:div w:id="421219603">
      <w:bodyDiv w:val="1"/>
      <w:marLeft w:val="0"/>
      <w:marRight w:val="0"/>
      <w:marTop w:val="0"/>
      <w:marBottom w:val="0"/>
      <w:divBdr>
        <w:top w:val="none" w:sz="0" w:space="0" w:color="auto"/>
        <w:left w:val="none" w:sz="0" w:space="0" w:color="auto"/>
        <w:bottom w:val="none" w:sz="0" w:space="0" w:color="auto"/>
        <w:right w:val="none" w:sz="0" w:space="0" w:color="auto"/>
      </w:divBdr>
    </w:div>
    <w:div w:id="427579152">
      <w:bodyDiv w:val="1"/>
      <w:marLeft w:val="0"/>
      <w:marRight w:val="0"/>
      <w:marTop w:val="0"/>
      <w:marBottom w:val="0"/>
      <w:divBdr>
        <w:top w:val="none" w:sz="0" w:space="0" w:color="auto"/>
        <w:left w:val="none" w:sz="0" w:space="0" w:color="auto"/>
        <w:bottom w:val="none" w:sz="0" w:space="0" w:color="auto"/>
        <w:right w:val="none" w:sz="0" w:space="0" w:color="auto"/>
      </w:divBdr>
    </w:div>
    <w:div w:id="428357020">
      <w:bodyDiv w:val="1"/>
      <w:marLeft w:val="0"/>
      <w:marRight w:val="0"/>
      <w:marTop w:val="0"/>
      <w:marBottom w:val="0"/>
      <w:divBdr>
        <w:top w:val="none" w:sz="0" w:space="0" w:color="auto"/>
        <w:left w:val="none" w:sz="0" w:space="0" w:color="auto"/>
        <w:bottom w:val="none" w:sz="0" w:space="0" w:color="auto"/>
        <w:right w:val="none" w:sz="0" w:space="0" w:color="auto"/>
      </w:divBdr>
    </w:div>
    <w:div w:id="435708677">
      <w:bodyDiv w:val="1"/>
      <w:marLeft w:val="0"/>
      <w:marRight w:val="0"/>
      <w:marTop w:val="0"/>
      <w:marBottom w:val="0"/>
      <w:divBdr>
        <w:top w:val="none" w:sz="0" w:space="0" w:color="auto"/>
        <w:left w:val="none" w:sz="0" w:space="0" w:color="auto"/>
        <w:bottom w:val="none" w:sz="0" w:space="0" w:color="auto"/>
        <w:right w:val="none" w:sz="0" w:space="0" w:color="auto"/>
      </w:divBdr>
    </w:div>
    <w:div w:id="446394860">
      <w:bodyDiv w:val="1"/>
      <w:marLeft w:val="0"/>
      <w:marRight w:val="0"/>
      <w:marTop w:val="0"/>
      <w:marBottom w:val="0"/>
      <w:divBdr>
        <w:top w:val="none" w:sz="0" w:space="0" w:color="auto"/>
        <w:left w:val="none" w:sz="0" w:space="0" w:color="auto"/>
        <w:bottom w:val="none" w:sz="0" w:space="0" w:color="auto"/>
        <w:right w:val="none" w:sz="0" w:space="0" w:color="auto"/>
      </w:divBdr>
    </w:div>
    <w:div w:id="452212325">
      <w:bodyDiv w:val="1"/>
      <w:marLeft w:val="0"/>
      <w:marRight w:val="0"/>
      <w:marTop w:val="0"/>
      <w:marBottom w:val="0"/>
      <w:divBdr>
        <w:top w:val="none" w:sz="0" w:space="0" w:color="auto"/>
        <w:left w:val="none" w:sz="0" w:space="0" w:color="auto"/>
        <w:bottom w:val="none" w:sz="0" w:space="0" w:color="auto"/>
        <w:right w:val="none" w:sz="0" w:space="0" w:color="auto"/>
      </w:divBdr>
    </w:div>
    <w:div w:id="455761785">
      <w:bodyDiv w:val="1"/>
      <w:marLeft w:val="0"/>
      <w:marRight w:val="0"/>
      <w:marTop w:val="0"/>
      <w:marBottom w:val="0"/>
      <w:divBdr>
        <w:top w:val="none" w:sz="0" w:space="0" w:color="auto"/>
        <w:left w:val="none" w:sz="0" w:space="0" w:color="auto"/>
        <w:bottom w:val="none" w:sz="0" w:space="0" w:color="auto"/>
        <w:right w:val="none" w:sz="0" w:space="0" w:color="auto"/>
      </w:divBdr>
    </w:div>
    <w:div w:id="472217936">
      <w:bodyDiv w:val="1"/>
      <w:marLeft w:val="0"/>
      <w:marRight w:val="0"/>
      <w:marTop w:val="0"/>
      <w:marBottom w:val="0"/>
      <w:divBdr>
        <w:top w:val="none" w:sz="0" w:space="0" w:color="auto"/>
        <w:left w:val="none" w:sz="0" w:space="0" w:color="auto"/>
        <w:bottom w:val="none" w:sz="0" w:space="0" w:color="auto"/>
        <w:right w:val="none" w:sz="0" w:space="0" w:color="auto"/>
      </w:divBdr>
    </w:div>
    <w:div w:id="475682848">
      <w:bodyDiv w:val="1"/>
      <w:marLeft w:val="0"/>
      <w:marRight w:val="0"/>
      <w:marTop w:val="0"/>
      <w:marBottom w:val="0"/>
      <w:divBdr>
        <w:top w:val="none" w:sz="0" w:space="0" w:color="auto"/>
        <w:left w:val="none" w:sz="0" w:space="0" w:color="auto"/>
        <w:bottom w:val="none" w:sz="0" w:space="0" w:color="auto"/>
        <w:right w:val="none" w:sz="0" w:space="0" w:color="auto"/>
      </w:divBdr>
    </w:div>
    <w:div w:id="477189158">
      <w:bodyDiv w:val="1"/>
      <w:marLeft w:val="0"/>
      <w:marRight w:val="0"/>
      <w:marTop w:val="0"/>
      <w:marBottom w:val="0"/>
      <w:divBdr>
        <w:top w:val="none" w:sz="0" w:space="0" w:color="auto"/>
        <w:left w:val="none" w:sz="0" w:space="0" w:color="auto"/>
        <w:bottom w:val="none" w:sz="0" w:space="0" w:color="auto"/>
        <w:right w:val="none" w:sz="0" w:space="0" w:color="auto"/>
      </w:divBdr>
    </w:div>
    <w:div w:id="484081611">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1259463">
      <w:bodyDiv w:val="1"/>
      <w:marLeft w:val="0"/>
      <w:marRight w:val="0"/>
      <w:marTop w:val="0"/>
      <w:marBottom w:val="0"/>
      <w:divBdr>
        <w:top w:val="none" w:sz="0" w:space="0" w:color="auto"/>
        <w:left w:val="none" w:sz="0" w:space="0" w:color="auto"/>
        <w:bottom w:val="none" w:sz="0" w:space="0" w:color="auto"/>
        <w:right w:val="none" w:sz="0" w:space="0" w:color="auto"/>
      </w:divBdr>
    </w:div>
    <w:div w:id="496112195">
      <w:bodyDiv w:val="1"/>
      <w:marLeft w:val="0"/>
      <w:marRight w:val="0"/>
      <w:marTop w:val="0"/>
      <w:marBottom w:val="0"/>
      <w:divBdr>
        <w:top w:val="none" w:sz="0" w:space="0" w:color="auto"/>
        <w:left w:val="none" w:sz="0" w:space="0" w:color="auto"/>
        <w:bottom w:val="none" w:sz="0" w:space="0" w:color="auto"/>
        <w:right w:val="none" w:sz="0" w:space="0" w:color="auto"/>
      </w:divBdr>
    </w:div>
    <w:div w:id="496531883">
      <w:bodyDiv w:val="1"/>
      <w:marLeft w:val="0"/>
      <w:marRight w:val="0"/>
      <w:marTop w:val="0"/>
      <w:marBottom w:val="0"/>
      <w:divBdr>
        <w:top w:val="none" w:sz="0" w:space="0" w:color="auto"/>
        <w:left w:val="none" w:sz="0" w:space="0" w:color="auto"/>
        <w:bottom w:val="none" w:sz="0" w:space="0" w:color="auto"/>
        <w:right w:val="none" w:sz="0" w:space="0" w:color="auto"/>
      </w:divBdr>
    </w:div>
    <w:div w:id="507450854">
      <w:bodyDiv w:val="1"/>
      <w:marLeft w:val="0"/>
      <w:marRight w:val="0"/>
      <w:marTop w:val="0"/>
      <w:marBottom w:val="0"/>
      <w:divBdr>
        <w:top w:val="none" w:sz="0" w:space="0" w:color="auto"/>
        <w:left w:val="none" w:sz="0" w:space="0" w:color="auto"/>
        <w:bottom w:val="none" w:sz="0" w:space="0" w:color="auto"/>
        <w:right w:val="none" w:sz="0" w:space="0" w:color="auto"/>
      </w:divBdr>
    </w:div>
    <w:div w:id="508250985">
      <w:bodyDiv w:val="1"/>
      <w:marLeft w:val="0"/>
      <w:marRight w:val="0"/>
      <w:marTop w:val="0"/>
      <w:marBottom w:val="0"/>
      <w:divBdr>
        <w:top w:val="none" w:sz="0" w:space="0" w:color="auto"/>
        <w:left w:val="none" w:sz="0" w:space="0" w:color="auto"/>
        <w:bottom w:val="none" w:sz="0" w:space="0" w:color="auto"/>
        <w:right w:val="none" w:sz="0" w:space="0" w:color="auto"/>
      </w:divBdr>
    </w:div>
    <w:div w:id="512110448">
      <w:bodyDiv w:val="1"/>
      <w:marLeft w:val="0"/>
      <w:marRight w:val="0"/>
      <w:marTop w:val="0"/>
      <w:marBottom w:val="0"/>
      <w:divBdr>
        <w:top w:val="none" w:sz="0" w:space="0" w:color="auto"/>
        <w:left w:val="none" w:sz="0" w:space="0" w:color="auto"/>
        <w:bottom w:val="none" w:sz="0" w:space="0" w:color="auto"/>
        <w:right w:val="none" w:sz="0" w:space="0" w:color="auto"/>
      </w:divBdr>
    </w:div>
    <w:div w:id="517547284">
      <w:bodyDiv w:val="1"/>
      <w:marLeft w:val="0"/>
      <w:marRight w:val="0"/>
      <w:marTop w:val="0"/>
      <w:marBottom w:val="0"/>
      <w:divBdr>
        <w:top w:val="none" w:sz="0" w:space="0" w:color="auto"/>
        <w:left w:val="none" w:sz="0" w:space="0" w:color="auto"/>
        <w:bottom w:val="none" w:sz="0" w:space="0" w:color="auto"/>
        <w:right w:val="none" w:sz="0" w:space="0" w:color="auto"/>
      </w:divBdr>
    </w:div>
    <w:div w:id="518196980">
      <w:bodyDiv w:val="1"/>
      <w:marLeft w:val="0"/>
      <w:marRight w:val="0"/>
      <w:marTop w:val="0"/>
      <w:marBottom w:val="0"/>
      <w:divBdr>
        <w:top w:val="none" w:sz="0" w:space="0" w:color="auto"/>
        <w:left w:val="none" w:sz="0" w:space="0" w:color="auto"/>
        <w:bottom w:val="none" w:sz="0" w:space="0" w:color="auto"/>
        <w:right w:val="none" w:sz="0" w:space="0" w:color="auto"/>
      </w:divBdr>
    </w:div>
    <w:div w:id="519314334">
      <w:bodyDiv w:val="1"/>
      <w:marLeft w:val="0"/>
      <w:marRight w:val="0"/>
      <w:marTop w:val="0"/>
      <w:marBottom w:val="0"/>
      <w:divBdr>
        <w:top w:val="none" w:sz="0" w:space="0" w:color="auto"/>
        <w:left w:val="none" w:sz="0" w:space="0" w:color="auto"/>
        <w:bottom w:val="none" w:sz="0" w:space="0" w:color="auto"/>
        <w:right w:val="none" w:sz="0" w:space="0" w:color="auto"/>
      </w:divBdr>
    </w:div>
    <w:div w:id="520364774">
      <w:bodyDiv w:val="1"/>
      <w:marLeft w:val="0"/>
      <w:marRight w:val="0"/>
      <w:marTop w:val="0"/>
      <w:marBottom w:val="0"/>
      <w:divBdr>
        <w:top w:val="none" w:sz="0" w:space="0" w:color="auto"/>
        <w:left w:val="none" w:sz="0" w:space="0" w:color="auto"/>
        <w:bottom w:val="none" w:sz="0" w:space="0" w:color="auto"/>
        <w:right w:val="none" w:sz="0" w:space="0" w:color="auto"/>
      </w:divBdr>
    </w:div>
    <w:div w:id="525481909">
      <w:bodyDiv w:val="1"/>
      <w:marLeft w:val="0"/>
      <w:marRight w:val="0"/>
      <w:marTop w:val="0"/>
      <w:marBottom w:val="0"/>
      <w:divBdr>
        <w:top w:val="none" w:sz="0" w:space="0" w:color="auto"/>
        <w:left w:val="none" w:sz="0" w:space="0" w:color="auto"/>
        <w:bottom w:val="none" w:sz="0" w:space="0" w:color="auto"/>
        <w:right w:val="none" w:sz="0" w:space="0" w:color="auto"/>
      </w:divBdr>
    </w:div>
    <w:div w:id="536308935">
      <w:bodyDiv w:val="1"/>
      <w:marLeft w:val="0"/>
      <w:marRight w:val="0"/>
      <w:marTop w:val="0"/>
      <w:marBottom w:val="0"/>
      <w:divBdr>
        <w:top w:val="none" w:sz="0" w:space="0" w:color="auto"/>
        <w:left w:val="none" w:sz="0" w:space="0" w:color="auto"/>
        <w:bottom w:val="none" w:sz="0" w:space="0" w:color="auto"/>
        <w:right w:val="none" w:sz="0" w:space="0" w:color="auto"/>
      </w:divBdr>
    </w:div>
    <w:div w:id="538705950">
      <w:bodyDiv w:val="1"/>
      <w:marLeft w:val="0"/>
      <w:marRight w:val="0"/>
      <w:marTop w:val="0"/>
      <w:marBottom w:val="0"/>
      <w:divBdr>
        <w:top w:val="none" w:sz="0" w:space="0" w:color="auto"/>
        <w:left w:val="none" w:sz="0" w:space="0" w:color="auto"/>
        <w:bottom w:val="none" w:sz="0" w:space="0" w:color="auto"/>
        <w:right w:val="none" w:sz="0" w:space="0" w:color="auto"/>
      </w:divBdr>
    </w:div>
    <w:div w:id="550071485">
      <w:bodyDiv w:val="1"/>
      <w:marLeft w:val="0"/>
      <w:marRight w:val="0"/>
      <w:marTop w:val="0"/>
      <w:marBottom w:val="0"/>
      <w:divBdr>
        <w:top w:val="none" w:sz="0" w:space="0" w:color="auto"/>
        <w:left w:val="none" w:sz="0" w:space="0" w:color="auto"/>
        <w:bottom w:val="none" w:sz="0" w:space="0" w:color="auto"/>
        <w:right w:val="none" w:sz="0" w:space="0" w:color="auto"/>
      </w:divBdr>
    </w:div>
    <w:div w:id="557327999">
      <w:bodyDiv w:val="1"/>
      <w:marLeft w:val="0"/>
      <w:marRight w:val="0"/>
      <w:marTop w:val="0"/>
      <w:marBottom w:val="0"/>
      <w:divBdr>
        <w:top w:val="none" w:sz="0" w:space="0" w:color="auto"/>
        <w:left w:val="none" w:sz="0" w:space="0" w:color="auto"/>
        <w:bottom w:val="none" w:sz="0" w:space="0" w:color="auto"/>
        <w:right w:val="none" w:sz="0" w:space="0" w:color="auto"/>
      </w:divBdr>
    </w:div>
    <w:div w:id="563680782">
      <w:bodyDiv w:val="1"/>
      <w:marLeft w:val="0"/>
      <w:marRight w:val="0"/>
      <w:marTop w:val="0"/>
      <w:marBottom w:val="0"/>
      <w:divBdr>
        <w:top w:val="none" w:sz="0" w:space="0" w:color="auto"/>
        <w:left w:val="none" w:sz="0" w:space="0" w:color="auto"/>
        <w:bottom w:val="none" w:sz="0" w:space="0" w:color="auto"/>
        <w:right w:val="none" w:sz="0" w:space="0" w:color="auto"/>
      </w:divBdr>
    </w:div>
    <w:div w:id="569534574">
      <w:bodyDiv w:val="1"/>
      <w:marLeft w:val="0"/>
      <w:marRight w:val="0"/>
      <w:marTop w:val="0"/>
      <w:marBottom w:val="0"/>
      <w:divBdr>
        <w:top w:val="none" w:sz="0" w:space="0" w:color="auto"/>
        <w:left w:val="none" w:sz="0" w:space="0" w:color="auto"/>
        <w:bottom w:val="none" w:sz="0" w:space="0" w:color="auto"/>
        <w:right w:val="none" w:sz="0" w:space="0" w:color="auto"/>
      </w:divBdr>
    </w:div>
    <w:div w:id="581570687">
      <w:bodyDiv w:val="1"/>
      <w:marLeft w:val="0"/>
      <w:marRight w:val="0"/>
      <w:marTop w:val="0"/>
      <w:marBottom w:val="0"/>
      <w:divBdr>
        <w:top w:val="none" w:sz="0" w:space="0" w:color="auto"/>
        <w:left w:val="none" w:sz="0" w:space="0" w:color="auto"/>
        <w:bottom w:val="none" w:sz="0" w:space="0" w:color="auto"/>
        <w:right w:val="none" w:sz="0" w:space="0" w:color="auto"/>
      </w:divBdr>
    </w:div>
    <w:div w:id="592399517">
      <w:bodyDiv w:val="1"/>
      <w:marLeft w:val="0"/>
      <w:marRight w:val="0"/>
      <w:marTop w:val="0"/>
      <w:marBottom w:val="0"/>
      <w:divBdr>
        <w:top w:val="none" w:sz="0" w:space="0" w:color="auto"/>
        <w:left w:val="none" w:sz="0" w:space="0" w:color="auto"/>
        <w:bottom w:val="none" w:sz="0" w:space="0" w:color="auto"/>
        <w:right w:val="none" w:sz="0" w:space="0" w:color="auto"/>
      </w:divBdr>
    </w:div>
    <w:div w:id="594482888">
      <w:bodyDiv w:val="1"/>
      <w:marLeft w:val="0"/>
      <w:marRight w:val="0"/>
      <w:marTop w:val="0"/>
      <w:marBottom w:val="0"/>
      <w:divBdr>
        <w:top w:val="none" w:sz="0" w:space="0" w:color="auto"/>
        <w:left w:val="none" w:sz="0" w:space="0" w:color="auto"/>
        <w:bottom w:val="none" w:sz="0" w:space="0" w:color="auto"/>
        <w:right w:val="none" w:sz="0" w:space="0" w:color="auto"/>
      </w:divBdr>
    </w:div>
    <w:div w:id="608393979">
      <w:bodyDiv w:val="1"/>
      <w:marLeft w:val="0"/>
      <w:marRight w:val="0"/>
      <w:marTop w:val="0"/>
      <w:marBottom w:val="0"/>
      <w:divBdr>
        <w:top w:val="none" w:sz="0" w:space="0" w:color="auto"/>
        <w:left w:val="none" w:sz="0" w:space="0" w:color="auto"/>
        <w:bottom w:val="none" w:sz="0" w:space="0" w:color="auto"/>
        <w:right w:val="none" w:sz="0" w:space="0" w:color="auto"/>
      </w:divBdr>
    </w:div>
    <w:div w:id="614213190">
      <w:bodyDiv w:val="1"/>
      <w:marLeft w:val="0"/>
      <w:marRight w:val="0"/>
      <w:marTop w:val="0"/>
      <w:marBottom w:val="0"/>
      <w:divBdr>
        <w:top w:val="none" w:sz="0" w:space="0" w:color="auto"/>
        <w:left w:val="none" w:sz="0" w:space="0" w:color="auto"/>
        <w:bottom w:val="none" w:sz="0" w:space="0" w:color="auto"/>
        <w:right w:val="none" w:sz="0" w:space="0" w:color="auto"/>
      </w:divBdr>
    </w:div>
    <w:div w:id="615140076">
      <w:bodyDiv w:val="1"/>
      <w:marLeft w:val="0"/>
      <w:marRight w:val="0"/>
      <w:marTop w:val="0"/>
      <w:marBottom w:val="0"/>
      <w:divBdr>
        <w:top w:val="none" w:sz="0" w:space="0" w:color="auto"/>
        <w:left w:val="none" w:sz="0" w:space="0" w:color="auto"/>
        <w:bottom w:val="none" w:sz="0" w:space="0" w:color="auto"/>
        <w:right w:val="none" w:sz="0" w:space="0" w:color="auto"/>
      </w:divBdr>
    </w:div>
    <w:div w:id="620110997">
      <w:bodyDiv w:val="1"/>
      <w:marLeft w:val="0"/>
      <w:marRight w:val="0"/>
      <w:marTop w:val="0"/>
      <w:marBottom w:val="0"/>
      <w:divBdr>
        <w:top w:val="none" w:sz="0" w:space="0" w:color="auto"/>
        <w:left w:val="none" w:sz="0" w:space="0" w:color="auto"/>
        <w:bottom w:val="none" w:sz="0" w:space="0" w:color="auto"/>
        <w:right w:val="none" w:sz="0" w:space="0" w:color="auto"/>
      </w:divBdr>
    </w:div>
    <w:div w:id="620846449">
      <w:bodyDiv w:val="1"/>
      <w:marLeft w:val="0"/>
      <w:marRight w:val="0"/>
      <w:marTop w:val="0"/>
      <w:marBottom w:val="0"/>
      <w:divBdr>
        <w:top w:val="none" w:sz="0" w:space="0" w:color="auto"/>
        <w:left w:val="none" w:sz="0" w:space="0" w:color="auto"/>
        <w:bottom w:val="none" w:sz="0" w:space="0" w:color="auto"/>
        <w:right w:val="none" w:sz="0" w:space="0" w:color="auto"/>
      </w:divBdr>
    </w:div>
    <w:div w:id="627199763">
      <w:bodyDiv w:val="1"/>
      <w:marLeft w:val="0"/>
      <w:marRight w:val="0"/>
      <w:marTop w:val="0"/>
      <w:marBottom w:val="0"/>
      <w:divBdr>
        <w:top w:val="none" w:sz="0" w:space="0" w:color="auto"/>
        <w:left w:val="none" w:sz="0" w:space="0" w:color="auto"/>
        <w:bottom w:val="none" w:sz="0" w:space="0" w:color="auto"/>
        <w:right w:val="none" w:sz="0" w:space="0" w:color="auto"/>
      </w:divBdr>
    </w:div>
    <w:div w:id="633488201">
      <w:bodyDiv w:val="1"/>
      <w:marLeft w:val="0"/>
      <w:marRight w:val="0"/>
      <w:marTop w:val="0"/>
      <w:marBottom w:val="0"/>
      <w:divBdr>
        <w:top w:val="none" w:sz="0" w:space="0" w:color="auto"/>
        <w:left w:val="none" w:sz="0" w:space="0" w:color="auto"/>
        <w:bottom w:val="none" w:sz="0" w:space="0" w:color="auto"/>
        <w:right w:val="none" w:sz="0" w:space="0" w:color="auto"/>
      </w:divBdr>
    </w:div>
    <w:div w:id="638651926">
      <w:bodyDiv w:val="1"/>
      <w:marLeft w:val="0"/>
      <w:marRight w:val="0"/>
      <w:marTop w:val="0"/>
      <w:marBottom w:val="0"/>
      <w:divBdr>
        <w:top w:val="none" w:sz="0" w:space="0" w:color="auto"/>
        <w:left w:val="none" w:sz="0" w:space="0" w:color="auto"/>
        <w:bottom w:val="none" w:sz="0" w:space="0" w:color="auto"/>
        <w:right w:val="none" w:sz="0" w:space="0" w:color="auto"/>
      </w:divBdr>
    </w:div>
    <w:div w:id="641934409">
      <w:bodyDiv w:val="1"/>
      <w:marLeft w:val="0"/>
      <w:marRight w:val="0"/>
      <w:marTop w:val="0"/>
      <w:marBottom w:val="0"/>
      <w:divBdr>
        <w:top w:val="none" w:sz="0" w:space="0" w:color="auto"/>
        <w:left w:val="none" w:sz="0" w:space="0" w:color="auto"/>
        <w:bottom w:val="none" w:sz="0" w:space="0" w:color="auto"/>
        <w:right w:val="none" w:sz="0" w:space="0" w:color="auto"/>
      </w:divBdr>
    </w:div>
    <w:div w:id="650183941">
      <w:bodyDiv w:val="1"/>
      <w:marLeft w:val="0"/>
      <w:marRight w:val="0"/>
      <w:marTop w:val="0"/>
      <w:marBottom w:val="0"/>
      <w:divBdr>
        <w:top w:val="none" w:sz="0" w:space="0" w:color="auto"/>
        <w:left w:val="none" w:sz="0" w:space="0" w:color="auto"/>
        <w:bottom w:val="none" w:sz="0" w:space="0" w:color="auto"/>
        <w:right w:val="none" w:sz="0" w:space="0" w:color="auto"/>
      </w:divBdr>
    </w:div>
    <w:div w:id="656230420">
      <w:bodyDiv w:val="1"/>
      <w:marLeft w:val="0"/>
      <w:marRight w:val="0"/>
      <w:marTop w:val="0"/>
      <w:marBottom w:val="0"/>
      <w:divBdr>
        <w:top w:val="none" w:sz="0" w:space="0" w:color="auto"/>
        <w:left w:val="none" w:sz="0" w:space="0" w:color="auto"/>
        <w:bottom w:val="none" w:sz="0" w:space="0" w:color="auto"/>
        <w:right w:val="none" w:sz="0" w:space="0" w:color="auto"/>
      </w:divBdr>
    </w:div>
    <w:div w:id="658509314">
      <w:bodyDiv w:val="1"/>
      <w:marLeft w:val="0"/>
      <w:marRight w:val="0"/>
      <w:marTop w:val="0"/>
      <w:marBottom w:val="0"/>
      <w:divBdr>
        <w:top w:val="none" w:sz="0" w:space="0" w:color="auto"/>
        <w:left w:val="none" w:sz="0" w:space="0" w:color="auto"/>
        <w:bottom w:val="none" w:sz="0" w:space="0" w:color="auto"/>
        <w:right w:val="none" w:sz="0" w:space="0" w:color="auto"/>
      </w:divBdr>
    </w:div>
    <w:div w:id="668606777">
      <w:bodyDiv w:val="1"/>
      <w:marLeft w:val="0"/>
      <w:marRight w:val="0"/>
      <w:marTop w:val="0"/>
      <w:marBottom w:val="0"/>
      <w:divBdr>
        <w:top w:val="none" w:sz="0" w:space="0" w:color="auto"/>
        <w:left w:val="none" w:sz="0" w:space="0" w:color="auto"/>
        <w:bottom w:val="none" w:sz="0" w:space="0" w:color="auto"/>
        <w:right w:val="none" w:sz="0" w:space="0" w:color="auto"/>
      </w:divBdr>
    </w:div>
    <w:div w:id="672031116">
      <w:bodyDiv w:val="1"/>
      <w:marLeft w:val="0"/>
      <w:marRight w:val="0"/>
      <w:marTop w:val="0"/>
      <w:marBottom w:val="0"/>
      <w:divBdr>
        <w:top w:val="none" w:sz="0" w:space="0" w:color="auto"/>
        <w:left w:val="none" w:sz="0" w:space="0" w:color="auto"/>
        <w:bottom w:val="none" w:sz="0" w:space="0" w:color="auto"/>
        <w:right w:val="none" w:sz="0" w:space="0" w:color="auto"/>
      </w:divBdr>
    </w:div>
    <w:div w:id="673537676">
      <w:bodyDiv w:val="1"/>
      <w:marLeft w:val="0"/>
      <w:marRight w:val="0"/>
      <w:marTop w:val="0"/>
      <w:marBottom w:val="0"/>
      <w:divBdr>
        <w:top w:val="none" w:sz="0" w:space="0" w:color="auto"/>
        <w:left w:val="none" w:sz="0" w:space="0" w:color="auto"/>
        <w:bottom w:val="none" w:sz="0" w:space="0" w:color="auto"/>
        <w:right w:val="none" w:sz="0" w:space="0" w:color="auto"/>
      </w:divBdr>
    </w:div>
    <w:div w:id="687222996">
      <w:bodyDiv w:val="1"/>
      <w:marLeft w:val="0"/>
      <w:marRight w:val="0"/>
      <w:marTop w:val="0"/>
      <w:marBottom w:val="0"/>
      <w:divBdr>
        <w:top w:val="none" w:sz="0" w:space="0" w:color="auto"/>
        <w:left w:val="none" w:sz="0" w:space="0" w:color="auto"/>
        <w:bottom w:val="none" w:sz="0" w:space="0" w:color="auto"/>
        <w:right w:val="none" w:sz="0" w:space="0" w:color="auto"/>
      </w:divBdr>
    </w:div>
    <w:div w:id="688028567">
      <w:bodyDiv w:val="1"/>
      <w:marLeft w:val="0"/>
      <w:marRight w:val="0"/>
      <w:marTop w:val="0"/>
      <w:marBottom w:val="0"/>
      <w:divBdr>
        <w:top w:val="none" w:sz="0" w:space="0" w:color="auto"/>
        <w:left w:val="none" w:sz="0" w:space="0" w:color="auto"/>
        <w:bottom w:val="none" w:sz="0" w:space="0" w:color="auto"/>
        <w:right w:val="none" w:sz="0" w:space="0" w:color="auto"/>
      </w:divBdr>
    </w:div>
    <w:div w:id="703214990">
      <w:bodyDiv w:val="1"/>
      <w:marLeft w:val="0"/>
      <w:marRight w:val="0"/>
      <w:marTop w:val="0"/>
      <w:marBottom w:val="0"/>
      <w:divBdr>
        <w:top w:val="none" w:sz="0" w:space="0" w:color="auto"/>
        <w:left w:val="none" w:sz="0" w:space="0" w:color="auto"/>
        <w:bottom w:val="none" w:sz="0" w:space="0" w:color="auto"/>
        <w:right w:val="none" w:sz="0" w:space="0" w:color="auto"/>
      </w:divBdr>
    </w:div>
    <w:div w:id="705980927">
      <w:bodyDiv w:val="1"/>
      <w:marLeft w:val="0"/>
      <w:marRight w:val="0"/>
      <w:marTop w:val="0"/>
      <w:marBottom w:val="0"/>
      <w:divBdr>
        <w:top w:val="none" w:sz="0" w:space="0" w:color="auto"/>
        <w:left w:val="none" w:sz="0" w:space="0" w:color="auto"/>
        <w:bottom w:val="none" w:sz="0" w:space="0" w:color="auto"/>
        <w:right w:val="none" w:sz="0" w:space="0" w:color="auto"/>
      </w:divBdr>
    </w:div>
    <w:div w:id="706031432">
      <w:bodyDiv w:val="1"/>
      <w:marLeft w:val="0"/>
      <w:marRight w:val="0"/>
      <w:marTop w:val="0"/>
      <w:marBottom w:val="0"/>
      <w:divBdr>
        <w:top w:val="none" w:sz="0" w:space="0" w:color="auto"/>
        <w:left w:val="none" w:sz="0" w:space="0" w:color="auto"/>
        <w:bottom w:val="none" w:sz="0" w:space="0" w:color="auto"/>
        <w:right w:val="none" w:sz="0" w:space="0" w:color="auto"/>
      </w:divBdr>
    </w:div>
    <w:div w:id="708139904">
      <w:bodyDiv w:val="1"/>
      <w:marLeft w:val="0"/>
      <w:marRight w:val="0"/>
      <w:marTop w:val="0"/>
      <w:marBottom w:val="0"/>
      <w:divBdr>
        <w:top w:val="none" w:sz="0" w:space="0" w:color="auto"/>
        <w:left w:val="none" w:sz="0" w:space="0" w:color="auto"/>
        <w:bottom w:val="none" w:sz="0" w:space="0" w:color="auto"/>
        <w:right w:val="none" w:sz="0" w:space="0" w:color="auto"/>
      </w:divBdr>
    </w:div>
    <w:div w:id="711687514">
      <w:bodyDiv w:val="1"/>
      <w:marLeft w:val="0"/>
      <w:marRight w:val="0"/>
      <w:marTop w:val="0"/>
      <w:marBottom w:val="0"/>
      <w:divBdr>
        <w:top w:val="none" w:sz="0" w:space="0" w:color="auto"/>
        <w:left w:val="none" w:sz="0" w:space="0" w:color="auto"/>
        <w:bottom w:val="none" w:sz="0" w:space="0" w:color="auto"/>
        <w:right w:val="none" w:sz="0" w:space="0" w:color="auto"/>
      </w:divBdr>
    </w:div>
    <w:div w:id="723986683">
      <w:bodyDiv w:val="1"/>
      <w:marLeft w:val="0"/>
      <w:marRight w:val="0"/>
      <w:marTop w:val="0"/>
      <w:marBottom w:val="0"/>
      <w:divBdr>
        <w:top w:val="none" w:sz="0" w:space="0" w:color="auto"/>
        <w:left w:val="none" w:sz="0" w:space="0" w:color="auto"/>
        <w:bottom w:val="none" w:sz="0" w:space="0" w:color="auto"/>
        <w:right w:val="none" w:sz="0" w:space="0" w:color="auto"/>
      </w:divBdr>
    </w:div>
    <w:div w:id="738021631">
      <w:bodyDiv w:val="1"/>
      <w:marLeft w:val="0"/>
      <w:marRight w:val="0"/>
      <w:marTop w:val="0"/>
      <w:marBottom w:val="0"/>
      <w:divBdr>
        <w:top w:val="none" w:sz="0" w:space="0" w:color="auto"/>
        <w:left w:val="none" w:sz="0" w:space="0" w:color="auto"/>
        <w:bottom w:val="none" w:sz="0" w:space="0" w:color="auto"/>
        <w:right w:val="none" w:sz="0" w:space="0" w:color="auto"/>
      </w:divBdr>
    </w:div>
    <w:div w:id="743183850">
      <w:bodyDiv w:val="1"/>
      <w:marLeft w:val="0"/>
      <w:marRight w:val="0"/>
      <w:marTop w:val="0"/>
      <w:marBottom w:val="0"/>
      <w:divBdr>
        <w:top w:val="none" w:sz="0" w:space="0" w:color="auto"/>
        <w:left w:val="none" w:sz="0" w:space="0" w:color="auto"/>
        <w:bottom w:val="none" w:sz="0" w:space="0" w:color="auto"/>
        <w:right w:val="none" w:sz="0" w:space="0" w:color="auto"/>
      </w:divBdr>
    </w:div>
    <w:div w:id="744228343">
      <w:bodyDiv w:val="1"/>
      <w:marLeft w:val="0"/>
      <w:marRight w:val="0"/>
      <w:marTop w:val="0"/>
      <w:marBottom w:val="0"/>
      <w:divBdr>
        <w:top w:val="none" w:sz="0" w:space="0" w:color="auto"/>
        <w:left w:val="none" w:sz="0" w:space="0" w:color="auto"/>
        <w:bottom w:val="none" w:sz="0" w:space="0" w:color="auto"/>
        <w:right w:val="none" w:sz="0" w:space="0" w:color="auto"/>
      </w:divBdr>
    </w:div>
    <w:div w:id="755790195">
      <w:bodyDiv w:val="1"/>
      <w:marLeft w:val="0"/>
      <w:marRight w:val="0"/>
      <w:marTop w:val="0"/>
      <w:marBottom w:val="0"/>
      <w:divBdr>
        <w:top w:val="none" w:sz="0" w:space="0" w:color="auto"/>
        <w:left w:val="none" w:sz="0" w:space="0" w:color="auto"/>
        <w:bottom w:val="none" w:sz="0" w:space="0" w:color="auto"/>
        <w:right w:val="none" w:sz="0" w:space="0" w:color="auto"/>
      </w:divBdr>
    </w:div>
    <w:div w:id="763112280">
      <w:bodyDiv w:val="1"/>
      <w:marLeft w:val="0"/>
      <w:marRight w:val="0"/>
      <w:marTop w:val="0"/>
      <w:marBottom w:val="0"/>
      <w:divBdr>
        <w:top w:val="none" w:sz="0" w:space="0" w:color="auto"/>
        <w:left w:val="none" w:sz="0" w:space="0" w:color="auto"/>
        <w:bottom w:val="none" w:sz="0" w:space="0" w:color="auto"/>
        <w:right w:val="none" w:sz="0" w:space="0" w:color="auto"/>
      </w:divBdr>
    </w:div>
    <w:div w:id="766117656">
      <w:bodyDiv w:val="1"/>
      <w:marLeft w:val="0"/>
      <w:marRight w:val="0"/>
      <w:marTop w:val="0"/>
      <w:marBottom w:val="0"/>
      <w:divBdr>
        <w:top w:val="none" w:sz="0" w:space="0" w:color="auto"/>
        <w:left w:val="none" w:sz="0" w:space="0" w:color="auto"/>
        <w:bottom w:val="none" w:sz="0" w:space="0" w:color="auto"/>
        <w:right w:val="none" w:sz="0" w:space="0" w:color="auto"/>
      </w:divBdr>
    </w:div>
    <w:div w:id="778794372">
      <w:bodyDiv w:val="1"/>
      <w:marLeft w:val="0"/>
      <w:marRight w:val="0"/>
      <w:marTop w:val="0"/>
      <w:marBottom w:val="0"/>
      <w:divBdr>
        <w:top w:val="none" w:sz="0" w:space="0" w:color="auto"/>
        <w:left w:val="none" w:sz="0" w:space="0" w:color="auto"/>
        <w:bottom w:val="none" w:sz="0" w:space="0" w:color="auto"/>
        <w:right w:val="none" w:sz="0" w:space="0" w:color="auto"/>
      </w:divBdr>
    </w:div>
    <w:div w:id="780304013">
      <w:bodyDiv w:val="1"/>
      <w:marLeft w:val="0"/>
      <w:marRight w:val="0"/>
      <w:marTop w:val="0"/>
      <w:marBottom w:val="0"/>
      <w:divBdr>
        <w:top w:val="none" w:sz="0" w:space="0" w:color="auto"/>
        <w:left w:val="none" w:sz="0" w:space="0" w:color="auto"/>
        <w:bottom w:val="none" w:sz="0" w:space="0" w:color="auto"/>
        <w:right w:val="none" w:sz="0" w:space="0" w:color="auto"/>
      </w:divBdr>
    </w:div>
    <w:div w:id="781606060">
      <w:bodyDiv w:val="1"/>
      <w:marLeft w:val="0"/>
      <w:marRight w:val="0"/>
      <w:marTop w:val="0"/>
      <w:marBottom w:val="0"/>
      <w:divBdr>
        <w:top w:val="none" w:sz="0" w:space="0" w:color="auto"/>
        <w:left w:val="none" w:sz="0" w:space="0" w:color="auto"/>
        <w:bottom w:val="none" w:sz="0" w:space="0" w:color="auto"/>
        <w:right w:val="none" w:sz="0" w:space="0" w:color="auto"/>
      </w:divBdr>
    </w:div>
    <w:div w:id="803304489">
      <w:bodyDiv w:val="1"/>
      <w:marLeft w:val="0"/>
      <w:marRight w:val="0"/>
      <w:marTop w:val="0"/>
      <w:marBottom w:val="0"/>
      <w:divBdr>
        <w:top w:val="none" w:sz="0" w:space="0" w:color="auto"/>
        <w:left w:val="none" w:sz="0" w:space="0" w:color="auto"/>
        <w:bottom w:val="none" w:sz="0" w:space="0" w:color="auto"/>
        <w:right w:val="none" w:sz="0" w:space="0" w:color="auto"/>
      </w:divBdr>
    </w:div>
    <w:div w:id="803428470">
      <w:bodyDiv w:val="1"/>
      <w:marLeft w:val="0"/>
      <w:marRight w:val="0"/>
      <w:marTop w:val="0"/>
      <w:marBottom w:val="0"/>
      <w:divBdr>
        <w:top w:val="none" w:sz="0" w:space="0" w:color="auto"/>
        <w:left w:val="none" w:sz="0" w:space="0" w:color="auto"/>
        <w:bottom w:val="none" w:sz="0" w:space="0" w:color="auto"/>
        <w:right w:val="none" w:sz="0" w:space="0" w:color="auto"/>
      </w:divBdr>
    </w:div>
    <w:div w:id="812063847">
      <w:bodyDiv w:val="1"/>
      <w:marLeft w:val="0"/>
      <w:marRight w:val="0"/>
      <w:marTop w:val="0"/>
      <w:marBottom w:val="0"/>
      <w:divBdr>
        <w:top w:val="none" w:sz="0" w:space="0" w:color="auto"/>
        <w:left w:val="none" w:sz="0" w:space="0" w:color="auto"/>
        <w:bottom w:val="none" w:sz="0" w:space="0" w:color="auto"/>
        <w:right w:val="none" w:sz="0" w:space="0" w:color="auto"/>
      </w:divBdr>
    </w:div>
    <w:div w:id="819618426">
      <w:bodyDiv w:val="1"/>
      <w:marLeft w:val="0"/>
      <w:marRight w:val="0"/>
      <w:marTop w:val="0"/>
      <w:marBottom w:val="0"/>
      <w:divBdr>
        <w:top w:val="none" w:sz="0" w:space="0" w:color="auto"/>
        <w:left w:val="none" w:sz="0" w:space="0" w:color="auto"/>
        <w:bottom w:val="none" w:sz="0" w:space="0" w:color="auto"/>
        <w:right w:val="none" w:sz="0" w:space="0" w:color="auto"/>
      </w:divBdr>
    </w:div>
    <w:div w:id="827787700">
      <w:bodyDiv w:val="1"/>
      <w:marLeft w:val="0"/>
      <w:marRight w:val="0"/>
      <w:marTop w:val="0"/>
      <w:marBottom w:val="0"/>
      <w:divBdr>
        <w:top w:val="none" w:sz="0" w:space="0" w:color="auto"/>
        <w:left w:val="none" w:sz="0" w:space="0" w:color="auto"/>
        <w:bottom w:val="none" w:sz="0" w:space="0" w:color="auto"/>
        <w:right w:val="none" w:sz="0" w:space="0" w:color="auto"/>
      </w:divBdr>
    </w:div>
    <w:div w:id="831719936">
      <w:bodyDiv w:val="1"/>
      <w:marLeft w:val="0"/>
      <w:marRight w:val="0"/>
      <w:marTop w:val="0"/>
      <w:marBottom w:val="0"/>
      <w:divBdr>
        <w:top w:val="none" w:sz="0" w:space="0" w:color="auto"/>
        <w:left w:val="none" w:sz="0" w:space="0" w:color="auto"/>
        <w:bottom w:val="none" w:sz="0" w:space="0" w:color="auto"/>
        <w:right w:val="none" w:sz="0" w:space="0" w:color="auto"/>
      </w:divBdr>
    </w:div>
    <w:div w:id="836506294">
      <w:bodyDiv w:val="1"/>
      <w:marLeft w:val="0"/>
      <w:marRight w:val="0"/>
      <w:marTop w:val="0"/>
      <w:marBottom w:val="0"/>
      <w:divBdr>
        <w:top w:val="none" w:sz="0" w:space="0" w:color="auto"/>
        <w:left w:val="none" w:sz="0" w:space="0" w:color="auto"/>
        <w:bottom w:val="none" w:sz="0" w:space="0" w:color="auto"/>
        <w:right w:val="none" w:sz="0" w:space="0" w:color="auto"/>
      </w:divBdr>
    </w:div>
    <w:div w:id="841706242">
      <w:bodyDiv w:val="1"/>
      <w:marLeft w:val="0"/>
      <w:marRight w:val="0"/>
      <w:marTop w:val="0"/>
      <w:marBottom w:val="0"/>
      <w:divBdr>
        <w:top w:val="none" w:sz="0" w:space="0" w:color="auto"/>
        <w:left w:val="none" w:sz="0" w:space="0" w:color="auto"/>
        <w:bottom w:val="none" w:sz="0" w:space="0" w:color="auto"/>
        <w:right w:val="none" w:sz="0" w:space="0" w:color="auto"/>
      </w:divBdr>
    </w:div>
    <w:div w:id="844902479">
      <w:bodyDiv w:val="1"/>
      <w:marLeft w:val="0"/>
      <w:marRight w:val="0"/>
      <w:marTop w:val="0"/>
      <w:marBottom w:val="0"/>
      <w:divBdr>
        <w:top w:val="none" w:sz="0" w:space="0" w:color="auto"/>
        <w:left w:val="none" w:sz="0" w:space="0" w:color="auto"/>
        <w:bottom w:val="none" w:sz="0" w:space="0" w:color="auto"/>
        <w:right w:val="none" w:sz="0" w:space="0" w:color="auto"/>
      </w:divBdr>
    </w:div>
    <w:div w:id="845364370">
      <w:bodyDiv w:val="1"/>
      <w:marLeft w:val="0"/>
      <w:marRight w:val="0"/>
      <w:marTop w:val="0"/>
      <w:marBottom w:val="0"/>
      <w:divBdr>
        <w:top w:val="none" w:sz="0" w:space="0" w:color="auto"/>
        <w:left w:val="none" w:sz="0" w:space="0" w:color="auto"/>
        <w:bottom w:val="none" w:sz="0" w:space="0" w:color="auto"/>
        <w:right w:val="none" w:sz="0" w:space="0" w:color="auto"/>
      </w:divBdr>
    </w:div>
    <w:div w:id="845555172">
      <w:bodyDiv w:val="1"/>
      <w:marLeft w:val="0"/>
      <w:marRight w:val="0"/>
      <w:marTop w:val="0"/>
      <w:marBottom w:val="0"/>
      <w:divBdr>
        <w:top w:val="none" w:sz="0" w:space="0" w:color="auto"/>
        <w:left w:val="none" w:sz="0" w:space="0" w:color="auto"/>
        <w:bottom w:val="none" w:sz="0" w:space="0" w:color="auto"/>
        <w:right w:val="none" w:sz="0" w:space="0" w:color="auto"/>
      </w:divBdr>
    </w:div>
    <w:div w:id="846796724">
      <w:bodyDiv w:val="1"/>
      <w:marLeft w:val="0"/>
      <w:marRight w:val="0"/>
      <w:marTop w:val="0"/>
      <w:marBottom w:val="0"/>
      <w:divBdr>
        <w:top w:val="none" w:sz="0" w:space="0" w:color="auto"/>
        <w:left w:val="none" w:sz="0" w:space="0" w:color="auto"/>
        <w:bottom w:val="none" w:sz="0" w:space="0" w:color="auto"/>
        <w:right w:val="none" w:sz="0" w:space="0" w:color="auto"/>
      </w:divBdr>
    </w:div>
    <w:div w:id="857155433">
      <w:bodyDiv w:val="1"/>
      <w:marLeft w:val="0"/>
      <w:marRight w:val="0"/>
      <w:marTop w:val="0"/>
      <w:marBottom w:val="0"/>
      <w:divBdr>
        <w:top w:val="none" w:sz="0" w:space="0" w:color="auto"/>
        <w:left w:val="none" w:sz="0" w:space="0" w:color="auto"/>
        <w:bottom w:val="none" w:sz="0" w:space="0" w:color="auto"/>
        <w:right w:val="none" w:sz="0" w:space="0" w:color="auto"/>
      </w:divBdr>
    </w:div>
    <w:div w:id="858349516">
      <w:bodyDiv w:val="1"/>
      <w:marLeft w:val="0"/>
      <w:marRight w:val="0"/>
      <w:marTop w:val="0"/>
      <w:marBottom w:val="0"/>
      <w:divBdr>
        <w:top w:val="none" w:sz="0" w:space="0" w:color="auto"/>
        <w:left w:val="none" w:sz="0" w:space="0" w:color="auto"/>
        <w:bottom w:val="none" w:sz="0" w:space="0" w:color="auto"/>
        <w:right w:val="none" w:sz="0" w:space="0" w:color="auto"/>
      </w:divBdr>
    </w:div>
    <w:div w:id="859393810">
      <w:bodyDiv w:val="1"/>
      <w:marLeft w:val="0"/>
      <w:marRight w:val="0"/>
      <w:marTop w:val="0"/>
      <w:marBottom w:val="0"/>
      <w:divBdr>
        <w:top w:val="none" w:sz="0" w:space="0" w:color="auto"/>
        <w:left w:val="none" w:sz="0" w:space="0" w:color="auto"/>
        <w:bottom w:val="none" w:sz="0" w:space="0" w:color="auto"/>
        <w:right w:val="none" w:sz="0" w:space="0" w:color="auto"/>
      </w:divBdr>
    </w:div>
    <w:div w:id="859930594">
      <w:bodyDiv w:val="1"/>
      <w:marLeft w:val="0"/>
      <w:marRight w:val="0"/>
      <w:marTop w:val="0"/>
      <w:marBottom w:val="0"/>
      <w:divBdr>
        <w:top w:val="none" w:sz="0" w:space="0" w:color="auto"/>
        <w:left w:val="none" w:sz="0" w:space="0" w:color="auto"/>
        <w:bottom w:val="none" w:sz="0" w:space="0" w:color="auto"/>
        <w:right w:val="none" w:sz="0" w:space="0" w:color="auto"/>
      </w:divBdr>
    </w:div>
    <w:div w:id="868418560">
      <w:bodyDiv w:val="1"/>
      <w:marLeft w:val="0"/>
      <w:marRight w:val="0"/>
      <w:marTop w:val="0"/>
      <w:marBottom w:val="0"/>
      <w:divBdr>
        <w:top w:val="none" w:sz="0" w:space="0" w:color="auto"/>
        <w:left w:val="none" w:sz="0" w:space="0" w:color="auto"/>
        <w:bottom w:val="none" w:sz="0" w:space="0" w:color="auto"/>
        <w:right w:val="none" w:sz="0" w:space="0" w:color="auto"/>
      </w:divBdr>
    </w:div>
    <w:div w:id="873811488">
      <w:bodyDiv w:val="1"/>
      <w:marLeft w:val="0"/>
      <w:marRight w:val="0"/>
      <w:marTop w:val="0"/>
      <w:marBottom w:val="0"/>
      <w:divBdr>
        <w:top w:val="none" w:sz="0" w:space="0" w:color="auto"/>
        <w:left w:val="none" w:sz="0" w:space="0" w:color="auto"/>
        <w:bottom w:val="none" w:sz="0" w:space="0" w:color="auto"/>
        <w:right w:val="none" w:sz="0" w:space="0" w:color="auto"/>
      </w:divBdr>
    </w:div>
    <w:div w:id="883366100">
      <w:bodyDiv w:val="1"/>
      <w:marLeft w:val="0"/>
      <w:marRight w:val="0"/>
      <w:marTop w:val="0"/>
      <w:marBottom w:val="0"/>
      <w:divBdr>
        <w:top w:val="none" w:sz="0" w:space="0" w:color="auto"/>
        <w:left w:val="none" w:sz="0" w:space="0" w:color="auto"/>
        <w:bottom w:val="none" w:sz="0" w:space="0" w:color="auto"/>
        <w:right w:val="none" w:sz="0" w:space="0" w:color="auto"/>
      </w:divBdr>
    </w:div>
    <w:div w:id="883517152">
      <w:bodyDiv w:val="1"/>
      <w:marLeft w:val="0"/>
      <w:marRight w:val="0"/>
      <w:marTop w:val="0"/>
      <w:marBottom w:val="0"/>
      <w:divBdr>
        <w:top w:val="none" w:sz="0" w:space="0" w:color="auto"/>
        <w:left w:val="none" w:sz="0" w:space="0" w:color="auto"/>
        <w:bottom w:val="none" w:sz="0" w:space="0" w:color="auto"/>
        <w:right w:val="none" w:sz="0" w:space="0" w:color="auto"/>
      </w:divBdr>
    </w:div>
    <w:div w:id="907181563">
      <w:bodyDiv w:val="1"/>
      <w:marLeft w:val="0"/>
      <w:marRight w:val="0"/>
      <w:marTop w:val="0"/>
      <w:marBottom w:val="0"/>
      <w:divBdr>
        <w:top w:val="none" w:sz="0" w:space="0" w:color="auto"/>
        <w:left w:val="none" w:sz="0" w:space="0" w:color="auto"/>
        <w:bottom w:val="none" w:sz="0" w:space="0" w:color="auto"/>
        <w:right w:val="none" w:sz="0" w:space="0" w:color="auto"/>
      </w:divBdr>
    </w:div>
    <w:div w:id="910578742">
      <w:bodyDiv w:val="1"/>
      <w:marLeft w:val="0"/>
      <w:marRight w:val="0"/>
      <w:marTop w:val="0"/>
      <w:marBottom w:val="0"/>
      <w:divBdr>
        <w:top w:val="none" w:sz="0" w:space="0" w:color="auto"/>
        <w:left w:val="none" w:sz="0" w:space="0" w:color="auto"/>
        <w:bottom w:val="none" w:sz="0" w:space="0" w:color="auto"/>
        <w:right w:val="none" w:sz="0" w:space="0" w:color="auto"/>
      </w:divBdr>
    </w:div>
    <w:div w:id="925579728">
      <w:bodyDiv w:val="1"/>
      <w:marLeft w:val="0"/>
      <w:marRight w:val="0"/>
      <w:marTop w:val="0"/>
      <w:marBottom w:val="0"/>
      <w:divBdr>
        <w:top w:val="none" w:sz="0" w:space="0" w:color="auto"/>
        <w:left w:val="none" w:sz="0" w:space="0" w:color="auto"/>
        <w:bottom w:val="none" w:sz="0" w:space="0" w:color="auto"/>
        <w:right w:val="none" w:sz="0" w:space="0" w:color="auto"/>
      </w:divBdr>
    </w:div>
    <w:div w:id="929973383">
      <w:bodyDiv w:val="1"/>
      <w:marLeft w:val="0"/>
      <w:marRight w:val="0"/>
      <w:marTop w:val="0"/>
      <w:marBottom w:val="0"/>
      <w:divBdr>
        <w:top w:val="none" w:sz="0" w:space="0" w:color="auto"/>
        <w:left w:val="none" w:sz="0" w:space="0" w:color="auto"/>
        <w:bottom w:val="none" w:sz="0" w:space="0" w:color="auto"/>
        <w:right w:val="none" w:sz="0" w:space="0" w:color="auto"/>
      </w:divBdr>
    </w:div>
    <w:div w:id="932133487">
      <w:bodyDiv w:val="1"/>
      <w:marLeft w:val="0"/>
      <w:marRight w:val="0"/>
      <w:marTop w:val="0"/>
      <w:marBottom w:val="0"/>
      <w:divBdr>
        <w:top w:val="none" w:sz="0" w:space="0" w:color="auto"/>
        <w:left w:val="none" w:sz="0" w:space="0" w:color="auto"/>
        <w:bottom w:val="none" w:sz="0" w:space="0" w:color="auto"/>
        <w:right w:val="none" w:sz="0" w:space="0" w:color="auto"/>
      </w:divBdr>
    </w:div>
    <w:div w:id="942150631">
      <w:bodyDiv w:val="1"/>
      <w:marLeft w:val="0"/>
      <w:marRight w:val="0"/>
      <w:marTop w:val="0"/>
      <w:marBottom w:val="0"/>
      <w:divBdr>
        <w:top w:val="none" w:sz="0" w:space="0" w:color="auto"/>
        <w:left w:val="none" w:sz="0" w:space="0" w:color="auto"/>
        <w:bottom w:val="none" w:sz="0" w:space="0" w:color="auto"/>
        <w:right w:val="none" w:sz="0" w:space="0" w:color="auto"/>
      </w:divBdr>
    </w:div>
    <w:div w:id="945699571">
      <w:bodyDiv w:val="1"/>
      <w:marLeft w:val="0"/>
      <w:marRight w:val="0"/>
      <w:marTop w:val="0"/>
      <w:marBottom w:val="0"/>
      <w:divBdr>
        <w:top w:val="none" w:sz="0" w:space="0" w:color="auto"/>
        <w:left w:val="none" w:sz="0" w:space="0" w:color="auto"/>
        <w:bottom w:val="none" w:sz="0" w:space="0" w:color="auto"/>
        <w:right w:val="none" w:sz="0" w:space="0" w:color="auto"/>
      </w:divBdr>
    </w:div>
    <w:div w:id="946540233">
      <w:bodyDiv w:val="1"/>
      <w:marLeft w:val="0"/>
      <w:marRight w:val="0"/>
      <w:marTop w:val="0"/>
      <w:marBottom w:val="0"/>
      <w:divBdr>
        <w:top w:val="none" w:sz="0" w:space="0" w:color="auto"/>
        <w:left w:val="none" w:sz="0" w:space="0" w:color="auto"/>
        <w:bottom w:val="none" w:sz="0" w:space="0" w:color="auto"/>
        <w:right w:val="none" w:sz="0" w:space="0" w:color="auto"/>
      </w:divBdr>
    </w:div>
    <w:div w:id="956912927">
      <w:bodyDiv w:val="1"/>
      <w:marLeft w:val="0"/>
      <w:marRight w:val="0"/>
      <w:marTop w:val="0"/>
      <w:marBottom w:val="0"/>
      <w:divBdr>
        <w:top w:val="none" w:sz="0" w:space="0" w:color="auto"/>
        <w:left w:val="none" w:sz="0" w:space="0" w:color="auto"/>
        <w:bottom w:val="none" w:sz="0" w:space="0" w:color="auto"/>
        <w:right w:val="none" w:sz="0" w:space="0" w:color="auto"/>
      </w:divBdr>
    </w:div>
    <w:div w:id="958411184">
      <w:bodyDiv w:val="1"/>
      <w:marLeft w:val="0"/>
      <w:marRight w:val="0"/>
      <w:marTop w:val="0"/>
      <w:marBottom w:val="0"/>
      <w:divBdr>
        <w:top w:val="none" w:sz="0" w:space="0" w:color="auto"/>
        <w:left w:val="none" w:sz="0" w:space="0" w:color="auto"/>
        <w:bottom w:val="none" w:sz="0" w:space="0" w:color="auto"/>
        <w:right w:val="none" w:sz="0" w:space="0" w:color="auto"/>
      </w:divBdr>
    </w:div>
    <w:div w:id="963196724">
      <w:bodyDiv w:val="1"/>
      <w:marLeft w:val="0"/>
      <w:marRight w:val="0"/>
      <w:marTop w:val="0"/>
      <w:marBottom w:val="0"/>
      <w:divBdr>
        <w:top w:val="none" w:sz="0" w:space="0" w:color="auto"/>
        <w:left w:val="none" w:sz="0" w:space="0" w:color="auto"/>
        <w:bottom w:val="none" w:sz="0" w:space="0" w:color="auto"/>
        <w:right w:val="none" w:sz="0" w:space="0" w:color="auto"/>
      </w:divBdr>
    </w:div>
    <w:div w:id="969752210">
      <w:bodyDiv w:val="1"/>
      <w:marLeft w:val="0"/>
      <w:marRight w:val="0"/>
      <w:marTop w:val="0"/>
      <w:marBottom w:val="0"/>
      <w:divBdr>
        <w:top w:val="none" w:sz="0" w:space="0" w:color="auto"/>
        <w:left w:val="none" w:sz="0" w:space="0" w:color="auto"/>
        <w:bottom w:val="none" w:sz="0" w:space="0" w:color="auto"/>
        <w:right w:val="none" w:sz="0" w:space="0" w:color="auto"/>
      </w:divBdr>
    </w:div>
    <w:div w:id="971131619">
      <w:bodyDiv w:val="1"/>
      <w:marLeft w:val="0"/>
      <w:marRight w:val="0"/>
      <w:marTop w:val="0"/>
      <w:marBottom w:val="0"/>
      <w:divBdr>
        <w:top w:val="none" w:sz="0" w:space="0" w:color="auto"/>
        <w:left w:val="none" w:sz="0" w:space="0" w:color="auto"/>
        <w:bottom w:val="none" w:sz="0" w:space="0" w:color="auto"/>
        <w:right w:val="none" w:sz="0" w:space="0" w:color="auto"/>
      </w:divBdr>
    </w:div>
    <w:div w:id="973947974">
      <w:bodyDiv w:val="1"/>
      <w:marLeft w:val="0"/>
      <w:marRight w:val="0"/>
      <w:marTop w:val="0"/>
      <w:marBottom w:val="0"/>
      <w:divBdr>
        <w:top w:val="none" w:sz="0" w:space="0" w:color="auto"/>
        <w:left w:val="none" w:sz="0" w:space="0" w:color="auto"/>
        <w:bottom w:val="none" w:sz="0" w:space="0" w:color="auto"/>
        <w:right w:val="none" w:sz="0" w:space="0" w:color="auto"/>
      </w:divBdr>
    </w:div>
    <w:div w:id="974681716">
      <w:bodyDiv w:val="1"/>
      <w:marLeft w:val="0"/>
      <w:marRight w:val="0"/>
      <w:marTop w:val="0"/>
      <w:marBottom w:val="0"/>
      <w:divBdr>
        <w:top w:val="none" w:sz="0" w:space="0" w:color="auto"/>
        <w:left w:val="none" w:sz="0" w:space="0" w:color="auto"/>
        <w:bottom w:val="none" w:sz="0" w:space="0" w:color="auto"/>
        <w:right w:val="none" w:sz="0" w:space="0" w:color="auto"/>
      </w:divBdr>
    </w:div>
    <w:div w:id="985431670">
      <w:bodyDiv w:val="1"/>
      <w:marLeft w:val="0"/>
      <w:marRight w:val="0"/>
      <w:marTop w:val="0"/>
      <w:marBottom w:val="0"/>
      <w:divBdr>
        <w:top w:val="none" w:sz="0" w:space="0" w:color="auto"/>
        <w:left w:val="none" w:sz="0" w:space="0" w:color="auto"/>
        <w:bottom w:val="none" w:sz="0" w:space="0" w:color="auto"/>
        <w:right w:val="none" w:sz="0" w:space="0" w:color="auto"/>
      </w:divBdr>
    </w:div>
    <w:div w:id="992876807">
      <w:bodyDiv w:val="1"/>
      <w:marLeft w:val="0"/>
      <w:marRight w:val="0"/>
      <w:marTop w:val="0"/>
      <w:marBottom w:val="0"/>
      <w:divBdr>
        <w:top w:val="none" w:sz="0" w:space="0" w:color="auto"/>
        <w:left w:val="none" w:sz="0" w:space="0" w:color="auto"/>
        <w:bottom w:val="none" w:sz="0" w:space="0" w:color="auto"/>
        <w:right w:val="none" w:sz="0" w:space="0" w:color="auto"/>
      </w:divBdr>
    </w:div>
    <w:div w:id="993146985">
      <w:bodyDiv w:val="1"/>
      <w:marLeft w:val="0"/>
      <w:marRight w:val="0"/>
      <w:marTop w:val="0"/>
      <w:marBottom w:val="0"/>
      <w:divBdr>
        <w:top w:val="none" w:sz="0" w:space="0" w:color="auto"/>
        <w:left w:val="none" w:sz="0" w:space="0" w:color="auto"/>
        <w:bottom w:val="none" w:sz="0" w:space="0" w:color="auto"/>
        <w:right w:val="none" w:sz="0" w:space="0" w:color="auto"/>
      </w:divBdr>
    </w:div>
    <w:div w:id="995300582">
      <w:bodyDiv w:val="1"/>
      <w:marLeft w:val="0"/>
      <w:marRight w:val="0"/>
      <w:marTop w:val="0"/>
      <w:marBottom w:val="0"/>
      <w:divBdr>
        <w:top w:val="none" w:sz="0" w:space="0" w:color="auto"/>
        <w:left w:val="none" w:sz="0" w:space="0" w:color="auto"/>
        <w:bottom w:val="none" w:sz="0" w:space="0" w:color="auto"/>
        <w:right w:val="none" w:sz="0" w:space="0" w:color="auto"/>
      </w:divBdr>
    </w:div>
    <w:div w:id="1002196657">
      <w:bodyDiv w:val="1"/>
      <w:marLeft w:val="0"/>
      <w:marRight w:val="0"/>
      <w:marTop w:val="0"/>
      <w:marBottom w:val="0"/>
      <w:divBdr>
        <w:top w:val="none" w:sz="0" w:space="0" w:color="auto"/>
        <w:left w:val="none" w:sz="0" w:space="0" w:color="auto"/>
        <w:bottom w:val="none" w:sz="0" w:space="0" w:color="auto"/>
        <w:right w:val="none" w:sz="0" w:space="0" w:color="auto"/>
      </w:divBdr>
    </w:div>
    <w:div w:id="1005594994">
      <w:bodyDiv w:val="1"/>
      <w:marLeft w:val="0"/>
      <w:marRight w:val="0"/>
      <w:marTop w:val="0"/>
      <w:marBottom w:val="0"/>
      <w:divBdr>
        <w:top w:val="none" w:sz="0" w:space="0" w:color="auto"/>
        <w:left w:val="none" w:sz="0" w:space="0" w:color="auto"/>
        <w:bottom w:val="none" w:sz="0" w:space="0" w:color="auto"/>
        <w:right w:val="none" w:sz="0" w:space="0" w:color="auto"/>
      </w:divBdr>
    </w:div>
    <w:div w:id="1009333914">
      <w:bodyDiv w:val="1"/>
      <w:marLeft w:val="0"/>
      <w:marRight w:val="0"/>
      <w:marTop w:val="0"/>
      <w:marBottom w:val="0"/>
      <w:divBdr>
        <w:top w:val="none" w:sz="0" w:space="0" w:color="auto"/>
        <w:left w:val="none" w:sz="0" w:space="0" w:color="auto"/>
        <w:bottom w:val="none" w:sz="0" w:space="0" w:color="auto"/>
        <w:right w:val="none" w:sz="0" w:space="0" w:color="auto"/>
      </w:divBdr>
    </w:div>
    <w:div w:id="1019770517">
      <w:bodyDiv w:val="1"/>
      <w:marLeft w:val="0"/>
      <w:marRight w:val="0"/>
      <w:marTop w:val="0"/>
      <w:marBottom w:val="0"/>
      <w:divBdr>
        <w:top w:val="none" w:sz="0" w:space="0" w:color="auto"/>
        <w:left w:val="none" w:sz="0" w:space="0" w:color="auto"/>
        <w:bottom w:val="none" w:sz="0" w:space="0" w:color="auto"/>
        <w:right w:val="none" w:sz="0" w:space="0" w:color="auto"/>
      </w:divBdr>
    </w:div>
    <w:div w:id="1023869073">
      <w:bodyDiv w:val="1"/>
      <w:marLeft w:val="0"/>
      <w:marRight w:val="0"/>
      <w:marTop w:val="0"/>
      <w:marBottom w:val="0"/>
      <w:divBdr>
        <w:top w:val="none" w:sz="0" w:space="0" w:color="auto"/>
        <w:left w:val="none" w:sz="0" w:space="0" w:color="auto"/>
        <w:bottom w:val="none" w:sz="0" w:space="0" w:color="auto"/>
        <w:right w:val="none" w:sz="0" w:space="0" w:color="auto"/>
      </w:divBdr>
    </w:div>
    <w:div w:id="1025596572">
      <w:bodyDiv w:val="1"/>
      <w:marLeft w:val="0"/>
      <w:marRight w:val="0"/>
      <w:marTop w:val="0"/>
      <w:marBottom w:val="0"/>
      <w:divBdr>
        <w:top w:val="none" w:sz="0" w:space="0" w:color="auto"/>
        <w:left w:val="none" w:sz="0" w:space="0" w:color="auto"/>
        <w:bottom w:val="none" w:sz="0" w:space="0" w:color="auto"/>
        <w:right w:val="none" w:sz="0" w:space="0" w:color="auto"/>
      </w:divBdr>
    </w:div>
    <w:div w:id="1043872108">
      <w:bodyDiv w:val="1"/>
      <w:marLeft w:val="0"/>
      <w:marRight w:val="0"/>
      <w:marTop w:val="0"/>
      <w:marBottom w:val="0"/>
      <w:divBdr>
        <w:top w:val="none" w:sz="0" w:space="0" w:color="auto"/>
        <w:left w:val="none" w:sz="0" w:space="0" w:color="auto"/>
        <w:bottom w:val="none" w:sz="0" w:space="0" w:color="auto"/>
        <w:right w:val="none" w:sz="0" w:space="0" w:color="auto"/>
      </w:divBdr>
    </w:div>
    <w:div w:id="1047335992">
      <w:bodyDiv w:val="1"/>
      <w:marLeft w:val="0"/>
      <w:marRight w:val="0"/>
      <w:marTop w:val="0"/>
      <w:marBottom w:val="0"/>
      <w:divBdr>
        <w:top w:val="none" w:sz="0" w:space="0" w:color="auto"/>
        <w:left w:val="none" w:sz="0" w:space="0" w:color="auto"/>
        <w:bottom w:val="none" w:sz="0" w:space="0" w:color="auto"/>
        <w:right w:val="none" w:sz="0" w:space="0" w:color="auto"/>
      </w:divBdr>
    </w:div>
    <w:div w:id="1050303325">
      <w:bodyDiv w:val="1"/>
      <w:marLeft w:val="0"/>
      <w:marRight w:val="0"/>
      <w:marTop w:val="0"/>
      <w:marBottom w:val="0"/>
      <w:divBdr>
        <w:top w:val="none" w:sz="0" w:space="0" w:color="auto"/>
        <w:left w:val="none" w:sz="0" w:space="0" w:color="auto"/>
        <w:bottom w:val="none" w:sz="0" w:space="0" w:color="auto"/>
        <w:right w:val="none" w:sz="0" w:space="0" w:color="auto"/>
      </w:divBdr>
    </w:div>
    <w:div w:id="1050349781">
      <w:bodyDiv w:val="1"/>
      <w:marLeft w:val="0"/>
      <w:marRight w:val="0"/>
      <w:marTop w:val="0"/>
      <w:marBottom w:val="0"/>
      <w:divBdr>
        <w:top w:val="none" w:sz="0" w:space="0" w:color="auto"/>
        <w:left w:val="none" w:sz="0" w:space="0" w:color="auto"/>
        <w:bottom w:val="none" w:sz="0" w:space="0" w:color="auto"/>
        <w:right w:val="none" w:sz="0" w:space="0" w:color="auto"/>
      </w:divBdr>
    </w:div>
    <w:div w:id="1054963787">
      <w:bodyDiv w:val="1"/>
      <w:marLeft w:val="0"/>
      <w:marRight w:val="0"/>
      <w:marTop w:val="0"/>
      <w:marBottom w:val="0"/>
      <w:divBdr>
        <w:top w:val="none" w:sz="0" w:space="0" w:color="auto"/>
        <w:left w:val="none" w:sz="0" w:space="0" w:color="auto"/>
        <w:bottom w:val="none" w:sz="0" w:space="0" w:color="auto"/>
        <w:right w:val="none" w:sz="0" w:space="0" w:color="auto"/>
      </w:divBdr>
    </w:div>
    <w:div w:id="1064525895">
      <w:bodyDiv w:val="1"/>
      <w:marLeft w:val="0"/>
      <w:marRight w:val="0"/>
      <w:marTop w:val="0"/>
      <w:marBottom w:val="0"/>
      <w:divBdr>
        <w:top w:val="none" w:sz="0" w:space="0" w:color="auto"/>
        <w:left w:val="none" w:sz="0" w:space="0" w:color="auto"/>
        <w:bottom w:val="none" w:sz="0" w:space="0" w:color="auto"/>
        <w:right w:val="none" w:sz="0" w:space="0" w:color="auto"/>
      </w:divBdr>
    </w:div>
    <w:div w:id="1072433803">
      <w:bodyDiv w:val="1"/>
      <w:marLeft w:val="0"/>
      <w:marRight w:val="0"/>
      <w:marTop w:val="0"/>
      <w:marBottom w:val="0"/>
      <w:divBdr>
        <w:top w:val="none" w:sz="0" w:space="0" w:color="auto"/>
        <w:left w:val="none" w:sz="0" w:space="0" w:color="auto"/>
        <w:bottom w:val="none" w:sz="0" w:space="0" w:color="auto"/>
        <w:right w:val="none" w:sz="0" w:space="0" w:color="auto"/>
      </w:divBdr>
    </w:div>
    <w:div w:id="1078165110">
      <w:bodyDiv w:val="1"/>
      <w:marLeft w:val="0"/>
      <w:marRight w:val="0"/>
      <w:marTop w:val="0"/>
      <w:marBottom w:val="0"/>
      <w:divBdr>
        <w:top w:val="none" w:sz="0" w:space="0" w:color="auto"/>
        <w:left w:val="none" w:sz="0" w:space="0" w:color="auto"/>
        <w:bottom w:val="none" w:sz="0" w:space="0" w:color="auto"/>
        <w:right w:val="none" w:sz="0" w:space="0" w:color="auto"/>
      </w:divBdr>
    </w:div>
    <w:div w:id="1082986570">
      <w:bodyDiv w:val="1"/>
      <w:marLeft w:val="0"/>
      <w:marRight w:val="0"/>
      <w:marTop w:val="0"/>
      <w:marBottom w:val="0"/>
      <w:divBdr>
        <w:top w:val="none" w:sz="0" w:space="0" w:color="auto"/>
        <w:left w:val="none" w:sz="0" w:space="0" w:color="auto"/>
        <w:bottom w:val="none" w:sz="0" w:space="0" w:color="auto"/>
        <w:right w:val="none" w:sz="0" w:space="0" w:color="auto"/>
      </w:divBdr>
    </w:div>
    <w:div w:id="1084259749">
      <w:bodyDiv w:val="1"/>
      <w:marLeft w:val="0"/>
      <w:marRight w:val="0"/>
      <w:marTop w:val="0"/>
      <w:marBottom w:val="0"/>
      <w:divBdr>
        <w:top w:val="none" w:sz="0" w:space="0" w:color="auto"/>
        <w:left w:val="none" w:sz="0" w:space="0" w:color="auto"/>
        <w:bottom w:val="none" w:sz="0" w:space="0" w:color="auto"/>
        <w:right w:val="none" w:sz="0" w:space="0" w:color="auto"/>
      </w:divBdr>
    </w:div>
    <w:div w:id="1089152822">
      <w:bodyDiv w:val="1"/>
      <w:marLeft w:val="0"/>
      <w:marRight w:val="0"/>
      <w:marTop w:val="0"/>
      <w:marBottom w:val="0"/>
      <w:divBdr>
        <w:top w:val="none" w:sz="0" w:space="0" w:color="auto"/>
        <w:left w:val="none" w:sz="0" w:space="0" w:color="auto"/>
        <w:bottom w:val="none" w:sz="0" w:space="0" w:color="auto"/>
        <w:right w:val="none" w:sz="0" w:space="0" w:color="auto"/>
      </w:divBdr>
    </w:div>
    <w:div w:id="1090854268">
      <w:bodyDiv w:val="1"/>
      <w:marLeft w:val="0"/>
      <w:marRight w:val="0"/>
      <w:marTop w:val="0"/>
      <w:marBottom w:val="0"/>
      <w:divBdr>
        <w:top w:val="none" w:sz="0" w:space="0" w:color="auto"/>
        <w:left w:val="none" w:sz="0" w:space="0" w:color="auto"/>
        <w:bottom w:val="none" w:sz="0" w:space="0" w:color="auto"/>
        <w:right w:val="none" w:sz="0" w:space="0" w:color="auto"/>
      </w:divBdr>
    </w:div>
    <w:div w:id="1091702015">
      <w:bodyDiv w:val="1"/>
      <w:marLeft w:val="0"/>
      <w:marRight w:val="0"/>
      <w:marTop w:val="0"/>
      <w:marBottom w:val="0"/>
      <w:divBdr>
        <w:top w:val="none" w:sz="0" w:space="0" w:color="auto"/>
        <w:left w:val="none" w:sz="0" w:space="0" w:color="auto"/>
        <w:bottom w:val="none" w:sz="0" w:space="0" w:color="auto"/>
        <w:right w:val="none" w:sz="0" w:space="0" w:color="auto"/>
      </w:divBdr>
    </w:div>
    <w:div w:id="1097555213">
      <w:bodyDiv w:val="1"/>
      <w:marLeft w:val="0"/>
      <w:marRight w:val="0"/>
      <w:marTop w:val="0"/>
      <w:marBottom w:val="0"/>
      <w:divBdr>
        <w:top w:val="none" w:sz="0" w:space="0" w:color="auto"/>
        <w:left w:val="none" w:sz="0" w:space="0" w:color="auto"/>
        <w:bottom w:val="none" w:sz="0" w:space="0" w:color="auto"/>
        <w:right w:val="none" w:sz="0" w:space="0" w:color="auto"/>
      </w:divBdr>
    </w:div>
    <w:div w:id="1104154994">
      <w:bodyDiv w:val="1"/>
      <w:marLeft w:val="0"/>
      <w:marRight w:val="0"/>
      <w:marTop w:val="0"/>
      <w:marBottom w:val="0"/>
      <w:divBdr>
        <w:top w:val="none" w:sz="0" w:space="0" w:color="auto"/>
        <w:left w:val="none" w:sz="0" w:space="0" w:color="auto"/>
        <w:bottom w:val="none" w:sz="0" w:space="0" w:color="auto"/>
        <w:right w:val="none" w:sz="0" w:space="0" w:color="auto"/>
      </w:divBdr>
    </w:div>
    <w:div w:id="1106194150">
      <w:bodyDiv w:val="1"/>
      <w:marLeft w:val="0"/>
      <w:marRight w:val="0"/>
      <w:marTop w:val="0"/>
      <w:marBottom w:val="0"/>
      <w:divBdr>
        <w:top w:val="none" w:sz="0" w:space="0" w:color="auto"/>
        <w:left w:val="none" w:sz="0" w:space="0" w:color="auto"/>
        <w:bottom w:val="none" w:sz="0" w:space="0" w:color="auto"/>
        <w:right w:val="none" w:sz="0" w:space="0" w:color="auto"/>
      </w:divBdr>
    </w:div>
    <w:div w:id="1115827359">
      <w:bodyDiv w:val="1"/>
      <w:marLeft w:val="0"/>
      <w:marRight w:val="0"/>
      <w:marTop w:val="0"/>
      <w:marBottom w:val="0"/>
      <w:divBdr>
        <w:top w:val="none" w:sz="0" w:space="0" w:color="auto"/>
        <w:left w:val="none" w:sz="0" w:space="0" w:color="auto"/>
        <w:bottom w:val="none" w:sz="0" w:space="0" w:color="auto"/>
        <w:right w:val="none" w:sz="0" w:space="0" w:color="auto"/>
      </w:divBdr>
    </w:div>
    <w:div w:id="1128428828">
      <w:bodyDiv w:val="1"/>
      <w:marLeft w:val="0"/>
      <w:marRight w:val="0"/>
      <w:marTop w:val="0"/>
      <w:marBottom w:val="0"/>
      <w:divBdr>
        <w:top w:val="none" w:sz="0" w:space="0" w:color="auto"/>
        <w:left w:val="none" w:sz="0" w:space="0" w:color="auto"/>
        <w:bottom w:val="none" w:sz="0" w:space="0" w:color="auto"/>
        <w:right w:val="none" w:sz="0" w:space="0" w:color="auto"/>
      </w:divBdr>
    </w:div>
    <w:div w:id="1129860901">
      <w:bodyDiv w:val="1"/>
      <w:marLeft w:val="0"/>
      <w:marRight w:val="0"/>
      <w:marTop w:val="0"/>
      <w:marBottom w:val="0"/>
      <w:divBdr>
        <w:top w:val="none" w:sz="0" w:space="0" w:color="auto"/>
        <w:left w:val="none" w:sz="0" w:space="0" w:color="auto"/>
        <w:bottom w:val="none" w:sz="0" w:space="0" w:color="auto"/>
        <w:right w:val="none" w:sz="0" w:space="0" w:color="auto"/>
      </w:divBdr>
    </w:div>
    <w:div w:id="1133257777">
      <w:bodyDiv w:val="1"/>
      <w:marLeft w:val="0"/>
      <w:marRight w:val="0"/>
      <w:marTop w:val="0"/>
      <w:marBottom w:val="0"/>
      <w:divBdr>
        <w:top w:val="none" w:sz="0" w:space="0" w:color="auto"/>
        <w:left w:val="none" w:sz="0" w:space="0" w:color="auto"/>
        <w:bottom w:val="none" w:sz="0" w:space="0" w:color="auto"/>
        <w:right w:val="none" w:sz="0" w:space="0" w:color="auto"/>
      </w:divBdr>
    </w:div>
    <w:div w:id="1135290252">
      <w:bodyDiv w:val="1"/>
      <w:marLeft w:val="0"/>
      <w:marRight w:val="0"/>
      <w:marTop w:val="0"/>
      <w:marBottom w:val="0"/>
      <w:divBdr>
        <w:top w:val="none" w:sz="0" w:space="0" w:color="auto"/>
        <w:left w:val="none" w:sz="0" w:space="0" w:color="auto"/>
        <w:bottom w:val="none" w:sz="0" w:space="0" w:color="auto"/>
        <w:right w:val="none" w:sz="0" w:space="0" w:color="auto"/>
      </w:divBdr>
    </w:div>
    <w:div w:id="1145776378">
      <w:bodyDiv w:val="1"/>
      <w:marLeft w:val="0"/>
      <w:marRight w:val="0"/>
      <w:marTop w:val="0"/>
      <w:marBottom w:val="0"/>
      <w:divBdr>
        <w:top w:val="none" w:sz="0" w:space="0" w:color="auto"/>
        <w:left w:val="none" w:sz="0" w:space="0" w:color="auto"/>
        <w:bottom w:val="none" w:sz="0" w:space="0" w:color="auto"/>
        <w:right w:val="none" w:sz="0" w:space="0" w:color="auto"/>
      </w:divBdr>
    </w:div>
    <w:div w:id="1146360614">
      <w:bodyDiv w:val="1"/>
      <w:marLeft w:val="0"/>
      <w:marRight w:val="0"/>
      <w:marTop w:val="0"/>
      <w:marBottom w:val="0"/>
      <w:divBdr>
        <w:top w:val="none" w:sz="0" w:space="0" w:color="auto"/>
        <w:left w:val="none" w:sz="0" w:space="0" w:color="auto"/>
        <w:bottom w:val="none" w:sz="0" w:space="0" w:color="auto"/>
        <w:right w:val="none" w:sz="0" w:space="0" w:color="auto"/>
      </w:divBdr>
    </w:div>
    <w:div w:id="1146585016">
      <w:bodyDiv w:val="1"/>
      <w:marLeft w:val="0"/>
      <w:marRight w:val="0"/>
      <w:marTop w:val="0"/>
      <w:marBottom w:val="0"/>
      <w:divBdr>
        <w:top w:val="none" w:sz="0" w:space="0" w:color="auto"/>
        <w:left w:val="none" w:sz="0" w:space="0" w:color="auto"/>
        <w:bottom w:val="none" w:sz="0" w:space="0" w:color="auto"/>
        <w:right w:val="none" w:sz="0" w:space="0" w:color="auto"/>
      </w:divBdr>
    </w:div>
    <w:div w:id="1157070635">
      <w:bodyDiv w:val="1"/>
      <w:marLeft w:val="0"/>
      <w:marRight w:val="0"/>
      <w:marTop w:val="0"/>
      <w:marBottom w:val="0"/>
      <w:divBdr>
        <w:top w:val="none" w:sz="0" w:space="0" w:color="auto"/>
        <w:left w:val="none" w:sz="0" w:space="0" w:color="auto"/>
        <w:bottom w:val="none" w:sz="0" w:space="0" w:color="auto"/>
        <w:right w:val="none" w:sz="0" w:space="0" w:color="auto"/>
      </w:divBdr>
    </w:div>
    <w:div w:id="1159349483">
      <w:bodyDiv w:val="1"/>
      <w:marLeft w:val="0"/>
      <w:marRight w:val="0"/>
      <w:marTop w:val="0"/>
      <w:marBottom w:val="0"/>
      <w:divBdr>
        <w:top w:val="none" w:sz="0" w:space="0" w:color="auto"/>
        <w:left w:val="none" w:sz="0" w:space="0" w:color="auto"/>
        <w:bottom w:val="none" w:sz="0" w:space="0" w:color="auto"/>
        <w:right w:val="none" w:sz="0" w:space="0" w:color="auto"/>
      </w:divBdr>
    </w:div>
    <w:div w:id="1165127868">
      <w:bodyDiv w:val="1"/>
      <w:marLeft w:val="0"/>
      <w:marRight w:val="0"/>
      <w:marTop w:val="0"/>
      <w:marBottom w:val="0"/>
      <w:divBdr>
        <w:top w:val="none" w:sz="0" w:space="0" w:color="auto"/>
        <w:left w:val="none" w:sz="0" w:space="0" w:color="auto"/>
        <w:bottom w:val="none" w:sz="0" w:space="0" w:color="auto"/>
        <w:right w:val="none" w:sz="0" w:space="0" w:color="auto"/>
      </w:divBdr>
    </w:div>
    <w:div w:id="1166171149">
      <w:bodyDiv w:val="1"/>
      <w:marLeft w:val="0"/>
      <w:marRight w:val="0"/>
      <w:marTop w:val="0"/>
      <w:marBottom w:val="0"/>
      <w:divBdr>
        <w:top w:val="none" w:sz="0" w:space="0" w:color="auto"/>
        <w:left w:val="none" w:sz="0" w:space="0" w:color="auto"/>
        <w:bottom w:val="none" w:sz="0" w:space="0" w:color="auto"/>
        <w:right w:val="none" w:sz="0" w:space="0" w:color="auto"/>
      </w:divBdr>
    </w:div>
    <w:div w:id="1167790980">
      <w:bodyDiv w:val="1"/>
      <w:marLeft w:val="0"/>
      <w:marRight w:val="0"/>
      <w:marTop w:val="0"/>
      <w:marBottom w:val="0"/>
      <w:divBdr>
        <w:top w:val="none" w:sz="0" w:space="0" w:color="auto"/>
        <w:left w:val="none" w:sz="0" w:space="0" w:color="auto"/>
        <w:bottom w:val="none" w:sz="0" w:space="0" w:color="auto"/>
        <w:right w:val="none" w:sz="0" w:space="0" w:color="auto"/>
      </w:divBdr>
    </w:div>
    <w:div w:id="1168131537">
      <w:bodyDiv w:val="1"/>
      <w:marLeft w:val="0"/>
      <w:marRight w:val="0"/>
      <w:marTop w:val="0"/>
      <w:marBottom w:val="0"/>
      <w:divBdr>
        <w:top w:val="none" w:sz="0" w:space="0" w:color="auto"/>
        <w:left w:val="none" w:sz="0" w:space="0" w:color="auto"/>
        <w:bottom w:val="none" w:sz="0" w:space="0" w:color="auto"/>
        <w:right w:val="none" w:sz="0" w:space="0" w:color="auto"/>
      </w:divBdr>
    </w:div>
    <w:div w:id="1169445069">
      <w:bodyDiv w:val="1"/>
      <w:marLeft w:val="0"/>
      <w:marRight w:val="0"/>
      <w:marTop w:val="0"/>
      <w:marBottom w:val="0"/>
      <w:divBdr>
        <w:top w:val="none" w:sz="0" w:space="0" w:color="auto"/>
        <w:left w:val="none" w:sz="0" w:space="0" w:color="auto"/>
        <w:bottom w:val="none" w:sz="0" w:space="0" w:color="auto"/>
        <w:right w:val="none" w:sz="0" w:space="0" w:color="auto"/>
      </w:divBdr>
    </w:div>
    <w:div w:id="1171792315">
      <w:bodyDiv w:val="1"/>
      <w:marLeft w:val="0"/>
      <w:marRight w:val="0"/>
      <w:marTop w:val="0"/>
      <w:marBottom w:val="0"/>
      <w:divBdr>
        <w:top w:val="none" w:sz="0" w:space="0" w:color="auto"/>
        <w:left w:val="none" w:sz="0" w:space="0" w:color="auto"/>
        <w:bottom w:val="none" w:sz="0" w:space="0" w:color="auto"/>
        <w:right w:val="none" w:sz="0" w:space="0" w:color="auto"/>
      </w:divBdr>
    </w:div>
    <w:div w:id="1172067064">
      <w:bodyDiv w:val="1"/>
      <w:marLeft w:val="0"/>
      <w:marRight w:val="0"/>
      <w:marTop w:val="0"/>
      <w:marBottom w:val="0"/>
      <w:divBdr>
        <w:top w:val="none" w:sz="0" w:space="0" w:color="auto"/>
        <w:left w:val="none" w:sz="0" w:space="0" w:color="auto"/>
        <w:bottom w:val="none" w:sz="0" w:space="0" w:color="auto"/>
        <w:right w:val="none" w:sz="0" w:space="0" w:color="auto"/>
      </w:divBdr>
    </w:div>
    <w:div w:id="1172142269">
      <w:bodyDiv w:val="1"/>
      <w:marLeft w:val="0"/>
      <w:marRight w:val="0"/>
      <w:marTop w:val="0"/>
      <w:marBottom w:val="0"/>
      <w:divBdr>
        <w:top w:val="none" w:sz="0" w:space="0" w:color="auto"/>
        <w:left w:val="none" w:sz="0" w:space="0" w:color="auto"/>
        <w:bottom w:val="none" w:sz="0" w:space="0" w:color="auto"/>
        <w:right w:val="none" w:sz="0" w:space="0" w:color="auto"/>
      </w:divBdr>
    </w:div>
    <w:div w:id="1175995309">
      <w:bodyDiv w:val="1"/>
      <w:marLeft w:val="0"/>
      <w:marRight w:val="0"/>
      <w:marTop w:val="0"/>
      <w:marBottom w:val="0"/>
      <w:divBdr>
        <w:top w:val="none" w:sz="0" w:space="0" w:color="auto"/>
        <w:left w:val="none" w:sz="0" w:space="0" w:color="auto"/>
        <w:bottom w:val="none" w:sz="0" w:space="0" w:color="auto"/>
        <w:right w:val="none" w:sz="0" w:space="0" w:color="auto"/>
      </w:divBdr>
    </w:div>
    <w:div w:id="1188638781">
      <w:bodyDiv w:val="1"/>
      <w:marLeft w:val="0"/>
      <w:marRight w:val="0"/>
      <w:marTop w:val="0"/>
      <w:marBottom w:val="0"/>
      <w:divBdr>
        <w:top w:val="none" w:sz="0" w:space="0" w:color="auto"/>
        <w:left w:val="none" w:sz="0" w:space="0" w:color="auto"/>
        <w:bottom w:val="none" w:sz="0" w:space="0" w:color="auto"/>
        <w:right w:val="none" w:sz="0" w:space="0" w:color="auto"/>
      </w:divBdr>
    </w:div>
    <w:div w:id="1197355537">
      <w:bodyDiv w:val="1"/>
      <w:marLeft w:val="0"/>
      <w:marRight w:val="0"/>
      <w:marTop w:val="0"/>
      <w:marBottom w:val="0"/>
      <w:divBdr>
        <w:top w:val="none" w:sz="0" w:space="0" w:color="auto"/>
        <w:left w:val="none" w:sz="0" w:space="0" w:color="auto"/>
        <w:bottom w:val="none" w:sz="0" w:space="0" w:color="auto"/>
        <w:right w:val="none" w:sz="0" w:space="0" w:color="auto"/>
      </w:divBdr>
    </w:div>
    <w:div w:id="1200431595">
      <w:bodyDiv w:val="1"/>
      <w:marLeft w:val="0"/>
      <w:marRight w:val="0"/>
      <w:marTop w:val="0"/>
      <w:marBottom w:val="0"/>
      <w:divBdr>
        <w:top w:val="none" w:sz="0" w:space="0" w:color="auto"/>
        <w:left w:val="none" w:sz="0" w:space="0" w:color="auto"/>
        <w:bottom w:val="none" w:sz="0" w:space="0" w:color="auto"/>
        <w:right w:val="none" w:sz="0" w:space="0" w:color="auto"/>
      </w:divBdr>
    </w:div>
    <w:div w:id="1203513613">
      <w:bodyDiv w:val="1"/>
      <w:marLeft w:val="0"/>
      <w:marRight w:val="0"/>
      <w:marTop w:val="0"/>
      <w:marBottom w:val="0"/>
      <w:divBdr>
        <w:top w:val="none" w:sz="0" w:space="0" w:color="auto"/>
        <w:left w:val="none" w:sz="0" w:space="0" w:color="auto"/>
        <w:bottom w:val="none" w:sz="0" w:space="0" w:color="auto"/>
        <w:right w:val="none" w:sz="0" w:space="0" w:color="auto"/>
      </w:divBdr>
    </w:div>
    <w:div w:id="1204367718">
      <w:bodyDiv w:val="1"/>
      <w:marLeft w:val="0"/>
      <w:marRight w:val="0"/>
      <w:marTop w:val="0"/>
      <w:marBottom w:val="0"/>
      <w:divBdr>
        <w:top w:val="none" w:sz="0" w:space="0" w:color="auto"/>
        <w:left w:val="none" w:sz="0" w:space="0" w:color="auto"/>
        <w:bottom w:val="none" w:sz="0" w:space="0" w:color="auto"/>
        <w:right w:val="none" w:sz="0" w:space="0" w:color="auto"/>
      </w:divBdr>
    </w:div>
    <w:div w:id="1236861244">
      <w:bodyDiv w:val="1"/>
      <w:marLeft w:val="0"/>
      <w:marRight w:val="0"/>
      <w:marTop w:val="0"/>
      <w:marBottom w:val="0"/>
      <w:divBdr>
        <w:top w:val="none" w:sz="0" w:space="0" w:color="auto"/>
        <w:left w:val="none" w:sz="0" w:space="0" w:color="auto"/>
        <w:bottom w:val="none" w:sz="0" w:space="0" w:color="auto"/>
        <w:right w:val="none" w:sz="0" w:space="0" w:color="auto"/>
      </w:divBdr>
    </w:div>
    <w:div w:id="1251817490">
      <w:bodyDiv w:val="1"/>
      <w:marLeft w:val="0"/>
      <w:marRight w:val="0"/>
      <w:marTop w:val="0"/>
      <w:marBottom w:val="0"/>
      <w:divBdr>
        <w:top w:val="none" w:sz="0" w:space="0" w:color="auto"/>
        <w:left w:val="none" w:sz="0" w:space="0" w:color="auto"/>
        <w:bottom w:val="none" w:sz="0" w:space="0" w:color="auto"/>
        <w:right w:val="none" w:sz="0" w:space="0" w:color="auto"/>
      </w:divBdr>
    </w:div>
    <w:div w:id="1268804391">
      <w:bodyDiv w:val="1"/>
      <w:marLeft w:val="0"/>
      <w:marRight w:val="0"/>
      <w:marTop w:val="0"/>
      <w:marBottom w:val="0"/>
      <w:divBdr>
        <w:top w:val="none" w:sz="0" w:space="0" w:color="auto"/>
        <w:left w:val="none" w:sz="0" w:space="0" w:color="auto"/>
        <w:bottom w:val="none" w:sz="0" w:space="0" w:color="auto"/>
        <w:right w:val="none" w:sz="0" w:space="0" w:color="auto"/>
      </w:divBdr>
    </w:div>
    <w:div w:id="1274822637">
      <w:bodyDiv w:val="1"/>
      <w:marLeft w:val="0"/>
      <w:marRight w:val="0"/>
      <w:marTop w:val="0"/>
      <w:marBottom w:val="0"/>
      <w:divBdr>
        <w:top w:val="none" w:sz="0" w:space="0" w:color="auto"/>
        <w:left w:val="none" w:sz="0" w:space="0" w:color="auto"/>
        <w:bottom w:val="none" w:sz="0" w:space="0" w:color="auto"/>
        <w:right w:val="none" w:sz="0" w:space="0" w:color="auto"/>
      </w:divBdr>
    </w:div>
    <w:div w:id="1293174557">
      <w:bodyDiv w:val="1"/>
      <w:marLeft w:val="0"/>
      <w:marRight w:val="0"/>
      <w:marTop w:val="0"/>
      <w:marBottom w:val="0"/>
      <w:divBdr>
        <w:top w:val="none" w:sz="0" w:space="0" w:color="auto"/>
        <w:left w:val="none" w:sz="0" w:space="0" w:color="auto"/>
        <w:bottom w:val="none" w:sz="0" w:space="0" w:color="auto"/>
        <w:right w:val="none" w:sz="0" w:space="0" w:color="auto"/>
      </w:divBdr>
    </w:div>
    <w:div w:id="1295408949">
      <w:bodyDiv w:val="1"/>
      <w:marLeft w:val="0"/>
      <w:marRight w:val="0"/>
      <w:marTop w:val="0"/>
      <w:marBottom w:val="0"/>
      <w:divBdr>
        <w:top w:val="none" w:sz="0" w:space="0" w:color="auto"/>
        <w:left w:val="none" w:sz="0" w:space="0" w:color="auto"/>
        <w:bottom w:val="none" w:sz="0" w:space="0" w:color="auto"/>
        <w:right w:val="none" w:sz="0" w:space="0" w:color="auto"/>
      </w:divBdr>
    </w:div>
    <w:div w:id="1297027028">
      <w:bodyDiv w:val="1"/>
      <w:marLeft w:val="0"/>
      <w:marRight w:val="0"/>
      <w:marTop w:val="0"/>
      <w:marBottom w:val="0"/>
      <w:divBdr>
        <w:top w:val="none" w:sz="0" w:space="0" w:color="auto"/>
        <w:left w:val="none" w:sz="0" w:space="0" w:color="auto"/>
        <w:bottom w:val="none" w:sz="0" w:space="0" w:color="auto"/>
        <w:right w:val="none" w:sz="0" w:space="0" w:color="auto"/>
      </w:divBdr>
    </w:div>
    <w:div w:id="1297686297">
      <w:bodyDiv w:val="1"/>
      <w:marLeft w:val="0"/>
      <w:marRight w:val="0"/>
      <w:marTop w:val="0"/>
      <w:marBottom w:val="0"/>
      <w:divBdr>
        <w:top w:val="none" w:sz="0" w:space="0" w:color="auto"/>
        <w:left w:val="none" w:sz="0" w:space="0" w:color="auto"/>
        <w:bottom w:val="none" w:sz="0" w:space="0" w:color="auto"/>
        <w:right w:val="none" w:sz="0" w:space="0" w:color="auto"/>
      </w:divBdr>
    </w:div>
    <w:div w:id="1310329440">
      <w:bodyDiv w:val="1"/>
      <w:marLeft w:val="0"/>
      <w:marRight w:val="0"/>
      <w:marTop w:val="0"/>
      <w:marBottom w:val="0"/>
      <w:divBdr>
        <w:top w:val="none" w:sz="0" w:space="0" w:color="auto"/>
        <w:left w:val="none" w:sz="0" w:space="0" w:color="auto"/>
        <w:bottom w:val="none" w:sz="0" w:space="0" w:color="auto"/>
        <w:right w:val="none" w:sz="0" w:space="0" w:color="auto"/>
      </w:divBdr>
    </w:div>
    <w:div w:id="1313019326">
      <w:bodyDiv w:val="1"/>
      <w:marLeft w:val="0"/>
      <w:marRight w:val="0"/>
      <w:marTop w:val="0"/>
      <w:marBottom w:val="0"/>
      <w:divBdr>
        <w:top w:val="none" w:sz="0" w:space="0" w:color="auto"/>
        <w:left w:val="none" w:sz="0" w:space="0" w:color="auto"/>
        <w:bottom w:val="none" w:sz="0" w:space="0" w:color="auto"/>
        <w:right w:val="none" w:sz="0" w:space="0" w:color="auto"/>
      </w:divBdr>
    </w:div>
    <w:div w:id="1326932904">
      <w:bodyDiv w:val="1"/>
      <w:marLeft w:val="0"/>
      <w:marRight w:val="0"/>
      <w:marTop w:val="0"/>
      <w:marBottom w:val="0"/>
      <w:divBdr>
        <w:top w:val="none" w:sz="0" w:space="0" w:color="auto"/>
        <w:left w:val="none" w:sz="0" w:space="0" w:color="auto"/>
        <w:bottom w:val="none" w:sz="0" w:space="0" w:color="auto"/>
        <w:right w:val="none" w:sz="0" w:space="0" w:color="auto"/>
      </w:divBdr>
    </w:div>
    <w:div w:id="1329091842">
      <w:bodyDiv w:val="1"/>
      <w:marLeft w:val="0"/>
      <w:marRight w:val="0"/>
      <w:marTop w:val="0"/>
      <w:marBottom w:val="0"/>
      <w:divBdr>
        <w:top w:val="none" w:sz="0" w:space="0" w:color="auto"/>
        <w:left w:val="none" w:sz="0" w:space="0" w:color="auto"/>
        <w:bottom w:val="none" w:sz="0" w:space="0" w:color="auto"/>
        <w:right w:val="none" w:sz="0" w:space="0" w:color="auto"/>
      </w:divBdr>
    </w:div>
    <w:div w:id="1334382700">
      <w:bodyDiv w:val="1"/>
      <w:marLeft w:val="0"/>
      <w:marRight w:val="0"/>
      <w:marTop w:val="0"/>
      <w:marBottom w:val="0"/>
      <w:divBdr>
        <w:top w:val="none" w:sz="0" w:space="0" w:color="auto"/>
        <w:left w:val="none" w:sz="0" w:space="0" w:color="auto"/>
        <w:bottom w:val="none" w:sz="0" w:space="0" w:color="auto"/>
        <w:right w:val="none" w:sz="0" w:space="0" w:color="auto"/>
      </w:divBdr>
    </w:div>
    <w:div w:id="1348678880">
      <w:bodyDiv w:val="1"/>
      <w:marLeft w:val="0"/>
      <w:marRight w:val="0"/>
      <w:marTop w:val="0"/>
      <w:marBottom w:val="0"/>
      <w:divBdr>
        <w:top w:val="none" w:sz="0" w:space="0" w:color="auto"/>
        <w:left w:val="none" w:sz="0" w:space="0" w:color="auto"/>
        <w:bottom w:val="none" w:sz="0" w:space="0" w:color="auto"/>
        <w:right w:val="none" w:sz="0" w:space="0" w:color="auto"/>
      </w:divBdr>
    </w:div>
    <w:div w:id="1359552294">
      <w:bodyDiv w:val="1"/>
      <w:marLeft w:val="0"/>
      <w:marRight w:val="0"/>
      <w:marTop w:val="0"/>
      <w:marBottom w:val="0"/>
      <w:divBdr>
        <w:top w:val="none" w:sz="0" w:space="0" w:color="auto"/>
        <w:left w:val="none" w:sz="0" w:space="0" w:color="auto"/>
        <w:bottom w:val="none" w:sz="0" w:space="0" w:color="auto"/>
        <w:right w:val="none" w:sz="0" w:space="0" w:color="auto"/>
      </w:divBdr>
    </w:div>
    <w:div w:id="1362365369">
      <w:bodyDiv w:val="1"/>
      <w:marLeft w:val="0"/>
      <w:marRight w:val="0"/>
      <w:marTop w:val="0"/>
      <w:marBottom w:val="0"/>
      <w:divBdr>
        <w:top w:val="none" w:sz="0" w:space="0" w:color="auto"/>
        <w:left w:val="none" w:sz="0" w:space="0" w:color="auto"/>
        <w:bottom w:val="none" w:sz="0" w:space="0" w:color="auto"/>
        <w:right w:val="none" w:sz="0" w:space="0" w:color="auto"/>
      </w:divBdr>
    </w:div>
    <w:div w:id="1365013517">
      <w:bodyDiv w:val="1"/>
      <w:marLeft w:val="0"/>
      <w:marRight w:val="0"/>
      <w:marTop w:val="0"/>
      <w:marBottom w:val="0"/>
      <w:divBdr>
        <w:top w:val="none" w:sz="0" w:space="0" w:color="auto"/>
        <w:left w:val="none" w:sz="0" w:space="0" w:color="auto"/>
        <w:bottom w:val="none" w:sz="0" w:space="0" w:color="auto"/>
        <w:right w:val="none" w:sz="0" w:space="0" w:color="auto"/>
      </w:divBdr>
    </w:div>
    <w:div w:id="1365254245">
      <w:bodyDiv w:val="1"/>
      <w:marLeft w:val="0"/>
      <w:marRight w:val="0"/>
      <w:marTop w:val="0"/>
      <w:marBottom w:val="0"/>
      <w:divBdr>
        <w:top w:val="none" w:sz="0" w:space="0" w:color="auto"/>
        <w:left w:val="none" w:sz="0" w:space="0" w:color="auto"/>
        <w:bottom w:val="none" w:sz="0" w:space="0" w:color="auto"/>
        <w:right w:val="none" w:sz="0" w:space="0" w:color="auto"/>
      </w:divBdr>
    </w:div>
    <w:div w:id="1367489741">
      <w:bodyDiv w:val="1"/>
      <w:marLeft w:val="0"/>
      <w:marRight w:val="0"/>
      <w:marTop w:val="0"/>
      <w:marBottom w:val="0"/>
      <w:divBdr>
        <w:top w:val="none" w:sz="0" w:space="0" w:color="auto"/>
        <w:left w:val="none" w:sz="0" w:space="0" w:color="auto"/>
        <w:bottom w:val="none" w:sz="0" w:space="0" w:color="auto"/>
        <w:right w:val="none" w:sz="0" w:space="0" w:color="auto"/>
      </w:divBdr>
    </w:div>
    <w:div w:id="1373075532">
      <w:bodyDiv w:val="1"/>
      <w:marLeft w:val="0"/>
      <w:marRight w:val="0"/>
      <w:marTop w:val="0"/>
      <w:marBottom w:val="0"/>
      <w:divBdr>
        <w:top w:val="none" w:sz="0" w:space="0" w:color="auto"/>
        <w:left w:val="none" w:sz="0" w:space="0" w:color="auto"/>
        <w:bottom w:val="none" w:sz="0" w:space="0" w:color="auto"/>
        <w:right w:val="none" w:sz="0" w:space="0" w:color="auto"/>
      </w:divBdr>
    </w:div>
    <w:div w:id="1373311630">
      <w:bodyDiv w:val="1"/>
      <w:marLeft w:val="0"/>
      <w:marRight w:val="0"/>
      <w:marTop w:val="0"/>
      <w:marBottom w:val="0"/>
      <w:divBdr>
        <w:top w:val="none" w:sz="0" w:space="0" w:color="auto"/>
        <w:left w:val="none" w:sz="0" w:space="0" w:color="auto"/>
        <w:bottom w:val="none" w:sz="0" w:space="0" w:color="auto"/>
        <w:right w:val="none" w:sz="0" w:space="0" w:color="auto"/>
      </w:divBdr>
    </w:div>
    <w:div w:id="1378358129">
      <w:bodyDiv w:val="1"/>
      <w:marLeft w:val="0"/>
      <w:marRight w:val="0"/>
      <w:marTop w:val="0"/>
      <w:marBottom w:val="0"/>
      <w:divBdr>
        <w:top w:val="none" w:sz="0" w:space="0" w:color="auto"/>
        <w:left w:val="none" w:sz="0" w:space="0" w:color="auto"/>
        <w:bottom w:val="none" w:sz="0" w:space="0" w:color="auto"/>
        <w:right w:val="none" w:sz="0" w:space="0" w:color="auto"/>
      </w:divBdr>
    </w:div>
    <w:div w:id="1384254059">
      <w:bodyDiv w:val="1"/>
      <w:marLeft w:val="0"/>
      <w:marRight w:val="0"/>
      <w:marTop w:val="0"/>
      <w:marBottom w:val="0"/>
      <w:divBdr>
        <w:top w:val="none" w:sz="0" w:space="0" w:color="auto"/>
        <w:left w:val="none" w:sz="0" w:space="0" w:color="auto"/>
        <w:bottom w:val="none" w:sz="0" w:space="0" w:color="auto"/>
        <w:right w:val="none" w:sz="0" w:space="0" w:color="auto"/>
      </w:divBdr>
    </w:div>
    <w:div w:id="1384790678">
      <w:bodyDiv w:val="1"/>
      <w:marLeft w:val="0"/>
      <w:marRight w:val="0"/>
      <w:marTop w:val="0"/>
      <w:marBottom w:val="0"/>
      <w:divBdr>
        <w:top w:val="none" w:sz="0" w:space="0" w:color="auto"/>
        <w:left w:val="none" w:sz="0" w:space="0" w:color="auto"/>
        <w:bottom w:val="none" w:sz="0" w:space="0" w:color="auto"/>
        <w:right w:val="none" w:sz="0" w:space="0" w:color="auto"/>
      </w:divBdr>
    </w:div>
    <w:div w:id="1390227713">
      <w:bodyDiv w:val="1"/>
      <w:marLeft w:val="0"/>
      <w:marRight w:val="0"/>
      <w:marTop w:val="0"/>
      <w:marBottom w:val="0"/>
      <w:divBdr>
        <w:top w:val="none" w:sz="0" w:space="0" w:color="auto"/>
        <w:left w:val="none" w:sz="0" w:space="0" w:color="auto"/>
        <w:bottom w:val="none" w:sz="0" w:space="0" w:color="auto"/>
        <w:right w:val="none" w:sz="0" w:space="0" w:color="auto"/>
      </w:divBdr>
    </w:div>
    <w:div w:id="1391033408">
      <w:bodyDiv w:val="1"/>
      <w:marLeft w:val="0"/>
      <w:marRight w:val="0"/>
      <w:marTop w:val="0"/>
      <w:marBottom w:val="0"/>
      <w:divBdr>
        <w:top w:val="none" w:sz="0" w:space="0" w:color="auto"/>
        <w:left w:val="none" w:sz="0" w:space="0" w:color="auto"/>
        <w:bottom w:val="none" w:sz="0" w:space="0" w:color="auto"/>
        <w:right w:val="none" w:sz="0" w:space="0" w:color="auto"/>
      </w:divBdr>
    </w:div>
    <w:div w:id="1391227856">
      <w:bodyDiv w:val="1"/>
      <w:marLeft w:val="0"/>
      <w:marRight w:val="0"/>
      <w:marTop w:val="0"/>
      <w:marBottom w:val="0"/>
      <w:divBdr>
        <w:top w:val="none" w:sz="0" w:space="0" w:color="auto"/>
        <w:left w:val="none" w:sz="0" w:space="0" w:color="auto"/>
        <w:bottom w:val="none" w:sz="0" w:space="0" w:color="auto"/>
        <w:right w:val="none" w:sz="0" w:space="0" w:color="auto"/>
      </w:divBdr>
    </w:div>
    <w:div w:id="1394739604">
      <w:bodyDiv w:val="1"/>
      <w:marLeft w:val="0"/>
      <w:marRight w:val="0"/>
      <w:marTop w:val="0"/>
      <w:marBottom w:val="0"/>
      <w:divBdr>
        <w:top w:val="none" w:sz="0" w:space="0" w:color="auto"/>
        <w:left w:val="none" w:sz="0" w:space="0" w:color="auto"/>
        <w:bottom w:val="none" w:sz="0" w:space="0" w:color="auto"/>
        <w:right w:val="none" w:sz="0" w:space="0" w:color="auto"/>
      </w:divBdr>
    </w:div>
    <w:div w:id="1396125718">
      <w:bodyDiv w:val="1"/>
      <w:marLeft w:val="0"/>
      <w:marRight w:val="0"/>
      <w:marTop w:val="0"/>
      <w:marBottom w:val="0"/>
      <w:divBdr>
        <w:top w:val="none" w:sz="0" w:space="0" w:color="auto"/>
        <w:left w:val="none" w:sz="0" w:space="0" w:color="auto"/>
        <w:bottom w:val="none" w:sz="0" w:space="0" w:color="auto"/>
        <w:right w:val="none" w:sz="0" w:space="0" w:color="auto"/>
      </w:divBdr>
    </w:div>
    <w:div w:id="1400010799">
      <w:bodyDiv w:val="1"/>
      <w:marLeft w:val="0"/>
      <w:marRight w:val="0"/>
      <w:marTop w:val="0"/>
      <w:marBottom w:val="0"/>
      <w:divBdr>
        <w:top w:val="none" w:sz="0" w:space="0" w:color="auto"/>
        <w:left w:val="none" w:sz="0" w:space="0" w:color="auto"/>
        <w:bottom w:val="none" w:sz="0" w:space="0" w:color="auto"/>
        <w:right w:val="none" w:sz="0" w:space="0" w:color="auto"/>
      </w:divBdr>
    </w:div>
    <w:div w:id="1401640223">
      <w:bodyDiv w:val="1"/>
      <w:marLeft w:val="0"/>
      <w:marRight w:val="0"/>
      <w:marTop w:val="0"/>
      <w:marBottom w:val="0"/>
      <w:divBdr>
        <w:top w:val="none" w:sz="0" w:space="0" w:color="auto"/>
        <w:left w:val="none" w:sz="0" w:space="0" w:color="auto"/>
        <w:bottom w:val="none" w:sz="0" w:space="0" w:color="auto"/>
        <w:right w:val="none" w:sz="0" w:space="0" w:color="auto"/>
      </w:divBdr>
    </w:div>
    <w:div w:id="1402020830">
      <w:bodyDiv w:val="1"/>
      <w:marLeft w:val="0"/>
      <w:marRight w:val="0"/>
      <w:marTop w:val="0"/>
      <w:marBottom w:val="0"/>
      <w:divBdr>
        <w:top w:val="none" w:sz="0" w:space="0" w:color="auto"/>
        <w:left w:val="none" w:sz="0" w:space="0" w:color="auto"/>
        <w:bottom w:val="none" w:sz="0" w:space="0" w:color="auto"/>
        <w:right w:val="none" w:sz="0" w:space="0" w:color="auto"/>
      </w:divBdr>
    </w:div>
    <w:div w:id="1409965608">
      <w:bodyDiv w:val="1"/>
      <w:marLeft w:val="0"/>
      <w:marRight w:val="0"/>
      <w:marTop w:val="0"/>
      <w:marBottom w:val="0"/>
      <w:divBdr>
        <w:top w:val="none" w:sz="0" w:space="0" w:color="auto"/>
        <w:left w:val="none" w:sz="0" w:space="0" w:color="auto"/>
        <w:bottom w:val="none" w:sz="0" w:space="0" w:color="auto"/>
        <w:right w:val="none" w:sz="0" w:space="0" w:color="auto"/>
      </w:divBdr>
    </w:div>
    <w:div w:id="1410812748">
      <w:bodyDiv w:val="1"/>
      <w:marLeft w:val="0"/>
      <w:marRight w:val="0"/>
      <w:marTop w:val="0"/>
      <w:marBottom w:val="0"/>
      <w:divBdr>
        <w:top w:val="none" w:sz="0" w:space="0" w:color="auto"/>
        <w:left w:val="none" w:sz="0" w:space="0" w:color="auto"/>
        <w:bottom w:val="none" w:sz="0" w:space="0" w:color="auto"/>
        <w:right w:val="none" w:sz="0" w:space="0" w:color="auto"/>
      </w:divBdr>
    </w:div>
    <w:div w:id="1415543298">
      <w:bodyDiv w:val="1"/>
      <w:marLeft w:val="0"/>
      <w:marRight w:val="0"/>
      <w:marTop w:val="0"/>
      <w:marBottom w:val="0"/>
      <w:divBdr>
        <w:top w:val="none" w:sz="0" w:space="0" w:color="auto"/>
        <w:left w:val="none" w:sz="0" w:space="0" w:color="auto"/>
        <w:bottom w:val="none" w:sz="0" w:space="0" w:color="auto"/>
        <w:right w:val="none" w:sz="0" w:space="0" w:color="auto"/>
      </w:divBdr>
    </w:div>
    <w:div w:id="1428118144">
      <w:bodyDiv w:val="1"/>
      <w:marLeft w:val="0"/>
      <w:marRight w:val="0"/>
      <w:marTop w:val="0"/>
      <w:marBottom w:val="0"/>
      <w:divBdr>
        <w:top w:val="none" w:sz="0" w:space="0" w:color="auto"/>
        <w:left w:val="none" w:sz="0" w:space="0" w:color="auto"/>
        <w:bottom w:val="none" w:sz="0" w:space="0" w:color="auto"/>
        <w:right w:val="none" w:sz="0" w:space="0" w:color="auto"/>
      </w:divBdr>
    </w:div>
    <w:div w:id="1429471488">
      <w:bodyDiv w:val="1"/>
      <w:marLeft w:val="0"/>
      <w:marRight w:val="0"/>
      <w:marTop w:val="0"/>
      <w:marBottom w:val="0"/>
      <w:divBdr>
        <w:top w:val="none" w:sz="0" w:space="0" w:color="auto"/>
        <w:left w:val="none" w:sz="0" w:space="0" w:color="auto"/>
        <w:bottom w:val="none" w:sz="0" w:space="0" w:color="auto"/>
        <w:right w:val="none" w:sz="0" w:space="0" w:color="auto"/>
      </w:divBdr>
    </w:div>
    <w:div w:id="1431588768">
      <w:bodyDiv w:val="1"/>
      <w:marLeft w:val="0"/>
      <w:marRight w:val="0"/>
      <w:marTop w:val="0"/>
      <w:marBottom w:val="0"/>
      <w:divBdr>
        <w:top w:val="none" w:sz="0" w:space="0" w:color="auto"/>
        <w:left w:val="none" w:sz="0" w:space="0" w:color="auto"/>
        <w:bottom w:val="none" w:sz="0" w:space="0" w:color="auto"/>
        <w:right w:val="none" w:sz="0" w:space="0" w:color="auto"/>
      </w:divBdr>
    </w:div>
    <w:div w:id="1432049720">
      <w:bodyDiv w:val="1"/>
      <w:marLeft w:val="0"/>
      <w:marRight w:val="0"/>
      <w:marTop w:val="0"/>
      <w:marBottom w:val="0"/>
      <w:divBdr>
        <w:top w:val="none" w:sz="0" w:space="0" w:color="auto"/>
        <w:left w:val="none" w:sz="0" w:space="0" w:color="auto"/>
        <w:bottom w:val="none" w:sz="0" w:space="0" w:color="auto"/>
        <w:right w:val="none" w:sz="0" w:space="0" w:color="auto"/>
      </w:divBdr>
    </w:div>
    <w:div w:id="1450779918">
      <w:bodyDiv w:val="1"/>
      <w:marLeft w:val="0"/>
      <w:marRight w:val="0"/>
      <w:marTop w:val="0"/>
      <w:marBottom w:val="0"/>
      <w:divBdr>
        <w:top w:val="none" w:sz="0" w:space="0" w:color="auto"/>
        <w:left w:val="none" w:sz="0" w:space="0" w:color="auto"/>
        <w:bottom w:val="none" w:sz="0" w:space="0" w:color="auto"/>
        <w:right w:val="none" w:sz="0" w:space="0" w:color="auto"/>
      </w:divBdr>
    </w:div>
    <w:div w:id="1454979627">
      <w:bodyDiv w:val="1"/>
      <w:marLeft w:val="0"/>
      <w:marRight w:val="0"/>
      <w:marTop w:val="0"/>
      <w:marBottom w:val="0"/>
      <w:divBdr>
        <w:top w:val="none" w:sz="0" w:space="0" w:color="auto"/>
        <w:left w:val="none" w:sz="0" w:space="0" w:color="auto"/>
        <w:bottom w:val="none" w:sz="0" w:space="0" w:color="auto"/>
        <w:right w:val="none" w:sz="0" w:space="0" w:color="auto"/>
      </w:divBdr>
    </w:div>
    <w:div w:id="1455169843">
      <w:bodyDiv w:val="1"/>
      <w:marLeft w:val="0"/>
      <w:marRight w:val="0"/>
      <w:marTop w:val="0"/>
      <w:marBottom w:val="0"/>
      <w:divBdr>
        <w:top w:val="none" w:sz="0" w:space="0" w:color="auto"/>
        <w:left w:val="none" w:sz="0" w:space="0" w:color="auto"/>
        <w:bottom w:val="none" w:sz="0" w:space="0" w:color="auto"/>
        <w:right w:val="none" w:sz="0" w:space="0" w:color="auto"/>
      </w:divBdr>
    </w:div>
    <w:div w:id="1456674043">
      <w:bodyDiv w:val="1"/>
      <w:marLeft w:val="0"/>
      <w:marRight w:val="0"/>
      <w:marTop w:val="0"/>
      <w:marBottom w:val="0"/>
      <w:divBdr>
        <w:top w:val="none" w:sz="0" w:space="0" w:color="auto"/>
        <w:left w:val="none" w:sz="0" w:space="0" w:color="auto"/>
        <w:bottom w:val="none" w:sz="0" w:space="0" w:color="auto"/>
        <w:right w:val="none" w:sz="0" w:space="0" w:color="auto"/>
      </w:divBdr>
    </w:div>
    <w:div w:id="1461268216">
      <w:bodyDiv w:val="1"/>
      <w:marLeft w:val="0"/>
      <w:marRight w:val="0"/>
      <w:marTop w:val="0"/>
      <w:marBottom w:val="0"/>
      <w:divBdr>
        <w:top w:val="none" w:sz="0" w:space="0" w:color="auto"/>
        <w:left w:val="none" w:sz="0" w:space="0" w:color="auto"/>
        <w:bottom w:val="none" w:sz="0" w:space="0" w:color="auto"/>
        <w:right w:val="none" w:sz="0" w:space="0" w:color="auto"/>
      </w:divBdr>
    </w:div>
    <w:div w:id="1473518099">
      <w:bodyDiv w:val="1"/>
      <w:marLeft w:val="0"/>
      <w:marRight w:val="0"/>
      <w:marTop w:val="0"/>
      <w:marBottom w:val="0"/>
      <w:divBdr>
        <w:top w:val="none" w:sz="0" w:space="0" w:color="auto"/>
        <w:left w:val="none" w:sz="0" w:space="0" w:color="auto"/>
        <w:bottom w:val="none" w:sz="0" w:space="0" w:color="auto"/>
        <w:right w:val="none" w:sz="0" w:space="0" w:color="auto"/>
      </w:divBdr>
    </w:div>
    <w:div w:id="1474374418">
      <w:bodyDiv w:val="1"/>
      <w:marLeft w:val="0"/>
      <w:marRight w:val="0"/>
      <w:marTop w:val="0"/>
      <w:marBottom w:val="0"/>
      <w:divBdr>
        <w:top w:val="none" w:sz="0" w:space="0" w:color="auto"/>
        <w:left w:val="none" w:sz="0" w:space="0" w:color="auto"/>
        <w:bottom w:val="none" w:sz="0" w:space="0" w:color="auto"/>
        <w:right w:val="none" w:sz="0" w:space="0" w:color="auto"/>
      </w:divBdr>
    </w:div>
    <w:div w:id="1474904018">
      <w:bodyDiv w:val="1"/>
      <w:marLeft w:val="0"/>
      <w:marRight w:val="0"/>
      <w:marTop w:val="0"/>
      <w:marBottom w:val="0"/>
      <w:divBdr>
        <w:top w:val="none" w:sz="0" w:space="0" w:color="auto"/>
        <w:left w:val="none" w:sz="0" w:space="0" w:color="auto"/>
        <w:bottom w:val="none" w:sz="0" w:space="0" w:color="auto"/>
        <w:right w:val="none" w:sz="0" w:space="0" w:color="auto"/>
      </w:divBdr>
    </w:div>
    <w:div w:id="1475877302">
      <w:bodyDiv w:val="1"/>
      <w:marLeft w:val="0"/>
      <w:marRight w:val="0"/>
      <w:marTop w:val="0"/>
      <w:marBottom w:val="0"/>
      <w:divBdr>
        <w:top w:val="none" w:sz="0" w:space="0" w:color="auto"/>
        <w:left w:val="none" w:sz="0" w:space="0" w:color="auto"/>
        <w:bottom w:val="none" w:sz="0" w:space="0" w:color="auto"/>
        <w:right w:val="none" w:sz="0" w:space="0" w:color="auto"/>
      </w:divBdr>
    </w:div>
    <w:div w:id="1476334000">
      <w:bodyDiv w:val="1"/>
      <w:marLeft w:val="0"/>
      <w:marRight w:val="0"/>
      <w:marTop w:val="0"/>
      <w:marBottom w:val="0"/>
      <w:divBdr>
        <w:top w:val="none" w:sz="0" w:space="0" w:color="auto"/>
        <w:left w:val="none" w:sz="0" w:space="0" w:color="auto"/>
        <w:bottom w:val="none" w:sz="0" w:space="0" w:color="auto"/>
        <w:right w:val="none" w:sz="0" w:space="0" w:color="auto"/>
      </w:divBdr>
    </w:div>
    <w:div w:id="1480919561">
      <w:bodyDiv w:val="1"/>
      <w:marLeft w:val="0"/>
      <w:marRight w:val="0"/>
      <w:marTop w:val="0"/>
      <w:marBottom w:val="0"/>
      <w:divBdr>
        <w:top w:val="none" w:sz="0" w:space="0" w:color="auto"/>
        <w:left w:val="none" w:sz="0" w:space="0" w:color="auto"/>
        <w:bottom w:val="none" w:sz="0" w:space="0" w:color="auto"/>
        <w:right w:val="none" w:sz="0" w:space="0" w:color="auto"/>
      </w:divBdr>
    </w:div>
    <w:div w:id="1490291050">
      <w:bodyDiv w:val="1"/>
      <w:marLeft w:val="0"/>
      <w:marRight w:val="0"/>
      <w:marTop w:val="0"/>
      <w:marBottom w:val="0"/>
      <w:divBdr>
        <w:top w:val="none" w:sz="0" w:space="0" w:color="auto"/>
        <w:left w:val="none" w:sz="0" w:space="0" w:color="auto"/>
        <w:bottom w:val="none" w:sz="0" w:space="0" w:color="auto"/>
        <w:right w:val="none" w:sz="0" w:space="0" w:color="auto"/>
      </w:divBdr>
    </w:div>
    <w:div w:id="1493446231">
      <w:bodyDiv w:val="1"/>
      <w:marLeft w:val="0"/>
      <w:marRight w:val="0"/>
      <w:marTop w:val="0"/>
      <w:marBottom w:val="0"/>
      <w:divBdr>
        <w:top w:val="none" w:sz="0" w:space="0" w:color="auto"/>
        <w:left w:val="none" w:sz="0" w:space="0" w:color="auto"/>
        <w:bottom w:val="none" w:sz="0" w:space="0" w:color="auto"/>
        <w:right w:val="none" w:sz="0" w:space="0" w:color="auto"/>
      </w:divBdr>
    </w:div>
    <w:div w:id="1495684005">
      <w:bodyDiv w:val="1"/>
      <w:marLeft w:val="0"/>
      <w:marRight w:val="0"/>
      <w:marTop w:val="0"/>
      <w:marBottom w:val="0"/>
      <w:divBdr>
        <w:top w:val="none" w:sz="0" w:space="0" w:color="auto"/>
        <w:left w:val="none" w:sz="0" w:space="0" w:color="auto"/>
        <w:bottom w:val="none" w:sz="0" w:space="0" w:color="auto"/>
        <w:right w:val="none" w:sz="0" w:space="0" w:color="auto"/>
      </w:divBdr>
    </w:div>
    <w:div w:id="1502351760">
      <w:bodyDiv w:val="1"/>
      <w:marLeft w:val="0"/>
      <w:marRight w:val="0"/>
      <w:marTop w:val="0"/>
      <w:marBottom w:val="0"/>
      <w:divBdr>
        <w:top w:val="none" w:sz="0" w:space="0" w:color="auto"/>
        <w:left w:val="none" w:sz="0" w:space="0" w:color="auto"/>
        <w:bottom w:val="none" w:sz="0" w:space="0" w:color="auto"/>
        <w:right w:val="none" w:sz="0" w:space="0" w:color="auto"/>
      </w:divBdr>
    </w:div>
    <w:div w:id="1503353323">
      <w:bodyDiv w:val="1"/>
      <w:marLeft w:val="0"/>
      <w:marRight w:val="0"/>
      <w:marTop w:val="0"/>
      <w:marBottom w:val="0"/>
      <w:divBdr>
        <w:top w:val="none" w:sz="0" w:space="0" w:color="auto"/>
        <w:left w:val="none" w:sz="0" w:space="0" w:color="auto"/>
        <w:bottom w:val="none" w:sz="0" w:space="0" w:color="auto"/>
        <w:right w:val="none" w:sz="0" w:space="0" w:color="auto"/>
      </w:divBdr>
    </w:div>
    <w:div w:id="1508057313">
      <w:bodyDiv w:val="1"/>
      <w:marLeft w:val="0"/>
      <w:marRight w:val="0"/>
      <w:marTop w:val="0"/>
      <w:marBottom w:val="0"/>
      <w:divBdr>
        <w:top w:val="none" w:sz="0" w:space="0" w:color="auto"/>
        <w:left w:val="none" w:sz="0" w:space="0" w:color="auto"/>
        <w:bottom w:val="none" w:sz="0" w:space="0" w:color="auto"/>
        <w:right w:val="none" w:sz="0" w:space="0" w:color="auto"/>
      </w:divBdr>
    </w:div>
    <w:div w:id="1511135951">
      <w:bodyDiv w:val="1"/>
      <w:marLeft w:val="0"/>
      <w:marRight w:val="0"/>
      <w:marTop w:val="0"/>
      <w:marBottom w:val="0"/>
      <w:divBdr>
        <w:top w:val="none" w:sz="0" w:space="0" w:color="auto"/>
        <w:left w:val="none" w:sz="0" w:space="0" w:color="auto"/>
        <w:bottom w:val="none" w:sz="0" w:space="0" w:color="auto"/>
        <w:right w:val="none" w:sz="0" w:space="0" w:color="auto"/>
      </w:divBdr>
    </w:div>
    <w:div w:id="1512137993">
      <w:bodyDiv w:val="1"/>
      <w:marLeft w:val="0"/>
      <w:marRight w:val="0"/>
      <w:marTop w:val="0"/>
      <w:marBottom w:val="0"/>
      <w:divBdr>
        <w:top w:val="none" w:sz="0" w:space="0" w:color="auto"/>
        <w:left w:val="none" w:sz="0" w:space="0" w:color="auto"/>
        <w:bottom w:val="none" w:sz="0" w:space="0" w:color="auto"/>
        <w:right w:val="none" w:sz="0" w:space="0" w:color="auto"/>
      </w:divBdr>
    </w:div>
    <w:div w:id="1514420804">
      <w:bodyDiv w:val="1"/>
      <w:marLeft w:val="0"/>
      <w:marRight w:val="0"/>
      <w:marTop w:val="0"/>
      <w:marBottom w:val="0"/>
      <w:divBdr>
        <w:top w:val="none" w:sz="0" w:space="0" w:color="auto"/>
        <w:left w:val="none" w:sz="0" w:space="0" w:color="auto"/>
        <w:bottom w:val="none" w:sz="0" w:space="0" w:color="auto"/>
        <w:right w:val="none" w:sz="0" w:space="0" w:color="auto"/>
      </w:divBdr>
    </w:div>
    <w:div w:id="1529176621">
      <w:bodyDiv w:val="1"/>
      <w:marLeft w:val="0"/>
      <w:marRight w:val="0"/>
      <w:marTop w:val="0"/>
      <w:marBottom w:val="0"/>
      <w:divBdr>
        <w:top w:val="none" w:sz="0" w:space="0" w:color="auto"/>
        <w:left w:val="none" w:sz="0" w:space="0" w:color="auto"/>
        <w:bottom w:val="none" w:sz="0" w:space="0" w:color="auto"/>
        <w:right w:val="none" w:sz="0" w:space="0" w:color="auto"/>
      </w:divBdr>
    </w:div>
    <w:div w:id="1532376776">
      <w:bodyDiv w:val="1"/>
      <w:marLeft w:val="0"/>
      <w:marRight w:val="0"/>
      <w:marTop w:val="0"/>
      <w:marBottom w:val="0"/>
      <w:divBdr>
        <w:top w:val="none" w:sz="0" w:space="0" w:color="auto"/>
        <w:left w:val="none" w:sz="0" w:space="0" w:color="auto"/>
        <w:bottom w:val="none" w:sz="0" w:space="0" w:color="auto"/>
        <w:right w:val="none" w:sz="0" w:space="0" w:color="auto"/>
      </w:divBdr>
    </w:div>
    <w:div w:id="1533834721">
      <w:bodyDiv w:val="1"/>
      <w:marLeft w:val="0"/>
      <w:marRight w:val="0"/>
      <w:marTop w:val="0"/>
      <w:marBottom w:val="0"/>
      <w:divBdr>
        <w:top w:val="none" w:sz="0" w:space="0" w:color="auto"/>
        <w:left w:val="none" w:sz="0" w:space="0" w:color="auto"/>
        <w:bottom w:val="none" w:sz="0" w:space="0" w:color="auto"/>
        <w:right w:val="none" w:sz="0" w:space="0" w:color="auto"/>
      </w:divBdr>
    </w:div>
    <w:div w:id="1545367099">
      <w:bodyDiv w:val="1"/>
      <w:marLeft w:val="0"/>
      <w:marRight w:val="0"/>
      <w:marTop w:val="0"/>
      <w:marBottom w:val="0"/>
      <w:divBdr>
        <w:top w:val="none" w:sz="0" w:space="0" w:color="auto"/>
        <w:left w:val="none" w:sz="0" w:space="0" w:color="auto"/>
        <w:bottom w:val="none" w:sz="0" w:space="0" w:color="auto"/>
        <w:right w:val="none" w:sz="0" w:space="0" w:color="auto"/>
      </w:divBdr>
    </w:div>
    <w:div w:id="1548449390">
      <w:bodyDiv w:val="1"/>
      <w:marLeft w:val="0"/>
      <w:marRight w:val="0"/>
      <w:marTop w:val="0"/>
      <w:marBottom w:val="0"/>
      <w:divBdr>
        <w:top w:val="none" w:sz="0" w:space="0" w:color="auto"/>
        <w:left w:val="none" w:sz="0" w:space="0" w:color="auto"/>
        <w:bottom w:val="none" w:sz="0" w:space="0" w:color="auto"/>
        <w:right w:val="none" w:sz="0" w:space="0" w:color="auto"/>
      </w:divBdr>
    </w:div>
    <w:div w:id="1555048111">
      <w:bodyDiv w:val="1"/>
      <w:marLeft w:val="0"/>
      <w:marRight w:val="0"/>
      <w:marTop w:val="0"/>
      <w:marBottom w:val="0"/>
      <w:divBdr>
        <w:top w:val="none" w:sz="0" w:space="0" w:color="auto"/>
        <w:left w:val="none" w:sz="0" w:space="0" w:color="auto"/>
        <w:bottom w:val="none" w:sz="0" w:space="0" w:color="auto"/>
        <w:right w:val="none" w:sz="0" w:space="0" w:color="auto"/>
      </w:divBdr>
    </w:div>
    <w:div w:id="1557660855">
      <w:bodyDiv w:val="1"/>
      <w:marLeft w:val="0"/>
      <w:marRight w:val="0"/>
      <w:marTop w:val="0"/>
      <w:marBottom w:val="0"/>
      <w:divBdr>
        <w:top w:val="none" w:sz="0" w:space="0" w:color="auto"/>
        <w:left w:val="none" w:sz="0" w:space="0" w:color="auto"/>
        <w:bottom w:val="none" w:sz="0" w:space="0" w:color="auto"/>
        <w:right w:val="none" w:sz="0" w:space="0" w:color="auto"/>
      </w:divBdr>
    </w:div>
    <w:div w:id="1559316616">
      <w:bodyDiv w:val="1"/>
      <w:marLeft w:val="0"/>
      <w:marRight w:val="0"/>
      <w:marTop w:val="0"/>
      <w:marBottom w:val="0"/>
      <w:divBdr>
        <w:top w:val="none" w:sz="0" w:space="0" w:color="auto"/>
        <w:left w:val="none" w:sz="0" w:space="0" w:color="auto"/>
        <w:bottom w:val="none" w:sz="0" w:space="0" w:color="auto"/>
        <w:right w:val="none" w:sz="0" w:space="0" w:color="auto"/>
      </w:divBdr>
    </w:div>
    <w:div w:id="1560437955">
      <w:bodyDiv w:val="1"/>
      <w:marLeft w:val="0"/>
      <w:marRight w:val="0"/>
      <w:marTop w:val="0"/>
      <w:marBottom w:val="0"/>
      <w:divBdr>
        <w:top w:val="none" w:sz="0" w:space="0" w:color="auto"/>
        <w:left w:val="none" w:sz="0" w:space="0" w:color="auto"/>
        <w:bottom w:val="none" w:sz="0" w:space="0" w:color="auto"/>
        <w:right w:val="none" w:sz="0" w:space="0" w:color="auto"/>
      </w:divBdr>
    </w:div>
    <w:div w:id="1580023732">
      <w:bodyDiv w:val="1"/>
      <w:marLeft w:val="0"/>
      <w:marRight w:val="0"/>
      <w:marTop w:val="0"/>
      <w:marBottom w:val="0"/>
      <w:divBdr>
        <w:top w:val="none" w:sz="0" w:space="0" w:color="auto"/>
        <w:left w:val="none" w:sz="0" w:space="0" w:color="auto"/>
        <w:bottom w:val="none" w:sz="0" w:space="0" w:color="auto"/>
        <w:right w:val="none" w:sz="0" w:space="0" w:color="auto"/>
      </w:divBdr>
    </w:div>
    <w:div w:id="1581717818">
      <w:bodyDiv w:val="1"/>
      <w:marLeft w:val="0"/>
      <w:marRight w:val="0"/>
      <w:marTop w:val="0"/>
      <w:marBottom w:val="0"/>
      <w:divBdr>
        <w:top w:val="none" w:sz="0" w:space="0" w:color="auto"/>
        <w:left w:val="none" w:sz="0" w:space="0" w:color="auto"/>
        <w:bottom w:val="none" w:sz="0" w:space="0" w:color="auto"/>
        <w:right w:val="none" w:sz="0" w:space="0" w:color="auto"/>
      </w:divBdr>
    </w:div>
    <w:div w:id="1583173253">
      <w:bodyDiv w:val="1"/>
      <w:marLeft w:val="0"/>
      <w:marRight w:val="0"/>
      <w:marTop w:val="0"/>
      <w:marBottom w:val="0"/>
      <w:divBdr>
        <w:top w:val="none" w:sz="0" w:space="0" w:color="auto"/>
        <w:left w:val="none" w:sz="0" w:space="0" w:color="auto"/>
        <w:bottom w:val="none" w:sz="0" w:space="0" w:color="auto"/>
        <w:right w:val="none" w:sz="0" w:space="0" w:color="auto"/>
      </w:divBdr>
    </w:div>
    <w:div w:id="1585845720">
      <w:bodyDiv w:val="1"/>
      <w:marLeft w:val="0"/>
      <w:marRight w:val="0"/>
      <w:marTop w:val="0"/>
      <w:marBottom w:val="0"/>
      <w:divBdr>
        <w:top w:val="none" w:sz="0" w:space="0" w:color="auto"/>
        <w:left w:val="none" w:sz="0" w:space="0" w:color="auto"/>
        <w:bottom w:val="none" w:sz="0" w:space="0" w:color="auto"/>
        <w:right w:val="none" w:sz="0" w:space="0" w:color="auto"/>
      </w:divBdr>
    </w:div>
    <w:div w:id="1597786850">
      <w:bodyDiv w:val="1"/>
      <w:marLeft w:val="0"/>
      <w:marRight w:val="0"/>
      <w:marTop w:val="0"/>
      <w:marBottom w:val="0"/>
      <w:divBdr>
        <w:top w:val="none" w:sz="0" w:space="0" w:color="auto"/>
        <w:left w:val="none" w:sz="0" w:space="0" w:color="auto"/>
        <w:bottom w:val="none" w:sz="0" w:space="0" w:color="auto"/>
        <w:right w:val="none" w:sz="0" w:space="0" w:color="auto"/>
      </w:divBdr>
    </w:div>
    <w:div w:id="1602496133">
      <w:bodyDiv w:val="1"/>
      <w:marLeft w:val="0"/>
      <w:marRight w:val="0"/>
      <w:marTop w:val="0"/>
      <w:marBottom w:val="0"/>
      <w:divBdr>
        <w:top w:val="none" w:sz="0" w:space="0" w:color="auto"/>
        <w:left w:val="none" w:sz="0" w:space="0" w:color="auto"/>
        <w:bottom w:val="none" w:sz="0" w:space="0" w:color="auto"/>
        <w:right w:val="none" w:sz="0" w:space="0" w:color="auto"/>
      </w:divBdr>
    </w:div>
    <w:div w:id="1616792921">
      <w:bodyDiv w:val="1"/>
      <w:marLeft w:val="0"/>
      <w:marRight w:val="0"/>
      <w:marTop w:val="0"/>
      <w:marBottom w:val="0"/>
      <w:divBdr>
        <w:top w:val="none" w:sz="0" w:space="0" w:color="auto"/>
        <w:left w:val="none" w:sz="0" w:space="0" w:color="auto"/>
        <w:bottom w:val="none" w:sz="0" w:space="0" w:color="auto"/>
        <w:right w:val="none" w:sz="0" w:space="0" w:color="auto"/>
      </w:divBdr>
    </w:div>
    <w:div w:id="1646154079">
      <w:bodyDiv w:val="1"/>
      <w:marLeft w:val="0"/>
      <w:marRight w:val="0"/>
      <w:marTop w:val="0"/>
      <w:marBottom w:val="0"/>
      <w:divBdr>
        <w:top w:val="none" w:sz="0" w:space="0" w:color="auto"/>
        <w:left w:val="none" w:sz="0" w:space="0" w:color="auto"/>
        <w:bottom w:val="none" w:sz="0" w:space="0" w:color="auto"/>
        <w:right w:val="none" w:sz="0" w:space="0" w:color="auto"/>
      </w:divBdr>
    </w:div>
    <w:div w:id="1647661834">
      <w:bodyDiv w:val="1"/>
      <w:marLeft w:val="0"/>
      <w:marRight w:val="0"/>
      <w:marTop w:val="0"/>
      <w:marBottom w:val="0"/>
      <w:divBdr>
        <w:top w:val="none" w:sz="0" w:space="0" w:color="auto"/>
        <w:left w:val="none" w:sz="0" w:space="0" w:color="auto"/>
        <w:bottom w:val="none" w:sz="0" w:space="0" w:color="auto"/>
        <w:right w:val="none" w:sz="0" w:space="0" w:color="auto"/>
      </w:divBdr>
    </w:div>
    <w:div w:id="1651251932">
      <w:bodyDiv w:val="1"/>
      <w:marLeft w:val="0"/>
      <w:marRight w:val="0"/>
      <w:marTop w:val="0"/>
      <w:marBottom w:val="0"/>
      <w:divBdr>
        <w:top w:val="none" w:sz="0" w:space="0" w:color="auto"/>
        <w:left w:val="none" w:sz="0" w:space="0" w:color="auto"/>
        <w:bottom w:val="none" w:sz="0" w:space="0" w:color="auto"/>
        <w:right w:val="none" w:sz="0" w:space="0" w:color="auto"/>
      </w:divBdr>
    </w:div>
    <w:div w:id="1653757845">
      <w:bodyDiv w:val="1"/>
      <w:marLeft w:val="0"/>
      <w:marRight w:val="0"/>
      <w:marTop w:val="0"/>
      <w:marBottom w:val="0"/>
      <w:divBdr>
        <w:top w:val="none" w:sz="0" w:space="0" w:color="auto"/>
        <w:left w:val="none" w:sz="0" w:space="0" w:color="auto"/>
        <w:bottom w:val="none" w:sz="0" w:space="0" w:color="auto"/>
        <w:right w:val="none" w:sz="0" w:space="0" w:color="auto"/>
      </w:divBdr>
    </w:div>
    <w:div w:id="1657681734">
      <w:bodyDiv w:val="1"/>
      <w:marLeft w:val="0"/>
      <w:marRight w:val="0"/>
      <w:marTop w:val="0"/>
      <w:marBottom w:val="0"/>
      <w:divBdr>
        <w:top w:val="none" w:sz="0" w:space="0" w:color="auto"/>
        <w:left w:val="none" w:sz="0" w:space="0" w:color="auto"/>
        <w:bottom w:val="none" w:sz="0" w:space="0" w:color="auto"/>
        <w:right w:val="none" w:sz="0" w:space="0" w:color="auto"/>
      </w:divBdr>
    </w:div>
    <w:div w:id="1662002406">
      <w:bodyDiv w:val="1"/>
      <w:marLeft w:val="0"/>
      <w:marRight w:val="0"/>
      <w:marTop w:val="0"/>
      <w:marBottom w:val="0"/>
      <w:divBdr>
        <w:top w:val="none" w:sz="0" w:space="0" w:color="auto"/>
        <w:left w:val="none" w:sz="0" w:space="0" w:color="auto"/>
        <w:bottom w:val="none" w:sz="0" w:space="0" w:color="auto"/>
        <w:right w:val="none" w:sz="0" w:space="0" w:color="auto"/>
      </w:divBdr>
    </w:div>
    <w:div w:id="1662930258">
      <w:bodyDiv w:val="1"/>
      <w:marLeft w:val="0"/>
      <w:marRight w:val="0"/>
      <w:marTop w:val="0"/>
      <w:marBottom w:val="0"/>
      <w:divBdr>
        <w:top w:val="none" w:sz="0" w:space="0" w:color="auto"/>
        <w:left w:val="none" w:sz="0" w:space="0" w:color="auto"/>
        <w:bottom w:val="none" w:sz="0" w:space="0" w:color="auto"/>
        <w:right w:val="none" w:sz="0" w:space="0" w:color="auto"/>
      </w:divBdr>
    </w:div>
    <w:div w:id="1666325187">
      <w:bodyDiv w:val="1"/>
      <w:marLeft w:val="0"/>
      <w:marRight w:val="0"/>
      <w:marTop w:val="0"/>
      <w:marBottom w:val="0"/>
      <w:divBdr>
        <w:top w:val="none" w:sz="0" w:space="0" w:color="auto"/>
        <w:left w:val="none" w:sz="0" w:space="0" w:color="auto"/>
        <w:bottom w:val="none" w:sz="0" w:space="0" w:color="auto"/>
        <w:right w:val="none" w:sz="0" w:space="0" w:color="auto"/>
      </w:divBdr>
    </w:div>
    <w:div w:id="1682511854">
      <w:bodyDiv w:val="1"/>
      <w:marLeft w:val="0"/>
      <w:marRight w:val="0"/>
      <w:marTop w:val="0"/>
      <w:marBottom w:val="0"/>
      <w:divBdr>
        <w:top w:val="none" w:sz="0" w:space="0" w:color="auto"/>
        <w:left w:val="none" w:sz="0" w:space="0" w:color="auto"/>
        <w:bottom w:val="none" w:sz="0" w:space="0" w:color="auto"/>
        <w:right w:val="none" w:sz="0" w:space="0" w:color="auto"/>
      </w:divBdr>
    </w:div>
    <w:div w:id="1683698504">
      <w:bodyDiv w:val="1"/>
      <w:marLeft w:val="0"/>
      <w:marRight w:val="0"/>
      <w:marTop w:val="0"/>
      <w:marBottom w:val="0"/>
      <w:divBdr>
        <w:top w:val="none" w:sz="0" w:space="0" w:color="auto"/>
        <w:left w:val="none" w:sz="0" w:space="0" w:color="auto"/>
        <w:bottom w:val="none" w:sz="0" w:space="0" w:color="auto"/>
        <w:right w:val="none" w:sz="0" w:space="0" w:color="auto"/>
      </w:divBdr>
    </w:div>
    <w:div w:id="1684088528">
      <w:bodyDiv w:val="1"/>
      <w:marLeft w:val="0"/>
      <w:marRight w:val="0"/>
      <w:marTop w:val="0"/>
      <w:marBottom w:val="0"/>
      <w:divBdr>
        <w:top w:val="none" w:sz="0" w:space="0" w:color="auto"/>
        <w:left w:val="none" w:sz="0" w:space="0" w:color="auto"/>
        <w:bottom w:val="none" w:sz="0" w:space="0" w:color="auto"/>
        <w:right w:val="none" w:sz="0" w:space="0" w:color="auto"/>
      </w:divBdr>
    </w:div>
    <w:div w:id="1685283785">
      <w:bodyDiv w:val="1"/>
      <w:marLeft w:val="0"/>
      <w:marRight w:val="0"/>
      <w:marTop w:val="0"/>
      <w:marBottom w:val="0"/>
      <w:divBdr>
        <w:top w:val="none" w:sz="0" w:space="0" w:color="auto"/>
        <w:left w:val="none" w:sz="0" w:space="0" w:color="auto"/>
        <w:bottom w:val="none" w:sz="0" w:space="0" w:color="auto"/>
        <w:right w:val="none" w:sz="0" w:space="0" w:color="auto"/>
      </w:divBdr>
    </w:div>
    <w:div w:id="1686009174">
      <w:bodyDiv w:val="1"/>
      <w:marLeft w:val="0"/>
      <w:marRight w:val="0"/>
      <w:marTop w:val="0"/>
      <w:marBottom w:val="0"/>
      <w:divBdr>
        <w:top w:val="none" w:sz="0" w:space="0" w:color="auto"/>
        <w:left w:val="none" w:sz="0" w:space="0" w:color="auto"/>
        <w:bottom w:val="none" w:sz="0" w:space="0" w:color="auto"/>
        <w:right w:val="none" w:sz="0" w:space="0" w:color="auto"/>
      </w:divBdr>
    </w:div>
    <w:div w:id="1688945257">
      <w:bodyDiv w:val="1"/>
      <w:marLeft w:val="0"/>
      <w:marRight w:val="0"/>
      <w:marTop w:val="0"/>
      <w:marBottom w:val="0"/>
      <w:divBdr>
        <w:top w:val="none" w:sz="0" w:space="0" w:color="auto"/>
        <w:left w:val="none" w:sz="0" w:space="0" w:color="auto"/>
        <w:bottom w:val="none" w:sz="0" w:space="0" w:color="auto"/>
        <w:right w:val="none" w:sz="0" w:space="0" w:color="auto"/>
      </w:divBdr>
    </w:div>
    <w:div w:id="1695768834">
      <w:bodyDiv w:val="1"/>
      <w:marLeft w:val="0"/>
      <w:marRight w:val="0"/>
      <w:marTop w:val="0"/>
      <w:marBottom w:val="0"/>
      <w:divBdr>
        <w:top w:val="none" w:sz="0" w:space="0" w:color="auto"/>
        <w:left w:val="none" w:sz="0" w:space="0" w:color="auto"/>
        <w:bottom w:val="none" w:sz="0" w:space="0" w:color="auto"/>
        <w:right w:val="none" w:sz="0" w:space="0" w:color="auto"/>
      </w:divBdr>
    </w:div>
    <w:div w:id="1699315183">
      <w:bodyDiv w:val="1"/>
      <w:marLeft w:val="0"/>
      <w:marRight w:val="0"/>
      <w:marTop w:val="0"/>
      <w:marBottom w:val="0"/>
      <w:divBdr>
        <w:top w:val="none" w:sz="0" w:space="0" w:color="auto"/>
        <w:left w:val="none" w:sz="0" w:space="0" w:color="auto"/>
        <w:bottom w:val="none" w:sz="0" w:space="0" w:color="auto"/>
        <w:right w:val="none" w:sz="0" w:space="0" w:color="auto"/>
      </w:divBdr>
    </w:div>
    <w:div w:id="1699693114">
      <w:bodyDiv w:val="1"/>
      <w:marLeft w:val="0"/>
      <w:marRight w:val="0"/>
      <w:marTop w:val="0"/>
      <w:marBottom w:val="0"/>
      <w:divBdr>
        <w:top w:val="none" w:sz="0" w:space="0" w:color="auto"/>
        <w:left w:val="none" w:sz="0" w:space="0" w:color="auto"/>
        <w:bottom w:val="none" w:sz="0" w:space="0" w:color="auto"/>
        <w:right w:val="none" w:sz="0" w:space="0" w:color="auto"/>
      </w:divBdr>
    </w:div>
    <w:div w:id="1711152807">
      <w:bodyDiv w:val="1"/>
      <w:marLeft w:val="0"/>
      <w:marRight w:val="0"/>
      <w:marTop w:val="0"/>
      <w:marBottom w:val="0"/>
      <w:divBdr>
        <w:top w:val="none" w:sz="0" w:space="0" w:color="auto"/>
        <w:left w:val="none" w:sz="0" w:space="0" w:color="auto"/>
        <w:bottom w:val="none" w:sz="0" w:space="0" w:color="auto"/>
        <w:right w:val="none" w:sz="0" w:space="0" w:color="auto"/>
      </w:divBdr>
    </w:div>
    <w:div w:id="1711997974">
      <w:bodyDiv w:val="1"/>
      <w:marLeft w:val="0"/>
      <w:marRight w:val="0"/>
      <w:marTop w:val="0"/>
      <w:marBottom w:val="0"/>
      <w:divBdr>
        <w:top w:val="none" w:sz="0" w:space="0" w:color="auto"/>
        <w:left w:val="none" w:sz="0" w:space="0" w:color="auto"/>
        <w:bottom w:val="none" w:sz="0" w:space="0" w:color="auto"/>
        <w:right w:val="none" w:sz="0" w:space="0" w:color="auto"/>
      </w:divBdr>
    </w:div>
    <w:div w:id="1715501795">
      <w:bodyDiv w:val="1"/>
      <w:marLeft w:val="0"/>
      <w:marRight w:val="0"/>
      <w:marTop w:val="0"/>
      <w:marBottom w:val="0"/>
      <w:divBdr>
        <w:top w:val="none" w:sz="0" w:space="0" w:color="auto"/>
        <w:left w:val="none" w:sz="0" w:space="0" w:color="auto"/>
        <w:bottom w:val="none" w:sz="0" w:space="0" w:color="auto"/>
        <w:right w:val="none" w:sz="0" w:space="0" w:color="auto"/>
      </w:divBdr>
    </w:div>
    <w:div w:id="1717317005">
      <w:bodyDiv w:val="1"/>
      <w:marLeft w:val="0"/>
      <w:marRight w:val="0"/>
      <w:marTop w:val="0"/>
      <w:marBottom w:val="0"/>
      <w:divBdr>
        <w:top w:val="none" w:sz="0" w:space="0" w:color="auto"/>
        <w:left w:val="none" w:sz="0" w:space="0" w:color="auto"/>
        <w:bottom w:val="none" w:sz="0" w:space="0" w:color="auto"/>
        <w:right w:val="none" w:sz="0" w:space="0" w:color="auto"/>
      </w:divBdr>
    </w:div>
    <w:div w:id="1717967480">
      <w:bodyDiv w:val="1"/>
      <w:marLeft w:val="0"/>
      <w:marRight w:val="0"/>
      <w:marTop w:val="0"/>
      <w:marBottom w:val="0"/>
      <w:divBdr>
        <w:top w:val="none" w:sz="0" w:space="0" w:color="auto"/>
        <w:left w:val="none" w:sz="0" w:space="0" w:color="auto"/>
        <w:bottom w:val="none" w:sz="0" w:space="0" w:color="auto"/>
        <w:right w:val="none" w:sz="0" w:space="0" w:color="auto"/>
      </w:divBdr>
    </w:div>
    <w:div w:id="1733384928">
      <w:bodyDiv w:val="1"/>
      <w:marLeft w:val="0"/>
      <w:marRight w:val="0"/>
      <w:marTop w:val="0"/>
      <w:marBottom w:val="0"/>
      <w:divBdr>
        <w:top w:val="none" w:sz="0" w:space="0" w:color="auto"/>
        <w:left w:val="none" w:sz="0" w:space="0" w:color="auto"/>
        <w:bottom w:val="none" w:sz="0" w:space="0" w:color="auto"/>
        <w:right w:val="none" w:sz="0" w:space="0" w:color="auto"/>
      </w:divBdr>
    </w:div>
    <w:div w:id="1738161461">
      <w:bodyDiv w:val="1"/>
      <w:marLeft w:val="0"/>
      <w:marRight w:val="0"/>
      <w:marTop w:val="0"/>
      <w:marBottom w:val="0"/>
      <w:divBdr>
        <w:top w:val="none" w:sz="0" w:space="0" w:color="auto"/>
        <w:left w:val="none" w:sz="0" w:space="0" w:color="auto"/>
        <w:bottom w:val="none" w:sz="0" w:space="0" w:color="auto"/>
        <w:right w:val="none" w:sz="0" w:space="0" w:color="auto"/>
      </w:divBdr>
    </w:div>
    <w:div w:id="1751388368">
      <w:bodyDiv w:val="1"/>
      <w:marLeft w:val="0"/>
      <w:marRight w:val="0"/>
      <w:marTop w:val="0"/>
      <w:marBottom w:val="0"/>
      <w:divBdr>
        <w:top w:val="none" w:sz="0" w:space="0" w:color="auto"/>
        <w:left w:val="none" w:sz="0" w:space="0" w:color="auto"/>
        <w:bottom w:val="none" w:sz="0" w:space="0" w:color="auto"/>
        <w:right w:val="none" w:sz="0" w:space="0" w:color="auto"/>
      </w:divBdr>
    </w:div>
    <w:div w:id="1752463330">
      <w:bodyDiv w:val="1"/>
      <w:marLeft w:val="0"/>
      <w:marRight w:val="0"/>
      <w:marTop w:val="0"/>
      <w:marBottom w:val="0"/>
      <w:divBdr>
        <w:top w:val="none" w:sz="0" w:space="0" w:color="auto"/>
        <w:left w:val="none" w:sz="0" w:space="0" w:color="auto"/>
        <w:bottom w:val="none" w:sz="0" w:space="0" w:color="auto"/>
        <w:right w:val="none" w:sz="0" w:space="0" w:color="auto"/>
      </w:divBdr>
    </w:div>
    <w:div w:id="1753500635">
      <w:bodyDiv w:val="1"/>
      <w:marLeft w:val="0"/>
      <w:marRight w:val="0"/>
      <w:marTop w:val="0"/>
      <w:marBottom w:val="0"/>
      <w:divBdr>
        <w:top w:val="none" w:sz="0" w:space="0" w:color="auto"/>
        <w:left w:val="none" w:sz="0" w:space="0" w:color="auto"/>
        <w:bottom w:val="none" w:sz="0" w:space="0" w:color="auto"/>
        <w:right w:val="none" w:sz="0" w:space="0" w:color="auto"/>
      </w:divBdr>
    </w:div>
    <w:div w:id="1757242390">
      <w:bodyDiv w:val="1"/>
      <w:marLeft w:val="0"/>
      <w:marRight w:val="0"/>
      <w:marTop w:val="0"/>
      <w:marBottom w:val="0"/>
      <w:divBdr>
        <w:top w:val="none" w:sz="0" w:space="0" w:color="auto"/>
        <w:left w:val="none" w:sz="0" w:space="0" w:color="auto"/>
        <w:bottom w:val="none" w:sz="0" w:space="0" w:color="auto"/>
        <w:right w:val="none" w:sz="0" w:space="0" w:color="auto"/>
      </w:divBdr>
    </w:div>
    <w:div w:id="1761102023">
      <w:bodyDiv w:val="1"/>
      <w:marLeft w:val="0"/>
      <w:marRight w:val="0"/>
      <w:marTop w:val="0"/>
      <w:marBottom w:val="0"/>
      <w:divBdr>
        <w:top w:val="none" w:sz="0" w:space="0" w:color="auto"/>
        <w:left w:val="none" w:sz="0" w:space="0" w:color="auto"/>
        <w:bottom w:val="none" w:sz="0" w:space="0" w:color="auto"/>
        <w:right w:val="none" w:sz="0" w:space="0" w:color="auto"/>
      </w:divBdr>
    </w:div>
    <w:div w:id="1774207396">
      <w:bodyDiv w:val="1"/>
      <w:marLeft w:val="0"/>
      <w:marRight w:val="0"/>
      <w:marTop w:val="0"/>
      <w:marBottom w:val="0"/>
      <w:divBdr>
        <w:top w:val="none" w:sz="0" w:space="0" w:color="auto"/>
        <w:left w:val="none" w:sz="0" w:space="0" w:color="auto"/>
        <w:bottom w:val="none" w:sz="0" w:space="0" w:color="auto"/>
        <w:right w:val="none" w:sz="0" w:space="0" w:color="auto"/>
      </w:divBdr>
    </w:div>
    <w:div w:id="1779137798">
      <w:bodyDiv w:val="1"/>
      <w:marLeft w:val="0"/>
      <w:marRight w:val="0"/>
      <w:marTop w:val="0"/>
      <w:marBottom w:val="0"/>
      <w:divBdr>
        <w:top w:val="none" w:sz="0" w:space="0" w:color="auto"/>
        <w:left w:val="none" w:sz="0" w:space="0" w:color="auto"/>
        <w:bottom w:val="none" w:sz="0" w:space="0" w:color="auto"/>
        <w:right w:val="none" w:sz="0" w:space="0" w:color="auto"/>
      </w:divBdr>
    </w:div>
    <w:div w:id="1804687794">
      <w:bodyDiv w:val="1"/>
      <w:marLeft w:val="0"/>
      <w:marRight w:val="0"/>
      <w:marTop w:val="0"/>
      <w:marBottom w:val="0"/>
      <w:divBdr>
        <w:top w:val="none" w:sz="0" w:space="0" w:color="auto"/>
        <w:left w:val="none" w:sz="0" w:space="0" w:color="auto"/>
        <w:bottom w:val="none" w:sz="0" w:space="0" w:color="auto"/>
        <w:right w:val="none" w:sz="0" w:space="0" w:color="auto"/>
      </w:divBdr>
    </w:div>
    <w:div w:id="1805847572">
      <w:bodyDiv w:val="1"/>
      <w:marLeft w:val="0"/>
      <w:marRight w:val="0"/>
      <w:marTop w:val="0"/>
      <w:marBottom w:val="0"/>
      <w:divBdr>
        <w:top w:val="none" w:sz="0" w:space="0" w:color="auto"/>
        <w:left w:val="none" w:sz="0" w:space="0" w:color="auto"/>
        <w:bottom w:val="none" w:sz="0" w:space="0" w:color="auto"/>
        <w:right w:val="none" w:sz="0" w:space="0" w:color="auto"/>
      </w:divBdr>
    </w:div>
    <w:div w:id="1813592052">
      <w:bodyDiv w:val="1"/>
      <w:marLeft w:val="0"/>
      <w:marRight w:val="0"/>
      <w:marTop w:val="0"/>
      <w:marBottom w:val="0"/>
      <w:divBdr>
        <w:top w:val="none" w:sz="0" w:space="0" w:color="auto"/>
        <w:left w:val="none" w:sz="0" w:space="0" w:color="auto"/>
        <w:bottom w:val="none" w:sz="0" w:space="0" w:color="auto"/>
        <w:right w:val="none" w:sz="0" w:space="0" w:color="auto"/>
      </w:divBdr>
    </w:div>
    <w:div w:id="1815367067">
      <w:bodyDiv w:val="1"/>
      <w:marLeft w:val="0"/>
      <w:marRight w:val="0"/>
      <w:marTop w:val="0"/>
      <w:marBottom w:val="0"/>
      <w:divBdr>
        <w:top w:val="none" w:sz="0" w:space="0" w:color="auto"/>
        <w:left w:val="none" w:sz="0" w:space="0" w:color="auto"/>
        <w:bottom w:val="none" w:sz="0" w:space="0" w:color="auto"/>
        <w:right w:val="none" w:sz="0" w:space="0" w:color="auto"/>
      </w:divBdr>
    </w:div>
    <w:div w:id="1818959210">
      <w:bodyDiv w:val="1"/>
      <w:marLeft w:val="0"/>
      <w:marRight w:val="0"/>
      <w:marTop w:val="0"/>
      <w:marBottom w:val="0"/>
      <w:divBdr>
        <w:top w:val="none" w:sz="0" w:space="0" w:color="auto"/>
        <w:left w:val="none" w:sz="0" w:space="0" w:color="auto"/>
        <w:bottom w:val="none" w:sz="0" w:space="0" w:color="auto"/>
        <w:right w:val="none" w:sz="0" w:space="0" w:color="auto"/>
      </w:divBdr>
    </w:div>
    <w:div w:id="1824543330">
      <w:bodyDiv w:val="1"/>
      <w:marLeft w:val="0"/>
      <w:marRight w:val="0"/>
      <w:marTop w:val="0"/>
      <w:marBottom w:val="0"/>
      <w:divBdr>
        <w:top w:val="none" w:sz="0" w:space="0" w:color="auto"/>
        <w:left w:val="none" w:sz="0" w:space="0" w:color="auto"/>
        <w:bottom w:val="none" w:sz="0" w:space="0" w:color="auto"/>
        <w:right w:val="none" w:sz="0" w:space="0" w:color="auto"/>
      </w:divBdr>
    </w:div>
    <w:div w:id="1827895546">
      <w:bodyDiv w:val="1"/>
      <w:marLeft w:val="0"/>
      <w:marRight w:val="0"/>
      <w:marTop w:val="0"/>
      <w:marBottom w:val="0"/>
      <w:divBdr>
        <w:top w:val="none" w:sz="0" w:space="0" w:color="auto"/>
        <w:left w:val="none" w:sz="0" w:space="0" w:color="auto"/>
        <w:bottom w:val="none" w:sz="0" w:space="0" w:color="auto"/>
        <w:right w:val="none" w:sz="0" w:space="0" w:color="auto"/>
      </w:divBdr>
    </w:div>
    <w:div w:id="1828402395">
      <w:bodyDiv w:val="1"/>
      <w:marLeft w:val="0"/>
      <w:marRight w:val="0"/>
      <w:marTop w:val="0"/>
      <w:marBottom w:val="0"/>
      <w:divBdr>
        <w:top w:val="none" w:sz="0" w:space="0" w:color="auto"/>
        <w:left w:val="none" w:sz="0" w:space="0" w:color="auto"/>
        <w:bottom w:val="none" w:sz="0" w:space="0" w:color="auto"/>
        <w:right w:val="none" w:sz="0" w:space="0" w:color="auto"/>
      </w:divBdr>
    </w:div>
    <w:div w:id="1836454818">
      <w:bodyDiv w:val="1"/>
      <w:marLeft w:val="0"/>
      <w:marRight w:val="0"/>
      <w:marTop w:val="0"/>
      <w:marBottom w:val="0"/>
      <w:divBdr>
        <w:top w:val="none" w:sz="0" w:space="0" w:color="auto"/>
        <w:left w:val="none" w:sz="0" w:space="0" w:color="auto"/>
        <w:bottom w:val="none" w:sz="0" w:space="0" w:color="auto"/>
        <w:right w:val="none" w:sz="0" w:space="0" w:color="auto"/>
      </w:divBdr>
    </w:div>
    <w:div w:id="1840922712">
      <w:bodyDiv w:val="1"/>
      <w:marLeft w:val="0"/>
      <w:marRight w:val="0"/>
      <w:marTop w:val="0"/>
      <w:marBottom w:val="0"/>
      <w:divBdr>
        <w:top w:val="none" w:sz="0" w:space="0" w:color="auto"/>
        <w:left w:val="none" w:sz="0" w:space="0" w:color="auto"/>
        <w:bottom w:val="none" w:sz="0" w:space="0" w:color="auto"/>
        <w:right w:val="none" w:sz="0" w:space="0" w:color="auto"/>
      </w:divBdr>
    </w:div>
    <w:div w:id="1841237036">
      <w:bodyDiv w:val="1"/>
      <w:marLeft w:val="0"/>
      <w:marRight w:val="0"/>
      <w:marTop w:val="0"/>
      <w:marBottom w:val="0"/>
      <w:divBdr>
        <w:top w:val="none" w:sz="0" w:space="0" w:color="auto"/>
        <w:left w:val="none" w:sz="0" w:space="0" w:color="auto"/>
        <w:bottom w:val="none" w:sz="0" w:space="0" w:color="auto"/>
        <w:right w:val="none" w:sz="0" w:space="0" w:color="auto"/>
      </w:divBdr>
    </w:div>
    <w:div w:id="1846359623">
      <w:bodyDiv w:val="1"/>
      <w:marLeft w:val="0"/>
      <w:marRight w:val="0"/>
      <w:marTop w:val="0"/>
      <w:marBottom w:val="0"/>
      <w:divBdr>
        <w:top w:val="none" w:sz="0" w:space="0" w:color="auto"/>
        <w:left w:val="none" w:sz="0" w:space="0" w:color="auto"/>
        <w:bottom w:val="none" w:sz="0" w:space="0" w:color="auto"/>
        <w:right w:val="none" w:sz="0" w:space="0" w:color="auto"/>
      </w:divBdr>
    </w:div>
    <w:div w:id="1846937724">
      <w:bodyDiv w:val="1"/>
      <w:marLeft w:val="0"/>
      <w:marRight w:val="0"/>
      <w:marTop w:val="0"/>
      <w:marBottom w:val="0"/>
      <w:divBdr>
        <w:top w:val="none" w:sz="0" w:space="0" w:color="auto"/>
        <w:left w:val="none" w:sz="0" w:space="0" w:color="auto"/>
        <w:bottom w:val="none" w:sz="0" w:space="0" w:color="auto"/>
        <w:right w:val="none" w:sz="0" w:space="0" w:color="auto"/>
      </w:divBdr>
    </w:div>
    <w:div w:id="1859545331">
      <w:bodyDiv w:val="1"/>
      <w:marLeft w:val="0"/>
      <w:marRight w:val="0"/>
      <w:marTop w:val="0"/>
      <w:marBottom w:val="0"/>
      <w:divBdr>
        <w:top w:val="none" w:sz="0" w:space="0" w:color="auto"/>
        <w:left w:val="none" w:sz="0" w:space="0" w:color="auto"/>
        <w:bottom w:val="none" w:sz="0" w:space="0" w:color="auto"/>
        <w:right w:val="none" w:sz="0" w:space="0" w:color="auto"/>
      </w:divBdr>
    </w:div>
    <w:div w:id="1864509810">
      <w:bodyDiv w:val="1"/>
      <w:marLeft w:val="0"/>
      <w:marRight w:val="0"/>
      <w:marTop w:val="0"/>
      <w:marBottom w:val="0"/>
      <w:divBdr>
        <w:top w:val="none" w:sz="0" w:space="0" w:color="auto"/>
        <w:left w:val="none" w:sz="0" w:space="0" w:color="auto"/>
        <w:bottom w:val="none" w:sz="0" w:space="0" w:color="auto"/>
        <w:right w:val="none" w:sz="0" w:space="0" w:color="auto"/>
      </w:divBdr>
    </w:div>
    <w:div w:id="1867786575">
      <w:bodyDiv w:val="1"/>
      <w:marLeft w:val="0"/>
      <w:marRight w:val="0"/>
      <w:marTop w:val="0"/>
      <w:marBottom w:val="0"/>
      <w:divBdr>
        <w:top w:val="none" w:sz="0" w:space="0" w:color="auto"/>
        <w:left w:val="none" w:sz="0" w:space="0" w:color="auto"/>
        <w:bottom w:val="none" w:sz="0" w:space="0" w:color="auto"/>
        <w:right w:val="none" w:sz="0" w:space="0" w:color="auto"/>
      </w:divBdr>
    </w:div>
    <w:div w:id="1869171624">
      <w:bodyDiv w:val="1"/>
      <w:marLeft w:val="0"/>
      <w:marRight w:val="0"/>
      <w:marTop w:val="0"/>
      <w:marBottom w:val="0"/>
      <w:divBdr>
        <w:top w:val="none" w:sz="0" w:space="0" w:color="auto"/>
        <w:left w:val="none" w:sz="0" w:space="0" w:color="auto"/>
        <w:bottom w:val="none" w:sz="0" w:space="0" w:color="auto"/>
        <w:right w:val="none" w:sz="0" w:space="0" w:color="auto"/>
      </w:divBdr>
    </w:div>
    <w:div w:id="1873226639">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9705455">
      <w:bodyDiv w:val="1"/>
      <w:marLeft w:val="0"/>
      <w:marRight w:val="0"/>
      <w:marTop w:val="0"/>
      <w:marBottom w:val="0"/>
      <w:divBdr>
        <w:top w:val="none" w:sz="0" w:space="0" w:color="auto"/>
        <w:left w:val="none" w:sz="0" w:space="0" w:color="auto"/>
        <w:bottom w:val="none" w:sz="0" w:space="0" w:color="auto"/>
        <w:right w:val="none" w:sz="0" w:space="0" w:color="auto"/>
      </w:divBdr>
    </w:div>
    <w:div w:id="1899777930">
      <w:bodyDiv w:val="1"/>
      <w:marLeft w:val="0"/>
      <w:marRight w:val="0"/>
      <w:marTop w:val="0"/>
      <w:marBottom w:val="0"/>
      <w:divBdr>
        <w:top w:val="none" w:sz="0" w:space="0" w:color="auto"/>
        <w:left w:val="none" w:sz="0" w:space="0" w:color="auto"/>
        <w:bottom w:val="none" w:sz="0" w:space="0" w:color="auto"/>
        <w:right w:val="none" w:sz="0" w:space="0" w:color="auto"/>
      </w:divBdr>
    </w:div>
    <w:div w:id="1901135402">
      <w:bodyDiv w:val="1"/>
      <w:marLeft w:val="0"/>
      <w:marRight w:val="0"/>
      <w:marTop w:val="0"/>
      <w:marBottom w:val="0"/>
      <w:divBdr>
        <w:top w:val="none" w:sz="0" w:space="0" w:color="auto"/>
        <w:left w:val="none" w:sz="0" w:space="0" w:color="auto"/>
        <w:bottom w:val="none" w:sz="0" w:space="0" w:color="auto"/>
        <w:right w:val="none" w:sz="0" w:space="0" w:color="auto"/>
      </w:divBdr>
    </w:div>
    <w:div w:id="1901284378">
      <w:bodyDiv w:val="1"/>
      <w:marLeft w:val="0"/>
      <w:marRight w:val="0"/>
      <w:marTop w:val="0"/>
      <w:marBottom w:val="0"/>
      <w:divBdr>
        <w:top w:val="none" w:sz="0" w:space="0" w:color="auto"/>
        <w:left w:val="none" w:sz="0" w:space="0" w:color="auto"/>
        <w:bottom w:val="none" w:sz="0" w:space="0" w:color="auto"/>
        <w:right w:val="none" w:sz="0" w:space="0" w:color="auto"/>
      </w:divBdr>
    </w:div>
    <w:div w:id="1902523715">
      <w:bodyDiv w:val="1"/>
      <w:marLeft w:val="0"/>
      <w:marRight w:val="0"/>
      <w:marTop w:val="0"/>
      <w:marBottom w:val="0"/>
      <w:divBdr>
        <w:top w:val="none" w:sz="0" w:space="0" w:color="auto"/>
        <w:left w:val="none" w:sz="0" w:space="0" w:color="auto"/>
        <w:bottom w:val="none" w:sz="0" w:space="0" w:color="auto"/>
        <w:right w:val="none" w:sz="0" w:space="0" w:color="auto"/>
      </w:divBdr>
    </w:div>
    <w:div w:id="1909994138">
      <w:bodyDiv w:val="1"/>
      <w:marLeft w:val="0"/>
      <w:marRight w:val="0"/>
      <w:marTop w:val="0"/>
      <w:marBottom w:val="0"/>
      <w:divBdr>
        <w:top w:val="none" w:sz="0" w:space="0" w:color="auto"/>
        <w:left w:val="none" w:sz="0" w:space="0" w:color="auto"/>
        <w:bottom w:val="none" w:sz="0" w:space="0" w:color="auto"/>
        <w:right w:val="none" w:sz="0" w:space="0" w:color="auto"/>
      </w:divBdr>
    </w:div>
    <w:div w:id="1913344671">
      <w:bodyDiv w:val="1"/>
      <w:marLeft w:val="0"/>
      <w:marRight w:val="0"/>
      <w:marTop w:val="0"/>
      <w:marBottom w:val="0"/>
      <w:divBdr>
        <w:top w:val="none" w:sz="0" w:space="0" w:color="auto"/>
        <w:left w:val="none" w:sz="0" w:space="0" w:color="auto"/>
        <w:bottom w:val="none" w:sz="0" w:space="0" w:color="auto"/>
        <w:right w:val="none" w:sz="0" w:space="0" w:color="auto"/>
      </w:divBdr>
    </w:div>
    <w:div w:id="1920359515">
      <w:bodyDiv w:val="1"/>
      <w:marLeft w:val="0"/>
      <w:marRight w:val="0"/>
      <w:marTop w:val="0"/>
      <w:marBottom w:val="0"/>
      <w:divBdr>
        <w:top w:val="none" w:sz="0" w:space="0" w:color="auto"/>
        <w:left w:val="none" w:sz="0" w:space="0" w:color="auto"/>
        <w:bottom w:val="none" w:sz="0" w:space="0" w:color="auto"/>
        <w:right w:val="none" w:sz="0" w:space="0" w:color="auto"/>
      </w:divBdr>
    </w:div>
    <w:div w:id="1921325792">
      <w:bodyDiv w:val="1"/>
      <w:marLeft w:val="0"/>
      <w:marRight w:val="0"/>
      <w:marTop w:val="0"/>
      <w:marBottom w:val="0"/>
      <w:divBdr>
        <w:top w:val="none" w:sz="0" w:space="0" w:color="auto"/>
        <w:left w:val="none" w:sz="0" w:space="0" w:color="auto"/>
        <w:bottom w:val="none" w:sz="0" w:space="0" w:color="auto"/>
        <w:right w:val="none" w:sz="0" w:space="0" w:color="auto"/>
      </w:divBdr>
    </w:div>
    <w:div w:id="1932007783">
      <w:bodyDiv w:val="1"/>
      <w:marLeft w:val="0"/>
      <w:marRight w:val="0"/>
      <w:marTop w:val="0"/>
      <w:marBottom w:val="0"/>
      <w:divBdr>
        <w:top w:val="none" w:sz="0" w:space="0" w:color="auto"/>
        <w:left w:val="none" w:sz="0" w:space="0" w:color="auto"/>
        <w:bottom w:val="none" w:sz="0" w:space="0" w:color="auto"/>
        <w:right w:val="none" w:sz="0" w:space="0" w:color="auto"/>
      </w:divBdr>
    </w:div>
    <w:div w:id="1933202984">
      <w:bodyDiv w:val="1"/>
      <w:marLeft w:val="0"/>
      <w:marRight w:val="0"/>
      <w:marTop w:val="0"/>
      <w:marBottom w:val="0"/>
      <w:divBdr>
        <w:top w:val="none" w:sz="0" w:space="0" w:color="auto"/>
        <w:left w:val="none" w:sz="0" w:space="0" w:color="auto"/>
        <w:bottom w:val="none" w:sz="0" w:space="0" w:color="auto"/>
        <w:right w:val="none" w:sz="0" w:space="0" w:color="auto"/>
      </w:divBdr>
    </w:div>
    <w:div w:id="1942032107">
      <w:bodyDiv w:val="1"/>
      <w:marLeft w:val="0"/>
      <w:marRight w:val="0"/>
      <w:marTop w:val="0"/>
      <w:marBottom w:val="0"/>
      <w:divBdr>
        <w:top w:val="none" w:sz="0" w:space="0" w:color="auto"/>
        <w:left w:val="none" w:sz="0" w:space="0" w:color="auto"/>
        <w:bottom w:val="none" w:sz="0" w:space="0" w:color="auto"/>
        <w:right w:val="none" w:sz="0" w:space="0" w:color="auto"/>
      </w:divBdr>
    </w:div>
    <w:div w:id="1944649782">
      <w:bodyDiv w:val="1"/>
      <w:marLeft w:val="0"/>
      <w:marRight w:val="0"/>
      <w:marTop w:val="0"/>
      <w:marBottom w:val="0"/>
      <w:divBdr>
        <w:top w:val="none" w:sz="0" w:space="0" w:color="auto"/>
        <w:left w:val="none" w:sz="0" w:space="0" w:color="auto"/>
        <w:bottom w:val="none" w:sz="0" w:space="0" w:color="auto"/>
        <w:right w:val="none" w:sz="0" w:space="0" w:color="auto"/>
      </w:divBdr>
    </w:div>
    <w:div w:id="1952779315">
      <w:bodyDiv w:val="1"/>
      <w:marLeft w:val="0"/>
      <w:marRight w:val="0"/>
      <w:marTop w:val="0"/>
      <w:marBottom w:val="0"/>
      <w:divBdr>
        <w:top w:val="none" w:sz="0" w:space="0" w:color="auto"/>
        <w:left w:val="none" w:sz="0" w:space="0" w:color="auto"/>
        <w:bottom w:val="none" w:sz="0" w:space="0" w:color="auto"/>
        <w:right w:val="none" w:sz="0" w:space="0" w:color="auto"/>
      </w:divBdr>
    </w:div>
    <w:div w:id="1957831319">
      <w:bodyDiv w:val="1"/>
      <w:marLeft w:val="0"/>
      <w:marRight w:val="0"/>
      <w:marTop w:val="0"/>
      <w:marBottom w:val="0"/>
      <w:divBdr>
        <w:top w:val="none" w:sz="0" w:space="0" w:color="auto"/>
        <w:left w:val="none" w:sz="0" w:space="0" w:color="auto"/>
        <w:bottom w:val="none" w:sz="0" w:space="0" w:color="auto"/>
        <w:right w:val="none" w:sz="0" w:space="0" w:color="auto"/>
      </w:divBdr>
    </w:div>
    <w:div w:id="1961912581">
      <w:bodyDiv w:val="1"/>
      <w:marLeft w:val="0"/>
      <w:marRight w:val="0"/>
      <w:marTop w:val="0"/>
      <w:marBottom w:val="0"/>
      <w:divBdr>
        <w:top w:val="none" w:sz="0" w:space="0" w:color="auto"/>
        <w:left w:val="none" w:sz="0" w:space="0" w:color="auto"/>
        <w:bottom w:val="none" w:sz="0" w:space="0" w:color="auto"/>
        <w:right w:val="none" w:sz="0" w:space="0" w:color="auto"/>
      </w:divBdr>
    </w:div>
    <w:div w:id="1975328886">
      <w:bodyDiv w:val="1"/>
      <w:marLeft w:val="0"/>
      <w:marRight w:val="0"/>
      <w:marTop w:val="0"/>
      <w:marBottom w:val="0"/>
      <w:divBdr>
        <w:top w:val="none" w:sz="0" w:space="0" w:color="auto"/>
        <w:left w:val="none" w:sz="0" w:space="0" w:color="auto"/>
        <w:bottom w:val="none" w:sz="0" w:space="0" w:color="auto"/>
        <w:right w:val="none" w:sz="0" w:space="0" w:color="auto"/>
      </w:divBdr>
    </w:div>
    <w:div w:id="1990749821">
      <w:bodyDiv w:val="1"/>
      <w:marLeft w:val="0"/>
      <w:marRight w:val="0"/>
      <w:marTop w:val="0"/>
      <w:marBottom w:val="0"/>
      <w:divBdr>
        <w:top w:val="none" w:sz="0" w:space="0" w:color="auto"/>
        <w:left w:val="none" w:sz="0" w:space="0" w:color="auto"/>
        <w:bottom w:val="none" w:sz="0" w:space="0" w:color="auto"/>
        <w:right w:val="none" w:sz="0" w:space="0" w:color="auto"/>
      </w:divBdr>
    </w:div>
    <w:div w:id="1992975340">
      <w:bodyDiv w:val="1"/>
      <w:marLeft w:val="0"/>
      <w:marRight w:val="0"/>
      <w:marTop w:val="0"/>
      <w:marBottom w:val="0"/>
      <w:divBdr>
        <w:top w:val="none" w:sz="0" w:space="0" w:color="auto"/>
        <w:left w:val="none" w:sz="0" w:space="0" w:color="auto"/>
        <w:bottom w:val="none" w:sz="0" w:space="0" w:color="auto"/>
        <w:right w:val="none" w:sz="0" w:space="0" w:color="auto"/>
      </w:divBdr>
    </w:div>
    <w:div w:id="1993948766">
      <w:bodyDiv w:val="1"/>
      <w:marLeft w:val="0"/>
      <w:marRight w:val="0"/>
      <w:marTop w:val="0"/>
      <w:marBottom w:val="0"/>
      <w:divBdr>
        <w:top w:val="none" w:sz="0" w:space="0" w:color="auto"/>
        <w:left w:val="none" w:sz="0" w:space="0" w:color="auto"/>
        <w:bottom w:val="none" w:sz="0" w:space="0" w:color="auto"/>
        <w:right w:val="none" w:sz="0" w:space="0" w:color="auto"/>
      </w:divBdr>
    </w:div>
    <w:div w:id="1994523617">
      <w:bodyDiv w:val="1"/>
      <w:marLeft w:val="0"/>
      <w:marRight w:val="0"/>
      <w:marTop w:val="0"/>
      <w:marBottom w:val="0"/>
      <w:divBdr>
        <w:top w:val="none" w:sz="0" w:space="0" w:color="auto"/>
        <w:left w:val="none" w:sz="0" w:space="0" w:color="auto"/>
        <w:bottom w:val="none" w:sz="0" w:space="0" w:color="auto"/>
        <w:right w:val="none" w:sz="0" w:space="0" w:color="auto"/>
      </w:divBdr>
    </w:div>
    <w:div w:id="2006086635">
      <w:bodyDiv w:val="1"/>
      <w:marLeft w:val="0"/>
      <w:marRight w:val="0"/>
      <w:marTop w:val="0"/>
      <w:marBottom w:val="0"/>
      <w:divBdr>
        <w:top w:val="none" w:sz="0" w:space="0" w:color="auto"/>
        <w:left w:val="none" w:sz="0" w:space="0" w:color="auto"/>
        <w:bottom w:val="none" w:sz="0" w:space="0" w:color="auto"/>
        <w:right w:val="none" w:sz="0" w:space="0" w:color="auto"/>
      </w:divBdr>
    </w:div>
    <w:div w:id="2008049057">
      <w:bodyDiv w:val="1"/>
      <w:marLeft w:val="0"/>
      <w:marRight w:val="0"/>
      <w:marTop w:val="0"/>
      <w:marBottom w:val="0"/>
      <w:divBdr>
        <w:top w:val="none" w:sz="0" w:space="0" w:color="auto"/>
        <w:left w:val="none" w:sz="0" w:space="0" w:color="auto"/>
        <w:bottom w:val="none" w:sz="0" w:space="0" w:color="auto"/>
        <w:right w:val="none" w:sz="0" w:space="0" w:color="auto"/>
      </w:divBdr>
    </w:div>
    <w:div w:id="2008242317">
      <w:bodyDiv w:val="1"/>
      <w:marLeft w:val="0"/>
      <w:marRight w:val="0"/>
      <w:marTop w:val="0"/>
      <w:marBottom w:val="0"/>
      <w:divBdr>
        <w:top w:val="none" w:sz="0" w:space="0" w:color="auto"/>
        <w:left w:val="none" w:sz="0" w:space="0" w:color="auto"/>
        <w:bottom w:val="none" w:sz="0" w:space="0" w:color="auto"/>
        <w:right w:val="none" w:sz="0" w:space="0" w:color="auto"/>
      </w:divBdr>
    </w:div>
    <w:div w:id="2009555608">
      <w:bodyDiv w:val="1"/>
      <w:marLeft w:val="0"/>
      <w:marRight w:val="0"/>
      <w:marTop w:val="0"/>
      <w:marBottom w:val="0"/>
      <w:divBdr>
        <w:top w:val="none" w:sz="0" w:space="0" w:color="auto"/>
        <w:left w:val="none" w:sz="0" w:space="0" w:color="auto"/>
        <w:bottom w:val="none" w:sz="0" w:space="0" w:color="auto"/>
        <w:right w:val="none" w:sz="0" w:space="0" w:color="auto"/>
      </w:divBdr>
    </w:div>
    <w:div w:id="2016759173">
      <w:bodyDiv w:val="1"/>
      <w:marLeft w:val="0"/>
      <w:marRight w:val="0"/>
      <w:marTop w:val="0"/>
      <w:marBottom w:val="0"/>
      <w:divBdr>
        <w:top w:val="none" w:sz="0" w:space="0" w:color="auto"/>
        <w:left w:val="none" w:sz="0" w:space="0" w:color="auto"/>
        <w:bottom w:val="none" w:sz="0" w:space="0" w:color="auto"/>
        <w:right w:val="none" w:sz="0" w:space="0" w:color="auto"/>
      </w:divBdr>
    </w:div>
    <w:div w:id="2020812805">
      <w:bodyDiv w:val="1"/>
      <w:marLeft w:val="0"/>
      <w:marRight w:val="0"/>
      <w:marTop w:val="0"/>
      <w:marBottom w:val="0"/>
      <w:divBdr>
        <w:top w:val="none" w:sz="0" w:space="0" w:color="auto"/>
        <w:left w:val="none" w:sz="0" w:space="0" w:color="auto"/>
        <w:bottom w:val="none" w:sz="0" w:space="0" w:color="auto"/>
        <w:right w:val="none" w:sz="0" w:space="0" w:color="auto"/>
      </w:divBdr>
    </w:div>
    <w:div w:id="2020888773">
      <w:bodyDiv w:val="1"/>
      <w:marLeft w:val="0"/>
      <w:marRight w:val="0"/>
      <w:marTop w:val="0"/>
      <w:marBottom w:val="0"/>
      <w:divBdr>
        <w:top w:val="none" w:sz="0" w:space="0" w:color="auto"/>
        <w:left w:val="none" w:sz="0" w:space="0" w:color="auto"/>
        <w:bottom w:val="none" w:sz="0" w:space="0" w:color="auto"/>
        <w:right w:val="none" w:sz="0" w:space="0" w:color="auto"/>
      </w:divBdr>
    </w:div>
    <w:div w:id="2027487341">
      <w:bodyDiv w:val="1"/>
      <w:marLeft w:val="0"/>
      <w:marRight w:val="0"/>
      <w:marTop w:val="0"/>
      <w:marBottom w:val="0"/>
      <w:divBdr>
        <w:top w:val="none" w:sz="0" w:space="0" w:color="auto"/>
        <w:left w:val="none" w:sz="0" w:space="0" w:color="auto"/>
        <w:bottom w:val="none" w:sz="0" w:space="0" w:color="auto"/>
        <w:right w:val="none" w:sz="0" w:space="0" w:color="auto"/>
      </w:divBdr>
    </w:div>
    <w:div w:id="2030524922">
      <w:bodyDiv w:val="1"/>
      <w:marLeft w:val="0"/>
      <w:marRight w:val="0"/>
      <w:marTop w:val="0"/>
      <w:marBottom w:val="0"/>
      <w:divBdr>
        <w:top w:val="none" w:sz="0" w:space="0" w:color="auto"/>
        <w:left w:val="none" w:sz="0" w:space="0" w:color="auto"/>
        <w:bottom w:val="none" w:sz="0" w:space="0" w:color="auto"/>
        <w:right w:val="none" w:sz="0" w:space="0" w:color="auto"/>
      </w:divBdr>
    </w:div>
    <w:div w:id="2035107819">
      <w:bodyDiv w:val="1"/>
      <w:marLeft w:val="0"/>
      <w:marRight w:val="0"/>
      <w:marTop w:val="0"/>
      <w:marBottom w:val="0"/>
      <w:divBdr>
        <w:top w:val="none" w:sz="0" w:space="0" w:color="auto"/>
        <w:left w:val="none" w:sz="0" w:space="0" w:color="auto"/>
        <w:bottom w:val="none" w:sz="0" w:space="0" w:color="auto"/>
        <w:right w:val="none" w:sz="0" w:space="0" w:color="auto"/>
      </w:divBdr>
    </w:div>
    <w:div w:id="2037998461">
      <w:bodyDiv w:val="1"/>
      <w:marLeft w:val="0"/>
      <w:marRight w:val="0"/>
      <w:marTop w:val="0"/>
      <w:marBottom w:val="0"/>
      <w:divBdr>
        <w:top w:val="none" w:sz="0" w:space="0" w:color="auto"/>
        <w:left w:val="none" w:sz="0" w:space="0" w:color="auto"/>
        <w:bottom w:val="none" w:sz="0" w:space="0" w:color="auto"/>
        <w:right w:val="none" w:sz="0" w:space="0" w:color="auto"/>
      </w:divBdr>
    </w:div>
    <w:div w:id="2042244752">
      <w:bodyDiv w:val="1"/>
      <w:marLeft w:val="0"/>
      <w:marRight w:val="0"/>
      <w:marTop w:val="0"/>
      <w:marBottom w:val="0"/>
      <w:divBdr>
        <w:top w:val="none" w:sz="0" w:space="0" w:color="auto"/>
        <w:left w:val="none" w:sz="0" w:space="0" w:color="auto"/>
        <w:bottom w:val="none" w:sz="0" w:space="0" w:color="auto"/>
        <w:right w:val="none" w:sz="0" w:space="0" w:color="auto"/>
      </w:divBdr>
    </w:div>
    <w:div w:id="2044398100">
      <w:bodyDiv w:val="1"/>
      <w:marLeft w:val="0"/>
      <w:marRight w:val="0"/>
      <w:marTop w:val="0"/>
      <w:marBottom w:val="0"/>
      <w:divBdr>
        <w:top w:val="none" w:sz="0" w:space="0" w:color="auto"/>
        <w:left w:val="none" w:sz="0" w:space="0" w:color="auto"/>
        <w:bottom w:val="none" w:sz="0" w:space="0" w:color="auto"/>
        <w:right w:val="none" w:sz="0" w:space="0" w:color="auto"/>
      </w:divBdr>
    </w:div>
    <w:div w:id="2047876247">
      <w:bodyDiv w:val="1"/>
      <w:marLeft w:val="0"/>
      <w:marRight w:val="0"/>
      <w:marTop w:val="0"/>
      <w:marBottom w:val="0"/>
      <w:divBdr>
        <w:top w:val="none" w:sz="0" w:space="0" w:color="auto"/>
        <w:left w:val="none" w:sz="0" w:space="0" w:color="auto"/>
        <w:bottom w:val="none" w:sz="0" w:space="0" w:color="auto"/>
        <w:right w:val="none" w:sz="0" w:space="0" w:color="auto"/>
      </w:divBdr>
    </w:div>
    <w:div w:id="2048721444">
      <w:bodyDiv w:val="1"/>
      <w:marLeft w:val="0"/>
      <w:marRight w:val="0"/>
      <w:marTop w:val="0"/>
      <w:marBottom w:val="0"/>
      <w:divBdr>
        <w:top w:val="none" w:sz="0" w:space="0" w:color="auto"/>
        <w:left w:val="none" w:sz="0" w:space="0" w:color="auto"/>
        <w:bottom w:val="none" w:sz="0" w:space="0" w:color="auto"/>
        <w:right w:val="none" w:sz="0" w:space="0" w:color="auto"/>
      </w:divBdr>
    </w:div>
    <w:div w:id="2051370116">
      <w:bodyDiv w:val="1"/>
      <w:marLeft w:val="0"/>
      <w:marRight w:val="0"/>
      <w:marTop w:val="0"/>
      <w:marBottom w:val="0"/>
      <w:divBdr>
        <w:top w:val="none" w:sz="0" w:space="0" w:color="auto"/>
        <w:left w:val="none" w:sz="0" w:space="0" w:color="auto"/>
        <w:bottom w:val="none" w:sz="0" w:space="0" w:color="auto"/>
        <w:right w:val="none" w:sz="0" w:space="0" w:color="auto"/>
      </w:divBdr>
    </w:div>
    <w:div w:id="2054428973">
      <w:bodyDiv w:val="1"/>
      <w:marLeft w:val="0"/>
      <w:marRight w:val="0"/>
      <w:marTop w:val="0"/>
      <w:marBottom w:val="0"/>
      <w:divBdr>
        <w:top w:val="none" w:sz="0" w:space="0" w:color="auto"/>
        <w:left w:val="none" w:sz="0" w:space="0" w:color="auto"/>
        <w:bottom w:val="none" w:sz="0" w:space="0" w:color="auto"/>
        <w:right w:val="none" w:sz="0" w:space="0" w:color="auto"/>
      </w:divBdr>
    </w:div>
    <w:div w:id="2059552374">
      <w:bodyDiv w:val="1"/>
      <w:marLeft w:val="0"/>
      <w:marRight w:val="0"/>
      <w:marTop w:val="0"/>
      <w:marBottom w:val="0"/>
      <w:divBdr>
        <w:top w:val="none" w:sz="0" w:space="0" w:color="auto"/>
        <w:left w:val="none" w:sz="0" w:space="0" w:color="auto"/>
        <w:bottom w:val="none" w:sz="0" w:space="0" w:color="auto"/>
        <w:right w:val="none" w:sz="0" w:space="0" w:color="auto"/>
      </w:divBdr>
    </w:div>
    <w:div w:id="2066180223">
      <w:bodyDiv w:val="1"/>
      <w:marLeft w:val="0"/>
      <w:marRight w:val="0"/>
      <w:marTop w:val="0"/>
      <w:marBottom w:val="0"/>
      <w:divBdr>
        <w:top w:val="none" w:sz="0" w:space="0" w:color="auto"/>
        <w:left w:val="none" w:sz="0" w:space="0" w:color="auto"/>
        <w:bottom w:val="none" w:sz="0" w:space="0" w:color="auto"/>
        <w:right w:val="none" w:sz="0" w:space="0" w:color="auto"/>
      </w:divBdr>
    </w:div>
    <w:div w:id="2073849011">
      <w:bodyDiv w:val="1"/>
      <w:marLeft w:val="0"/>
      <w:marRight w:val="0"/>
      <w:marTop w:val="0"/>
      <w:marBottom w:val="0"/>
      <w:divBdr>
        <w:top w:val="none" w:sz="0" w:space="0" w:color="auto"/>
        <w:left w:val="none" w:sz="0" w:space="0" w:color="auto"/>
        <w:bottom w:val="none" w:sz="0" w:space="0" w:color="auto"/>
        <w:right w:val="none" w:sz="0" w:space="0" w:color="auto"/>
      </w:divBdr>
    </w:div>
    <w:div w:id="2077629886">
      <w:bodyDiv w:val="1"/>
      <w:marLeft w:val="0"/>
      <w:marRight w:val="0"/>
      <w:marTop w:val="0"/>
      <w:marBottom w:val="0"/>
      <w:divBdr>
        <w:top w:val="none" w:sz="0" w:space="0" w:color="auto"/>
        <w:left w:val="none" w:sz="0" w:space="0" w:color="auto"/>
        <w:bottom w:val="none" w:sz="0" w:space="0" w:color="auto"/>
        <w:right w:val="none" w:sz="0" w:space="0" w:color="auto"/>
      </w:divBdr>
    </w:div>
    <w:div w:id="2077820895">
      <w:bodyDiv w:val="1"/>
      <w:marLeft w:val="0"/>
      <w:marRight w:val="0"/>
      <w:marTop w:val="0"/>
      <w:marBottom w:val="0"/>
      <w:divBdr>
        <w:top w:val="none" w:sz="0" w:space="0" w:color="auto"/>
        <w:left w:val="none" w:sz="0" w:space="0" w:color="auto"/>
        <w:bottom w:val="none" w:sz="0" w:space="0" w:color="auto"/>
        <w:right w:val="none" w:sz="0" w:space="0" w:color="auto"/>
      </w:divBdr>
    </w:div>
    <w:div w:id="2078818664">
      <w:bodyDiv w:val="1"/>
      <w:marLeft w:val="0"/>
      <w:marRight w:val="0"/>
      <w:marTop w:val="0"/>
      <w:marBottom w:val="0"/>
      <w:divBdr>
        <w:top w:val="none" w:sz="0" w:space="0" w:color="auto"/>
        <w:left w:val="none" w:sz="0" w:space="0" w:color="auto"/>
        <w:bottom w:val="none" w:sz="0" w:space="0" w:color="auto"/>
        <w:right w:val="none" w:sz="0" w:space="0" w:color="auto"/>
      </w:divBdr>
    </w:div>
    <w:div w:id="2080518179">
      <w:bodyDiv w:val="1"/>
      <w:marLeft w:val="0"/>
      <w:marRight w:val="0"/>
      <w:marTop w:val="0"/>
      <w:marBottom w:val="0"/>
      <w:divBdr>
        <w:top w:val="none" w:sz="0" w:space="0" w:color="auto"/>
        <w:left w:val="none" w:sz="0" w:space="0" w:color="auto"/>
        <w:bottom w:val="none" w:sz="0" w:space="0" w:color="auto"/>
        <w:right w:val="none" w:sz="0" w:space="0" w:color="auto"/>
      </w:divBdr>
    </w:div>
    <w:div w:id="2089881517">
      <w:bodyDiv w:val="1"/>
      <w:marLeft w:val="0"/>
      <w:marRight w:val="0"/>
      <w:marTop w:val="0"/>
      <w:marBottom w:val="0"/>
      <w:divBdr>
        <w:top w:val="none" w:sz="0" w:space="0" w:color="auto"/>
        <w:left w:val="none" w:sz="0" w:space="0" w:color="auto"/>
        <w:bottom w:val="none" w:sz="0" w:space="0" w:color="auto"/>
        <w:right w:val="none" w:sz="0" w:space="0" w:color="auto"/>
      </w:divBdr>
    </w:div>
    <w:div w:id="2093116889">
      <w:bodyDiv w:val="1"/>
      <w:marLeft w:val="0"/>
      <w:marRight w:val="0"/>
      <w:marTop w:val="0"/>
      <w:marBottom w:val="0"/>
      <w:divBdr>
        <w:top w:val="none" w:sz="0" w:space="0" w:color="auto"/>
        <w:left w:val="none" w:sz="0" w:space="0" w:color="auto"/>
        <w:bottom w:val="none" w:sz="0" w:space="0" w:color="auto"/>
        <w:right w:val="none" w:sz="0" w:space="0" w:color="auto"/>
      </w:divBdr>
    </w:div>
    <w:div w:id="2095011421">
      <w:bodyDiv w:val="1"/>
      <w:marLeft w:val="0"/>
      <w:marRight w:val="0"/>
      <w:marTop w:val="0"/>
      <w:marBottom w:val="0"/>
      <w:divBdr>
        <w:top w:val="none" w:sz="0" w:space="0" w:color="auto"/>
        <w:left w:val="none" w:sz="0" w:space="0" w:color="auto"/>
        <w:bottom w:val="none" w:sz="0" w:space="0" w:color="auto"/>
        <w:right w:val="none" w:sz="0" w:space="0" w:color="auto"/>
      </w:divBdr>
    </w:div>
    <w:div w:id="2095201637">
      <w:bodyDiv w:val="1"/>
      <w:marLeft w:val="0"/>
      <w:marRight w:val="0"/>
      <w:marTop w:val="0"/>
      <w:marBottom w:val="0"/>
      <w:divBdr>
        <w:top w:val="none" w:sz="0" w:space="0" w:color="auto"/>
        <w:left w:val="none" w:sz="0" w:space="0" w:color="auto"/>
        <w:bottom w:val="none" w:sz="0" w:space="0" w:color="auto"/>
        <w:right w:val="none" w:sz="0" w:space="0" w:color="auto"/>
      </w:divBdr>
    </w:div>
    <w:div w:id="2110733099">
      <w:bodyDiv w:val="1"/>
      <w:marLeft w:val="0"/>
      <w:marRight w:val="0"/>
      <w:marTop w:val="0"/>
      <w:marBottom w:val="0"/>
      <w:divBdr>
        <w:top w:val="none" w:sz="0" w:space="0" w:color="auto"/>
        <w:left w:val="none" w:sz="0" w:space="0" w:color="auto"/>
        <w:bottom w:val="none" w:sz="0" w:space="0" w:color="auto"/>
        <w:right w:val="none" w:sz="0" w:space="0" w:color="auto"/>
      </w:divBdr>
    </w:div>
    <w:div w:id="2113695360">
      <w:bodyDiv w:val="1"/>
      <w:marLeft w:val="0"/>
      <w:marRight w:val="0"/>
      <w:marTop w:val="0"/>
      <w:marBottom w:val="0"/>
      <w:divBdr>
        <w:top w:val="none" w:sz="0" w:space="0" w:color="auto"/>
        <w:left w:val="none" w:sz="0" w:space="0" w:color="auto"/>
        <w:bottom w:val="none" w:sz="0" w:space="0" w:color="auto"/>
        <w:right w:val="none" w:sz="0" w:space="0" w:color="auto"/>
      </w:divBdr>
    </w:div>
    <w:div w:id="2116708478">
      <w:bodyDiv w:val="1"/>
      <w:marLeft w:val="0"/>
      <w:marRight w:val="0"/>
      <w:marTop w:val="0"/>
      <w:marBottom w:val="0"/>
      <w:divBdr>
        <w:top w:val="none" w:sz="0" w:space="0" w:color="auto"/>
        <w:left w:val="none" w:sz="0" w:space="0" w:color="auto"/>
        <w:bottom w:val="none" w:sz="0" w:space="0" w:color="auto"/>
        <w:right w:val="none" w:sz="0" w:space="0" w:color="auto"/>
      </w:divBdr>
    </w:div>
    <w:div w:id="2116899601">
      <w:bodyDiv w:val="1"/>
      <w:marLeft w:val="0"/>
      <w:marRight w:val="0"/>
      <w:marTop w:val="0"/>
      <w:marBottom w:val="0"/>
      <w:divBdr>
        <w:top w:val="none" w:sz="0" w:space="0" w:color="auto"/>
        <w:left w:val="none" w:sz="0" w:space="0" w:color="auto"/>
        <w:bottom w:val="none" w:sz="0" w:space="0" w:color="auto"/>
        <w:right w:val="none" w:sz="0" w:space="0" w:color="auto"/>
      </w:divBdr>
    </w:div>
    <w:div w:id="2126532085">
      <w:bodyDiv w:val="1"/>
      <w:marLeft w:val="0"/>
      <w:marRight w:val="0"/>
      <w:marTop w:val="0"/>
      <w:marBottom w:val="0"/>
      <w:divBdr>
        <w:top w:val="none" w:sz="0" w:space="0" w:color="auto"/>
        <w:left w:val="none" w:sz="0" w:space="0" w:color="auto"/>
        <w:bottom w:val="none" w:sz="0" w:space="0" w:color="auto"/>
        <w:right w:val="none" w:sz="0" w:space="0" w:color="auto"/>
      </w:divBdr>
    </w:div>
    <w:div w:id="2139451228">
      <w:bodyDiv w:val="1"/>
      <w:marLeft w:val="0"/>
      <w:marRight w:val="0"/>
      <w:marTop w:val="0"/>
      <w:marBottom w:val="0"/>
      <w:divBdr>
        <w:top w:val="none" w:sz="0" w:space="0" w:color="auto"/>
        <w:left w:val="none" w:sz="0" w:space="0" w:color="auto"/>
        <w:bottom w:val="none" w:sz="0" w:space="0" w:color="auto"/>
        <w:right w:val="none" w:sz="0" w:space="0" w:color="auto"/>
      </w:divBdr>
    </w:div>
    <w:div w:id="214723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640873015873"/>
          <c:y val="9.2824993458396135E-3"/>
          <c:w val="0.59204850088183425"/>
          <c:h val="0.98143500130832073"/>
        </c:manualLayout>
      </c:layout>
      <c:doughnutChart>
        <c:varyColors val="1"/>
        <c:ser>
          <c:idx val="0"/>
          <c:order val="0"/>
          <c:tx>
            <c:strRef>
              <c:f>'Chart 6.1'!$B$2</c:f>
              <c:strCache>
                <c:ptCount val="1"/>
                <c:pt idx="0">
                  <c:v>2023-24</c:v>
                </c:pt>
              </c:strCache>
            </c:strRef>
          </c:tx>
          <c:spPr>
            <a:ln w="9525">
              <a:solidFill>
                <a:srgbClr val="E6F2FF"/>
              </a:solidFill>
            </a:ln>
            <a:scene3d>
              <a:camera prst="orthographicFront"/>
              <a:lightRig rig="threePt" dir="t"/>
            </a:scene3d>
          </c:spPr>
          <c:dPt>
            <c:idx val="0"/>
            <c:bubble3D val="0"/>
            <c:spPr>
              <a:solidFill>
                <a:schemeClr val="accent1"/>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C549-4DD2-8704-0B1DBE69236E}"/>
              </c:ext>
            </c:extLst>
          </c:dPt>
          <c:dPt>
            <c:idx val="1"/>
            <c:bubble3D val="0"/>
            <c:spPr>
              <a:solidFill>
                <a:schemeClr val="accent2"/>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C549-4DD2-8704-0B1DBE69236E}"/>
              </c:ext>
            </c:extLst>
          </c:dPt>
          <c:dPt>
            <c:idx val="2"/>
            <c:bubble3D val="0"/>
            <c:spPr>
              <a:solidFill>
                <a:schemeClr val="accent3"/>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C549-4DD2-8704-0B1DBE69236E}"/>
              </c:ext>
            </c:extLst>
          </c:dPt>
          <c:dPt>
            <c:idx val="3"/>
            <c:bubble3D val="0"/>
            <c:spPr>
              <a:solidFill>
                <a:schemeClr val="accent4"/>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C549-4DD2-8704-0B1DBE69236E}"/>
              </c:ext>
            </c:extLst>
          </c:dPt>
          <c:dPt>
            <c:idx val="4"/>
            <c:bubble3D val="0"/>
            <c:spPr>
              <a:solidFill>
                <a:schemeClr val="accent5"/>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9-C549-4DD2-8704-0B1DBE69236E}"/>
              </c:ext>
            </c:extLst>
          </c:dPt>
          <c:dPt>
            <c:idx val="5"/>
            <c:bubble3D val="0"/>
            <c:spPr>
              <a:solidFill>
                <a:schemeClr val="accent6"/>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B-C549-4DD2-8704-0B1DBE69236E}"/>
              </c:ext>
            </c:extLst>
          </c:dPt>
          <c:dPt>
            <c:idx val="6"/>
            <c:bubble3D val="0"/>
            <c:spPr>
              <a:solidFill>
                <a:schemeClr val="bg2"/>
              </a:solidFill>
              <a:ln w="9525">
                <a:solidFill>
                  <a:srgbClr val="E6F2FF"/>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D-C549-4DD2-8704-0B1DBE69236E}"/>
              </c:ext>
            </c:extLst>
          </c:dPt>
          <c:dLbls>
            <c:dLbl>
              <c:idx val="0"/>
              <c:layout>
                <c:manualLayout>
                  <c:x val="0.20122200176366833"/>
                  <c:y val="-0.10177419991433788"/>
                </c:manualLayout>
              </c:layout>
              <c:tx>
                <c:rich>
                  <a:bodyPr anchorCtr="0"/>
                  <a:lstStyle/>
                  <a:p>
                    <a:pPr algn="l">
                      <a:defRPr sz="800" b="0" i="0" u="none" strike="noStrike" baseline="0">
                        <a:solidFill>
                          <a:sysClr val="windowText" lastClr="000000"/>
                        </a:solidFill>
                        <a:latin typeface="Arial"/>
                        <a:ea typeface="Arial"/>
                        <a:cs typeface="Arial"/>
                      </a:defRPr>
                    </a:pPr>
                    <a:fld id="{289B9735-2B33-4DAB-89B8-98008D4A5094}"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D224D5D3-172C-4A49-A9E9-32C31286E1F5}"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549-4DD2-8704-0B1DBE69236E}"/>
                </c:ext>
              </c:extLst>
            </c:dLbl>
            <c:dLbl>
              <c:idx val="1"/>
              <c:layout>
                <c:manualLayout>
                  <c:x val="0.34015895061728396"/>
                  <c:y val="-0.10809507033503253"/>
                </c:manualLayout>
              </c:layout>
              <c:tx>
                <c:rich>
                  <a:bodyPr anchorCtr="0"/>
                  <a:lstStyle/>
                  <a:p>
                    <a:pPr algn="l">
                      <a:defRPr sz="800" b="0" i="0" u="none" strike="noStrike" baseline="0">
                        <a:solidFill>
                          <a:sysClr val="windowText" lastClr="000000"/>
                        </a:solidFill>
                        <a:latin typeface="Arial"/>
                        <a:ea typeface="Arial"/>
                        <a:cs typeface="Arial"/>
                      </a:defRPr>
                    </a:pPr>
                    <a:fld id="{43DAA281-E672-4BF9-9992-2FABF045BE67}"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CE8A70A5-F0C3-4353-8F8E-1A60791C53BE}"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549-4DD2-8704-0B1DBE69236E}"/>
                </c:ext>
              </c:extLst>
            </c:dLbl>
            <c:dLbl>
              <c:idx val="2"/>
              <c:layout>
                <c:manualLayout>
                  <c:x val="-0.27460780423280423"/>
                  <c:y val="5.8520311131836339E-2"/>
                </c:manualLayout>
              </c:layout>
              <c:tx>
                <c:rich>
                  <a:bodyPr anchorCtr="0"/>
                  <a:lstStyle/>
                  <a:p>
                    <a:pPr algn="l">
                      <a:defRPr sz="800" b="0" i="0" u="none" strike="noStrike" baseline="0">
                        <a:solidFill>
                          <a:sysClr val="windowText" lastClr="000000"/>
                        </a:solidFill>
                        <a:latin typeface="Arial"/>
                        <a:ea typeface="Arial"/>
                        <a:cs typeface="Arial"/>
                      </a:defRPr>
                    </a:pPr>
                    <a:fld id="{71AD0AA7-1BEA-48EB-BFC2-77F724A36F78}"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1F2D9AEA-C481-4777-8D54-7A67970F5580}"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549-4DD2-8704-0B1DBE69236E}"/>
                </c:ext>
              </c:extLst>
            </c:dLbl>
            <c:dLbl>
              <c:idx val="3"/>
              <c:layout>
                <c:manualLayout>
                  <c:x val="-0.19598765432098766"/>
                  <c:y val="8.2272180422551064E-2"/>
                </c:manualLayout>
              </c:layout>
              <c:tx>
                <c:rich>
                  <a:bodyPr anchorCtr="0"/>
                  <a:lstStyle/>
                  <a:p>
                    <a:pPr algn="l">
                      <a:defRPr sz="800" b="0" i="0" u="none" strike="noStrike" baseline="0">
                        <a:solidFill>
                          <a:sysClr val="windowText" lastClr="000000"/>
                        </a:solidFill>
                        <a:latin typeface="Arial"/>
                        <a:ea typeface="Arial"/>
                        <a:cs typeface="Arial"/>
                      </a:defRPr>
                    </a:pPr>
                    <a:fld id="{7AF1C788-5A81-4B6A-8AF3-6A81A2489641}"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1D624220-0544-4B75-9DD8-E896499872FA}"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549-4DD2-8704-0B1DBE69236E}"/>
                </c:ext>
              </c:extLst>
            </c:dLbl>
            <c:dLbl>
              <c:idx val="4"/>
              <c:layout>
                <c:manualLayout>
                  <c:x val="-0.22538580246913581"/>
                  <c:y val="8.8045237200749027E-2"/>
                </c:manualLayout>
              </c:layout>
              <c:tx>
                <c:rich>
                  <a:bodyPr anchorCtr="0"/>
                  <a:lstStyle/>
                  <a:p>
                    <a:pPr algn="l">
                      <a:defRPr sz="800" b="0" i="0" u="none" strike="noStrike" baseline="0">
                        <a:solidFill>
                          <a:sysClr val="windowText" lastClr="000000"/>
                        </a:solidFill>
                        <a:latin typeface="Arial"/>
                        <a:ea typeface="Arial"/>
                        <a:cs typeface="Arial"/>
                      </a:defRPr>
                    </a:pPr>
                    <a:fld id="{345DAAA1-DB5F-4504-90E3-E56538965363}"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654E4011-1EAE-4B17-BD53-455882BF2C4F}"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549-4DD2-8704-0B1DBE69236E}"/>
                </c:ext>
              </c:extLst>
            </c:dLbl>
            <c:dLbl>
              <c:idx val="5"/>
              <c:layout>
                <c:manualLayout>
                  <c:x val="-0.24158134920634922"/>
                  <c:y val="4.3051427969997794E-2"/>
                </c:manualLayout>
              </c:layout>
              <c:tx>
                <c:rich>
                  <a:bodyPr anchorCtr="0"/>
                  <a:lstStyle/>
                  <a:p>
                    <a:pPr algn="l">
                      <a:defRPr sz="800" b="0" i="0" u="none" strike="noStrike" baseline="0">
                        <a:solidFill>
                          <a:sysClr val="windowText" lastClr="000000"/>
                        </a:solidFill>
                        <a:latin typeface="Arial"/>
                        <a:ea typeface="Arial"/>
                        <a:cs typeface="Arial"/>
                      </a:defRPr>
                    </a:pPr>
                    <a:fld id="{C6F3D32C-8BE7-4B33-87B8-C206A455EA82}"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272D3828-81E5-45E6-B10A-C96F2B1AAB04}"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549-4DD2-8704-0B1DBE69236E}"/>
                </c:ext>
              </c:extLst>
            </c:dLbl>
            <c:dLbl>
              <c:idx val="6"/>
              <c:layout>
                <c:manualLayout>
                  <c:x val="-0.32090432098765431"/>
                  <c:y val="-2.1214530985275283E-3"/>
                </c:manualLayout>
              </c:layout>
              <c:tx>
                <c:rich>
                  <a:bodyPr anchorCtr="0"/>
                  <a:lstStyle/>
                  <a:p>
                    <a:pPr algn="l">
                      <a:defRPr sz="800" b="0" i="0" u="none" strike="noStrike" baseline="0">
                        <a:solidFill>
                          <a:sysClr val="windowText" lastClr="000000"/>
                        </a:solidFill>
                        <a:latin typeface="Arial"/>
                        <a:ea typeface="Arial"/>
                        <a:cs typeface="Arial"/>
                      </a:defRPr>
                    </a:pPr>
                    <a:fld id="{D17A93EA-B09D-40F5-AAA3-172CC54788B3}" type="CATEGORYNAME">
                      <a:rPr lang="en-US"/>
                      <a:pPr algn="l">
                        <a:defRPr sz="800" b="0" i="0" u="none" strike="noStrike" baseline="0">
                          <a:solidFill>
                            <a:sysClr val="windowText" lastClr="000000"/>
                          </a:solidFill>
                          <a:latin typeface="Arial"/>
                          <a:ea typeface="Arial"/>
                          <a:cs typeface="Arial"/>
                        </a:defRPr>
                      </a:pPr>
                      <a:t>[CATEGORY NAME]</a:t>
                    </a:fld>
                    <a:r>
                      <a:rPr lang="en-US" baseline="0"/>
                      <a:t>
</a:t>
                    </a:r>
                    <a:fld id="{DF1B7233-7DC7-4330-A991-81BCCE5F55AD}" type="PERCENTAGE">
                      <a:rPr lang="en-US" b="1" baseline="0"/>
                      <a:pPr algn="l">
                        <a:defRPr sz="800" b="0" i="0" u="none" strike="noStrike" baseline="0">
                          <a:solidFill>
                            <a:sysClr val="windowText" lastClr="000000"/>
                          </a:solidFill>
                          <a:latin typeface="Arial"/>
                          <a:ea typeface="Arial"/>
                          <a:cs typeface="Arial"/>
                        </a:defRPr>
                      </a:pPr>
                      <a:t>[PERCENTAGE]</a:t>
                    </a:fld>
                    <a:endParaRPr lang="en-US" baseline="0"/>
                  </a:p>
                </c:rich>
              </c:tx>
              <c:numFmt formatCode="0.0%" sourceLinked="0"/>
              <c:spPr>
                <a:noFill/>
                <a:ln w="25400">
                  <a:noFill/>
                </a:ln>
              </c:sp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549-4DD2-8704-0B1DBE69236E}"/>
                </c:ext>
              </c:extLst>
            </c:dLbl>
            <c:numFmt formatCode="0.0%" sourceLinked="0"/>
            <c:spPr>
              <a:noFill/>
              <a:ln w="25400">
                <a:noFill/>
              </a:ln>
            </c:spPr>
            <c:txPr>
              <a:bodyPr wrap="square" lIns="38100" tIns="19050" rIns="38100" bIns="19050" anchor="ctr" anchorCtr="0">
                <a:spAutoFit/>
              </a:bodyPr>
              <a:lstStyle/>
              <a:p>
                <a:pPr algn="l">
                  <a:defRPr sz="800" b="0" i="0" u="none" strike="noStrike" baseline="0">
                    <a:solidFill>
                      <a:sysClr val="windowText" lastClr="000000"/>
                    </a:solidFill>
                    <a:latin typeface="Arial"/>
                    <a:ea typeface="Arial"/>
                    <a:cs typeface="Arial"/>
                  </a:defRPr>
                </a:pPr>
                <a:endParaRPr lang="en-US"/>
              </a:p>
            </c:txPr>
            <c:showLegendKey val="0"/>
            <c:showVal val="0"/>
            <c:showCatName val="1"/>
            <c:showSerName val="0"/>
            <c:showPercent val="1"/>
            <c:showBubbleSize val="0"/>
            <c:showLeaderLines val="1"/>
            <c:leaderLines>
              <c:spPr>
                <a:ln>
                  <a:solidFill>
                    <a:srgbClr val="A6A6A6"/>
                  </a:solidFill>
                </a:ln>
              </c:spPr>
            </c:leaderLines>
            <c:extLst>
              <c:ext xmlns:c15="http://schemas.microsoft.com/office/drawing/2012/chart" uri="{CE6537A1-D6FC-4f65-9D91-7224C49458BB}"/>
            </c:extLst>
          </c:dLbls>
          <c:cat>
            <c:strRef>
              <c:f>'Chart 6.1'!$A$3:$A$9</c:f>
              <c:strCache>
                <c:ptCount val="7"/>
                <c:pt idx="0">
                  <c:v>Social security and welfare</c:v>
                </c:pt>
                <c:pt idx="1">
                  <c:v>Other purposes</c:v>
                </c:pt>
                <c:pt idx="2">
                  <c:v>Health</c:v>
                </c:pt>
                <c:pt idx="3">
                  <c:v>Education</c:v>
                </c:pt>
                <c:pt idx="4">
                  <c:v>Defence</c:v>
                </c:pt>
                <c:pt idx="5">
                  <c:v>General public services</c:v>
                </c:pt>
                <c:pt idx="6">
                  <c:v>All other functions</c:v>
                </c:pt>
              </c:strCache>
            </c:strRef>
          </c:cat>
          <c:val>
            <c:numRef>
              <c:f>'Chart 6.1'!$B$3:$B$9</c:f>
              <c:numCache>
                <c:formatCode>#,##0_ ;\-#,##0\ </c:formatCode>
                <c:ptCount val="7"/>
                <c:pt idx="0">
                  <c:v>250279.992</c:v>
                </c:pt>
                <c:pt idx="1">
                  <c:v>133743.389</c:v>
                </c:pt>
                <c:pt idx="2">
                  <c:v>106537.66800000001</c:v>
                </c:pt>
                <c:pt idx="3">
                  <c:v>48258.404999999999</c:v>
                </c:pt>
                <c:pt idx="4">
                  <c:v>42849.839</c:v>
                </c:pt>
                <c:pt idx="5">
                  <c:v>29125.929</c:v>
                </c:pt>
                <c:pt idx="6">
                  <c:v>73290.017999999924</c:v>
                </c:pt>
              </c:numCache>
            </c:numRef>
          </c:val>
          <c:extLst>
            <c:ext xmlns:c16="http://schemas.microsoft.com/office/drawing/2014/chart" uri="{C3380CC4-5D6E-409C-BE32-E72D297353CC}">
              <c16:uniqueId val="{0000000E-C549-4DD2-8704-0B1DBE69236E}"/>
            </c:ext>
          </c:extLst>
        </c:ser>
        <c:dLbls>
          <c:showLegendKey val="0"/>
          <c:showVal val="0"/>
          <c:showCatName val="0"/>
          <c:showSerName val="0"/>
          <c:showPercent val="0"/>
          <c:showBubbleSize val="0"/>
          <c:showLeaderLines val="1"/>
        </c:dLbls>
        <c:firstSliceAng val="0"/>
        <c:holeSize val="65"/>
      </c:doughnutChart>
      <c:spPr>
        <a:noFill/>
        <a:ln>
          <a:noFill/>
        </a:ln>
      </c:spPr>
    </c:plotArea>
    <c:plotVisOnly val="1"/>
    <c:dispBlanksAs val="gap"/>
    <c:showDLblsOverMax val="0"/>
  </c:chart>
  <c:spPr>
    <a:noFill/>
    <a:ln w="9525">
      <a:noFill/>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Budget">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Liz">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C3AC7C5F-4126-4EE1-9983-FD3E0931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F6F6A-9F51-4B6F-9C08-48AEC8D9C0D0}">
  <ds:schemaRefs>
    <ds:schemaRef ds:uri="http://schemas.microsoft.com/sharepoint/v3/contenttype/forms"/>
  </ds:schemaRefs>
</ds:datastoreItem>
</file>

<file path=customXml/itemProps4.xml><?xml version="1.0" encoding="utf-8"?>
<ds:datastoreItem xmlns:ds="http://schemas.openxmlformats.org/officeDocument/2006/customXml" ds:itemID="{97435E9B-6C46-45D7-8CF9-3B9A4AED65C7}">
  <ds:schemaRefs>
    <ds:schemaRef ds:uri="9115ddca-c623-419f-a3c0-6a1c58c4dac8"/>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244fe85f-b655-4145-9b20-543b75dc1c24"/>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476</TotalTime>
  <Pages>45</Pages>
  <Words>14336</Words>
  <Characters>81720</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95865</CharactersWithSpaces>
  <SharedDoc>false</SharedDoc>
  <HLinks>
    <vt:vector size="132" baseType="variant">
      <vt:variant>
        <vt:i4>1966133</vt:i4>
      </vt:variant>
      <vt:variant>
        <vt:i4>128</vt:i4>
      </vt:variant>
      <vt:variant>
        <vt:i4>0</vt:i4>
      </vt:variant>
      <vt:variant>
        <vt:i4>5</vt:i4>
      </vt:variant>
      <vt:variant>
        <vt:lpwstr/>
      </vt:variant>
      <vt:variant>
        <vt:lpwstr>_Toc134169629</vt:lpwstr>
      </vt:variant>
      <vt:variant>
        <vt:i4>1966133</vt:i4>
      </vt:variant>
      <vt:variant>
        <vt:i4>122</vt:i4>
      </vt:variant>
      <vt:variant>
        <vt:i4>0</vt:i4>
      </vt:variant>
      <vt:variant>
        <vt:i4>5</vt:i4>
      </vt:variant>
      <vt:variant>
        <vt:lpwstr/>
      </vt:variant>
      <vt:variant>
        <vt:lpwstr>_Toc134169628</vt:lpwstr>
      </vt:variant>
      <vt:variant>
        <vt:i4>1966133</vt:i4>
      </vt:variant>
      <vt:variant>
        <vt:i4>116</vt:i4>
      </vt:variant>
      <vt:variant>
        <vt:i4>0</vt:i4>
      </vt:variant>
      <vt:variant>
        <vt:i4>5</vt:i4>
      </vt:variant>
      <vt:variant>
        <vt:lpwstr/>
      </vt:variant>
      <vt:variant>
        <vt:lpwstr>_Toc134169627</vt:lpwstr>
      </vt:variant>
      <vt:variant>
        <vt:i4>1966133</vt:i4>
      </vt:variant>
      <vt:variant>
        <vt:i4>110</vt:i4>
      </vt:variant>
      <vt:variant>
        <vt:i4>0</vt:i4>
      </vt:variant>
      <vt:variant>
        <vt:i4>5</vt:i4>
      </vt:variant>
      <vt:variant>
        <vt:lpwstr/>
      </vt:variant>
      <vt:variant>
        <vt:lpwstr>_Toc134169626</vt:lpwstr>
      </vt:variant>
      <vt:variant>
        <vt:i4>1966133</vt:i4>
      </vt:variant>
      <vt:variant>
        <vt:i4>104</vt:i4>
      </vt:variant>
      <vt:variant>
        <vt:i4>0</vt:i4>
      </vt:variant>
      <vt:variant>
        <vt:i4>5</vt:i4>
      </vt:variant>
      <vt:variant>
        <vt:lpwstr/>
      </vt:variant>
      <vt:variant>
        <vt:lpwstr>_Toc134169625</vt:lpwstr>
      </vt:variant>
      <vt:variant>
        <vt:i4>1966133</vt:i4>
      </vt:variant>
      <vt:variant>
        <vt:i4>98</vt:i4>
      </vt:variant>
      <vt:variant>
        <vt:i4>0</vt:i4>
      </vt:variant>
      <vt:variant>
        <vt:i4>5</vt:i4>
      </vt:variant>
      <vt:variant>
        <vt:lpwstr/>
      </vt:variant>
      <vt:variant>
        <vt:lpwstr>_Toc134169624</vt:lpwstr>
      </vt:variant>
      <vt:variant>
        <vt:i4>1966133</vt:i4>
      </vt:variant>
      <vt:variant>
        <vt:i4>92</vt:i4>
      </vt:variant>
      <vt:variant>
        <vt:i4>0</vt:i4>
      </vt:variant>
      <vt:variant>
        <vt:i4>5</vt:i4>
      </vt:variant>
      <vt:variant>
        <vt:lpwstr/>
      </vt:variant>
      <vt:variant>
        <vt:lpwstr>_Toc134169623</vt:lpwstr>
      </vt:variant>
      <vt:variant>
        <vt:i4>1966133</vt:i4>
      </vt:variant>
      <vt:variant>
        <vt:i4>86</vt:i4>
      </vt:variant>
      <vt:variant>
        <vt:i4>0</vt:i4>
      </vt:variant>
      <vt:variant>
        <vt:i4>5</vt:i4>
      </vt:variant>
      <vt:variant>
        <vt:lpwstr/>
      </vt:variant>
      <vt:variant>
        <vt:lpwstr>_Toc134169622</vt:lpwstr>
      </vt:variant>
      <vt:variant>
        <vt:i4>1966133</vt:i4>
      </vt:variant>
      <vt:variant>
        <vt:i4>80</vt:i4>
      </vt:variant>
      <vt:variant>
        <vt:i4>0</vt:i4>
      </vt:variant>
      <vt:variant>
        <vt:i4>5</vt:i4>
      </vt:variant>
      <vt:variant>
        <vt:lpwstr/>
      </vt:variant>
      <vt:variant>
        <vt:lpwstr>_Toc134169621</vt:lpwstr>
      </vt:variant>
      <vt:variant>
        <vt:i4>1966133</vt:i4>
      </vt:variant>
      <vt:variant>
        <vt:i4>74</vt:i4>
      </vt:variant>
      <vt:variant>
        <vt:i4>0</vt:i4>
      </vt:variant>
      <vt:variant>
        <vt:i4>5</vt:i4>
      </vt:variant>
      <vt:variant>
        <vt:lpwstr/>
      </vt:variant>
      <vt:variant>
        <vt:lpwstr>_Toc134169620</vt:lpwstr>
      </vt:variant>
      <vt:variant>
        <vt:i4>1900597</vt:i4>
      </vt:variant>
      <vt:variant>
        <vt:i4>68</vt:i4>
      </vt:variant>
      <vt:variant>
        <vt:i4>0</vt:i4>
      </vt:variant>
      <vt:variant>
        <vt:i4>5</vt:i4>
      </vt:variant>
      <vt:variant>
        <vt:lpwstr/>
      </vt:variant>
      <vt:variant>
        <vt:lpwstr>_Toc134169619</vt:lpwstr>
      </vt:variant>
      <vt:variant>
        <vt:i4>1900597</vt:i4>
      </vt:variant>
      <vt:variant>
        <vt:i4>62</vt:i4>
      </vt:variant>
      <vt:variant>
        <vt:i4>0</vt:i4>
      </vt:variant>
      <vt:variant>
        <vt:i4>5</vt:i4>
      </vt:variant>
      <vt:variant>
        <vt:lpwstr/>
      </vt:variant>
      <vt:variant>
        <vt:lpwstr>_Toc134169618</vt:lpwstr>
      </vt:variant>
      <vt:variant>
        <vt:i4>1900597</vt:i4>
      </vt:variant>
      <vt:variant>
        <vt:i4>56</vt:i4>
      </vt:variant>
      <vt:variant>
        <vt:i4>0</vt:i4>
      </vt:variant>
      <vt:variant>
        <vt:i4>5</vt:i4>
      </vt:variant>
      <vt:variant>
        <vt:lpwstr/>
      </vt:variant>
      <vt:variant>
        <vt:lpwstr>_Toc134169617</vt:lpwstr>
      </vt:variant>
      <vt:variant>
        <vt:i4>1900597</vt:i4>
      </vt:variant>
      <vt:variant>
        <vt:i4>50</vt:i4>
      </vt:variant>
      <vt:variant>
        <vt:i4>0</vt:i4>
      </vt:variant>
      <vt:variant>
        <vt:i4>5</vt:i4>
      </vt:variant>
      <vt:variant>
        <vt:lpwstr/>
      </vt:variant>
      <vt:variant>
        <vt:lpwstr>_Toc134169616</vt:lpwstr>
      </vt:variant>
      <vt:variant>
        <vt:i4>1900597</vt:i4>
      </vt:variant>
      <vt:variant>
        <vt:i4>44</vt:i4>
      </vt:variant>
      <vt:variant>
        <vt:i4>0</vt:i4>
      </vt:variant>
      <vt:variant>
        <vt:i4>5</vt:i4>
      </vt:variant>
      <vt:variant>
        <vt:lpwstr/>
      </vt:variant>
      <vt:variant>
        <vt:lpwstr>_Toc134169615</vt:lpwstr>
      </vt:variant>
      <vt:variant>
        <vt:i4>1900597</vt:i4>
      </vt:variant>
      <vt:variant>
        <vt:i4>38</vt:i4>
      </vt:variant>
      <vt:variant>
        <vt:i4>0</vt:i4>
      </vt:variant>
      <vt:variant>
        <vt:i4>5</vt:i4>
      </vt:variant>
      <vt:variant>
        <vt:lpwstr/>
      </vt:variant>
      <vt:variant>
        <vt:lpwstr>_Toc134169614</vt:lpwstr>
      </vt:variant>
      <vt:variant>
        <vt:i4>1900597</vt:i4>
      </vt:variant>
      <vt:variant>
        <vt:i4>32</vt:i4>
      </vt:variant>
      <vt:variant>
        <vt:i4>0</vt:i4>
      </vt:variant>
      <vt:variant>
        <vt:i4>5</vt:i4>
      </vt:variant>
      <vt:variant>
        <vt:lpwstr/>
      </vt:variant>
      <vt:variant>
        <vt:lpwstr>_Toc134169613</vt:lpwstr>
      </vt:variant>
      <vt:variant>
        <vt:i4>1900597</vt:i4>
      </vt:variant>
      <vt:variant>
        <vt:i4>26</vt:i4>
      </vt:variant>
      <vt:variant>
        <vt:i4>0</vt:i4>
      </vt:variant>
      <vt:variant>
        <vt:i4>5</vt:i4>
      </vt:variant>
      <vt:variant>
        <vt:lpwstr/>
      </vt:variant>
      <vt:variant>
        <vt:lpwstr>_Toc134169612</vt:lpwstr>
      </vt:variant>
      <vt:variant>
        <vt:i4>1900597</vt:i4>
      </vt:variant>
      <vt:variant>
        <vt:i4>20</vt:i4>
      </vt:variant>
      <vt:variant>
        <vt:i4>0</vt:i4>
      </vt:variant>
      <vt:variant>
        <vt:i4>5</vt:i4>
      </vt:variant>
      <vt:variant>
        <vt:lpwstr/>
      </vt:variant>
      <vt:variant>
        <vt:lpwstr>_Toc134169611</vt:lpwstr>
      </vt:variant>
      <vt:variant>
        <vt:i4>1900597</vt:i4>
      </vt:variant>
      <vt:variant>
        <vt:i4>14</vt:i4>
      </vt:variant>
      <vt:variant>
        <vt:i4>0</vt:i4>
      </vt:variant>
      <vt:variant>
        <vt:i4>5</vt:i4>
      </vt:variant>
      <vt:variant>
        <vt:lpwstr/>
      </vt:variant>
      <vt:variant>
        <vt:lpwstr>_Toc134169610</vt:lpwstr>
      </vt:variant>
      <vt:variant>
        <vt:i4>1835061</vt:i4>
      </vt:variant>
      <vt:variant>
        <vt:i4>8</vt:i4>
      </vt:variant>
      <vt:variant>
        <vt:i4>0</vt:i4>
      </vt:variant>
      <vt:variant>
        <vt:i4>5</vt:i4>
      </vt:variant>
      <vt:variant>
        <vt:lpwstr/>
      </vt:variant>
      <vt:variant>
        <vt:lpwstr>_Toc134169609</vt:lpwstr>
      </vt:variant>
      <vt:variant>
        <vt:i4>1835061</vt:i4>
      </vt:variant>
      <vt:variant>
        <vt:i4>2</vt:i4>
      </vt:variant>
      <vt:variant>
        <vt:i4>0</vt:i4>
      </vt:variant>
      <vt:variant>
        <vt:i4>5</vt:i4>
      </vt:variant>
      <vt:variant>
        <vt:lpwstr/>
      </vt:variant>
      <vt:variant>
        <vt:lpwstr>_Toc134169608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6: Expenses and Net Capital Investment</dc:subject>
  <dc:creator>Australian Government</dc:creator>
  <cp:keywords/>
  <dc:description/>
  <cp:lastModifiedBy>Van Der Hoeven, Megan</cp:lastModifiedBy>
  <cp:revision>323</cp:revision>
  <cp:lastPrinted>2023-05-07T04:59:00Z</cp:lastPrinted>
  <dcterms:created xsi:type="dcterms:W3CDTF">2023-05-05T20:08:00Z</dcterms:created>
  <dcterms:modified xsi:type="dcterms:W3CDTF">2023-05-08T02:58:00Z</dcterms:modified>
  <cp:category/>
</cp:coreProperties>
</file>