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FEAC5" w14:textId="2CA12AF7" w:rsidR="00D16B1C" w:rsidRPr="00114EB8" w:rsidRDefault="00D16B1C" w:rsidP="00D16B1C">
      <w:pPr>
        <w:pStyle w:val="Heading1"/>
      </w:pPr>
      <w:r w:rsidRPr="00114EB8">
        <w:t>Appendix B: Assets and Liabilities</w:t>
      </w:r>
    </w:p>
    <w:p w14:paraId="4DC64FA2" w14:textId="56E5E582" w:rsidR="00DD2238" w:rsidRPr="00B21F35" w:rsidRDefault="00DD2238" w:rsidP="00B21F35">
      <w:pPr>
        <w:pStyle w:val="Heading2"/>
      </w:pPr>
      <w:bookmarkStart w:id="0" w:name="_Toc4789264"/>
      <w:r w:rsidRPr="00B21F35">
        <w:t>Overview</w:t>
      </w:r>
    </w:p>
    <w:p w14:paraId="4BE9D68A" w14:textId="02CA0A57" w:rsidR="00DD2238" w:rsidRPr="00035C00" w:rsidRDefault="00145DF2" w:rsidP="00DD2238">
      <w:r>
        <w:t xml:space="preserve">This appendix </w:t>
      </w:r>
      <w:r w:rsidR="00DD2238" w:rsidRPr="00035C00">
        <w:t xml:space="preserve">provides an overview and commentary on Statement 10: </w:t>
      </w:r>
      <w:r w:rsidR="00DD2238" w:rsidRPr="00D13256">
        <w:rPr>
          <w:i/>
          <w:iCs/>
        </w:rPr>
        <w:t xml:space="preserve">Australian Government </w:t>
      </w:r>
      <w:r w:rsidR="00C76325">
        <w:rPr>
          <w:i/>
          <w:iCs/>
        </w:rPr>
        <w:t xml:space="preserve">Budget </w:t>
      </w:r>
      <w:r w:rsidR="00DD2238" w:rsidRPr="00D13256">
        <w:rPr>
          <w:i/>
          <w:iCs/>
        </w:rPr>
        <w:t>Financial Statements</w:t>
      </w:r>
      <w:r w:rsidR="00DD2238" w:rsidRPr="00035C00">
        <w:t xml:space="preserve"> including estimates of the Australian Government</w:t>
      </w:r>
      <w:r w:rsidR="00B51DAC">
        <w:t>’</w:t>
      </w:r>
      <w:r w:rsidR="00DD2238" w:rsidRPr="00035C00">
        <w:t xml:space="preserve">s budgeted assets and liabilities </w:t>
      </w:r>
      <w:proofErr w:type="gramStart"/>
      <w:r w:rsidR="00DD2238" w:rsidRPr="00035C00">
        <w:t>at</w:t>
      </w:r>
      <w:proofErr w:type="gramEnd"/>
      <w:r w:rsidR="00DD2238" w:rsidRPr="00035C00">
        <w:t xml:space="preserve"> 30 June for the current year, budget year and </w:t>
      </w:r>
      <w:r w:rsidR="00D1056B">
        <w:t>3</w:t>
      </w:r>
      <w:r w:rsidR="00DD2238" w:rsidRPr="00035C00">
        <w:t xml:space="preserve"> forward years. </w:t>
      </w:r>
    </w:p>
    <w:p w14:paraId="64D83A0E" w14:textId="77777777" w:rsidR="00DD2238" w:rsidRPr="00035C00" w:rsidRDefault="00DD2238" w:rsidP="00DD2238">
      <w:r w:rsidRPr="00035C00">
        <w:t>Changes in the balance sheet reflect movements in the budgeted operating result and balance sheet transactions.</w:t>
      </w:r>
    </w:p>
    <w:p w14:paraId="563827B1" w14:textId="08543FE8" w:rsidR="00DD2238" w:rsidRPr="00035C00" w:rsidRDefault="00DD2238" w:rsidP="00DD2238">
      <w:r w:rsidRPr="00035C00">
        <w:t>A more detailed explanation of major assets and liabilities held by Commonwealth entities, which form part of the Australian Government</w:t>
      </w:r>
      <w:r w:rsidR="00B51DAC">
        <w:t>’</w:t>
      </w:r>
      <w:r w:rsidRPr="00035C00">
        <w:t xml:space="preserve">s balance sheet, can be found in the </w:t>
      </w:r>
      <w:r w:rsidRPr="00035C00">
        <w:rPr>
          <w:i/>
          <w:iCs/>
        </w:rPr>
        <w:t>Commonwealth Balance Sheet</w:t>
      </w:r>
      <w:r w:rsidR="00C70919" w:rsidRPr="00035C00">
        <w:rPr>
          <w:i/>
          <w:iCs/>
        </w:rPr>
        <w:t xml:space="preserve"> User Guide</w:t>
      </w:r>
      <w:r w:rsidRPr="00035C00">
        <w:t xml:space="preserve">, published on the Finance website. </w:t>
      </w:r>
    </w:p>
    <w:p w14:paraId="733F1C83" w14:textId="434D8693" w:rsidR="00C70919" w:rsidRPr="00035C00" w:rsidRDefault="00C70919" w:rsidP="00DD2238">
      <w:r w:rsidRPr="00035C00">
        <w:t>Further information on the Government</w:t>
      </w:r>
      <w:r w:rsidR="00B51DAC">
        <w:t>’</w:t>
      </w:r>
      <w:r w:rsidRPr="00035C00">
        <w:t xml:space="preserve">s fiscal strategy in relation </w:t>
      </w:r>
      <w:r w:rsidR="00213197">
        <w:t xml:space="preserve">to </w:t>
      </w:r>
      <w:r w:rsidRPr="00035C00">
        <w:t xml:space="preserve">the balance sheet can be found in Statement 3: </w:t>
      </w:r>
      <w:r w:rsidRPr="00035C00">
        <w:rPr>
          <w:i/>
          <w:iCs/>
        </w:rPr>
        <w:t>Fiscal Strategy and Outlook</w:t>
      </w:r>
      <w:r w:rsidRPr="00035C00">
        <w:t xml:space="preserve">. </w:t>
      </w:r>
    </w:p>
    <w:p w14:paraId="488E4FDF" w14:textId="2FD4C7A4" w:rsidR="00D16B1C" w:rsidRPr="00114EB8" w:rsidRDefault="00D16B1C" w:rsidP="00D16B1C">
      <w:pPr>
        <w:pStyle w:val="Heading2"/>
      </w:pPr>
      <w:r w:rsidRPr="00035C00">
        <w:t>The Australian Government</w:t>
      </w:r>
      <w:r w:rsidR="00B51DAC">
        <w:t>’</w:t>
      </w:r>
      <w:r w:rsidRPr="00035C00">
        <w:t>s assets and liabilities</w:t>
      </w:r>
      <w:bookmarkEnd w:id="0"/>
    </w:p>
    <w:p w14:paraId="169B02B8" w14:textId="1FD28AF4" w:rsidR="00D16B1C" w:rsidRPr="0022488B" w:rsidRDefault="00D16B1C" w:rsidP="004F71F1">
      <w:pPr>
        <w:pStyle w:val="Heading3"/>
      </w:pPr>
      <w:bookmarkStart w:id="1" w:name="_Toc4789265"/>
      <w:r w:rsidRPr="0022488B">
        <w:t>Assets</w:t>
      </w:r>
      <w:bookmarkEnd w:id="1"/>
    </w:p>
    <w:p w14:paraId="53C4051D" w14:textId="4C8D6506" w:rsidR="00D16B1C" w:rsidRPr="0022488B" w:rsidRDefault="00D16B1C" w:rsidP="00D16B1C">
      <w:r w:rsidRPr="0022488B">
        <w:t>The Government</w:t>
      </w:r>
      <w:r w:rsidR="00B51DAC">
        <w:t>’</w:t>
      </w:r>
      <w:r w:rsidRPr="0022488B">
        <w:t xml:space="preserve">s total assets </w:t>
      </w:r>
      <w:r w:rsidR="00C70919" w:rsidRPr="0022488B">
        <w:t>were $763.6</w:t>
      </w:r>
      <w:r w:rsidR="00BD0E72">
        <w:t> </w:t>
      </w:r>
      <w:r w:rsidR="00C70919" w:rsidRPr="0022488B">
        <w:t xml:space="preserve">billion </w:t>
      </w:r>
      <w:proofErr w:type="gramStart"/>
      <w:r w:rsidR="00C70919" w:rsidRPr="0022488B">
        <w:t>at</w:t>
      </w:r>
      <w:proofErr w:type="gramEnd"/>
      <w:r w:rsidR="00C70919" w:rsidRPr="0022488B">
        <w:t xml:space="preserve"> 30 June 2022, and are estimated to be </w:t>
      </w:r>
      <w:r w:rsidRPr="0022488B">
        <w:t>$</w:t>
      </w:r>
      <w:r w:rsidR="00F8433E" w:rsidRPr="0022488B">
        <w:t>76</w:t>
      </w:r>
      <w:r w:rsidR="00EA5DD2" w:rsidRPr="0022488B">
        <w:t>3</w:t>
      </w:r>
      <w:r w:rsidRPr="0022488B">
        <w:t>.</w:t>
      </w:r>
      <w:r w:rsidR="00EA5DD2" w:rsidRPr="0022488B">
        <w:t>8</w:t>
      </w:r>
      <w:r w:rsidR="00BD0E72">
        <w:t> </w:t>
      </w:r>
      <w:r w:rsidRPr="0022488B">
        <w:t xml:space="preserve">billion </w:t>
      </w:r>
      <w:r w:rsidR="00C70919" w:rsidRPr="0022488B">
        <w:t>at 30 June 20</w:t>
      </w:r>
      <w:r w:rsidRPr="0022488B">
        <w:t>23</w:t>
      </w:r>
      <w:r w:rsidR="00C70919" w:rsidRPr="0022488B">
        <w:t xml:space="preserve"> and </w:t>
      </w:r>
      <w:r w:rsidRPr="0022488B">
        <w:t>$</w:t>
      </w:r>
      <w:r w:rsidR="00EA5DD2" w:rsidRPr="0022488B">
        <w:t>886.7</w:t>
      </w:r>
      <w:r w:rsidRPr="0022488B">
        <w:t xml:space="preserve"> billion </w:t>
      </w:r>
      <w:r w:rsidR="00C70919" w:rsidRPr="0022488B">
        <w:t>at 30 June 202</w:t>
      </w:r>
      <w:r w:rsidR="004B7CBD" w:rsidRPr="0022488B">
        <w:t>7</w:t>
      </w:r>
      <w:r w:rsidRPr="0022488B">
        <w:t>.</w:t>
      </w:r>
    </w:p>
    <w:p w14:paraId="4FD8B429" w14:textId="77777777" w:rsidR="00C70919" w:rsidRPr="00114EB8" w:rsidRDefault="00C70919" w:rsidP="00C70919">
      <w:r w:rsidRPr="0022488B">
        <w:t xml:space="preserve">The composition of Australian Government GGS assets </w:t>
      </w:r>
      <w:proofErr w:type="gramStart"/>
      <w:r w:rsidRPr="0022488B">
        <w:t>at</w:t>
      </w:r>
      <w:proofErr w:type="gramEnd"/>
      <w:r w:rsidRPr="0022488B">
        <w:t xml:space="preserve"> 30 June </w:t>
      </w:r>
      <w:r w:rsidR="00F075F8" w:rsidRPr="0022488B">
        <w:t xml:space="preserve">2023 </w:t>
      </w:r>
      <w:r w:rsidR="005127E0" w:rsidRPr="0022488B">
        <w:t xml:space="preserve">is </w:t>
      </w:r>
      <w:r w:rsidRPr="0022488B">
        <w:t>presented below</w:t>
      </w:r>
      <w:r w:rsidRPr="00035C00">
        <w:t xml:space="preserve"> in Chart </w:t>
      </w:r>
      <w:r w:rsidR="005A77A7" w:rsidRPr="00035C00">
        <w:t>10</w:t>
      </w:r>
      <w:r w:rsidRPr="00035C00">
        <w:t>B.1.</w:t>
      </w:r>
    </w:p>
    <w:p w14:paraId="092C929C" w14:textId="1280E51C" w:rsidR="00C70919" w:rsidRPr="00B21F35" w:rsidRDefault="00C70919" w:rsidP="00B21F35">
      <w:pPr>
        <w:pStyle w:val="ChartMainHeading"/>
      </w:pPr>
      <w:r w:rsidRPr="00B21F35">
        <w:lastRenderedPageBreak/>
        <w:t xml:space="preserve">Chart </w:t>
      </w:r>
      <w:r w:rsidR="005A3ED7" w:rsidRPr="00B21F35">
        <w:t>10</w:t>
      </w:r>
      <w:r w:rsidRPr="00B21F35">
        <w:t>B.1: Australian Government GGS asset composition</w:t>
      </w:r>
    </w:p>
    <w:p w14:paraId="35278037" w14:textId="00740619" w:rsidR="009E5592" w:rsidRPr="00B0033F" w:rsidRDefault="00467A9E" w:rsidP="009E5592">
      <w:pPr>
        <w:pStyle w:val="ChartGraphic"/>
      </w:pPr>
      <w:r w:rsidRPr="00467A9E">
        <w:rPr>
          <w:noProof/>
        </w:rPr>
        <w:drawing>
          <wp:inline distT="0" distB="0" distL="0" distR="0" wp14:anchorId="176D52EB" wp14:editId="610D8712">
            <wp:extent cx="4895850" cy="2973070"/>
            <wp:effectExtent l="0" t="0" r="0" b="0"/>
            <wp:docPr id="3" name="Picture 3" descr="Chart 10B.1: Australian Government GGS asset composition. This chart shows the composition of Australian Government assets in the General Government Sector as at 30 June 2023. Investment, loans and placements ($b) 219 make up the largest asset followed, in order, by Non-financial assets ($b) 204, Other financial assets ($b) 138, Equity investments ($b) 126 and Advances paid ($b) 7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10B.1: Australian Government GGS asset composition. This chart shows the composition of Australian Government assets in the General Government Sector as at 30 June 2023. Investment, loans and placements ($b) 219 make up the largest asset followed, in order, by Non-financial assets ($b) 204, Other financial assets ($b) 138, Equity investments ($b) 126 and Advances paid ($b) 77.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2973070"/>
                    </a:xfrm>
                    <a:prstGeom prst="rect">
                      <a:avLst/>
                    </a:prstGeom>
                    <a:noFill/>
                    <a:ln>
                      <a:noFill/>
                    </a:ln>
                  </pic:spPr>
                </pic:pic>
              </a:graphicData>
            </a:graphic>
          </wp:inline>
        </w:drawing>
      </w:r>
    </w:p>
    <w:p w14:paraId="7C0A9D5C" w14:textId="13E4F207" w:rsidR="00EE6C3D" w:rsidRPr="00B21F35" w:rsidRDefault="00EE6C3D" w:rsidP="00B21F35">
      <w:pPr>
        <w:pStyle w:val="ChartandTableFootnote"/>
      </w:pPr>
      <w:r w:rsidRPr="00B21F35">
        <w:t xml:space="preserve">Note: </w:t>
      </w:r>
      <w:r w:rsidR="004F71F1" w:rsidRPr="00B21F35">
        <w:tab/>
      </w:r>
      <w:r w:rsidRPr="00B21F35">
        <w:t xml:space="preserve">Other financial assets </w:t>
      </w:r>
      <w:proofErr w:type="gramStart"/>
      <w:r w:rsidRPr="00B21F35">
        <w:t>includes</w:t>
      </w:r>
      <w:proofErr w:type="gramEnd"/>
      <w:r w:rsidRPr="00B21F35">
        <w:t xml:space="preserve"> </w:t>
      </w:r>
      <w:r w:rsidR="00571353" w:rsidRPr="00B21F35">
        <w:t>c</w:t>
      </w:r>
      <w:r w:rsidRPr="00B21F35">
        <w:t>ash and deposits</w:t>
      </w:r>
      <w:r w:rsidR="00571353" w:rsidRPr="00B21F35">
        <w:t>,</w:t>
      </w:r>
      <w:r w:rsidRPr="00B21F35">
        <w:t xml:space="preserve"> and </w:t>
      </w:r>
      <w:r w:rsidR="00571353" w:rsidRPr="00B21F35">
        <w:t>o</w:t>
      </w:r>
      <w:r w:rsidRPr="00B21F35">
        <w:t>ther receivables.</w:t>
      </w:r>
    </w:p>
    <w:p w14:paraId="2C576D50" w14:textId="77777777" w:rsidR="009E5592" w:rsidRPr="00AF2276" w:rsidRDefault="009E5592" w:rsidP="00AF2276">
      <w:pPr>
        <w:pStyle w:val="ChartLine"/>
      </w:pPr>
    </w:p>
    <w:p w14:paraId="425F811C" w14:textId="6FA8D4C4" w:rsidR="00C70919" w:rsidRPr="00B21F35" w:rsidRDefault="00C70919" w:rsidP="00B21F35">
      <w:pPr>
        <w:pStyle w:val="Heading4"/>
      </w:pPr>
      <w:r w:rsidRPr="00B21F35">
        <w:t>Australian Government assets over the forward estimates</w:t>
      </w:r>
    </w:p>
    <w:p w14:paraId="3241B322" w14:textId="55C52018" w:rsidR="009D2722" w:rsidRPr="00FB0EEE" w:rsidRDefault="009D2722" w:rsidP="00B21F35">
      <w:r w:rsidRPr="00183239">
        <w:t>The Government</w:t>
      </w:r>
      <w:r w:rsidR="00B51DAC">
        <w:t>’</w:t>
      </w:r>
      <w:r w:rsidRPr="00183239">
        <w:t xml:space="preserve">s total </w:t>
      </w:r>
      <w:r>
        <w:t>assets</w:t>
      </w:r>
      <w:r w:rsidRPr="00183239">
        <w:t xml:space="preserve"> are expected to </w:t>
      </w:r>
      <w:r>
        <w:t xml:space="preserve">grow over the forward estimates </w:t>
      </w:r>
      <w:r w:rsidR="00D42AC7" w:rsidRPr="00D42AC7">
        <w:t>due to increased advances paid, investments and acquisitions of non</w:t>
      </w:r>
      <w:r w:rsidR="00B51DAC">
        <w:noBreakHyphen/>
      </w:r>
      <w:r w:rsidR="00D42AC7" w:rsidRPr="00D42AC7">
        <w:t>financial assets.</w:t>
      </w:r>
    </w:p>
    <w:p w14:paraId="3331C65C" w14:textId="25B4F85A" w:rsidR="00C70919" w:rsidRPr="00114EB8" w:rsidRDefault="00C70919" w:rsidP="00B21F35">
      <w:r w:rsidRPr="00114EB8">
        <w:t>The budgeted composition of assets on the Australian Government</w:t>
      </w:r>
      <w:r w:rsidR="00B51DAC">
        <w:t>’</w:t>
      </w:r>
      <w:r w:rsidRPr="00114EB8">
        <w:t xml:space="preserve">s balance sheet is provided in Chart </w:t>
      </w:r>
      <w:r w:rsidR="005A3ED7" w:rsidRPr="00114EB8">
        <w:t>10</w:t>
      </w:r>
      <w:r w:rsidRPr="00114EB8">
        <w:t xml:space="preserve">B.2 below. </w:t>
      </w:r>
    </w:p>
    <w:p w14:paraId="58DD5C39" w14:textId="08604650" w:rsidR="00C70919" w:rsidRPr="00114EB8" w:rsidRDefault="00C70919" w:rsidP="004B7CBD">
      <w:pPr>
        <w:pStyle w:val="ChartMainHeading"/>
      </w:pPr>
      <w:r w:rsidRPr="00114EB8">
        <w:lastRenderedPageBreak/>
        <w:t xml:space="preserve">Chart </w:t>
      </w:r>
      <w:r w:rsidR="002D6785" w:rsidRPr="00114EB8">
        <w:t>10</w:t>
      </w:r>
      <w:r w:rsidRPr="00114EB8">
        <w:t>B.2: Australian Government assets over the forward estimates</w:t>
      </w:r>
    </w:p>
    <w:p w14:paraId="36F5F368" w14:textId="659FE321" w:rsidR="00AF2276" w:rsidRDefault="00D26F9B" w:rsidP="000571D7">
      <w:pPr>
        <w:pStyle w:val="ChartGraphic"/>
      </w:pPr>
      <w:r>
        <w:rPr>
          <w:noProof/>
        </w:rPr>
        <w:drawing>
          <wp:inline distT="0" distB="0" distL="0" distR="0" wp14:anchorId="3DCBAD9E" wp14:editId="4CDD0F1B">
            <wp:extent cx="4698365" cy="2986405"/>
            <wp:effectExtent l="0" t="0" r="6985" b="0"/>
            <wp:docPr id="2" name="Picture 2" descr="Chart 10B.2: Australian Government assets over the forward estimates. This chart shows the composition of Australian Government assets, which includes advances paid, investments, loans and placements, other financial assets, equity investments and non-financial assets, and their impact in billions of dollars, each year between 2022-23 and 2026-27. There is a proportional and gradual increase in investments, loans and placements across this tim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10B.2: Australian Government assets over the forward estimates. This chart shows the composition of Australian Government assets, which includes advances paid, investments, loans and placements, other financial assets, equity investments and non-financial assets, and their impact in billions of dollars, each year between 2022-23 and 2026-27. There is a proportional and gradual increase in investments, loans and placements across this time period.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8365" cy="2986405"/>
                    </a:xfrm>
                    <a:prstGeom prst="rect">
                      <a:avLst/>
                    </a:prstGeom>
                    <a:noFill/>
                    <a:ln>
                      <a:noFill/>
                    </a:ln>
                  </pic:spPr>
                </pic:pic>
              </a:graphicData>
            </a:graphic>
          </wp:inline>
        </w:drawing>
      </w:r>
    </w:p>
    <w:p w14:paraId="4CBB817B" w14:textId="39D18AB9" w:rsidR="00326047" w:rsidRDefault="00326047" w:rsidP="00AF2276">
      <w:pPr>
        <w:pStyle w:val="ChartandTableFootnote"/>
      </w:pPr>
      <w:r w:rsidRPr="00EE6C3D">
        <w:t xml:space="preserve">Note: </w:t>
      </w:r>
      <w:r w:rsidR="004F71F1">
        <w:tab/>
      </w:r>
      <w:r w:rsidRPr="00EE6C3D">
        <w:t xml:space="preserve">Other financial assets </w:t>
      </w:r>
      <w:proofErr w:type="gramStart"/>
      <w:r w:rsidRPr="00EE6C3D">
        <w:t>includes</w:t>
      </w:r>
      <w:proofErr w:type="gramEnd"/>
      <w:r w:rsidRPr="00EE6C3D">
        <w:t xml:space="preserve"> </w:t>
      </w:r>
      <w:r w:rsidR="00710ADB">
        <w:t>c</w:t>
      </w:r>
      <w:r w:rsidRPr="00EE6C3D">
        <w:t>ash and deposits</w:t>
      </w:r>
      <w:r w:rsidR="00710ADB">
        <w:t>,</w:t>
      </w:r>
      <w:r w:rsidRPr="00EE6C3D">
        <w:t xml:space="preserve"> and </w:t>
      </w:r>
      <w:r w:rsidR="00710ADB">
        <w:t>o</w:t>
      </w:r>
      <w:r w:rsidRPr="00EE6C3D">
        <w:t>ther receivables.</w:t>
      </w:r>
    </w:p>
    <w:p w14:paraId="6AB4A945" w14:textId="77777777" w:rsidR="00AF2276" w:rsidRPr="00AF2276" w:rsidRDefault="00AF2276" w:rsidP="00AF2276">
      <w:pPr>
        <w:pStyle w:val="ChartLine"/>
      </w:pPr>
    </w:p>
    <w:p w14:paraId="5E26A4BB" w14:textId="55BA84FF" w:rsidR="00C70919" w:rsidRPr="00114EB8" w:rsidRDefault="00C70919" w:rsidP="004B7CBD">
      <w:pPr>
        <w:pStyle w:val="Heading3"/>
      </w:pPr>
      <w:bookmarkStart w:id="2" w:name="_Hlk134008648"/>
      <w:r w:rsidRPr="00114EB8">
        <w:t>Financial assets</w:t>
      </w:r>
    </w:p>
    <w:bookmarkEnd w:id="2"/>
    <w:p w14:paraId="22051330" w14:textId="153EADA6" w:rsidR="00D16B1C" w:rsidRPr="00114EB8" w:rsidRDefault="00D16B1C" w:rsidP="00D16B1C">
      <w:r w:rsidRPr="0022488B">
        <w:t>The Government</w:t>
      </w:r>
      <w:r w:rsidR="00B51DAC">
        <w:t>’</w:t>
      </w:r>
      <w:r w:rsidRPr="0022488B">
        <w:t>s financial assets are estimated to be $</w:t>
      </w:r>
      <w:r w:rsidR="00E57118" w:rsidRPr="0022488B">
        <w:t>5</w:t>
      </w:r>
      <w:r w:rsidR="0022488B" w:rsidRPr="0022488B">
        <w:t>59.9</w:t>
      </w:r>
      <w:r w:rsidR="008574EC">
        <w:t> </w:t>
      </w:r>
      <w:r w:rsidRPr="0022488B">
        <w:t xml:space="preserve">billion </w:t>
      </w:r>
      <w:proofErr w:type="gramStart"/>
      <w:r w:rsidR="004B7243">
        <w:t>at</w:t>
      </w:r>
      <w:proofErr w:type="gramEnd"/>
      <w:r w:rsidR="004B7243">
        <w:t xml:space="preserve"> 30 June 20</w:t>
      </w:r>
      <w:r w:rsidRPr="0022488B">
        <w:t>23, increasing to $</w:t>
      </w:r>
      <w:r w:rsidR="0022488B" w:rsidRPr="0022488B">
        <w:t>651.1</w:t>
      </w:r>
      <w:r w:rsidR="008574EC">
        <w:t> </w:t>
      </w:r>
      <w:r w:rsidRPr="0022488B">
        <w:t xml:space="preserve">billion </w:t>
      </w:r>
      <w:r w:rsidR="00F075F8" w:rsidRPr="0022488B">
        <w:t>by 30 June 2027</w:t>
      </w:r>
      <w:r w:rsidRPr="0022488B">
        <w:t>.</w:t>
      </w:r>
    </w:p>
    <w:p w14:paraId="2064E1BE" w14:textId="54E50C74" w:rsidR="00B540F1" w:rsidRPr="00114EB8" w:rsidRDefault="00B540F1" w:rsidP="0011747B">
      <w:pPr>
        <w:pStyle w:val="ChartMainHeading"/>
      </w:pPr>
      <w:r w:rsidRPr="00114EB8">
        <w:lastRenderedPageBreak/>
        <w:t xml:space="preserve">Chart </w:t>
      </w:r>
      <w:r w:rsidR="005A3ED7" w:rsidRPr="00114EB8">
        <w:t>10</w:t>
      </w:r>
      <w:r w:rsidRPr="00114EB8">
        <w:t>B.3: Financial assets over the forward estimates</w:t>
      </w:r>
    </w:p>
    <w:p w14:paraId="2D67176D" w14:textId="55672320" w:rsidR="00320F7B" w:rsidRDefault="00D26F9B" w:rsidP="00F15C92">
      <w:pPr>
        <w:pStyle w:val="ChartGraphic"/>
      </w:pPr>
      <w:r>
        <w:rPr>
          <w:noProof/>
        </w:rPr>
        <w:drawing>
          <wp:inline distT="0" distB="0" distL="0" distR="0" wp14:anchorId="1B29756D" wp14:editId="14B3C14D">
            <wp:extent cx="4698365" cy="2986405"/>
            <wp:effectExtent l="0" t="0" r="6985" b="0"/>
            <wp:docPr id="4" name="Picture 4" descr="Chart 10B.3: Financial assets over the forward estimates. This chart shows the composition of Financial assets over the forward estimates. It includes advances paid, equity investments, other receivables, cash and deposits, and investments, loans and placements each year from 2022-23 to 2026-27. Financial assets increase over the forward estimates, with Cash and deposits being lower in 2024-25, 2025-26 and 2026-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10B.3: Financial assets over the forward estimates. This chart shows the composition of Financial assets over the forward estimates. It includes advances paid, equity investments, other receivables, cash and deposits, and investments, loans and placements each year from 2022-23 to 2026-27. Financial assets increase over the forward estimates, with Cash and deposits being lower in 2024-25, 2025-26 and 2026-27.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8365" cy="2986405"/>
                    </a:xfrm>
                    <a:prstGeom prst="rect">
                      <a:avLst/>
                    </a:prstGeom>
                    <a:noFill/>
                    <a:ln>
                      <a:noFill/>
                    </a:ln>
                  </pic:spPr>
                </pic:pic>
              </a:graphicData>
            </a:graphic>
          </wp:inline>
        </w:drawing>
      </w:r>
    </w:p>
    <w:p w14:paraId="188F35DD" w14:textId="77777777" w:rsidR="00AF2276" w:rsidRDefault="00AF2276" w:rsidP="00AF2276">
      <w:pPr>
        <w:pStyle w:val="ChartLine"/>
      </w:pPr>
    </w:p>
    <w:p w14:paraId="78A3AE6A" w14:textId="2C720644" w:rsidR="00EB57B6" w:rsidRPr="00114EB8" w:rsidRDefault="00EB57B6" w:rsidP="0011747B">
      <w:pPr>
        <w:pStyle w:val="Heading4"/>
      </w:pPr>
      <w:r w:rsidRPr="00114EB8">
        <w:t>Advances paid</w:t>
      </w:r>
    </w:p>
    <w:p w14:paraId="25ADF3D6" w14:textId="0072D43B" w:rsidR="00920912" w:rsidRPr="00114EB8" w:rsidRDefault="00920912" w:rsidP="00920912">
      <w:r w:rsidRPr="00114EB8">
        <w:t xml:space="preserve">Advances paid is comprised of </w:t>
      </w:r>
      <w:r w:rsidR="00FE2E7A">
        <w:t xml:space="preserve">the </w:t>
      </w:r>
      <w:r w:rsidRPr="00114EB8">
        <w:t xml:space="preserve">Higher Education Loan Program and other student loan schemes, and loans to </w:t>
      </w:r>
      <w:r w:rsidR="009A1C47">
        <w:t>s</w:t>
      </w:r>
      <w:r w:rsidRPr="00114EB8">
        <w:t xml:space="preserve">tate and </w:t>
      </w:r>
      <w:r w:rsidR="009A1C47">
        <w:t>t</w:t>
      </w:r>
      <w:r w:rsidRPr="00114EB8">
        <w:t xml:space="preserve">erritory </w:t>
      </w:r>
      <w:r w:rsidR="009A1C47">
        <w:t>g</w:t>
      </w:r>
      <w:r w:rsidRPr="00114EB8">
        <w:t xml:space="preserve">overnments. The value of advances paid is estimated to grow over the forward estimates </w:t>
      </w:r>
      <w:r w:rsidR="00FE2E7A">
        <w:t xml:space="preserve">predominantly </w:t>
      </w:r>
      <w:r w:rsidRPr="00114EB8">
        <w:t xml:space="preserve">due to expected growth in student loans. </w:t>
      </w:r>
    </w:p>
    <w:p w14:paraId="663661DD" w14:textId="49B2B80F" w:rsidR="00EB57B6" w:rsidRPr="00114EB8" w:rsidRDefault="00920912" w:rsidP="00920912">
      <w:r w:rsidRPr="00114EB8">
        <w:t xml:space="preserve">Further details on loans made by the Government are provided in Statement 9: </w:t>
      </w:r>
      <w:r w:rsidRPr="00114EB8">
        <w:rPr>
          <w:i/>
          <w:iCs/>
        </w:rPr>
        <w:t>Statement of</w:t>
      </w:r>
      <w:r w:rsidR="0065057B">
        <w:rPr>
          <w:i/>
          <w:iCs/>
        </w:rPr>
        <w:t> </w:t>
      </w:r>
      <w:r w:rsidRPr="00114EB8">
        <w:rPr>
          <w:i/>
          <w:iCs/>
        </w:rPr>
        <w:t>Risks</w:t>
      </w:r>
      <w:r w:rsidRPr="00114EB8">
        <w:t>.</w:t>
      </w:r>
    </w:p>
    <w:p w14:paraId="10505AAC" w14:textId="740E80F1" w:rsidR="00920912" w:rsidRPr="00114EB8" w:rsidRDefault="00920912" w:rsidP="0011747B">
      <w:pPr>
        <w:pStyle w:val="Heading4"/>
      </w:pPr>
      <w:r w:rsidRPr="00114EB8">
        <w:t>Investments, loans and placements</w:t>
      </w:r>
    </w:p>
    <w:p w14:paraId="643DA052" w14:textId="77777777" w:rsidR="00313DB6" w:rsidRDefault="00313DB6" w:rsidP="00313DB6">
      <w:r>
        <w:t xml:space="preserve">Investments, loans and placements is predominantly comprised of investments held in relation to the Australian Government Investment Funds, which includes the Future Fund, as well as by other entities, such as the Australian Office of Financial Management, the Treasury and specialist investment vehicles. </w:t>
      </w:r>
    </w:p>
    <w:p w14:paraId="2B3C4906" w14:textId="4D1B4F66" w:rsidR="00313DB6" w:rsidRDefault="00313DB6" w:rsidP="00313DB6">
      <w:r>
        <w:t xml:space="preserve">Specialist investment vehicles include for example the Clean Energy Finance Corporation, Northern Australia Infrastructure Facility, and Regional Investment Corporation, which provide loans, guarantees and equity injections </w:t>
      </w:r>
      <w:r w:rsidR="00672359">
        <w:t>for</w:t>
      </w:r>
      <w:r>
        <w:t xml:space="preserve"> projects that deliver public value.</w:t>
      </w:r>
    </w:p>
    <w:p w14:paraId="0831B62A" w14:textId="6BB2FC1B" w:rsidR="00920912" w:rsidRPr="00114EB8" w:rsidRDefault="00313DB6" w:rsidP="00313DB6">
      <w:r>
        <w:t>The value of total Australian Government investments, loans and placements is expected to increase steadily over the forward estimates due to forecast investment returns and the investment activities of the proposed Housing Australia Future Fund</w:t>
      </w:r>
      <w:r w:rsidR="00385C33">
        <w:t>,</w:t>
      </w:r>
      <w:r>
        <w:t xml:space="preserve"> and newly established specialist investment vehicles</w:t>
      </w:r>
      <w:r w:rsidR="000701C2">
        <w:t>, such as the soon to be established National Reconstruction Fund Corporation</w:t>
      </w:r>
      <w:r>
        <w:t xml:space="preserve">. </w:t>
      </w:r>
    </w:p>
    <w:p w14:paraId="1BDD1E6B" w14:textId="5EB72417" w:rsidR="00920912" w:rsidRPr="00FB0EEE" w:rsidRDefault="00920912" w:rsidP="008A6A39">
      <w:r w:rsidRPr="00FB0EEE">
        <w:lastRenderedPageBreak/>
        <w:t xml:space="preserve">A breakdown of </w:t>
      </w:r>
      <w:r w:rsidR="00385C33">
        <w:t>i</w:t>
      </w:r>
      <w:r w:rsidRPr="00FB0EEE">
        <w:t xml:space="preserve">nvestments, loans and placements is provided in Note 14 to </w:t>
      </w:r>
      <w:r w:rsidR="00DD22F4">
        <w:t>Statement 10:</w:t>
      </w:r>
      <w:r w:rsidRPr="00FB0EEE">
        <w:t xml:space="preserve"> </w:t>
      </w:r>
      <w:r w:rsidRPr="00FB0EEE">
        <w:rPr>
          <w:i/>
          <w:iCs/>
        </w:rPr>
        <w:t>Australian Government Budget Financial Statements</w:t>
      </w:r>
      <w:r w:rsidRPr="00FB0EEE">
        <w:t xml:space="preserve"> and further information on the Australian Government Investment Funds is provided below.</w:t>
      </w:r>
      <w:r w:rsidR="00E23216">
        <w:t xml:space="preserve"> </w:t>
      </w:r>
      <w:r w:rsidR="00E23216" w:rsidRPr="00114EB8">
        <w:t xml:space="preserve">Further details on loans made by the Government are provided in Statement 9: </w:t>
      </w:r>
      <w:r w:rsidR="00E23216" w:rsidRPr="00114EB8">
        <w:rPr>
          <w:i/>
          <w:iCs/>
        </w:rPr>
        <w:t>Statement of Risks</w:t>
      </w:r>
      <w:r w:rsidR="00E23216" w:rsidRPr="00114EB8">
        <w:t>.</w:t>
      </w:r>
    </w:p>
    <w:p w14:paraId="06C69519" w14:textId="4F6988E6" w:rsidR="003B37F8" w:rsidRPr="00FB0EEE" w:rsidRDefault="003B37F8" w:rsidP="003B37F8">
      <w:pPr>
        <w:pStyle w:val="Heading5"/>
      </w:pPr>
      <w:r w:rsidRPr="00FB0EEE">
        <w:t>Australian Government Investment Funds</w:t>
      </w:r>
    </w:p>
    <w:p w14:paraId="0264EB01" w14:textId="2DFA6AE0" w:rsidR="003B37F8" w:rsidRDefault="003B37F8" w:rsidP="003B37F8">
      <w:r w:rsidRPr="00FB0EEE">
        <w:t xml:space="preserve">The </w:t>
      </w:r>
      <w:r w:rsidR="004A2F4B">
        <w:t xml:space="preserve">current </w:t>
      </w:r>
      <w:r w:rsidRPr="00FB0EEE">
        <w:t xml:space="preserve">Australian Government Investment Funds </w:t>
      </w:r>
      <w:r w:rsidR="004A2F4B">
        <w:t xml:space="preserve">are </w:t>
      </w:r>
      <w:r w:rsidRPr="00FB0EEE">
        <w:t xml:space="preserve">the Future Fund, </w:t>
      </w:r>
      <w:proofErr w:type="spellStart"/>
      <w:r w:rsidRPr="00FB0EEE">
        <w:t>DisabilityCare</w:t>
      </w:r>
      <w:proofErr w:type="spellEnd"/>
      <w:r w:rsidRPr="00FB0EEE">
        <w:t xml:space="preserve"> Australia Fund, Medical Research Future Fund, Aboriginal and Torres Strait Islander Land and Sea Future Fund, Future Drought Fund and Disaster Ready Fund. </w:t>
      </w:r>
      <w:r w:rsidR="00337683" w:rsidRPr="00FB0EEE">
        <w:t xml:space="preserve">Investments held in relation to the Australian Government Investment Funds are predominantly collective investment vehicles and other </w:t>
      </w:r>
      <w:proofErr w:type="gramStart"/>
      <w:r w:rsidR="00337683" w:rsidRPr="00FB0EEE">
        <w:t>interest bearing</w:t>
      </w:r>
      <w:proofErr w:type="gramEnd"/>
      <w:r w:rsidR="00337683" w:rsidRPr="00FB0EEE">
        <w:t xml:space="preserve"> securities.</w:t>
      </w:r>
      <w:r w:rsidR="00337683">
        <w:t xml:space="preserve"> </w:t>
      </w:r>
    </w:p>
    <w:p w14:paraId="6BD90980" w14:textId="1D817919" w:rsidR="00761DCB" w:rsidRDefault="000B6949" w:rsidP="000B6949">
      <w:r w:rsidRPr="00114EB8">
        <w:t xml:space="preserve">The budgeted value of </w:t>
      </w:r>
      <w:r>
        <w:t xml:space="preserve">Australian Government </w:t>
      </w:r>
      <w:r w:rsidRPr="00114EB8">
        <w:t>Investment Funds is provided in Table</w:t>
      </w:r>
      <w:r>
        <w:t> </w:t>
      </w:r>
      <w:r w:rsidRPr="00114EB8">
        <w:t>10B.</w:t>
      </w:r>
      <w:r>
        <w:t>1</w:t>
      </w:r>
      <w:r w:rsidRPr="00114EB8">
        <w:t xml:space="preserve">. </w:t>
      </w:r>
    </w:p>
    <w:p w14:paraId="3E85E699" w14:textId="060F2A92" w:rsidR="00A41A87" w:rsidRDefault="00611CDB" w:rsidP="006A708C">
      <w:pPr>
        <w:pStyle w:val="TableHeading"/>
        <w:rPr>
          <w:rFonts w:asciiTheme="minorHAnsi" w:eastAsiaTheme="minorHAnsi" w:hAnsiTheme="minorHAnsi" w:cstheme="minorBidi"/>
          <w:b w:val="0"/>
          <w:sz w:val="22"/>
          <w:szCs w:val="22"/>
          <w:lang w:eastAsia="en-US"/>
        </w:rPr>
      </w:pPr>
      <w:r w:rsidRPr="00114EB8">
        <w:t>Table 10B.</w:t>
      </w:r>
      <w:r>
        <w:t>1</w:t>
      </w:r>
      <w:r w:rsidRPr="00114EB8">
        <w:t xml:space="preserve">: </w:t>
      </w:r>
      <w:r w:rsidR="0008225D">
        <w:t xml:space="preserve">Australian Government </w:t>
      </w:r>
      <w:r w:rsidRPr="00114EB8">
        <w:t>Investment Funds balances</w:t>
      </w:r>
    </w:p>
    <w:tbl>
      <w:tblPr>
        <w:tblW w:w="7320" w:type="dxa"/>
        <w:tblLook w:val="04A0" w:firstRow="1" w:lastRow="0" w:firstColumn="1" w:lastColumn="0" w:noHBand="0" w:noVBand="1"/>
      </w:tblPr>
      <w:tblGrid>
        <w:gridCol w:w="2520"/>
        <w:gridCol w:w="960"/>
        <w:gridCol w:w="960"/>
        <w:gridCol w:w="960"/>
        <w:gridCol w:w="960"/>
        <w:gridCol w:w="960"/>
      </w:tblGrid>
      <w:tr w:rsidR="00A41A87" w:rsidRPr="00A41A87" w14:paraId="07473802" w14:textId="77777777" w:rsidTr="00A41A87">
        <w:trPr>
          <w:trHeight w:val="250"/>
        </w:trPr>
        <w:tc>
          <w:tcPr>
            <w:tcW w:w="2520" w:type="dxa"/>
            <w:tcBorders>
              <w:top w:val="single" w:sz="4" w:space="0" w:color="293F5B"/>
              <w:left w:val="nil"/>
              <w:bottom w:val="nil"/>
              <w:right w:val="nil"/>
            </w:tcBorders>
            <w:shd w:val="clear" w:color="000000" w:fill="FFFFFF"/>
            <w:vAlign w:val="center"/>
            <w:hideMark/>
          </w:tcPr>
          <w:p w14:paraId="7640FC0F" w14:textId="30FEEAE3"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 </w:t>
            </w:r>
          </w:p>
        </w:tc>
        <w:tc>
          <w:tcPr>
            <w:tcW w:w="4800" w:type="dxa"/>
            <w:gridSpan w:val="5"/>
            <w:tcBorders>
              <w:top w:val="single" w:sz="4" w:space="0" w:color="293F5B"/>
              <w:left w:val="nil"/>
              <w:bottom w:val="single" w:sz="4" w:space="0" w:color="000000"/>
              <w:right w:val="nil"/>
            </w:tcBorders>
            <w:shd w:val="clear" w:color="000000" w:fill="FFFFFF"/>
            <w:vAlign w:val="center"/>
            <w:hideMark/>
          </w:tcPr>
          <w:p w14:paraId="3612B8C5" w14:textId="77777777" w:rsidR="00A41A87" w:rsidRPr="00A41A87" w:rsidRDefault="00A41A87" w:rsidP="00A41A87">
            <w:pPr>
              <w:spacing w:before="0" w:after="0" w:line="240" w:lineRule="auto"/>
              <w:jc w:val="center"/>
              <w:rPr>
                <w:rFonts w:ascii="Arial" w:hAnsi="Arial" w:cs="Arial"/>
                <w:color w:val="000000"/>
                <w:sz w:val="16"/>
                <w:szCs w:val="16"/>
              </w:rPr>
            </w:pPr>
            <w:r w:rsidRPr="00A41A87">
              <w:rPr>
                <w:rFonts w:ascii="Arial" w:hAnsi="Arial" w:cs="Arial"/>
                <w:color w:val="000000"/>
                <w:sz w:val="16"/>
                <w:szCs w:val="16"/>
              </w:rPr>
              <w:t>Estimates</w:t>
            </w:r>
          </w:p>
        </w:tc>
      </w:tr>
      <w:tr w:rsidR="00A41A87" w:rsidRPr="00A41A87" w14:paraId="215E3853" w14:textId="77777777" w:rsidTr="00A41A87">
        <w:trPr>
          <w:trHeight w:val="230"/>
        </w:trPr>
        <w:tc>
          <w:tcPr>
            <w:tcW w:w="2520" w:type="dxa"/>
            <w:tcBorders>
              <w:top w:val="nil"/>
              <w:left w:val="nil"/>
              <w:bottom w:val="nil"/>
              <w:right w:val="nil"/>
            </w:tcBorders>
            <w:shd w:val="clear" w:color="000000" w:fill="FFFFFF"/>
            <w:vAlign w:val="center"/>
            <w:hideMark/>
          </w:tcPr>
          <w:p w14:paraId="523C616B"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  </w:t>
            </w:r>
          </w:p>
        </w:tc>
        <w:tc>
          <w:tcPr>
            <w:tcW w:w="960" w:type="dxa"/>
            <w:tcBorders>
              <w:top w:val="nil"/>
              <w:left w:val="nil"/>
              <w:bottom w:val="nil"/>
              <w:right w:val="nil"/>
            </w:tcBorders>
            <w:shd w:val="clear" w:color="000000" w:fill="FFFFFF"/>
            <w:vAlign w:val="center"/>
            <w:hideMark/>
          </w:tcPr>
          <w:p w14:paraId="717224A7"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2022-23 </w:t>
            </w:r>
          </w:p>
        </w:tc>
        <w:tc>
          <w:tcPr>
            <w:tcW w:w="960" w:type="dxa"/>
            <w:tcBorders>
              <w:top w:val="nil"/>
              <w:left w:val="nil"/>
              <w:bottom w:val="nil"/>
              <w:right w:val="nil"/>
            </w:tcBorders>
            <w:shd w:val="clear" w:color="000000" w:fill="E6F2FF"/>
            <w:vAlign w:val="center"/>
            <w:hideMark/>
          </w:tcPr>
          <w:p w14:paraId="42F51241"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2023-24 </w:t>
            </w:r>
          </w:p>
        </w:tc>
        <w:tc>
          <w:tcPr>
            <w:tcW w:w="960" w:type="dxa"/>
            <w:tcBorders>
              <w:top w:val="nil"/>
              <w:left w:val="nil"/>
              <w:bottom w:val="nil"/>
              <w:right w:val="nil"/>
            </w:tcBorders>
            <w:shd w:val="clear" w:color="000000" w:fill="FFFFFF"/>
            <w:vAlign w:val="center"/>
            <w:hideMark/>
          </w:tcPr>
          <w:p w14:paraId="4ECA1D8E"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2024-25 </w:t>
            </w:r>
          </w:p>
        </w:tc>
        <w:tc>
          <w:tcPr>
            <w:tcW w:w="960" w:type="dxa"/>
            <w:tcBorders>
              <w:top w:val="nil"/>
              <w:left w:val="nil"/>
              <w:bottom w:val="nil"/>
              <w:right w:val="nil"/>
            </w:tcBorders>
            <w:shd w:val="clear" w:color="000000" w:fill="FFFFFF"/>
            <w:vAlign w:val="center"/>
            <w:hideMark/>
          </w:tcPr>
          <w:p w14:paraId="3ADCB78A"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2025-26 </w:t>
            </w:r>
          </w:p>
        </w:tc>
        <w:tc>
          <w:tcPr>
            <w:tcW w:w="960" w:type="dxa"/>
            <w:tcBorders>
              <w:top w:val="nil"/>
              <w:left w:val="nil"/>
              <w:bottom w:val="nil"/>
              <w:right w:val="nil"/>
            </w:tcBorders>
            <w:shd w:val="clear" w:color="000000" w:fill="FFFFFF"/>
            <w:vAlign w:val="center"/>
            <w:hideMark/>
          </w:tcPr>
          <w:p w14:paraId="4079F2A3"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2026-27 </w:t>
            </w:r>
          </w:p>
        </w:tc>
      </w:tr>
      <w:tr w:rsidR="00A41A87" w:rsidRPr="00A41A87" w14:paraId="5DBE0B18" w14:textId="77777777" w:rsidTr="00A41A87">
        <w:trPr>
          <w:trHeight w:val="230"/>
        </w:trPr>
        <w:tc>
          <w:tcPr>
            <w:tcW w:w="2520" w:type="dxa"/>
            <w:tcBorders>
              <w:top w:val="nil"/>
              <w:left w:val="nil"/>
              <w:bottom w:val="nil"/>
              <w:right w:val="nil"/>
            </w:tcBorders>
            <w:shd w:val="clear" w:color="000000" w:fill="FFFFFF"/>
            <w:vAlign w:val="center"/>
            <w:hideMark/>
          </w:tcPr>
          <w:p w14:paraId="36A38B37" w14:textId="77777777" w:rsidR="00A41A87" w:rsidRPr="00A41A87" w:rsidRDefault="00A41A87" w:rsidP="00A41A87">
            <w:pPr>
              <w:spacing w:before="0" w:after="0" w:line="240" w:lineRule="auto"/>
              <w:rPr>
                <w:rFonts w:ascii="Arial" w:hAnsi="Arial" w:cs="Arial"/>
                <w:color w:val="000000"/>
                <w:sz w:val="16"/>
                <w:szCs w:val="16"/>
              </w:rPr>
            </w:pPr>
            <w:r w:rsidRPr="00A41A87">
              <w:rPr>
                <w:rFonts w:ascii="Arial" w:hAnsi="Arial" w:cs="Arial"/>
                <w:color w:val="000000"/>
                <w:sz w:val="16"/>
                <w:szCs w:val="16"/>
              </w:rPr>
              <w:t>  </w:t>
            </w:r>
          </w:p>
        </w:tc>
        <w:tc>
          <w:tcPr>
            <w:tcW w:w="960" w:type="dxa"/>
            <w:tcBorders>
              <w:top w:val="nil"/>
              <w:left w:val="nil"/>
              <w:bottom w:val="single" w:sz="4" w:space="0" w:color="000000"/>
              <w:right w:val="nil"/>
            </w:tcBorders>
            <w:shd w:val="clear" w:color="000000" w:fill="FFFFFF"/>
            <w:vAlign w:val="center"/>
            <w:hideMark/>
          </w:tcPr>
          <w:p w14:paraId="3B208643"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$m </w:t>
            </w:r>
          </w:p>
        </w:tc>
        <w:tc>
          <w:tcPr>
            <w:tcW w:w="960" w:type="dxa"/>
            <w:tcBorders>
              <w:top w:val="nil"/>
              <w:left w:val="nil"/>
              <w:bottom w:val="single" w:sz="4" w:space="0" w:color="000000"/>
              <w:right w:val="nil"/>
            </w:tcBorders>
            <w:shd w:val="clear" w:color="000000" w:fill="E6F2FF"/>
            <w:vAlign w:val="center"/>
            <w:hideMark/>
          </w:tcPr>
          <w:p w14:paraId="69CB848A"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$m </w:t>
            </w:r>
          </w:p>
        </w:tc>
        <w:tc>
          <w:tcPr>
            <w:tcW w:w="960" w:type="dxa"/>
            <w:tcBorders>
              <w:top w:val="nil"/>
              <w:left w:val="nil"/>
              <w:bottom w:val="single" w:sz="4" w:space="0" w:color="000000"/>
              <w:right w:val="nil"/>
            </w:tcBorders>
            <w:shd w:val="clear" w:color="000000" w:fill="FFFFFF"/>
            <w:noWrap/>
            <w:vAlign w:val="bottom"/>
            <w:hideMark/>
          </w:tcPr>
          <w:p w14:paraId="3FA897EC"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$m </w:t>
            </w:r>
          </w:p>
        </w:tc>
        <w:tc>
          <w:tcPr>
            <w:tcW w:w="960" w:type="dxa"/>
            <w:tcBorders>
              <w:top w:val="nil"/>
              <w:left w:val="nil"/>
              <w:bottom w:val="single" w:sz="4" w:space="0" w:color="000000"/>
              <w:right w:val="nil"/>
            </w:tcBorders>
            <w:shd w:val="clear" w:color="000000" w:fill="FFFFFF"/>
            <w:noWrap/>
            <w:vAlign w:val="bottom"/>
            <w:hideMark/>
          </w:tcPr>
          <w:p w14:paraId="41D900E4"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$m </w:t>
            </w:r>
          </w:p>
        </w:tc>
        <w:tc>
          <w:tcPr>
            <w:tcW w:w="960" w:type="dxa"/>
            <w:tcBorders>
              <w:top w:val="nil"/>
              <w:left w:val="nil"/>
              <w:bottom w:val="single" w:sz="4" w:space="0" w:color="000000"/>
              <w:right w:val="nil"/>
            </w:tcBorders>
            <w:shd w:val="clear" w:color="000000" w:fill="FFFFFF"/>
            <w:noWrap/>
            <w:vAlign w:val="bottom"/>
            <w:hideMark/>
          </w:tcPr>
          <w:p w14:paraId="3D040198"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$m </w:t>
            </w:r>
          </w:p>
        </w:tc>
      </w:tr>
      <w:tr w:rsidR="00A41A87" w:rsidRPr="00A41A87" w14:paraId="63B64B4F" w14:textId="77777777" w:rsidTr="00A41A87">
        <w:trPr>
          <w:trHeight w:val="230"/>
        </w:trPr>
        <w:tc>
          <w:tcPr>
            <w:tcW w:w="2520" w:type="dxa"/>
            <w:tcBorders>
              <w:top w:val="nil"/>
              <w:left w:val="nil"/>
              <w:bottom w:val="nil"/>
              <w:right w:val="nil"/>
            </w:tcBorders>
            <w:shd w:val="clear" w:color="000000" w:fill="FFFFFF"/>
            <w:vAlign w:val="center"/>
            <w:hideMark/>
          </w:tcPr>
          <w:p w14:paraId="5EBC809E" w14:textId="77777777" w:rsidR="00A41A87" w:rsidRPr="00A41A87" w:rsidRDefault="00A41A87" w:rsidP="00A41A87">
            <w:pPr>
              <w:spacing w:before="0" w:after="0" w:line="240" w:lineRule="auto"/>
              <w:rPr>
                <w:rFonts w:ascii="Arial" w:hAnsi="Arial" w:cs="Arial"/>
                <w:color w:val="000000"/>
                <w:sz w:val="16"/>
                <w:szCs w:val="16"/>
              </w:rPr>
            </w:pPr>
            <w:r w:rsidRPr="00A41A87">
              <w:rPr>
                <w:rFonts w:ascii="Arial" w:hAnsi="Arial" w:cs="Arial"/>
                <w:color w:val="000000"/>
                <w:sz w:val="16"/>
                <w:szCs w:val="16"/>
              </w:rPr>
              <w:t>Future Fund </w:t>
            </w:r>
          </w:p>
        </w:tc>
        <w:tc>
          <w:tcPr>
            <w:tcW w:w="960" w:type="dxa"/>
            <w:tcBorders>
              <w:top w:val="nil"/>
              <w:left w:val="nil"/>
              <w:bottom w:val="nil"/>
              <w:right w:val="nil"/>
            </w:tcBorders>
            <w:shd w:val="clear" w:color="000000" w:fill="FFFFFF"/>
            <w:vAlign w:val="bottom"/>
            <w:hideMark/>
          </w:tcPr>
          <w:p w14:paraId="009F12A1"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203,610</w:t>
            </w:r>
          </w:p>
        </w:tc>
        <w:tc>
          <w:tcPr>
            <w:tcW w:w="960" w:type="dxa"/>
            <w:tcBorders>
              <w:top w:val="nil"/>
              <w:left w:val="nil"/>
              <w:bottom w:val="nil"/>
              <w:right w:val="nil"/>
            </w:tcBorders>
            <w:shd w:val="clear" w:color="000000" w:fill="E6F2FF"/>
            <w:vAlign w:val="bottom"/>
            <w:hideMark/>
          </w:tcPr>
          <w:p w14:paraId="719A6D2C"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217,354</w:t>
            </w:r>
          </w:p>
        </w:tc>
        <w:tc>
          <w:tcPr>
            <w:tcW w:w="960" w:type="dxa"/>
            <w:tcBorders>
              <w:top w:val="nil"/>
              <w:left w:val="nil"/>
              <w:bottom w:val="nil"/>
              <w:right w:val="nil"/>
            </w:tcBorders>
            <w:shd w:val="clear" w:color="000000" w:fill="FFFFFF"/>
            <w:vAlign w:val="bottom"/>
            <w:hideMark/>
          </w:tcPr>
          <w:p w14:paraId="4C5B2426"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232,025</w:t>
            </w:r>
          </w:p>
        </w:tc>
        <w:tc>
          <w:tcPr>
            <w:tcW w:w="960" w:type="dxa"/>
            <w:tcBorders>
              <w:top w:val="nil"/>
              <w:left w:val="nil"/>
              <w:bottom w:val="nil"/>
              <w:right w:val="nil"/>
            </w:tcBorders>
            <w:shd w:val="clear" w:color="000000" w:fill="FFFFFF"/>
            <w:vAlign w:val="bottom"/>
            <w:hideMark/>
          </w:tcPr>
          <w:p w14:paraId="5F86B239"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247,686</w:t>
            </w:r>
          </w:p>
        </w:tc>
        <w:tc>
          <w:tcPr>
            <w:tcW w:w="960" w:type="dxa"/>
            <w:tcBorders>
              <w:top w:val="nil"/>
              <w:left w:val="nil"/>
              <w:bottom w:val="nil"/>
              <w:right w:val="nil"/>
            </w:tcBorders>
            <w:shd w:val="clear" w:color="000000" w:fill="FFFFFF"/>
            <w:vAlign w:val="bottom"/>
            <w:hideMark/>
          </w:tcPr>
          <w:p w14:paraId="4D702E8A"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264,406</w:t>
            </w:r>
          </w:p>
        </w:tc>
      </w:tr>
      <w:tr w:rsidR="00A41A87" w:rsidRPr="00A41A87" w14:paraId="5A01F68C" w14:textId="77777777" w:rsidTr="00A41A87">
        <w:trPr>
          <w:trHeight w:val="230"/>
        </w:trPr>
        <w:tc>
          <w:tcPr>
            <w:tcW w:w="2520" w:type="dxa"/>
            <w:tcBorders>
              <w:top w:val="nil"/>
              <w:left w:val="nil"/>
              <w:bottom w:val="nil"/>
              <w:right w:val="nil"/>
            </w:tcBorders>
            <w:shd w:val="clear" w:color="000000" w:fill="FFFFFF"/>
            <w:vAlign w:val="center"/>
            <w:hideMark/>
          </w:tcPr>
          <w:p w14:paraId="6373F41B" w14:textId="77777777" w:rsidR="00A41A87" w:rsidRPr="00A41A87" w:rsidRDefault="00A41A87" w:rsidP="00A41A87">
            <w:pPr>
              <w:spacing w:before="0" w:after="0" w:line="240" w:lineRule="auto"/>
              <w:rPr>
                <w:rFonts w:ascii="Arial" w:hAnsi="Arial" w:cs="Arial"/>
                <w:color w:val="000000"/>
                <w:sz w:val="16"/>
                <w:szCs w:val="16"/>
              </w:rPr>
            </w:pPr>
            <w:proofErr w:type="spellStart"/>
            <w:r w:rsidRPr="00A41A87">
              <w:rPr>
                <w:rFonts w:ascii="Arial" w:hAnsi="Arial" w:cs="Arial"/>
                <w:color w:val="000000"/>
                <w:sz w:val="16"/>
                <w:szCs w:val="16"/>
              </w:rPr>
              <w:t>DisabilityCare</w:t>
            </w:r>
            <w:proofErr w:type="spellEnd"/>
            <w:r w:rsidRPr="00A41A87">
              <w:rPr>
                <w:rFonts w:ascii="Arial" w:hAnsi="Arial" w:cs="Arial"/>
                <w:color w:val="000000"/>
                <w:sz w:val="16"/>
                <w:szCs w:val="16"/>
              </w:rPr>
              <w:t xml:space="preserve"> Australia Fund </w:t>
            </w:r>
          </w:p>
        </w:tc>
        <w:tc>
          <w:tcPr>
            <w:tcW w:w="960" w:type="dxa"/>
            <w:tcBorders>
              <w:top w:val="nil"/>
              <w:left w:val="nil"/>
              <w:bottom w:val="nil"/>
              <w:right w:val="nil"/>
            </w:tcBorders>
            <w:shd w:val="clear" w:color="000000" w:fill="FFFFFF"/>
            <w:vAlign w:val="bottom"/>
            <w:hideMark/>
          </w:tcPr>
          <w:p w14:paraId="7268AAEA"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15,958</w:t>
            </w:r>
          </w:p>
        </w:tc>
        <w:tc>
          <w:tcPr>
            <w:tcW w:w="960" w:type="dxa"/>
            <w:tcBorders>
              <w:top w:val="nil"/>
              <w:left w:val="nil"/>
              <w:bottom w:val="nil"/>
              <w:right w:val="nil"/>
            </w:tcBorders>
            <w:shd w:val="clear" w:color="000000" w:fill="E6F2FF"/>
            <w:vAlign w:val="bottom"/>
            <w:hideMark/>
          </w:tcPr>
          <w:p w14:paraId="3471BD8F"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15,681</w:t>
            </w:r>
          </w:p>
        </w:tc>
        <w:tc>
          <w:tcPr>
            <w:tcW w:w="960" w:type="dxa"/>
            <w:tcBorders>
              <w:top w:val="nil"/>
              <w:left w:val="nil"/>
              <w:bottom w:val="nil"/>
              <w:right w:val="nil"/>
            </w:tcBorders>
            <w:shd w:val="clear" w:color="000000" w:fill="FFFFFF"/>
            <w:vAlign w:val="bottom"/>
            <w:hideMark/>
          </w:tcPr>
          <w:p w14:paraId="0A81D5D1"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11,945</w:t>
            </w:r>
          </w:p>
        </w:tc>
        <w:tc>
          <w:tcPr>
            <w:tcW w:w="960" w:type="dxa"/>
            <w:tcBorders>
              <w:top w:val="nil"/>
              <w:left w:val="nil"/>
              <w:bottom w:val="nil"/>
              <w:right w:val="nil"/>
            </w:tcBorders>
            <w:shd w:val="clear" w:color="000000" w:fill="FFFFFF"/>
            <w:vAlign w:val="bottom"/>
            <w:hideMark/>
          </w:tcPr>
          <w:p w14:paraId="31F4759D"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8,144</w:t>
            </w:r>
          </w:p>
        </w:tc>
        <w:tc>
          <w:tcPr>
            <w:tcW w:w="960" w:type="dxa"/>
            <w:tcBorders>
              <w:top w:val="nil"/>
              <w:left w:val="nil"/>
              <w:bottom w:val="nil"/>
              <w:right w:val="nil"/>
            </w:tcBorders>
            <w:shd w:val="clear" w:color="000000" w:fill="FFFFFF"/>
            <w:vAlign w:val="bottom"/>
            <w:hideMark/>
          </w:tcPr>
          <w:p w14:paraId="0A50D4D7"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4,279</w:t>
            </w:r>
          </w:p>
        </w:tc>
      </w:tr>
      <w:tr w:rsidR="00A41A87" w:rsidRPr="00A41A87" w14:paraId="4139ACFB" w14:textId="77777777" w:rsidTr="00A41A87">
        <w:trPr>
          <w:trHeight w:val="250"/>
        </w:trPr>
        <w:tc>
          <w:tcPr>
            <w:tcW w:w="2520" w:type="dxa"/>
            <w:tcBorders>
              <w:top w:val="nil"/>
              <w:left w:val="nil"/>
              <w:bottom w:val="nil"/>
              <w:right w:val="nil"/>
            </w:tcBorders>
            <w:shd w:val="clear" w:color="000000" w:fill="FFFFFF"/>
            <w:vAlign w:val="center"/>
            <w:hideMark/>
          </w:tcPr>
          <w:p w14:paraId="185C4CC7" w14:textId="77777777" w:rsidR="00A41A87" w:rsidRPr="00A41A87" w:rsidRDefault="00A41A87" w:rsidP="00A41A87">
            <w:pPr>
              <w:spacing w:before="0" w:after="0" w:line="240" w:lineRule="auto"/>
              <w:rPr>
                <w:rFonts w:ascii="Arial" w:hAnsi="Arial" w:cs="Arial"/>
                <w:color w:val="000000"/>
                <w:sz w:val="16"/>
                <w:szCs w:val="16"/>
              </w:rPr>
            </w:pPr>
            <w:r w:rsidRPr="00A41A87">
              <w:rPr>
                <w:rFonts w:ascii="Arial" w:hAnsi="Arial" w:cs="Arial"/>
                <w:color w:val="000000"/>
                <w:sz w:val="16"/>
                <w:szCs w:val="16"/>
              </w:rPr>
              <w:t>Medical Research Future Fund </w:t>
            </w:r>
          </w:p>
        </w:tc>
        <w:tc>
          <w:tcPr>
            <w:tcW w:w="960" w:type="dxa"/>
            <w:tcBorders>
              <w:top w:val="nil"/>
              <w:left w:val="nil"/>
              <w:bottom w:val="nil"/>
              <w:right w:val="nil"/>
            </w:tcBorders>
            <w:shd w:val="clear" w:color="000000" w:fill="FFFFFF"/>
            <w:vAlign w:val="bottom"/>
            <w:hideMark/>
          </w:tcPr>
          <w:p w14:paraId="27FA21B2"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21,865</w:t>
            </w:r>
          </w:p>
        </w:tc>
        <w:tc>
          <w:tcPr>
            <w:tcW w:w="960" w:type="dxa"/>
            <w:tcBorders>
              <w:top w:val="nil"/>
              <w:left w:val="nil"/>
              <w:bottom w:val="nil"/>
              <w:right w:val="nil"/>
            </w:tcBorders>
            <w:shd w:val="clear" w:color="000000" w:fill="E6F2FF"/>
            <w:vAlign w:val="bottom"/>
            <w:hideMark/>
          </w:tcPr>
          <w:p w14:paraId="41EB745E"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22,422</w:t>
            </w:r>
          </w:p>
        </w:tc>
        <w:tc>
          <w:tcPr>
            <w:tcW w:w="960" w:type="dxa"/>
            <w:tcBorders>
              <w:top w:val="nil"/>
              <w:left w:val="nil"/>
              <w:bottom w:val="nil"/>
              <w:right w:val="nil"/>
            </w:tcBorders>
            <w:shd w:val="clear" w:color="000000" w:fill="FFFFFF"/>
            <w:vAlign w:val="bottom"/>
            <w:hideMark/>
          </w:tcPr>
          <w:p w14:paraId="00DC17AA"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22,963</w:t>
            </w:r>
          </w:p>
        </w:tc>
        <w:tc>
          <w:tcPr>
            <w:tcW w:w="960" w:type="dxa"/>
            <w:tcBorders>
              <w:top w:val="nil"/>
              <w:left w:val="nil"/>
              <w:bottom w:val="nil"/>
              <w:right w:val="nil"/>
            </w:tcBorders>
            <w:shd w:val="clear" w:color="000000" w:fill="FFFFFF"/>
            <w:vAlign w:val="bottom"/>
            <w:hideMark/>
          </w:tcPr>
          <w:p w14:paraId="16847C3F"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23,466</w:t>
            </w:r>
          </w:p>
        </w:tc>
        <w:tc>
          <w:tcPr>
            <w:tcW w:w="960" w:type="dxa"/>
            <w:tcBorders>
              <w:top w:val="nil"/>
              <w:left w:val="nil"/>
              <w:bottom w:val="nil"/>
              <w:right w:val="nil"/>
            </w:tcBorders>
            <w:shd w:val="clear" w:color="000000" w:fill="FFFFFF"/>
            <w:vAlign w:val="bottom"/>
            <w:hideMark/>
          </w:tcPr>
          <w:p w14:paraId="739F4C29"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24,040</w:t>
            </w:r>
          </w:p>
        </w:tc>
      </w:tr>
      <w:tr w:rsidR="00A41A87" w:rsidRPr="00A41A87" w14:paraId="2F01B17D" w14:textId="77777777" w:rsidTr="00A41A87">
        <w:trPr>
          <w:trHeight w:val="610"/>
        </w:trPr>
        <w:tc>
          <w:tcPr>
            <w:tcW w:w="2520" w:type="dxa"/>
            <w:tcBorders>
              <w:top w:val="nil"/>
              <w:left w:val="nil"/>
              <w:bottom w:val="nil"/>
              <w:right w:val="nil"/>
            </w:tcBorders>
            <w:shd w:val="clear" w:color="000000" w:fill="FFFFFF"/>
            <w:vAlign w:val="bottom"/>
            <w:hideMark/>
          </w:tcPr>
          <w:p w14:paraId="5CADE097" w14:textId="77777777" w:rsidR="00A41A87" w:rsidRPr="00A41A87" w:rsidRDefault="00A41A87" w:rsidP="00A41A87">
            <w:pPr>
              <w:spacing w:before="0" w:after="0" w:line="240" w:lineRule="auto"/>
              <w:rPr>
                <w:rFonts w:ascii="Arial" w:hAnsi="Arial" w:cs="Arial"/>
                <w:color w:val="000000"/>
                <w:sz w:val="16"/>
                <w:szCs w:val="16"/>
              </w:rPr>
            </w:pPr>
            <w:r w:rsidRPr="00A41A87">
              <w:rPr>
                <w:rFonts w:ascii="Arial" w:hAnsi="Arial" w:cs="Arial"/>
                <w:color w:val="000000"/>
                <w:sz w:val="16"/>
                <w:szCs w:val="16"/>
              </w:rPr>
              <w:t xml:space="preserve">Aboriginal and Torres Strait </w:t>
            </w:r>
            <w:r w:rsidRPr="00A41A87">
              <w:rPr>
                <w:rFonts w:ascii="Arial" w:hAnsi="Arial" w:cs="Arial"/>
                <w:color w:val="000000"/>
                <w:sz w:val="16"/>
                <w:szCs w:val="16"/>
              </w:rPr>
              <w:br/>
              <w:t xml:space="preserve">   Islander Land and Sea Future </w:t>
            </w:r>
            <w:r w:rsidRPr="00A41A87">
              <w:rPr>
                <w:rFonts w:ascii="Arial" w:hAnsi="Arial" w:cs="Arial"/>
                <w:color w:val="000000"/>
                <w:sz w:val="16"/>
                <w:szCs w:val="16"/>
              </w:rPr>
              <w:br/>
              <w:t xml:space="preserve">   Fund</w:t>
            </w:r>
          </w:p>
        </w:tc>
        <w:tc>
          <w:tcPr>
            <w:tcW w:w="960" w:type="dxa"/>
            <w:tcBorders>
              <w:top w:val="nil"/>
              <w:left w:val="nil"/>
              <w:bottom w:val="nil"/>
              <w:right w:val="nil"/>
            </w:tcBorders>
            <w:shd w:val="clear" w:color="000000" w:fill="FFFFFF"/>
            <w:vAlign w:val="bottom"/>
            <w:hideMark/>
          </w:tcPr>
          <w:p w14:paraId="158DDEAB"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2,169</w:t>
            </w:r>
          </w:p>
        </w:tc>
        <w:tc>
          <w:tcPr>
            <w:tcW w:w="960" w:type="dxa"/>
            <w:tcBorders>
              <w:top w:val="nil"/>
              <w:left w:val="nil"/>
              <w:bottom w:val="nil"/>
              <w:right w:val="nil"/>
            </w:tcBorders>
            <w:shd w:val="clear" w:color="000000" w:fill="E6F2FF"/>
            <w:vAlign w:val="bottom"/>
            <w:hideMark/>
          </w:tcPr>
          <w:p w14:paraId="7EA4097A"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2,244</w:t>
            </w:r>
          </w:p>
        </w:tc>
        <w:tc>
          <w:tcPr>
            <w:tcW w:w="960" w:type="dxa"/>
            <w:tcBorders>
              <w:top w:val="nil"/>
              <w:left w:val="nil"/>
              <w:bottom w:val="nil"/>
              <w:right w:val="nil"/>
            </w:tcBorders>
            <w:shd w:val="clear" w:color="000000" w:fill="FFFFFF"/>
            <w:vAlign w:val="bottom"/>
            <w:hideMark/>
          </w:tcPr>
          <w:p w14:paraId="760C98D5"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2,296</w:t>
            </w:r>
          </w:p>
        </w:tc>
        <w:tc>
          <w:tcPr>
            <w:tcW w:w="960" w:type="dxa"/>
            <w:tcBorders>
              <w:top w:val="nil"/>
              <w:left w:val="nil"/>
              <w:bottom w:val="nil"/>
              <w:right w:val="nil"/>
            </w:tcBorders>
            <w:shd w:val="clear" w:color="000000" w:fill="FFFFFF"/>
            <w:vAlign w:val="bottom"/>
            <w:hideMark/>
          </w:tcPr>
          <w:p w14:paraId="5C502BF9"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2,342</w:t>
            </w:r>
          </w:p>
        </w:tc>
        <w:tc>
          <w:tcPr>
            <w:tcW w:w="960" w:type="dxa"/>
            <w:tcBorders>
              <w:top w:val="nil"/>
              <w:left w:val="nil"/>
              <w:bottom w:val="nil"/>
              <w:right w:val="nil"/>
            </w:tcBorders>
            <w:shd w:val="clear" w:color="000000" w:fill="FFFFFF"/>
            <w:vAlign w:val="bottom"/>
            <w:hideMark/>
          </w:tcPr>
          <w:p w14:paraId="0AB3CE65"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2,388</w:t>
            </w:r>
          </w:p>
        </w:tc>
      </w:tr>
      <w:tr w:rsidR="00A41A87" w:rsidRPr="00A41A87" w14:paraId="030D877A" w14:textId="77777777" w:rsidTr="00A41A87">
        <w:trPr>
          <w:trHeight w:val="230"/>
        </w:trPr>
        <w:tc>
          <w:tcPr>
            <w:tcW w:w="2520" w:type="dxa"/>
            <w:tcBorders>
              <w:top w:val="nil"/>
              <w:left w:val="nil"/>
              <w:bottom w:val="nil"/>
              <w:right w:val="nil"/>
            </w:tcBorders>
            <w:shd w:val="clear" w:color="000000" w:fill="FFFFFF"/>
            <w:vAlign w:val="center"/>
            <w:hideMark/>
          </w:tcPr>
          <w:p w14:paraId="6F02D61C" w14:textId="77777777" w:rsidR="00A41A87" w:rsidRPr="00A41A87" w:rsidRDefault="00A41A87" w:rsidP="00A41A87">
            <w:pPr>
              <w:spacing w:before="0" w:after="0" w:line="240" w:lineRule="auto"/>
              <w:rPr>
                <w:rFonts w:ascii="Arial" w:hAnsi="Arial" w:cs="Arial"/>
                <w:color w:val="000000"/>
                <w:sz w:val="16"/>
                <w:szCs w:val="16"/>
              </w:rPr>
            </w:pPr>
            <w:r w:rsidRPr="00A41A87">
              <w:rPr>
                <w:rFonts w:ascii="Arial" w:hAnsi="Arial" w:cs="Arial"/>
                <w:color w:val="000000"/>
                <w:sz w:val="16"/>
                <w:szCs w:val="16"/>
              </w:rPr>
              <w:t>Future Drought Fund </w:t>
            </w:r>
          </w:p>
        </w:tc>
        <w:tc>
          <w:tcPr>
            <w:tcW w:w="960" w:type="dxa"/>
            <w:tcBorders>
              <w:top w:val="nil"/>
              <w:left w:val="nil"/>
              <w:bottom w:val="nil"/>
              <w:right w:val="nil"/>
            </w:tcBorders>
            <w:shd w:val="clear" w:color="000000" w:fill="FFFFFF"/>
            <w:vAlign w:val="bottom"/>
            <w:hideMark/>
          </w:tcPr>
          <w:p w14:paraId="5ADCD7DF"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4,663</w:t>
            </w:r>
          </w:p>
        </w:tc>
        <w:tc>
          <w:tcPr>
            <w:tcW w:w="960" w:type="dxa"/>
            <w:tcBorders>
              <w:top w:val="nil"/>
              <w:left w:val="nil"/>
              <w:bottom w:val="nil"/>
              <w:right w:val="nil"/>
            </w:tcBorders>
            <w:shd w:val="clear" w:color="000000" w:fill="E6F2FF"/>
            <w:vAlign w:val="bottom"/>
            <w:hideMark/>
          </w:tcPr>
          <w:p w14:paraId="65526ED6"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4,861</w:t>
            </w:r>
          </w:p>
        </w:tc>
        <w:tc>
          <w:tcPr>
            <w:tcW w:w="960" w:type="dxa"/>
            <w:tcBorders>
              <w:top w:val="nil"/>
              <w:left w:val="nil"/>
              <w:bottom w:val="nil"/>
              <w:right w:val="nil"/>
            </w:tcBorders>
            <w:shd w:val="clear" w:color="000000" w:fill="FFFFFF"/>
            <w:vAlign w:val="bottom"/>
            <w:hideMark/>
          </w:tcPr>
          <w:p w14:paraId="2672E601"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5,017</w:t>
            </w:r>
          </w:p>
        </w:tc>
        <w:tc>
          <w:tcPr>
            <w:tcW w:w="960" w:type="dxa"/>
            <w:tcBorders>
              <w:top w:val="nil"/>
              <w:left w:val="nil"/>
              <w:bottom w:val="nil"/>
              <w:right w:val="nil"/>
            </w:tcBorders>
            <w:shd w:val="clear" w:color="000000" w:fill="FFFFFF"/>
            <w:vAlign w:val="bottom"/>
            <w:hideMark/>
          </w:tcPr>
          <w:p w14:paraId="20EE7B2C"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5,166</w:t>
            </w:r>
          </w:p>
        </w:tc>
        <w:tc>
          <w:tcPr>
            <w:tcW w:w="960" w:type="dxa"/>
            <w:tcBorders>
              <w:top w:val="nil"/>
              <w:left w:val="nil"/>
              <w:bottom w:val="nil"/>
              <w:right w:val="nil"/>
            </w:tcBorders>
            <w:shd w:val="clear" w:color="000000" w:fill="FFFFFF"/>
            <w:vAlign w:val="bottom"/>
            <w:hideMark/>
          </w:tcPr>
          <w:p w14:paraId="77F81368" w14:textId="77777777" w:rsidR="00A41A87" w:rsidRPr="00A41A87" w:rsidRDefault="00A41A87" w:rsidP="00A41A87">
            <w:pPr>
              <w:spacing w:before="0" w:after="0" w:line="240" w:lineRule="auto"/>
              <w:jc w:val="right"/>
              <w:rPr>
                <w:rFonts w:ascii="Arial" w:hAnsi="Arial" w:cs="Arial"/>
                <w:sz w:val="16"/>
                <w:szCs w:val="16"/>
              </w:rPr>
            </w:pPr>
            <w:r w:rsidRPr="00A41A87">
              <w:rPr>
                <w:rFonts w:ascii="Arial" w:hAnsi="Arial" w:cs="Arial"/>
                <w:sz w:val="16"/>
                <w:szCs w:val="16"/>
              </w:rPr>
              <w:t>5,320</w:t>
            </w:r>
          </w:p>
        </w:tc>
      </w:tr>
      <w:tr w:rsidR="00A41A87" w:rsidRPr="00A41A87" w14:paraId="06701383" w14:textId="77777777" w:rsidTr="00A41A87">
        <w:trPr>
          <w:trHeight w:val="230"/>
        </w:trPr>
        <w:tc>
          <w:tcPr>
            <w:tcW w:w="2520" w:type="dxa"/>
            <w:tcBorders>
              <w:top w:val="nil"/>
              <w:left w:val="nil"/>
              <w:bottom w:val="nil"/>
              <w:right w:val="nil"/>
            </w:tcBorders>
            <w:shd w:val="clear" w:color="000000" w:fill="FFFFFF"/>
            <w:vAlign w:val="center"/>
            <w:hideMark/>
          </w:tcPr>
          <w:p w14:paraId="39130F30" w14:textId="77777777" w:rsidR="00A41A87" w:rsidRPr="00A41A87" w:rsidRDefault="00A41A87" w:rsidP="00A41A87">
            <w:pPr>
              <w:spacing w:before="0" w:after="0" w:line="240" w:lineRule="auto"/>
              <w:rPr>
                <w:rFonts w:ascii="Arial" w:hAnsi="Arial" w:cs="Arial"/>
                <w:color w:val="000000"/>
                <w:sz w:val="16"/>
                <w:szCs w:val="16"/>
              </w:rPr>
            </w:pPr>
            <w:r w:rsidRPr="00A41A87">
              <w:rPr>
                <w:rFonts w:ascii="Arial" w:hAnsi="Arial" w:cs="Arial"/>
                <w:color w:val="000000"/>
                <w:sz w:val="16"/>
                <w:szCs w:val="16"/>
              </w:rPr>
              <w:t>Disaster Ready Fund</w:t>
            </w:r>
            <w:r w:rsidRPr="00A41A87">
              <w:rPr>
                <w:rFonts w:ascii="Arial" w:hAnsi="Arial" w:cs="Arial"/>
                <w:color w:val="000000"/>
                <w:sz w:val="16"/>
                <w:szCs w:val="16"/>
                <w:vertAlign w:val="superscript"/>
              </w:rPr>
              <w:t>(a)</w:t>
            </w:r>
            <w:r w:rsidRPr="00A41A87">
              <w:rPr>
                <w:rFonts w:ascii="Arial" w:hAnsi="Arial" w:cs="Arial"/>
                <w:color w:val="000000"/>
                <w:sz w:val="16"/>
                <w:szCs w:val="16"/>
              </w:rPr>
              <w:t>  </w:t>
            </w:r>
          </w:p>
        </w:tc>
        <w:tc>
          <w:tcPr>
            <w:tcW w:w="960" w:type="dxa"/>
            <w:tcBorders>
              <w:top w:val="nil"/>
              <w:left w:val="nil"/>
              <w:bottom w:val="nil"/>
              <w:right w:val="nil"/>
            </w:tcBorders>
            <w:shd w:val="clear" w:color="000000" w:fill="FFFFFF"/>
            <w:vAlign w:val="bottom"/>
            <w:hideMark/>
          </w:tcPr>
          <w:p w14:paraId="2B3A834D"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4,519</w:t>
            </w:r>
          </w:p>
        </w:tc>
        <w:tc>
          <w:tcPr>
            <w:tcW w:w="960" w:type="dxa"/>
            <w:tcBorders>
              <w:top w:val="nil"/>
              <w:left w:val="nil"/>
              <w:bottom w:val="nil"/>
              <w:right w:val="nil"/>
            </w:tcBorders>
            <w:shd w:val="clear" w:color="000000" w:fill="E6F2FF"/>
            <w:vAlign w:val="bottom"/>
            <w:hideMark/>
          </w:tcPr>
          <w:p w14:paraId="7ECBE9CD"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4,605</w:t>
            </w:r>
          </w:p>
        </w:tc>
        <w:tc>
          <w:tcPr>
            <w:tcW w:w="960" w:type="dxa"/>
            <w:tcBorders>
              <w:top w:val="nil"/>
              <w:left w:val="nil"/>
              <w:bottom w:val="nil"/>
              <w:right w:val="nil"/>
            </w:tcBorders>
            <w:shd w:val="clear" w:color="000000" w:fill="FFFFFF"/>
            <w:vAlign w:val="bottom"/>
            <w:hideMark/>
          </w:tcPr>
          <w:p w14:paraId="6FD54C97"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4,851</w:t>
            </w:r>
          </w:p>
        </w:tc>
        <w:tc>
          <w:tcPr>
            <w:tcW w:w="960" w:type="dxa"/>
            <w:tcBorders>
              <w:top w:val="nil"/>
              <w:left w:val="nil"/>
              <w:bottom w:val="nil"/>
              <w:right w:val="nil"/>
            </w:tcBorders>
            <w:shd w:val="clear" w:color="000000" w:fill="FFFFFF"/>
            <w:vAlign w:val="bottom"/>
            <w:hideMark/>
          </w:tcPr>
          <w:p w14:paraId="64E82514"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5,095</w:t>
            </w:r>
          </w:p>
        </w:tc>
        <w:tc>
          <w:tcPr>
            <w:tcW w:w="960" w:type="dxa"/>
            <w:tcBorders>
              <w:top w:val="nil"/>
              <w:left w:val="nil"/>
              <w:bottom w:val="nil"/>
              <w:right w:val="nil"/>
            </w:tcBorders>
            <w:shd w:val="clear" w:color="000000" w:fill="FFFFFF"/>
            <w:vAlign w:val="bottom"/>
            <w:hideMark/>
          </w:tcPr>
          <w:p w14:paraId="38E36395" w14:textId="77777777" w:rsidR="00A41A87" w:rsidRPr="00A41A87" w:rsidRDefault="00A41A87" w:rsidP="00A41A87">
            <w:pPr>
              <w:spacing w:before="0" w:after="0" w:line="240" w:lineRule="auto"/>
              <w:jc w:val="right"/>
              <w:rPr>
                <w:rFonts w:ascii="Arial" w:hAnsi="Arial" w:cs="Arial"/>
                <w:color w:val="000000"/>
                <w:sz w:val="16"/>
                <w:szCs w:val="16"/>
              </w:rPr>
            </w:pPr>
            <w:r w:rsidRPr="00A41A87">
              <w:rPr>
                <w:rFonts w:ascii="Arial" w:hAnsi="Arial" w:cs="Arial"/>
                <w:color w:val="000000"/>
                <w:sz w:val="16"/>
                <w:szCs w:val="16"/>
              </w:rPr>
              <w:t>5,348</w:t>
            </w:r>
          </w:p>
        </w:tc>
      </w:tr>
      <w:tr w:rsidR="00A41A87" w:rsidRPr="00A41A87" w14:paraId="5F475AAA" w14:textId="77777777" w:rsidTr="00A41A87">
        <w:trPr>
          <w:trHeight w:val="230"/>
        </w:trPr>
        <w:tc>
          <w:tcPr>
            <w:tcW w:w="2520" w:type="dxa"/>
            <w:tcBorders>
              <w:top w:val="single" w:sz="4" w:space="0" w:color="293F5B"/>
              <w:left w:val="nil"/>
              <w:bottom w:val="single" w:sz="4" w:space="0" w:color="293F5B"/>
              <w:right w:val="nil"/>
            </w:tcBorders>
            <w:shd w:val="clear" w:color="000000" w:fill="FFFFFF"/>
            <w:vAlign w:val="center"/>
            <w:hideMark/>
          </w:tcPr>
          <w:p w14:paraId="14A94DE7" w14:textId="77777777" w:rsidR="00A41A87" w:rsidRPr="00A41A87" w:rsidRDefault="00A41A87" w:rsidP="00A41A87">
            <w:pPr>
              <w:spacing w:before="0" w:after="0" w:line="240" w:lineRule="auto"/>
              <w:rPr>
                <w:rFonts w:ascii="Arial" w:hAnsi="Arial" w:cs="Arial"/>
                <w:b/>
                <w:bCs/>
                <w:color w:val="000000"/>
                <w:sz w:val="16"/>
                <w:szCs w:val="16"/>
              </w:rPr>
            </w:pPr>
            <w:r w:rsidRPr="00A41A87">
              <w:rPr>
                <w:rFonts w:ascii="Arial" w:hAnsi="Arial" w:cs="Arial"/>
                <w:b/>
                <w:bCs/>
                <w:color w:val="000000"/>
                <w:sz w:val="16"/>
                <w:szCs w:val="16"/>
              </w:rPr>
              <w:t>Total investment funds </w:t>
            </w:r>
          </w:p>
        </w:tc>
        <w:tc>
          <w:tcPr>
            <w:tcW w:w="960" w:type="dxa"/>
            <w:tcBorders>
              <w:top w:val="single" w:sz="4" w:space="0" w:color="293F5B"/>
              <w:left w:val="nil"/>
              <w:bottom w:val="single" w:sz="4" w:space="0" w:color="293F5B"/>
              <w:right w:val="nil"/>
            </w:tcBorders>
            <w:shd w:val="clear" w:color="000000" w:fill="FFFFFF"/>
            <w:vAlign w:val="bottom"/>
            <w:hideMark/>
          </w:tcPr>
          <w:p w14:paraId="3E1E4B12" w14:textId="77777777" w:rsidR="00A41A87" w:rsidRPr="00A41A87" w:rsidRDefault="00A41A87" w:rsidP="00A41A87">
            <w:pPr>
              <w:spacing w:before="0" w:after="0" w:line="240" w:lineRule="auto"/>
              <w:jc w:val="right"/>
              <w:rPr>
                <w:rFonts w:ascii="Arial" w:hAnsi="Arial" w:cs="Arial"/>
                <w:b/>
                <w:bCs/>
                <w:color w:val="000000"/>
                <w:sz w:val="16"/>
                <w:szCs w:val="16"/>
              </w:rPr>
            </w:pPr>
            <w:r w:rsidRPr="00A41A87">
              <w:rPr>
                <w:rFonts w:ascii="Arial" w:hAnsi="Arial" w:cs="Arial"/>
                <w:b/>
                <w:bCs/>
                <w:color w:val="000000"/>
                <w:sz w:val="16"/>
                <w:szCs w:val="16"/>
              </w:rPr>
              <w:t>252,783</w:t>
            </w:r>
          </w:p>
        </w:tc>
        <w:tc>
          <w:tcPr>
            <w:tcW w:w="960" w:type="dxa"/>
            <w:tcBorders>
              <w:top w:val="single" w:sz="4" w:space="0" w:color="293F5B"/>
              <w:left w:val="nil"/>
              <w:bottom w:val="single" w:sz="4" w:space="0" w:color="293F5B"/>
              <w:right w:val="nil"/>
            </w:tcBorders>
            <w:shd w:val="clear" w:color="000000" w:fill="E6F2FF"/>
            <w:vAlign w:val="bottom"/>
            <w:hideMark/>
          </w:tcPr>
          <w:p w14:paraId="2B32B533" w14:textId="77777777" w:rsidR="00A41A87" w:rsidRPr="00A41A87" w:rsidRDefault="00A41A87" w:rsidP="00A41A87">
            <w:pPr>
              <w:spacing w:before="0" w:after="0" w:line="240" w:lineRule="auto"/>
              <w:jc w:val="right"/>
              <w:rPr>
                <w:rFonts w:ascii="Arial" w:hAnsi="Arial" w:cs="Arial"/>
                <w:b/>
                <w:bCs/>
                <w:color w:val="000000"/>
                <w:sz w:val="16"/>
                <w:szCs w:val="16"/>
              </w:rPr>
            </w:pPr>
            <w:r w:rsidRPr="00A41A87">
              <w:rPr>
                <w:rFonts w:ascii="Arial" w:hAnsi="Arial" w:cs="Arial"/>
                <w:b/>
                <w:bCs/>
                <w:color w:val="000000"/>
                <w:sz w:val="16"/>
                <w:szCs w:val="16"/>
              </w:rPr>
              <w:t>267,167</w:t>
            </w:r>
          </w:p>
        </w:tc>
        <w:tc>
          <w:tcPr>
            <w:tcW w:w="960" w:type="dxa"/>
            <w:tcBorders>
              <w:top w:val="single" w:sz="4" w:space="0" w:color="293F5B"/>
              <w:left w:val="nil"/>
              <w:bottom w:val="single" w:sz="4" w:space="0" w:color="293F5B"/>
              <w:right w:val="nil"/>
            </w:tcBorders>
            <w:shd w:val="clear" w:color="000000" w:fill="FFFFFF"/>
            <w:vAlign w:val="bottom"/>
            <w:hideMark/>
          </w:tcPr>
          <w:p w14:paraId="535E4031" w14:textId="77777777" w:rsidR="00A41A87" w:rsidRPr="00A41A87" w:rsidRDefault="00A41A87" w:rsidP="00A41A87">
            <w:pPr>
              <w:spacing w:before="0" w:after="0" w:line="240" w:lineRule="auto"/>
              <w:jc w:val="right"/>
              <w:rPr>
                <w:rFonts w:ascii="Arial" w:hAnsi="Arial" w:cs="Arial"/>
                <w:b/>
                <w:bCs/>
                <w:color w:val="000000"/>
                <w:sz w:val="16"/>
                <w:szCs w:val="16"/>
              </w:rPr>
            </w:pPr>
            <w:r w:rsidRPr="00A41A87">
              <w:rPr>
                <w:rFonts w:ascii="Arial" w:hAnsi="Arial" w:cs="Arial"/>
                <w:b/>
                <w:bCs/>
                <w:color w:val="000000"/>
                <w:sz w:val="16"/>
                <w:szCs w:val="16"/>
              </w:rPr>
              <w:t>279,097</w:t>
            </w:r>
          </w:p>
        </w:tc>
        <w:tc>
          <w:tcPr>
            <w:tcW w:w="960" w:type="dxa"/>
            <w:tcBorders>
              <w:top w:val="single" w:sz="4" w:space="0" w:color="293F5B"/>
              <w:left w:val="nil"/>
              <w:bottom w:val="single" w:sz="4" w:space="0" w:color="293F5B"/>
              <w:right w:val="nil"/>
            </w:tcBorders>
            <w:shd w:val="clear" w:color="000000" w:fill="FFFFFF"/>
            <w:vAlign w:val="bottom"/>
            <w:hideMark/>
          </w:tcPr>
          <w:p w14:paraId="61D16965" w14:textId="77777777" w:rsidR="00A41A87" w:rsidRPr="00A41A87" w:rsidRDefault="00A41A87" w:rsidP="00A41A87">
            <w:pPr>
              <w:spacing w:before="0" w:after="0" w:line="240" w:lineRule="auto"/>
              <w:jc w:val="right"/>
              <w:rPr>
                <w:rFonts w:ascii="Arial" w:hAnsi="Arial" w:cs="Arial"/>
                <w:b/>
                <w:bCs/>
                <w:color w:val="000000"/>
                <w:sz w:val="16"/>
                <w:szCs w:val="16"/>
              </w:rPr>
            </w:pPr>
            <w:r w:rsidRPr="00A41A87">
              <w:rPr>
                <w:rFonts w:ascii="Arial" w:hAnsi="Arial" w:cs="Arial"/>
                <w:b/>
                <w:bCs/>
                <w:color w:val="000000"/>
                <w:sz w:val="16"/>
                <w:szCs w:val="16"/>
              </w:rPr>
              <w:t>291,899</w:t>
            </w:r>
          </w:p>
        </w:tc>
        <w:tc>
          <w:tcPr>
            <w:tcW w:w="960" w:type="dxa"/>
            <w:tcBorders>
              <w:top w:val="single" w:sz="4" w:space="0" w:color="293F5B"/>
              <w:left w:val="nil"/>
              <w:bottom w:val="single" w:sz="4" w:space="0" w:color="293F5B"/>
              <w:right w:val="nil"/>
            </w:tcBorders>
            <w:shd w:val="clear" w:color="000000" w:fill="FFFFFF"/>
            <w:vAlign w:val="bottom"/>
            <w:hideMark/>
          </w:tcPr>
          <w:p w14:paraId="39C5407A" w14:textId="77777777" w:rsidR="00A41A87" w:rsidRPr="00A41A87" w:rsidRDefault="00A41A87" w:rsidP="00A41A87">
            <w:pPr>
              <w:spacing w:before="0" w:after="0" w:line="240" w:lineRule="auto"/>
              <w:jc w:val="right"/>
              <w:rPr>
                <w:rFonts w:ascii="Arial" w:hAnsi="Arial" w:cs="Arial"/>
                <w:b/>
                <w:bCs/>
                <w:color w:val="000000"/>
                <w:sz w:val="16"/>
                <w:szCs w:val="16"/>
              </w:rPr>
            </w:pPr>
            <w:r w:rsidRPr="00A41A87">
              <w:rPr>
                <w:rFonts w:ascii="Arial" w:hAnsi="Arial" w:cs="Arial"/>
                <w:b/>
                <w:bCs/>
                <w:color w:val="000000"/>
                <w:sz w:val="16"/>
                <w:szCs w:val="16"/>
              </w:rPr>
              <w:t>305,782</w:t>
            </w:r>
          </w:p>
        </w:tc>
      </w:tr>
    </w:tbl>
    <w:p w14:paraId="10B82642" w14:textId="760A5942" w:rsidR="00611CDB" w:rsidRDefault="00611CDB" w:rsidP="00A41A87">
      <w:pPr>
        <w:pStyle w:val="ChartandTableFootnoteAlpha"/>
      </w:pPr>
      <w:r w:rsidRPr="00114EB8">
        <w:t>The Disaster Ready Fund (DRF)</w:t>
      </w:r>
      <w:r>
        <w:t xml:space="preserve"> </w:t>
      </w:r>
      <w:r w:rsidRPr="00114EB8">
        <w:t>was initially established as the Emergency Response Fund (ERF). On</w:t>
      </w:r>
      <w:r>
        <w:t> </w:t>
      </w:r>
      <w:r w:rsidRPr="00114EB8">
        <w:t>1</w:t>
      </w:r>
      <w:r>
        <w:t> </w:t>
      </w:r>
      <w:r w:rsidRPr="00114EB8">
        <w:t>March</w:t>
      </w:r>
      <w:r>
        <w:t> </w:t>
      </w:r>
      <w:r w:rsidRPr="00114EB8">
        <w:t>2023, the ERF was renamed as the DRF.</w:t>
      </w:r>
    </w:p>
    <w:p w14:paraId="03A06349" w14:textId="77777777" w:rsidR="00611CDB" w:rsidRPr="00AF2276" w:rsidRDefault="00611CDB" w:rsidP="00611CDB">
      <w:pPr>
        <w:pStyle w:val="ChartLine"/>
      </w:pPr>
    </w:p>
    <w:p w14:paraId="07EB5A2F" w14:textId="50E9811E" w:rsidR="00D16B1C" w:rsidRPr="00114EB8" w:rsidRDefault="00D16B1C" w:rsidP="003B37F8">
      <w:pPr>
        <w:pStyle w:val="Heading6"/>
      </w:pPr>
      <w:r w:rsidRPr="00114EB8">
        <w:t>Future Fund</w:t>
      </w:r>
    </w:p>
    <w:p w14:paraId="6AEF6742" w14:textId="743ED2AB" w:rsidR="00D16B1C" w:rsidRPr="00114EB8" w:rsidRDefault="00D16B1C" w:rsidP="00D16B1C">
      <w:r w:rsidRPr="00114EB8">
        <w:t>The Future Fund was established in 2006 to accumulate financial assets and invest them on behalf of the Australian Government to address the Government</w:t>
      </w:r>
      <w:r w:rsidR="00B51DAC">
        <w:t>’</w:t>
      </w:r>
      <w:r w:rsidRPr="00114EB8">
        <w:t>s unfunded</w:t>
      </w:r>
      <w:r w:rsidR="00F35183">
        <w:t xml:space="preserve"> </w:t>
      </w:r>
      <w:r w:rsidRPr="00114EB8">
        <w:t>superannuation liability.</w:t>
      </w:r>
    </w:p>
    <w:p w14:paraId="7D5932ED" w14:textId="41EFF5DD" w:rsidR="004E120E" w:rsidRDefault="00D16B1C" w:rsidP="00D16B1C">
      <w:r w:rsidRPr="00114EB8">
        <w:t>The Investment Mandate for the Future Fund sets a benchmark rate of return of at least CPI plus 4.0 to 5.0</w:t>
      </w:r>
      <w:r w:rsidR="00B23905">
        <w:t> per </w:t>
      </w:r>
      <w:r w:rsidRPr="00114EB8">
        <w:t>cent</w:t>
      </w:r>
      <w:r w:rsidR="00B23905">
        <w:t> per </w:t>
      </w:r>
      <w:r w:rsidRPr="00114EB8">
        <w:t>annum over the long</w:t>
      </w:r>
      <w:r w:rsidR="00B51DAC">
        <w:noBreakHyphen/>
      </w:r>
      <w:r w:rsidRPr="00114EB8">
        <w:t xml:space="preserve">term. The Investment Mandate gives guidance to the Future Fund Board of Guardians (the Future Fund Board) in relation to its investment strategy. The Board is independently responsible for the investment decisions of the Future Fund. The Investment Mandate also requires the Board to take an acceptable, but not excessive, level of risk for the Future Fund, measured in terms such as the </w:t>
      </w:r>
      <w:r w:rsidRPr="003B3E17">
        <w:t>probability of losses in a particular year.</w:t>
      </w:r>
    </w:p>
    <w:p w14:paraId="2DB7FEF8" w14:textId="77777777" w:rsidR="004E120E" w:rsidRDefault="004E120E">
      <w:pPr>
        <w:spacing w:before="0" w:after="160" w:line="259" w:lineRule="auto"/>
      </w:pPr>
      <w:r>
        <w:br w:type="page"/>
      </w:r>
    </w:p>
    <w:p w14:paraId="6203BA49" w14:textId="56368B5E" w:rsidR="00D16B1C" w:rsidRPr="00114EB8" w:rsidRDefault="00D16B1C" w:rsidP="00D16B1C">
      <w:r w:rsidRPr="003B3E17">
        <w:lastRenderedPageBreak/>
        <w:t xml:space="preserve">Between establishment and </w:t>
      </w:r>
      <w:r w:rsidR="002C2121">
        <w:t>31 March 2023</w:t>
      </w:r>
      <w:r w:rsidRPr="003B3E17">
        <w:t>, the average return has been 7.</w:t>
      </w:r>
      <w:r w:rsidR="003B3E17" w:rsidRPr="003B3E17">
        <w:t>7</w:t>
      </w:r>
      <w:r w:rsidR="00B23905">
        <w:t> per </w:t>
      </w:r>
      <w:r w:rsidRPr="003B3E17">
        <w:t>cent</w:t>
      </w:r>
      <w:r w:rsidR="00B23905">
        <w:t> per </w:t>
      </w:r>
      <w:r w:rsidRPr="003B3E17">
        <w:t xml:space="preserve">annum against the benchmark return of </w:t>
      </w:r>
      <w:r w:rsidR="003B3E17" w:rsidRPr="003B3E17">
        <w:t>7.0</w:t>
      </w:r>
      <w:r w:rsidR="00B23905">
        <w:t> per </w:t>
      </w:r>
      <w:r w:rsidRPr="003B3E17">
        <w:t>cent. For the 12</w:t>
      </w:r>
      <w:r w:rsidR="00B51DAC">
        <w:noBreakHyphen/>
      </w:r>
      <w:r w:rsidRPr="003B3E17">
        <w:t xml:space="preserve">month period ending </w:t>
      </w:r>
      <w:r w:rsidR="002C2121">
        <w:t>31 March 2023</w:t>
      </w:r>
      <w:r w:rsidRPr="003B3E17">
        <w:t xml:space="preserve">, the Future Fund </w:t>
      </w:r>
      <w:r w:rsidR="003B3E17" w:rsidRPr="003B3E17">
        <w:t>return was 1.1</w:t>
      </w:r>
      <w:r w:rsidR="00B23905">
        <w:t> per </w:t>
      </w:r>
      <w:r w:rsidRPr="003B3E17">
        <w:t>cent against a benchmark return of 11</w:t>
      </w:r>
      <w:r w:rsidR="003B3E17" w:rsidRPr="003B3E17">
        <w:t>.0</w:t>
      </w:r>
      <w:r w:rsidR="00B23905">
        <w:t> per </w:t>
      </w:r>
      <w:r w:rsidRPr="003B3E17">
        <w:t xml:space="preserve">cent. </w:t>
      </w:r>
      <w:r w:rsidR="006C2D50">
        <w:t xml:space="preserve">These returns reflect higher interest rates, and international and domestic market conditions over the last 12 months. </w:t>
      </w:r>
      <w:r w:rsidRPr="003B3E17">
        <w:t>The Future Fund was valued at $</w:t>
      </w:r>
      <w:r w:rsidR="003B3E17" w:rsidRPr="003B3E17">
        <w:t>202.8</w:t>
      </w:r>
      <w:r w:rsidR="005620C5">
        <w:t> </w:t>
      </w:r>
      <w:r w:rsidRPr="003B3E17">
        <w:t xml:space="preserve">billion as </w:t>
      </w:r>
      <w:proofErr w:type="gramStart"/>
      <w:r w:rsidRPr="003B3E17">
        <w:t>at</w:t>
      </w:r>
      <w:proofErr w:type="gramEnd"/>
      <w:r w:rsidRPr="003B3E17">
        <w:t xml:space="preserve"> </w:t>
      </w:r>
      <w:r w:rsidR="002C2121">
        <w:t>31 March 2023</w:t>
      </w:r>
      <w:r w:rsidRPr="003B3E17">
        <w:t>.</w:t>
      </w:r>
    </w:p>
    <w:p w14:paraId="440E7D07" w14:textId="702273CD" w:rsidR="00D16B1C" w:rsidRPr="00114EB8" w:rsidRDefault="00D16B1C" w:rsidP="00D16B1C">
      <w:r w:rsidRPr="00114EB8">
        <w:t xml:space="preserve">The </w:t>
      </w:r>
      <w:r w:rsidR="004A2F4B">
        <w:t xml:space="preserve">Future Fund </w:t>
      </w:r>
      <w:r w:rsidRPr="00114EB8">
        <w:t>Board continues to maintain clear objectives and manage the portfolio in line with its mandate and strategy. Table 10B.</w:t>
      </w:r>
      <w:r w:rsidR="00FC3735">
        <w:t>2</w:t>
      </w:r>
      <w:r w:rsidRPr="00114EB8">
        <w:t xml:space="preserve"> shows changes in the asset allocation of the Future Fund since </w:t>
      </w:r>
      <w:r w:rsidR="002D6785" w:rsidRPr="00114EB8">
        <w:t>31</w:t>
      </w:r>
      <w:r w:rsidR="008E2BDE">
        <w:t> </w:t>
      </w:r>
      <w:r w:rsidR="002D6785" w:rsidRPr="00114EB8">
        <w:t>March</w:t>
      </w:r>
      <w:r w:rsidR="008E2BDE">
        <w:t> </w:t>
      </w:r>
      <w:r w:rsidR="00FA019C" w:rsidRPr="00114EB8">
        <w:t>202</w:t>
      </w:r>
      <w:r w:rsidR="00FA019C">
        <w:t>2</w:t>
      </w:r>
      <w:r w:rsidRPr="00114EB8">
        <w:t>.</w:t>
      </w:r>
    </w:p>
    <w:p w14:paraId="200777FD" w14:textId="1D703E14" w:rsidR="00583899" w:rsidRDefault="00D16B1C" w:rsidP="00583899">
      <w:pPr>
        <w:pStyle w:val="TableHeading"/>
        <w:rPr>
          <w:rFonts w:asciiTheme="minorHAnsi" w:eastAsiaTheme="minorHAnsi" w:hAnsiTheme="minorHAnsi" w:cstheme="minorBidi"/>
          <w:sz w:val="22"/>
          <w:szCs w:val="22"/>
          <w:lang w:eastAsia="en-US"/>
        </w:rPr>
      </w:pPr>
      <w:r w:rsidRPr="00114EB8">
        <w:t>Table</w:t>
      </w:r>
      <w:r w:rsidRPr="00114EB8">
        <w:rPr>
          <w:spacing w:val="-9"/>
        </w:rPr>
        <w:t xml:space="preserve"> </w:t>
      </w:r>
      <w:r w:rsidRPr="00114EB8">
        <w:t>10B.</w:t>
      </w:r>
      <w:r w:rsidR="00611CDB">
        <w:t>2</w:t>
      </w:r>
      <w:r w:rsidRPr="00114EB8">
        <w:t>:</w:t>
      </w:r>
      <w:r w:rsidRPr="00114EB8">
        <w:rPr>
          <w:spacing w:val="-6"/>
        </w:rPr>
        <w:t xml:space="preserve"> </w:t>
      </w:r>
      <w:r w:rsidRPr="00114EB8">
        <w:t>Asset</w:t>
      </w:r>
      <w:r w:rsidRPr="00114EB8">
        <w:rPr>
          <w:spacing w:val="-6"/>
        </w:rPr>
        <w:t xml:space="preserve"> </w:t>
      </w:r>
      <w:r w:rsidRPr="00114EB8">
        <w:t>allocation</w:t>
      </w:r>
      <w:r w:rsidRPr="00114EB8">
        <w:rPr>
          <w:spacing w:val="-5"/>
        </w:rPr>
        <w:t xml:space="preserve"> </w:t>
      </w:r>
      <w:r w:rsidRPr="00114EB8">
        <w:t>of</w:t>
      </w:r>
      <w:r w:rsidRPr="00114EB8">
        <w:rPr>
          <w:spacing w:val="-5"/>
        </w:rPr>
        <w:t xml:space="preserve"> </w:t>
      </w:r>
      <w:r w:rsidRPr="00114EB8">
        <w:t>the</w:t>
      </w:r>
      <w:r w:rsidRPr="00114EB8">
        <w:rPr>
          <w:spacing w:val="-6"/>
        </w:rPr>
        <w:t xml:space="preserve"> </w:t>
      </w:r>
      <w:r w:rsidRPr="00114EB8">
        <w:t>Future</w:t>
      </w:r>
      <w:r w:rsidRPr="00114EB8">
        <w:rPr>
          <w:spacing w:val="-6"/>
        </w:rPr>
        <w:t xml:space="preserve"> </w:t>
      </w:r>
      <w:r w:rsidRPr="00114EB8">
        <w:t>Fund</w:t>
      </w:r>
    </w:p>
    <w:tbl>
      <w:tblPr>
        <w:tblW w:w="5000" w:type="pct"/>
        <w:tblCellMar>
          <w:left w:w="0" w:type="dxa"/>
          <w:right w:w="28" w:type="dxa"/>
        </w:tblCellMar>
        <w:tblLook w:val="04A0" w:firstRow="1" w:lastRow="0" w:firstColumn="1" w:lastColumn="0" w:noHBand="0" w:noVBand="1"/>
      </w:tblPr>
      <w:tblGrid>
        <w:gridCol w:w="2975"/>
        <w:gridCol w:w="1166"/>
        <w:gridCol w:w="1190"/>
        <w:gridCol w:w="1190"/>
        <w:gridCol w:w="1189"/>
      </w:tblGrid>
      <w:tr w:rsidR="00583899" w:rsidRPr="00583899" w14:paraId="1DE71C51" w14:textId="77777777" w:rsidTr="00583899">
        <w:trPr>
          <w:trHeight w:hRule="exact" w:val="230"/>
        </w:trPr>
        <w:tc>
          <w:tcPr>
            <w:tcW w:w="1929" w:type="pct"/>
            <w:tcBorders>
              <w:top w:val="single" w:sz="4" w:space="0" w:color="293F5B"/>
              <w:left w:val="nil"/>
              <w:bottom w:val="nil"/>
              <w:right w:val="nil"/>
            </w:tcBorders>
            <w:shd w:val="clear" w:color="000000" w:fill="FFFFFF"/>
            <w:vAlign w:val="center"/>
            <w:hideMark/>
          </w:tcPr>
          <w:p w14:paraId="4CA99B52" w14:textId="5676A0E6"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  </w:t>
            </w:r>
          </w:p>
        </w:tc>
        <w:tc>
          <w:tcPr>
            <w:tcW w:w="756" w:type="pct"/>
            <w:tcBorders>
              <w:top w:val="single" w:sz="4" w:space="0" w:color="293F5B"/>
              <w:left w:val="nil"/>
              <w:bottom w:val="nil"/>
              <w:right w:val="nil"/>
            </w:tcBorders>
            <w:shd w:val="clear" w:color="000000" w:fill="FFFFFF"/>
            <w:vAlign w:val="center"/>
            <w:hideMark/>
          </w:tcPr>
          <w:p w14:paraId="21B86717" w14:textId="4C5A0678"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31</w:t>
            </w:r>
            <w:r w:rsidR="00B51DAC">
              <w:rPr>
                <w:rFonts w:ascii="Arial" w:hAnsi="Arial" w:cs="Arial"/>
                <w:color w:val="000000"/>
                <w:sz w:val="16"/>
                <w:szCs w:val="16"/>
              </w:rPr>
              <w:noBreakHyphen/>
            </w:r>
            <w:r w:rsidRPr="00583899">
              <w:rPr>
                <w:rFonts w:ascii="Arial" w:hAnsi="Arial" w:cs="Arial"/>
                <w:color w:val="000000"/>
                <w:sz w:val="16"/>
                <w:szCs w:val="16"/>
              </w:rPr>
              <w:t>Mar</w:t>
            </w:r>
            <w:r w:rsidR="00B51DAC">
              <w:rPr>
                <w:rFonts w:ascii="Arial" w:hAnsi="Arial" w:cs="Arial"/>
                <w:color w:val="000000"/>
                <w:sz w:val="16"/>
                <w:szCs w:val="16"/>
              </w:rPr>
              <w:noBreakHyphen/>
            </w:r>
            <w:r w:rsidRPr="00583899">
              <w:rPr>
                <w:rFonts w:ascii="Arial" w:hAnsi="Arial" w:cs="Arial"/>
                <w:color w:val="000000"/>
                <w:sz w:val="16"/>
                <w:szCs w:val="16"/>
              </w:rPr>
              <w:t>23</w:t>
            </w:r>
          </w:p>
        </w:tc>
        <w:tc>
          <w:tcPr>
            <w:tcW w:w="772" w:type="pct"/>
            <w:tcBorders>
              <w:top w:val="single" w:sz="4" w:space="0" w:color="293F5B"/>
              <w:left w:val="nil"/>
              <w:bottom w:val="nil"/>
              <w:right w:val="nil"/>
            </w:tcBorders>
            <w:shd w:val="clear" w:color="000000" w:fill="FFFFFF"/>
            <w:vAlign w:val="center"/>
            <w:hideMark/>
          </w:tcPr>
          <w:p w14:paraId="3A57B014" w14:textId="1084102A"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31</w:t>
            </w:r>
            <w:r w:rsidR="00B51DAC">
              <w:rPr>
                <w:rFonts w:ascii="Arial" w:hAnsi="Arial" w:cs="Arial"/>
                <w:color w:val="000000"/>
                <w:sz w:val="16"/>
                <w:szCs w:val="16"/>
              </w:rPr>
              <w:noBreakHyphen/>
            </w:r>
            <w:r w:rsidRPr="00583899">
              <w:rPr>
                <w:rFonts w:ascii="Arial" w:hAnsi="Arial" w:cs="Arial"/>
                <w:color w:val="000000"/>
                <w:sz w:val="16"/>
                <w:szCs w:val="16"/>
              </w:rPr>
              <w:t>Mar</w:t>
            </w:r>
            <w:r w:rsidR="00B51DAC">
              <w:rPr>
                <w:rFonts w:ascii="Arial" w:hAnsi="Arial" w:cs="Arial"/>
                <w:color w:val="000000"/>
                <w:sz w:val="16"/>
                <w:szCs w:val="16"/>
              </w:rPr>
              <w:noBreakHyphen/>
            </w:r>
            <w:r w:rsidRPr="00583899">
              <w:rPr>
                <w:rFonts w:ascii="Arial" w:hAnsi="Arial" w:cs="Arial"/>
                <w:color w:val="000000"/>
                <w:sz w:val="16"/>
                <w:szCs w:val="16"/>
              </w:rPr>
              <w:t>23</w:t>
            </w:r>
          </w:p>
        </w:tc>
        <w:tc>
          <w:tcPr>
            <w:tcW w:w="772" w:type="pct"/>
            <w:tcBorders>
              <w:top w:val="single" w:sz="4" w:space="0" w:color="293F5B"/>
              <w:left w:val="nil"/>
              <w:bottom w:val="nil"/>
              <w:right w:val="nil"/>
            </w:tcBorders>
            <w:shd w:val="clear" w:color="000000" w:fill="FFFFFF"/>
            <w:vAlign w:val="center"/>
            <w:hideMark/>
          </w:tcPr>
          <w:p w14:paraId="510AB71F" w14:textId="43E4A7B9"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31</w:t>
            </w:r>
            <w:r w:rsidR="00B51DAC">
              <w:rPr>
                <w:rFonts w:ascii="Arial" w:hAnsi="Arial" w:cs="Arial"/>
                <w:color w:val="000000"/>
                <w:sz w:val="16"/>
                <w:szCs w:val="16"/>
              </w:rPr>
              <w:noBreakHyphen/>
            </w:r>
            <w:r w:rsidRPr="00583899">
              <w:rPr>
                <w:rFonts w:ascii="Arial" w:hAnsi="Arial" w:cs="Arial"/>
                <w:color w:val="000000"/>
                <w:sz w:val="16"/>
                <w:szCs w:val="16"/>
              </w:rPr>
              <w:t>Mar</w:t>
            </w:r>
            <w:r w:rsidR="00B51DAC">
              <w:rPr>
                <w:rFonts w:ascii="Arial" w:hAnsi="Arial" w:cs="Arial"/>
                <w:color w:val="000000"/>
                <w:sz w:val="16"/>
                <w:szCs w:val="16"/>
              </w:rPr>
              <w:noBreakHyphen/>
            </w:r>
            <w:r w:rsidRPr="00583899">
              <w:rPr>
                <w:rFonts w:ascii="Arial" w:hAnsi="Arial" w:cs="Arial"/>
                <w:color w:val="000000"/>
                <w:sz w:val="16"/>
                <w:szCs w:val="16"/>
              </w:rPr>
              <w:t>22</w:t>
            </w:r>
          </w:p>
        </w:tc>
        <w:tc>
          <w:tcPr>
            <w:tcW w:w="772" w:type="pct"/>
            <w:tcBorders>
              <w:top w:val="single" w:sz="4" w:space="0" w:color="293F5B"/>
              <w:left w:val="nil"/>
              <w:bottom w:val="nil"/>
              <w:right w:val="nil"/>
            </w:tcBorders>
            <w:shd w:val="clear" w:color="000000" w:fill="FFFFFF"/>
            <w:vAlign w:val="center"/>
            <w:hideMark/>
          </w:tcPr>
          <w:p w14:paraId="23200185" w14:textId="783B9ED4"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31</w:t>
            </w:r>
            <w:r w:rsidR="00B51DAC">
              <w:rPr>
                <w:rFonts w:ascii="Arial" w:hAnsi="Arial" w:cs="Arial"/>
                <w:color w:val="000000"/>
                <w:sz w:val="16"/>
                <w:szCs w:val="16"/>
              </w:rPr>
              <w:noBreakHyphen/>
            </w:r>
            <w:r w:rsidRPr="00583899">
              <w:rPr>
                <w:rFonts w:ascii="Arial" w:hAnsi="Arial" w:cs="Arial"/>
                <w:color w:val="000000"/>
                <w:sz w:val="16"/>
                <w:szCs w:val="16"/>
              </w:rPr>
              <w:t>Mar</w:t>
            </w:r>
            <w:r w:rsidR="00B51DAC">
              <w:rPr>
                <w:rFonts w:ascii="Arial" w:hAnsi="Arial" w:cs="Arial"/>
                <w:color w:val="000000"/>
                <w:sz w:val="16"/>
                <w:szCs w:val="16"/>
              </w:rPr>
              <w:noBreakHyphen/>
            </w:r>
            <w:r w:rsidRPr="00583899">
              <w:rPr>
                <w:rFonts w:ascii="Arial" w:hAnsi="Arial" w:cs="Arial"/>
                <w:color w:val="000000"/>
                <w:sz w:val="16"/>
                <w:szCs w:val="16"/>
              </w:rPr>
              <w:t>22</w:t>
            </w:r>
          </w:p>
        </w:tc>
      </w:tr>
      <w:tr w:rsidR="00583899" w:rsidRPr="00583899" w14:paraId="57D076DF" w14:textId="77777777" w:rsidTr="00583899">
        <w:trPr>
          <w:trHeight w:hRule="exact" w:val="230"/>
        </w:trPr>
        <w:tc>
          <w:tcPr>
            <w:tcW w:w="1929" w:type="pct"/>
            <w:tcBorders>
              <w:top w:val="nil"/>
              <w:left w:val="nil"/>
              <w:bottom w:val="single" w:sz="4" w:space="0" w:color="000000"/>
              <w:right w:val="nil"/>
            </w:tcBorders>
            <w:shd w:val="clear" w:color="000000" w:fill="FFFFFF"/>
            <w:vAlign w:val="center"/>
            <w:hideMark/>
          </w:tcPr>
          <w:p w14:paraId="46361077"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Asset class </w:t>
            </w:r>
          </w:p>
        </w:tc>
        <w:tc>
          <w:tcPr>
            <w:tcW w:w="756" w:type="pct"/>
            <w:tcBorders>
              <w:top w:val="nil"/>
              <w:left w:val="nil"/>
              <w:bottom w:val="single" w:sz="4" w:space="0" w:color="000000"/>
              <w:right w:val="nil"/>
            </w:tcBorders>
            <w:shd w:val="clear" w:color="000000" w:fill="FFFFFF"/>
            <w:vAlign w:val="center"/>
            <w:hideMark/>
          </w:tcPr>
          <w:p w14:paraId="2322722F"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$m </w:t>
            </w:r>
          </w:p>
        </w:tc>
        <w:tc>
          <w:tcPr>
            <w:tcW w:w="772" w:type="pct"/>
            <w:tcBorders>
              <w:top w:val="nil"/>
              <w:left w:val="nil"/>
              <w:bottom w:val="single" w:sz="4" w:space="0" w:color="000000"/>
              <w:right w:val="nil"/>
            </w:tcBorders>
            <w:shd w:val="clear" w:color="000000" w:fill="FFFFFF"/>
            <w:vAlign w:val="center"/>
            <w:hideMark/>
          </w:tcPr>
          <w:p w14:paraId="7B833D74"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 xml:space="preserve">% </w:t>
            </w:r>
            <w:proofErr w:type="gramStart"/>
            <w:r w:rsidRPr="00583899">
              <w:rPr>
                <w:rFonts w:ascii="Arial" w:hAnsi="Arial" w:cs="Arial"/>
                <w:color w:val="000000"/>
                <w:sz w:val="16"/>
                <w:szCs w:val="16"/>
              </w:rPr>
              <w:t>of</w:t>
            </w:r>
            <w:proofErr w:type="gramEnd"/>
            <w:r w:rsidRPr="00583899">
              <w:rPr>
                <w:rFonts w:ascii="Arial" w:hAnsi="Arial" w:cs="Arial"/>
                <w:color w:val="000000"/>
                <w:sz w:val="16"/>
                <w:szCs w:val="16"/>
              </w:rPr>
              <w:t xml:space="preserve"> Fund </w:t>
            </w:r>
          </w:p>
        </w:tc>
        <w:tc>
          <w:tcPr>
            <w:tcW w:w="772" w:type="pct"/>
            <w:tcBorders>
              <w:top w:val="nil"/>
              <w:left w:val="nil"/>
              <w:bottom w:val="single" w:sz="4" w:space="0" w:color="000000"/>
              <w:right w:val="nil"/>
            </w:tcBorders>
            <w:shd w:val="clear" w:color="000000" w:fill="FFFFFF"/>
            <w:vAlign w:val="center"/>
            <w:hideMark/>
          </w:tcPr>
          <w:p w14:paraId="74D976CF"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$m </w:t>
            </w:r>
          </w:p>
        </w:tc>
        <w:tc>
          <w:tcPr>
            <w:tcW w:w="772" w:type="pct"/>
            <w:tcBorders>
              <w:top w:val="nil"/>
              <w:left w:val="nil"/>
              <w:bottom w:val="single" w:sz="4" w:space="0" w:color="000000"/>
              <w:right w:val="nil"/>
            </w:tcBorders>
            <w:shd w:val="clear" w:color="000000" w:fill="FFFFFF"/>
            <w:vAlign w:val="center"/>
            <w:hideMark/>
          </w:tcPr>
          <w:p w14:paraId="55AFE426"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 xml:space="preserve">% </w:t>
            </w:r>
            <w:proofErr w:type="gramStart"/>
            <w:r w:rsidRPr="00583899">
              <w:rPr>
                <w:rFonts w:ascii="Arial" w:hAnsi="Arial" w:cs="Arial"/>
                <w:color w:val="000000"/>
                <w:sz w:val="16"/>
                <w:szCs w:val="16"/>
              </w:rPr>
              <w:t>of</w:t>
            </w:r>
            <w:proofErr w:type="gramEnd"/>
            <w:r w:rsidRPr="00583899">
              <w:rPr>
                <w:rFonts w:ascii="Arial" w:hAnsi="Arial" w:cs="Arial"/>
                <w:color w:val="000000"/>
                <w:sz w:val="16"/>
                <w:szCs w:val="16"/>
              </w:rPr>
              <w:t xml:space="preserve"> Fund </w:t>
            </w:r>
          </w:p>
        </w:tc>
      </w:tr>
      <w:tr w:rsidR="00583899" w:rsidRPr="00583899" w14:paraId="48086F85" w14:textId="77777777" w:rsidTr="00583899">
        <w:trPr>
          <w:trHeight w:hRule="exact" w:val="230"/>
        </w:trPr>
        <w:tc>
          <w:tcPr>
            <w:tcW w:w="1929" w:type="pct"/>
            <w:tcBorders>
              <w:top w:val="nil"/>
              <w:left w:val="nil"/>
              <w:bottom w:val="nil"/>
              <w:right w:val="nil"/>
            </w:tcBorders>
            <w:shd w:val="clear" w:color="000000" w:fill="FFFFFF"/>
            <w:vAlign w:val="center"/>
            <w:hideMark/>
          </w:tcPr>
          <w:p w14:paraId="736D2685"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Australian equities </w:t>
            </w:r>
          </w:p>
        </w:tc>
        <w:tc>
          <w:tcPr>
            <w:tcW w:w="756" w:type="pct"/>
            <w:tcBorders>
              <w:top w:val="nil"/>
              <w:left w:val="nil"/>
              <w:bottom w:val="nil"/>
              <w:right w:val="nil"/>
            </w:tcBorders>
            <w:shd w:val="clear" w:color="000000" w:fill="FFFFFF"/>
            <w:vAlign w:val="center"/>
            <w:hideMark/>
          </w:tcPr>
          <w:p w14:paraId="3D6BB08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17,913</w:t>
            </w:r>
          </w:p>
        </w:tc>
        <w:tc>
          <w:tcPr>
            <w:tcW w:w="772" w:type="pct"/>
            <w:tcBorders>
              <w:top w:val="nil"/>
              <w:left w:val="nil"/>
              <w:bottom w:val="nil"/>
              <w:right w:val="nil"/>
            </w:tcBorders>
            <w:shd w:val="clear" w:color="000000" w:fill="FFFFFF"/>
            <w:vAlign w:val="center"/>
            <w:hideMark/>
          </w:tcPr>
          <w:p w14:paraId="676020C1"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8.8</w:t>
            </w:r>
          </w:p>
        </w:tc>
        <w:tc>
          <w:tcPr>
            <w:tcW w:w="772" w:type="pct"/>
            <w:tcBorders>
              <w:top w:val="nil"/>
              <w:left w:val="nil"/>
              <w:bottom w:val="nil"/>
              <w:right w:val="nil"/>
            </w:tcBorders>
            <w:shd w:val="clear" w:color="000000" w:fill="FFFFFF"/>
            <w:vAlign w:val="center"/>
            <w:hideMark/>
          </w:tcPr>
          <w:p w14:paraId="6DD573A9"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17,028</w:t>
            </w:r>
          </w:p>
        </w:tc>
        <w:tc>
          <w:tcPr>
            <w:tcW w:w="772" w:type="pct"/>
            <w:tcBorders>
              <w:top w:val="nil"/>
              <w:left w:val="nil"/>
              <w:bottom w:val="nil"/>
              <w:right w:val="nil"/>
            </w:tcBorders>
            <w:shd w:val="clear" w:color="000000" w:fill="FFFFFF"/>
            <w:vAlign w:val="center"/>
            <w:hideMark/>
          </w:tcPr>
          <w:p w14:paraId="30C31BA6"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8.5</w:t>
            </w:r>
          </w:p>
        </w:tc>
      </w:tr>
      <w:tr w:rsidR="00583899" w:rsidRPr="00583899" w14:paraId="4F239BD1" w14:textId="77777777" w:rsidTr="00583899">
        <w:trPr>
          <w:trHeight w:hRule="exact" w:val="230"/>
        </w:trPr>
        <w:tc>
          <w:tcPr>
            <w:tcW w:w="1929" w:type="pct"/>
            <w:tcBorders>
              <w:top w:val="nil"/>
              <w:left w:val="nil"/>
              <w:bottom w:val="nil"/>
              <w:right w:val="nil"/>
            </w:tcBorders>
            <w:shd w:val="clear" w:color="000000" w:fill="FFFFFF"/>
            <w:vAlign w:val="center"/>
            <w:hideMark/>
          </w:tcPr>
          <w:p w14:paraId="06AB0E59"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Global equities </w:t>
            </w:r>
          </w:p>
        </w:tc>
        <w:tc>
          <w:tcPr>
            <w:tcW w:w="756" w:type="pct"/>
            <w:tcBorders>
              <w:top w:val="nil"/>
              <w:left w:val="nil"/>
              <w:bottom w:val="nil"/>
              <w:right w:val="nil"/>
            </w:tcBorders>
            <w:shd w:val="clear" w:color="000000" w:fill="FFFFFF"/>
            <w:vAlign w:val="center"/>
            <w:hideMark/>
          </w:tcPr>
          <w:p w14:paraId="6B521551"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  </w:t>
            </w:r>
          </w:p>
        </w:tc>
        <w:tc>
          <w:tcPr>
            <w:tcW w:w="772" w:type="pct"/>
            <w:tcBorders>
              <w:top w:val="nil"/>
              <w:left w:val="nil"/>
              <w:bottom w:val="nil"/>
              <w:right w:val="nil"/>
            </w:tcBorders>
            <w:shd w:val="clear" w:color="000000" w:fill="FFFFFF"/>
            <w:vAlign w:val="center"/>
            <w:hideMark/>
          </w:tcPr>
          <w:p w14:paraId="4708ABFA"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  </w:t>
            </w:r>
          </w:p>
        </w:tc>
        <w:tc>
          <w:tcPr>
            <w:tcW w:w="772" w:type="pct"/>
            <w:tcBorders>
              <w:top w:val="nil"/>
              <w:left w:val="nil"/>
              <w:bottom w:val="nil"/>
              <w:right w:val="nil"/>
            </w:tcBorders>
            <w:shd w:val="clear" w:color="000000" w:fill="FFFFFF"/>
            <w:vAlign w:val="center"/>
            <w:hideMark/>
          </w:tcPr>
          <w:p w14:paraId="32BA70DC"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  </w:t>
            </w:r>
          </w:p>
        </w:tc>
        <w:tc>
          <w:tcPr>
            <w:tcW w:w="772" w:type="pct"/>
            <w:tcBorders>
              <w:top w:val="nil"/>
              <w:left w:val="nil"/>
              <w:bottom w:val="nil"/>
              <w:right w:val="nil"/>
            </w:tcBorders>
            <w:shd w:val="clear" w:color="000000" w:fill="FFFFFF"/>
            <w:vAlign w:val="center"/>
            <w:hideMark/>
          </w:tcPr>
          <w:p w14:paraId="35887600"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  </w:t>
            </w:r>
          </w:p>
        </w:tc>
      </w:tr>
      <w:tr w:rsidR="00583899" w:rsidRPr="00583899" w14:paraId="7210F279" w14:textId="77777777" w:rsidTr="00583899">
        <w:trPr>
          <w:trHeight w:hRule="exact" w:val="230"/>
        </w:trPr>
        <w:tc>
          <w:tcPr>
            <w:tcW w:w="1929" w:type="pct"/>
            <w:tcBorders>
              <w:top w:val="nil"/>
              <w:left w:val="nil"/>
              <w:bottom w:val="nil"/>
              <w:right w:val="nil"/>
            </w:tcBorders>
            <w:shd w:val="clear" w:color="000000" w:fill="FFFFFF"/>
            <w:vAlign w:val="center"/>
            <w:hideMark/>
          </w:tcPr>
          <w:p w14:paraId="241D7526" w14:textId="77777777" w:rsidR="00583899" w:rsidRPr="00583899" w:rsidRDefault="00583899" w:rsidP="00583899">
            <w:pPr>
              <w:spacing w:before="0" w:after="0" w:line="240" w:lineRule="auto"/>
              <w:rPr>
                <w:rFonts w:ascii="Arial" w:hAnsi="Arial" w:cs="Arial"/>
                <w:i/>
                <w:iCs/>
                <w:color w:val="000000"/>
                <w:sz w:val="16"/>
                <w:szCs w:val="16"/>
              </w:rPr>
            </w:pPr>
            <w:r w:rsidRPr="00583899">
              <w:rPr>
                <w:rFonts w:ascii="Arial" w:hAnsi="Arial" w:cs="Arial"/>
                <w:i/>
                <w:iCs/>
                <w:color w:val="000000"/>
                <w:sz w:val="16"/>
                <w:szCs w:val="16"/>
              </w:rPr>
              <w:t>   Developed markets</w:t>
            </w:r>
            <w:r w:rsidRPr="00583899">
              <w:rPr>
                <w:rFonts w:ascii="Arial" w:hAnsi="Arial" w:cs="Arial"/>
                <w:color w:val="000000"/>
                <w:sz w:val="16"/>
                <w:szCs w:val="16"/>
              </w:rPr>
              <w:t> </w:t>
            </w:r>
          </w:p>
        </w:tc>
        <w:tc>
          <w:tcPr>
            <w:tcW w:w="756" w:type="pct"/>
            <w:tcBorders>
              <w:top w:val="nil"/>
              <w:left w:val="nil"/>
              <w:bottom w:val="nil"/>
              <w:right w:val="nil"/>
            </w:tcBorders>
            <w:shd w:val="clear" w:color="000000" w:fill="FFFFFF"/>
            <w:vAlign w:val="center"/>
            <w:hideMark/>
          </w:tcPr>
          <w:p w14:paraId="1923EC94"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34,536</w:t>
            </w:r>
          </w:p>
        </w:tc>
        <w:tc>
          <w:tcPr>
            <w:tcW w:w="772" w:type="pct"/>
            <w:tcBorders>
              <w:top w:val="nil"/>
              <w:left w:val="nil"/>
              <w:bottom w:val="nil"/>
              <w:right w:val="nil"/>
            </w:tcBorders>
            <w:shd w:val="clear" w:color="000000" w:fill="FFFFFF"/>
            <w:vAlign w:val="center"/>
            <w:hideMark/>
          </w:tcPr>
          <w:p w14:paraId="12379EF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17.0</w:t>
            </w:r>
          </w:p>
        </w:tc>
        <w:tc>
          <w:tcPr>
            <w:tcW w:w="772" w:type="pct"/>
            <w:tcBorders>
              <w:top w:val="nil"/>
              <w:left w:val="nil"/>
              <w:bottom w:val="nil"/>
              <w:right w:val="nil"/>
            </w:tcBorders>
            <w:shd w:val="clear" w:color="000000" w:fill="FFFFFF"/>
            <w:vAlign w:val="center"/>
            <w:hideMark/>
          </w:tcPr>
          <w:p w14:paraId="7ADA423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32,776</w:t>
            </w:r>
          </w:p>
        </w:tc>
        <w:tc>
          <w:tcPr>
            <w:tcW w:w="772" w:type="pct"/>
            <w:tcBorders>
              <w:top w:val="nil"/>
              <w:left w:val="nil"/>
              <w:bottom w:val="nil"/>
              <w:right w:val="nil"/>
            </w:tcBorders>
            <w:shd w:val="clear" w:color="000000" w:fill="FFFFFF"/>
            <w:vAlign w:val="center"/>
            <w:hideMark/>
          </w:tcPr>
          <w:p w14:paraId="222B4C0A"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16.3</w:t>
            </w:r>
          </w:p>
        </w:tc>
      </w:tr>
      <w:tr w:rsidR="00583899" w:rsidRPr="00583899" w14:paraId="5CCDF99F" w14:textId="77777777" w:rsidTr="00583899">
        <w:trPr>
          <w:trHeight w:hRule="exact" w:val="230"/>
        </w:trPr>
        <w:tc>
          <w:tcPr>
            <w:tcW w:w="1929" w:type="pct"/>
            <w:tcBorders>
              <w:top w:val="nil"/>
              <w:left w:val="nil"/>
              <w:bottom w:val="nil"/>
              <w:right w:val="nil"/>
            </w:tcBorders>
            <w:shd w:val="clear" w:color="000000" w:fill="FFFFFF"/>
            <w:vAlign w:val="center"/>
            <w:hideMark/>
          </w:tcPr>
          <w:p w14:paraId="0F32F9CE" w14:textId="77777777" w:rsidR="00583899" w:rsidRPr="00583899" w:rsidRDefault="00583899" w:rsidP="00583899">
            <w:pPr>
              <w:spacing w:before="0" w:after="0" w:line="240" w:lineRule="auto"/>
              <w:rPr>
                <w:rFonts w:ascii="Arial" w:hAnsi="Arial" w:cs="Arial"/>
                <w:i/>
                <w:iCs/>
                <w:color w:val="000000"/>
                <w:sz w:val="16"/>
                <w:szCs w:val="16"/>
              </w:rPr>
            </w:pPr>
            <w:r w:rsidRPr="00583899">
              <w:rPr>
                <w:rFonts w:ascii="Arial" w:hAnsi="Arial" w:cs="Arial"/>
                <w:i/>
                <w:iCs/>
                <w:color w:val="000000"/>
                <w:sz w:val="16"/>
                <w:szCs w:val="16"/>
              </w:rPr>
              <w:t>   Emerging markets</w:t>
            </w:r>
            <w:r w:rsidRPr="00583899">
              <w:rPr>
                <w:rFonts w:ascii="Arial" w:hAnsi="Arial" w:cs="Arial"/>
                <w:color w:val="000000"/>
                <w:sz w:val="16"/>
                <w:szCs w:val="16"/>
              </w:rPr>
              <w:t> </w:t>
            </w:r>
          </w:p>
        </w:tc>
        <w:tc>
          <w:tcPr>
            <w:tcW w:w="756" w:type="pct"/>
            <w:tcBorders>
              <w:top w:val="nil"/>
              <w:left w:val="nil"/>
              <w:bottom w:val="nil"/>
              <w:right w:val="nil"/>
            </w:tcBorders>
            <w:shd w:val="clear" w:color="000000" w:fill="FFFFFF"/>
            <w:vAlign w:val="center"/>
            <w:hideMark/>
          </w:tcPr>
          <w:p w14:paraId="31A61267"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11,955</w:t>
            </w:r>
          </w:p>
        </w:tc>
        <w:tc>
          <w:tcPr>
            <w:tcW w:w="772" w:type="pct"/>
            <w:tcBorders>
              <w:top w:val="nil"/>
              <w:left w:val="nil"/>
              <w:bottom w:val="nil"/>
              <w:right w:val="nil"/>
            </w:tcBorders>
            <w:shd w:val="clear" w:color="000000" w:fill="FFFFFF"/>
            <w:vAlign w:val="center"/>
            <w:hideMark/>
          </w:tcPr>
          <w:p w14:paraId="4B1CC69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5.9</w:t>
            </w:r>
          </w:p>
        </w:tc>
        <w:tc>
          <w:tcPr>
            <w:tcW w:w="772" w:type="pct"/>
            <w:tcBorders>
              <w:top w:val="nil"/>
              <w:left w:val="nil"/>
              <w:bottom w:val="nil"/>
              <w:right w:val="nil"/>
            </w:tcBorders>
            <w:shd w:val="clear" w:color="000000" w:fill="FFFFFF"/>
            <w:vAlign w:val="center"/>
            <w:hideMark/>
          </w:tcPr>
          <w:p w14:paraId="29FB9282"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12,237</w:t>
            </w:r>
          </w:p>
        </w:tc>
        <w:tc>
          <w:tcPr>
            <w:tcW w:w="772" w:type="pct"/>
            <w:tcBorders>
              <w:top w:val="nil"/>
              <w:left w:val="nil"/>
              <w:bottom w:val="nil"/>
              <w:right w:val="nil"/>
            </w:tcBorders>
            <w:shd w:val="clear" w:color="000000" w:fill="FFFFFF"/>
            <w:vAlign w:val="center"/>
            <w:hideMark/>
          </w:tcPr>
          <w:p w14:paraId="33303E2C"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6.1</w:t>
            </w:r>
          </w:p>
        </w:tc>
      </w:tr>
      <w:tr w:rsidR="00583899" w:rsidRPr="00583899" w14:paraId="03DCAF90" w14:textId="77777777" w:rsidTr="00583899">
        <w:trPr>
          <w:trHeight w:hRule="exact" w:val="230"/>
        </w:trPr>
        <w:tc>
          <w:tcPr>
            <w:tcW w:w="1929" w:type="pct"/>
            <w:tcBorders>
              <w:top w:val="nil"/>
              <w:left w:val="nil"/>
              <w:bottom w:val="nil"/>
              <w:right w:val="nil"/>
            </w:tcBorders>
            <w:shd w:val="clear" w:color="000000" w:fill="FFFFFF"/>
            <w:vAlign w:val="center"/>
            <w:hideMark/>
          </w:tcPr>
          <w:p w14:paraId="64EE2838"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Private equity </w:t>
            </w:r>
          </w:p>
        </w:tc>
        <w:tc>
          <w:tcPr>
            <w:tcW w:w="756" w:type="pct"/>
            <w:tcBorders>
              <w:top w:val="nil"/>
              <w:left w:val="nil"/>
              <w:bottom w:val="nil"/>
              <w:right w:val="nil"/>
            </w:tcBorders>
            <w:shd w:val="clear" w:color="000000" w:fill="FFFFFF"/>
            <w:vAlign w:val="center"/>
            <w:hideMark/>
          </w:tcPr>
          <w:p w14:paraId="1F89D5EC"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33,320</w:t>
            </w:r>
          </w:p>
        </w:tc>
        <w:tc>
          <w:tcPr>
            <w:tcW w:w="772" w:type="pct"/>
            <w:tcBorders>
              <w:top w:val="nil"/>
              <w:left w:val="nil"/>
              <w:bottom w:val="nil"/>
              <w:right w:val="nil"/>
            </w:tcBorders>
            <w:shd w:val="clear" w:color="000000" w:fill="FFFFFF"/>
            <w:vAlign w:val="center"/>
            <w:hideMark/>
          </w:tcPr>
          <w:p w14:paraId="05E06F97"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16.4</w:t>
            </w:r>
          </w:p>
        </w:tc>
        <w:tc>
          <w:tcPr>
            <w:tcW w:w="772" w:type="pct"/>
            <w:tcBorders>
              <w:top w:val="nil"/>
              <w:left w:val="nil"/>
              <w:bottom w:val="nil"/>
              <w:right w:val="nil"/>
            </w:tcBorders>
            <w:shd w:val="clear" w:color="000000" w:fill="FFFFFF"/>
            <w:vAlign w:val="center"/>
            <w:hideMark/>
          </w:tcPr>
          <w:p w14:paraId="0E25B7D2"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33,769</w:t>
            </w:r>
          </w:p>
        </w:tc>
        <w:tc>
          <w:tcPr>
            <w:tcW w:w="772" w:type="pct"/>
            <w:tcBorders>
              <w:top w:val="nil"/>
              <w:left w:val="nil"/>
              <w:bottom w:val="nil"/>
              <w:right w:val="nil"/>
            </w:tcBorders>
            <w:shd w:val="clear" w:color="000000" w:fill="FFFFFF"/>
            <w:vAlign w:val="center"/>
            <w:hideMark/>
          </w:tcPr>
          <w:p w14:paraId="58099D19"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16.8</w:t>
            </w:r>
          </w:p>
        </w:tc>
      </w:tr>
      <w:tr w:rsidR="00583899" w:rsidRPr="00583899" w14:paraId="004B3468" w14:textId="77777777" w:rsidTr="00583899">
        <w:trPr>
          <w:trHeight w:hRule="exact" w:val="230"/>
        </w:trPr>
        <w:tc>
          <w:tcPr>
            <w:tcW w:w="1929" w:type="pct"/>
            <w:tcBorders>
              <w:top w:val="nil"/>
              <w:left w:val="nil"/>
              <w:bottom w:val="nil"/>
              <w:right w:val="nil"/>
            </w:tcBorders>
            <w:shd w:val="clear" w:color="000000" w:fill="FFFFFF"/>
            <w:vAlign w:val="center"/>
            <w:hideMark/>
          </w:tcPr>
          <w:p w14:paraId="4447D4DE"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Property </w:t>
            </w:r>
          </w:p>
        </w:tc>
        <w:tc>
          <w:tcPr>
            <w:tcW w:w="756" w:type="pct"/>
            <w:tcBorders>
              <w:top w:val="nil"/>
              <w:left w:val="nil"/>
              <w:bottom w:val="nil"/>
              <w:right w:val="nil"/>
            </w:tcBorders>
            <w:shd w:val="clear" w:color="000000" w:fill="FFFFFF"/>
            <w:vAlign w:val="center"/>
            <w:hideMark/>
          </w:tcPr>
          <w:p w14:paraId="12BE3346"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13,118</w:t>
            </w:r>
          </w:p>
        </w:tc>
        <w:tc>
          <w:tcPr>
            <w:tcW w:w="772" w:type="pct"/>
            <w:tcBorders>
              <w:top w:val="nil"/>
              <w:left w:val="nil"/>
              <w:bottom w:val="nil"/>
              <w:right w:val="nil"/>
            </w:tcBorders>
            <w:shd w:val="clear" w:color="000000" w:fill="FFFFFF"/>
            <w:vAlign w:val="center"/>
            <w:hideMark/>
          </w:tcPr>
          <w:p w14:paraId="25C1CA1D"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6.5</w:t>
            </w:r>
          </w:p>
        </w:tc>
        <w:tc>
          <w:tcPr>
            <w:tcW w:w="772" w:type="pct"/>
            <w:tcBorders>
              <w:top w:val="nil"/>
              <w:left w:val="nil"/>
              <w:bottom w:val="nil"/>
              <w:right w:val="nil"/>
            </w:tcBorders>
            <w:shd w:val="clear" w:color="000000" w:fill="FFFFFF"/>
            <w:vAlign w:val="center"/>
            <w:hideMark/>
          </w:tcPr>
          <w:p w14:paraId="1673918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12,689</w:t>
            </w:r>
          </w:p>
        </w:tc>
        <w:tc>
          <w:tcPr>
            <w:tcW w:w="772" w:type="pct"/>
            <w:tcBorders>
              <w:top w:val="nil"/>
              <w:left w:val="nil"/>
              <w:bottom w:val="nil"/>
              <w:right w:val="nil"/>
            </w:tcBorders>
            <w:shd w:val="clear" w:color="000000" w:fill="FFFFFF"/>
            <w:vAlign w:val="center"/>
            <w:hideMark/>
          </w:tcPr>
          <w:p w14:paraId="6AA2BD75"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6.3</w:t>
            </w:r>
          </w:p>
        </w:tc>
      </w:tr>
      <w:tr w:rsidR="00583899" w:rsidRPr="00583899" w14:paraId="22BE2AEB" w14:textId="77777777" w:rsidTr="00583899">
        <w:trPr>
          <w:trHeight w:hRule="exact" w:val="230"/>
        </w:trPr>
        <w:tc>
          <w:tcPr>
            <w:tcW w:w="1929" w:type="pct"/>
            <w:tcBorders>
              <w:top w:val="nil"/>
              <w:left w:val="nil"/>
              <w:bottom w:val="nil"/>
              <w:right w:val="nil"/>
            </w:tcBorders>
            <w:shd w:val="clear" w:color="000000" w:fill="FFFFFF"/>
            <w:vAlign w:val="center"/>
            <w:hideMark/>
          </w:tcPr>
          <w:p w14:paraId="602639C5"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Infrastructure &amp; Timberland </w:t>
            </w:r>
          </w:p>
        </w:tc>
        <w:tc>
          <w:tcPr>
            <w:tcW w:w="756" w:type="pct"/>
            <w:tcBorders>
              <w:top w:val="nil"/>
              <w:left w:val="nil"/>
              <w:bottom w:val="nil"/>
              <w:right w:val="nil"/>
            </w:tcBorders>
            <w:shd w:val="clear" w:color="000000" w:fill="FFFFFF"/>
            <w:vAlign w:val="center"/>
            <w:hideMark/>
          </w:tcPr>
          <w:p w14:paraId="3583190E"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19,166</w:t>
            </w:r>
          </w:p>
        </w:tc>
        <w:tc>
          <w:tcPr>
            <w:tcW w:w="772" w:type="pct"/>
            <w:tcBorders>
              <w:top w:val="nil"/>
              <w:left w:val="nil"/>
              <w:bottom w:val="nil"/>
              <w:right w:val="nil"/>
            </w:tcBorders>
            <w:shd w:val="clear" w:color="000000" w:fill="FFFFFF"/>
            <w:vAlign w:val="center"/>
            <w:hideMark/>
          </w:tcPr>
          <w:p w14:paraId="0164F1D3"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9.4</w:t>
            </w:r>
          </w:p>
        </w:tc>
        <w:tc>
          <w:tcPr>
            <w:tcW w:w="772" w:type="pct"/>
            <w:tcBorders>
              <w:top w:val="nil"/>
              <w:left w:val="nil"/>
              <w:bottom w:val="nil"/>
              <w:right w:val="nil"/>
            </w:tcBorders>
            <w:shd w:val="clear" w:color="000000" w:fill="FFFFFF"/>
            <w:vAlign w:val="center"/>
            <w:hideMark/>
          </w:tcPr>
          <w:p w14:paraId="189DE6EC"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16,451</w:t>
            </w:r>
          </w:p>
        </w:tc>
        <w:tc>
          <w:tcPr>
            <w:tcW w:w="772" w:type="pct"/>
            <w:tcBorders>
              <w:top w:val="nil"/>
              <w:left w:val="nil"/>
              <w:bottom w:val="nil"/>
              <w:right w:val="nil"/>
            </w:tcBorders>
            <w:shd w:val="clear" w:color="000000" w:fill="FFFFFF"/>
            <w:vAlign w:val="center"/>
            <w:hideMark/>
          </w:tcPr>
          <w:p w14:paraId="7CB0B935"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8.2</w:t>
            </w:r>
          </w:p>
        </w:tc>
      </w:tr>
      <w:tr w:rsidR="00583899" w:rsidRPr="00583899" w14:paraId="4E58E738" w14:textId="77777777" w:rsidTr="00583899">
        <w:trPr>
          <w:trHeight w:hRule="exact" w:val="230"/>
        </w:trPr>
        <w:tc>
          <w:tcPr>
            <w:tcW w:w="1929" w:type="pct"/>
            <w:tcBorders>
              <w:top w:val="nil"/>
              <w:left w:val="nil"/>
              <w:bottom w:val="nil"/>
              <w:right w:val="nil"/>
            </w:tcBorders>
            <w:shd w:val="clear" w:color="000000" w:fill="FFFFFF"/>
            <w:vAlign w:val="center"/>
            <w:hideMark/>
          </w:tcPr>
          <w:p w14:paraId="74813097"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Debt securities </w:t>
            </w:r>
          </w:p>
        </w:tc>
        <w:tc>
          <w:tcPr>
            <w:tcW w:w="756" w:type="pct"/>
            <w:tcBorders>
              <w:top w:val="nil"/>
              <w:left w:val="nil"/>
              <w:bottom w:val="nil"/>
              <w:right w:val="nil"/>
            </w:tcBorders>
            <w:shd w:val="clear" w:color="000000" w:fill="FFFFFF"/>
            <w:vAlign w:val="center"/>
            <w:hideMark/>
          </w:tcPr>
          <w:p w14:paraId="1B320C0A"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16,706</w:t>
            </w:r>
          </w:p>
        </w:tc>
        <w:tc>
          <w:tcPr>
            <w:tcW w:w="772" w:type="pct"/>
            <w:tcBorders>
              <w:top w:val="nil"/>
              <w:left w:val="nil"/>
              <w:bottom w:val="nil"/>
              <w:right w:val="nil"/>
            </w:tcBorders>
            <w:shd w:val="clear" w:color="000000" w:fill="FFFFFF"/>
            <w:vAlign w:val="center"/>
            <w:hideMark/>
          </w:tcPr>
          <w:p w14:paraId="6A04A6C9"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8.2</w:t>
            </w:r>
          </w:p>
        </w:tc>
        <w:tc>
          <w:tcPr>
            <w:tcW w:w="772" w:type="pct"/>
            <w:tcBorders>
              <w:top w:val="nil"/>
              <w:left w:val="nil"/>
              <w:bottom w:val="nil"/>
              <w:right w:val="nil"/>
            </w:tcBorders>
            <w:shd w:val="clear" w:color="000000" w:fill="FFFFFF"/>
            <w:vAlign w:val="center"/>
            <w:hideMark/>
          </w:tcPr>
          <w:p w14:paraId="4F7F4DFA"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14,941</w:t>
            </w:r>
          </w:p>
        </w:tc>
        <w:tc>
          <w:tcPr>
            <w:tcW w:w="772" w:type="pct"/>
            <w:tcBorders>
              <w:top w:val="nil"/>
              <w:left w:val="nil"/>
              <w:bottom w:val="nil"/>
              <w:right w:val="nil"/>
            </w:tcBorders>
            <w:shd w:val="clear" w:color="000000" w:fill="FFFFFF"/>
            <w:vAlign w:val="center"/>
            <w:hideMark/>
          </w:tcPr>
          <w:p w14:paraId="61DF4B4E"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7.4</w:t>
            </w:r>
          </w:p>
        </w:tc>
      </w:tr>
      <w:tr w:rsidR="00583899" w:rsidRPr="00583899" w14:paraId="21D53B94" w14:textId="77777777" w:rsidTr="00583899">
        <w:trPr>
          <w:trHeight w:hRule="exact" w:val="230"/>
        </w:trPr>
        <w:tc>
          <w:tcPr>
            <w:tcW w:w="1929" w:type="pct"/>
            <w:tcBorders>
              <w:top w:val="nil"/>
              <w:left w:val="nil"/>
              <w:bottom w:val="nil"/>
              <w:right w:val="nil"/>
            </w:tcBorders>
            <w:shd w:val="clear" w:color="000000" w:fill="FFFFFF"/>
            <w:vAlign w:val="center"/>
            <w:hideMark/>
          </w:tcPr>
          <w:p w14:paraId="43AB4129"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Alternative assets </w:t>
            </w:r>
          </w:p>
        </w:tc>
        <w:tc>
          <w:tcPr>
            <w:tcW w:w="756" w:type="pct"/>
            <w:tcBorders>
              <w:top w:val="nil"/>
              <w:left w:val="nil"/>
              <w:bottom w:val="nil"/>
              <w:right w:val="nil"/>
            </w:tcBorders>
            <w:shd w:val="clear" w:color="000000" w:fill="FFFFFF"/>
            <w:vAlign w:val="center"/>
            <w:hideMark/>
          </w:tcPr>
          <w:p w14:paraId="1BEF985D"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34,616</w:t>
            </w:r>
          </w:p>
        </w:tc>
        <w:tc>
          <w:tcPr>
            <w:tcW w:w="772" w:type="pct"/>
            <w:tcBorders>
              <w:top w:val="nil"/>
              <w:left w:val="nil"/>
              <w:bottom w:val="nil"/>
              <w:right w:val="nil"/>
            </w:tcBorders>
            <w:shd w:val="clear" w:color="000000" w:fill="FFFFFF"/>
            <w:vAlign w:val="center"/>
            <w:hideMark/>
          </w:tcPr>
          <w:p w14:paraId="51B4F2CA"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17.1</w:t>
            </w:r>
          </w:p>
        </w:tc>
        <w:tc>
          <w:tcPr>
            <w:tcW w:w="772" w:type="pct"/>
            <w:tcBorders>
              <w:top w:val="nil"/>
              <w:left w:val="nil"/>
              <w:bottom w:val="nil"/>
              <w:right w:val="nil"/>
            </w:tcBorders>
            <w:shd w:val="clear" w:color="000000" w:fill="FFFFFF"/>
            <w:vAlign w:val="center"/>
            <w:hideMark/>
          </w:tcPr>
          <w:p w14:paraId="25D3026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30,510</w:t>
            </w:r>
          </w:p>
        </w:tc>
        <w:tc>
          <w:tcPr>
            <w:tcW w:w="772" w:type="pct"/>
            <w:tcBorders>
              <w:top w:val="nil"/>
              <w:left w:val="nil"/>
              <w:bottom w:val="nil"/>
              <w:right w:val="nil"/>
            </w:tcBorders>
            <w:shd w:val="clear" w:color="000000" w:fill="FFFFFF"/>
            <w:vAlign w:val="center"/>
            <w:hideMark/>
          </w:tcPr>
          <w:p w14:paraId="2B100D26"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15.2</w:t>
            </w:r>
          </w:p>
        </w:tc>
      </w:tr>
      <w:tr w:rsidR="00583899" w:rsidRPr="00583899" w14:paraId="3A56F9AC" w14:textId="77777777" w:rsidTr="00583899">
        <w:trPr>
          <w:trHeight w:hRule="exact" w:val="230"/>
        </w:trPr>
        <w:tc>
          <w:tcPr>
            <w:tcW w:w="1929" w:type="pct"/>
            <w:tcBorders>
              <w:top w:val="nil"/>
              <w:left w:val="nil"/>
              <w:bottom w:val="nil"/>
              <w:right w:val="nil"/>
            </w:tcBorders>
            <w:shd w:val="clear" w:color="000000" w:fill="FFFFFF"/>
            <w:vAlign w:val="center"/>
            <w:hideMark/>
          </w:tcPr>
          <w:p w14:paraId="0C5B6F44" w14:textId="77777777" w:rsidR="00583899" w:rsidRPr="00583899" w:rsidRDefault="00583899" w:rsidP="00583899">
            <w:pPr>
              <w:spacing w:before="0" w:after="0" w:line="240" w:lineRule="auto"/>
              <w:rPr>
                <w:rFonts w:ascii="Arial" w:hAnsi="Arial" w:cs="Arial"/>
                <w:color w:val="000000"/>
                <w:sz w:val="16"/>
                <w:szCs w:val="16"/>
              </w:rPr>
            </w:pPr>
            <w:r w:rsidRPr="00583899">
              <w:rPr>
                <w:rFonts w:ascii="Arial" w:hAnsi="Arial" w:cs="Arial"/>
                <w:color w:val="000000"/>
                <w:sz w:val="16"/>
                <w:szCs w:val="16"/>
              </w:rPr>
              <w:t>Cash </w:t>
            </w:r>
          </w:p>
        </w:tc>
        <w:tc>
          <w:tcPr>
            <w:tcW w:w="756" w:type="pct"/>
            <w:tcBorders>
              <w:top w:val="nil"/>
              <w:left w:val="nil"/>
              <w:bottom w:val="nil"/>
              <w:right w:val="nil"/>
            </w:tcBorders>
            <w:shd w:val="clear" w:color="000000" w:fill="FFFFFF"/>
            <w:vAlign w:val="center"/>
            <w:hideMark/>
          </w:tcPr>
          <w:p w14:paraId="2AC836A8"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21,488</w:t>
            </w:r>
          </w:p>
        </w:tc>
        <w:tc>
          <w:tcPr>
            <w:tcW w:w="772" w:type="pct"/>
            <w:tcBorders>
              <w:top w:val="nil"/>
              <w:left w:val="nil"/>
              <w:bottom w:val="nil"/>
              <w:right w:val="nil"/>
            </w:tcBorders>
            <w:shd w:val="clear" w:color="000000" w:fill="FFFFFF"/>
            <w:vAlign w:val="center"/>
            <w:hideMark/>
          </w:tcPr>
          <w:p w14:paraId="5DE59249"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10.6</w:t>
            </w:r>
          </w:p>
        </w:tc>
        <w:tc>
          <w:tcPr>
            <w:tcW w:w="772" w:type="pct"/>
            <w:tcBorders>
              <w:top w:val="nil"/>
              <w:left w:val="nil"/>
              <w:bottom w:val="nil"/>
              <w:right w:val="nil"/>
            </w:tcBorders>
            <w:shd w:val="clear" w:color="000000" w:fill="FFFFFF"/>
            <w:vAlign w:val="center"/>
            <w:hideMark/>
          </w:tcPr>
          <w:p w14:paraId="4B29F0C2"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30,260</w:t>
            </w:r>
          </w:p>
        </w:tc>
        <w:tc>
          <w:tcPr>
            <w:tcW w:w="772" w:type="pct"/>
            <w:tcBorders>
              <w:top w:val="nil"/>
              <w:left w:val="nil"/>
              <w:bottom w:val="nil"/>
              <w:right w:val="nil"/>
            </w:tcBorders>
            <w:shd w:val="clear" w:color="000000" w:fill="FFFFFF"/>
            <w:vAlign w:val="center"/>
            <w:hideMark/>
          </w:tcPr>
          <w:p w14:paraId="23060E15" w14:textId="77777777" w:rsidR="00583899" w:rsidRPr="00583899" w:rsidRDefault="00583899" w:rsidP="00583899">
            <w:pPr>
              <w:spacing w:before="0" w:after="0" w:line="240" w:lineRule="auto"/>
              <w:jc w:val="right"/>
              <w:rPr>
                <w:rFonts w:ascii="Arial" w:hAnsi="Arial" w:cs="Arial"/>
                <w:color w:val="000000"/>
                <w:sz w:val="16"/>
                <w:szCs w:val="16"/>
              </w:rPr>
            </w:pPr>
            <w:r w:rsidRPr="00583899">
              <w:rPr>
                <w:rFonts w:ascii="Arial" w:hAnsi="Arial" w:cs="Arial"/>
                <w:color w:val="000000"/>
                <w:sz w:val="16"/>
                <w:szCs w:val="16"/>
              </w:rPr>
              <w:t>15.1</w:t>
            </w:r>
          </w:p>
        </w:tc>
      </w:tr>
      <w:tr w:rsidR="00583899" w:rsidRPr="00583899" w14:paraId="7651918C" w14:textId="77777777" w:rsidTr="00583899">
        <w:trPr>
          <w:trHeight w:hRule="exact" w:val="230"/>
        </w:trPr>
        <w:tc>
          <w:tcPr>
            <w:tcW w:w="1929" w:type="pct"/>
            <w:tcBorders>
              <w:top w:val="single" w:sz="4" w:space="0" w:color="293F5B"/>
              <w:left w:val="nil"/>
              <w:bottom w:val="single" w:sz="4" w:space="0" w:color="293F5B"/>
              <w:right w:val="nil"/>
            </w:tcBorders>
            <w:shd w:val="clear" w:color="000000" w:fill="FFFFFF"/>
            <w:vAlign w:val="center"/>
            <w:hideMark/>
          </w:tcPr>
          <w:p w14:paraId="35B4FE3F" w14:textId="77777777" w:rsidR="00583899" w:rsidRPr="00583899" w:rsidRDefault="00583899" w:rsidP="00583899">
            <w:pPr>
              <w:spacing w:before="0" w:after="0" w:line="240" w:lineRule="auto"/>
              <w:rPr>
                <w:rFonts w:ascii="Arial" w:hAnsi="Arial" w:cs="Arial"/>
                <w:b/>
                <w:bCs/>
                <w:color w:val="000000"/>
                <w:sz w:val="16"/>
                <w:szCs w:val="16"/>
              </w:rPr>
            </w:pPr>
            <w:r w:rsidRPr="00583899">
              <w:rPr>
                <w:rFonts w:ascii="Arial" w:hAnsi="Arial" w:cs="Arial"/>
                <w:b/>
                <w:bCs/>
                <w:color w:val="000000"/>
                <w:sz w:val="16"/>
                <w:szCs w:val="16"/>
              </w:rPr>
              <w:t>Total Future Fund assets </w:t>
            </w:r>
          </w:p>
        </w:tc>
        <w:tc>
          <w:tcPr>
            <w:tcW w:w="756" w:type="pct"/>
            <w:tcBorders>
              <w:top w:val="single" w:sz="4" w:space="0" w:color="293F5B"/>
              <w:left w:val="nil"/>
              <w:bottom w:val="single" w:sz="4" w:space="0" w:color="293F5B"/>
              <w:right w:val="nil"/>
            </w:tcBorders>
            <w:shd w:val="clear" w:color="000000" w:fill="FFFFFF"/>
            <w:vAlign w:val="center"/>
            <w:hideMark/>
          </w:tcPr>
          <w:p w14:paraId="7B8A8AA7" w14:textId="77777777" w:rsidR="00583899" w:rsidRPr="00583899" w:rsidRDefault="00583899" w:rsidP="00583899">
            <w:pPr>
              <w:spacing w:before="0" w:after="0" w:line="240" w:lineRule="auto"/>
              <w:jc w:val="right"/>
              <w:rPr>
                <w:rFonts w:ascii="Arial" w:hAnsi="Arial" w:cs="Arial"/>
                <w:b/>
                <w:bCs/>
                <w:color w:val="000000"/>
                <w:sz w:val="16"/>
                <w:szCs w:val="16"/>
              </w:rPr>
            </w:pPr>
            <w:r w:rsidRPr="00583899">
              <w:rPr>
                <w:rFonts w:ascii="Arial" w:hAnsi="Arial" w:cs="Arial"/>
                <w:b/>
                <w:bCs/>
                <w:color w:val="000000"/>
                <w:sz w:val="16"/>
                <w:szCs w:val="16"/>
              </w:rPr>
              <w:t>202,818</w:t>
            </w:r>
          </w:p>
        </w:tc>
        <w:tc>
          <w:tcPr>
            <w:tcW w:w="772" w:type="pct"/>
            <w:tcBorders>
              <w:top w:val="single" w:sz="4" w:space="0" w:color="293F5B"/>
              <w:left w:val="nil"/>
              <w:bottom w:val="single" w:sz="4" w:space="0" w:color="293F5B"/>
              <w:right w:val="nil"/>
            </w:tcBorders>
            <w:shd w:val="clear" w:color="000000" w:fill="FFFFFF"/>
            <w:vAlign w:val="center"/>
            <w:hideMark/>
          </w:tcPr>
          <w:p w14:paraId="0CF62BB9" w14:textId="77777777" w:rsidR="00583899" w:rsidRPr="00583899" w:rsidRDefault="00583899" w:rsidP="00583899">
            <w:pPr>
              <w:spacing w:before="0" w:after="0" w:line="240" w:lineRule="auto"/>
              <w:jc w:val="right"/>
              <w:rPr>
                <w:rFonts w:ascii="Arial" w:hAnsi="Arial" w:cs="Arial"/>
                <w:b/>
                <w:bCs/>
                <w:color w:val="000000"/>
                <w:sz w:val="16"/>
                <w:szCs w:val="16"/>
              </w:rPr>
            </w:pPr>
            <w:r w:rsidRPr="00583899">
              <w:rPr>
                <w:rFonts w:ascii="Arial" w:hAnsi="Arial" w:cs="Arial"/>
                <w:b/>
                <w:bCs/>
                <w:color w:val="000000"/>
                <w:sz w:val="16"/>
                <w:szCs w:val="16"/>
              </w:rPr>
              <w:t>100</w:t>
            </w:r>
          </w:p>
        </w:tc>
        <w:tc>
          <w:tcPr>
            <w:tcW w:w="772" w:type="pct"/>
            <w:tcBorders>
              <w:top w:val="single" w:sz="4" w:space="0" w:color="293F5B"/>
              <w:left w:val="nil"/>
              <w:bottom w:val="single" w:sz="4" w:space="0" w:color="293F5B"/>
              <w:right w:val="nil"/>
            </w:tcBorders>
            <w:shd w:val="clear" w:color="000000" w:fill="FFFFFF"/>
            <w:vAlign w:val="center"/>
            <w:hideMark/>
          </w:tcPr>
          <w:p w14:paraId="5AF7FFD8" w14:textId="77777777" w:rsidR="00583899" w:rsidRPr="00583899" w:rsidRDefault="00583899" w:rsidP="00583899">
            <w:pPr>
              <w:spacing w:before="0" w:after="0" w:line="240" w:lineRule="auto"/>
              <w:jc w:val="right"/>
              <w:rPr>
                <w:rFonts w:ascii="Arial" w:hAnsi="Arial" w:cs="Arial"/>
                <w:b/>
                <w:bCs/>
                <w:color w:val="000000"/>
                <w:sz w:val="16"/>
                <w:szCs w:val="16"/>
              </w:rPr>
            </w:pPr>
            <w:r w:rsidRPr="00583899">
              <w:rPr>
                <w:rFonts w:ascii="Arial" w:hAnsi="Arial" w:cs="Arial"/>
                <w:b/>
                <w:bCs/>
                <w:color w:val="000000"/>
                <w:sz w:val="16"/>
                <w:szCs w:val="16"/>
              </w:rPr>
              <w:t>200,660</w:t>
            </w:r>
          </w:p>
        </w:tc>
        <w:tc>
          <w:tcPr>
            <w:tcW w:w="772" w:type="pct"/>
            <w:tcBorders>
              <w:top w:val="single" w:sz="4" w:space="0" w:color="293F5B"/>
              <w:left w:val="nil"/>
              <w:bottom w:val="single" w:sz="4" w:space="0" w:color="293F5B"/>
              <w:right w:val="nil"/>
            </w:tcBorders>
            <w:shd w:val="clear" w:color="000000" w:fill="FFFFFF"/>
            <w:vAlign w:val="center"/>
            <w:hideMark/>
          </w:tcPr>
          <w:p w14:paraId="771EDEAD" w14:textId="77777777" w:rsidR="00583899" w:rsidRPr="00583899" w:rsidRDefault="00583899" w:rsidP="00583899">
            <w:pPr>
              <w:spacing w:before="0" w:after="0" w:line="240" w:lineRule="auto"/>
              <w:jc w:val="right"/>
              <w:rPr>
                <w:rFonts w:ascii="Arial" w:hAnsi="Arial" w:cs="Arial"/>
                <w:b/>
                <w:bCs/>
                <w:color w:val="000000"/>
                <w:sz w:val="16"/>
                <w:szCs w:val="16"/>
              </w:rPr>
            </w:pPr>
            <w:r w:rsidRPr="00583899">
              <w:rPr>
                <w:rFonts w:ascii="Arial" w:hAnsi="Arial" w:cs="Arial"/>
                <w:b/>
                <w:bCs/>
                <w:color w:val="000000"/>
                <w:sz w:val="16"/>
                <w:szCs w:val="16"/>
              </w:rPr>
              <w:t>100</w:t>
            </w:r>
          </w:p>
        </w:tc>
      </w:tr>
    </w:tbl>
    <w:p w14:paraId="7CA19857" w14:textId="3958C452" w:rsidR="00D16B1C" w:rsidRPr="00583899" w:rsidRDefault="003B3E17" w:rsidP="000A7E0E">
      <w:pPr>
        <w:pStyle w:val="ChartandTableFootnote"/>
      </w:pPr>
      <w:r w:rsidRPr="00583899">
        <w:t xml:space="preserve">Note: </w:t>
      </w:r>
      <w:r w:rsidR="003628C1" w:rsidRPr="00583899">
        <w:tab/>
      </w:r>
      <w:r w:rsidRPr="00583899">
        <w:t>Figures may not sum due to rounding.</w:t>
      </w:r>
    </w:p>
    <w:p w14:paraId="0AEC3371" w14:textId="77777777" w:rsidR="00AF2276" w:rsidRPr="00114EB8" w:rsidRDefault="00AF2276" w:rsidP="00AF2276">
      <w:pPr>
        <w:pStyle w:val="ChartLine"/>
      </w:pPr>
    </w:p>
    <w:p w14:paraId="082816E4" w14:textId="12A1150F" w:rsidR="00D16B1C" w:rsidRPr="00114EB8" w:rsidRDefault="00D16B1C" w:rsidP="003B37F8">
      <w:pPr>
        <w:pStyle w:val="Heading6"/>
      </w:pPr>
      <w:proofErr w:type="spellStart"/>
      <w:r w:rsidRPr="00114EB8">
        <w:t>DisabilityCare</w:t>
      </w:r>
      <w:proofErr w:type="spellEnd"/>
      <w:r w:rsidRPr="00114EB8">
        <w:t xml:space="preserve"> Australia Fund</w:t>
      </w:r>
    </w:p>
    <w:p w14:paraId="0502EEF7" w14:textId="13E2C3BE" w:rsidR="00D16B1C" w:rsidRPr="008C22ED" w:rsidRDefault="00D16B1C" w:rsidP="00D16B1C">
      <w:r w:rsidRPr="00114EB8">
        <w:t xml:space="preserve">The </w:t>
      </w:r>
      <w:proofErr w:type="spellStart"/>
      <w:r w:rsidRPr="00114EB8">
        <w:t>DisabilityCare</w:t>
      </w:r>
      <w:proofErr w:type="spellEnd"/>
      <w:r w:rsidRPr="00114EB8">
        <w:t xml:space="preserve"> Australia Fund (DCAF) was established on 1</w:t>
      </w:r>
      <w:r w:rsidR="008E2BDE">
        <w:t> </w:t>
      </w:r>
      <w:r w:rsidRPr="00114EB8">
        <w:t>July</w:t>
      </w:r>
      <w:r w:rsidR="008E2BDE">
        <w:t> </w:t>
      </w:r>
      <w:r w:rsidRPr="00114EB8">
        <w:t xml:space="preserve">2014 to assist the Commonwealth and the </w:t>
      </w:r>
      <w:r w:rsidR="00D90692">
        <w:t>s</w:t>
      </w:r>
      <w:r w:rsidRPr="00114EB8">
        <w:t xml:space="preserve">tate and </w:t>
      </w:r>
      <w:r w:rsidR="00D90692">
        <w:t>t</w:t>
      </w:r>
      <w:r w:rsidRPr="00114EB8">
        <w:t xml:space="preserve">erritory governments with spending directly related to the </w:t>
      </w:r>
      <w:r w:rsidRPr="008C22ED">
        <w:t>National Disability Insurance Scheme.</w:t>
      </w:r>
    </w:p>
    <w:p w14:paraId="5C962DCE" w14:textId="47905D1D" w:rsidR="00D16B1C" w:rsidRPr="00114EB8" w:rsidRDefault="00D16B1C" w:rsidP="00D16B1C">
      <w:r w:rsidRPr="008C22ED">
        <w:t>The DCAF is funded by revenue raised from the 0.5</w:t>
      </w:r>
      <w:r w:rsidR="00B23905">
        <w:t> per </w:t>
      </w:r>
      <w:r w:rsidRPr="008C22ED">
        <w:t>cent increase in the Medicare levy to 2.0</w:t>
      </w:r>
      <w:r w:rsidR="00B23905">
        <w:t> per </w:t>
      </w:r>
      <w:r w:rsidRPr="008C22ED">
        <w:t xml:space="preserve">cent. As </w:t>
      </w:r>
      <w:proofErr w:type="gramStart"/>
      <w:r w:rsidRPr="008C22ED">
        <w:t>at</w:t>
      </w:r>
      <w:proofErr w:type="gramEnd"/>
      <w:r w:rsidRPr="008C22ED">
        <w:t xml:space="preserve"> </w:t>
      </w:r>
      <w:r w:rsidR="002C2121">
        <w:t>31 March 2023</w:t>
      </w:r>
      <w:r w:rsidRPr="008C22ED">
        <w:t>, the DCAF had received credits totalling $32.9</w:t>
      </w:r>
      <w:r w:rsidR="00D169B7">
        <w:t> </w:t>
      </w:r>
      <w:r w:rsidRPr="008C22ED">
        <w:t xml:space="preserve">billion. Since inception to </w:t>
      </w:r>
      <w:r w:rsidR="002C2121">
        <w:t>31 March 2023</w:t>
      </w:r>
      <w:r w:rsidRPr="008C22ED">
        <w:t>, $1</w:t>
      </w:r>
      <w:r w:rsidR="008C22ED" w:rsidRPr="008C22ED">
        <w:t>9.4</w:t>
      </w:r>
      <w:r w:rsidRPr="008C22ED">
        <w:t xml:space="preserve"> billion has been paid from the DCAF.</w:t>
      </w:r>
      <w:r w:rsidRPr="00114EB8">
        <w:t xml:space="preserve"> </w:t>
      </w:r>
    </w:p>
    <w:p w14:paraId="08681AE5" w14:textId="6F17A741" w:rsidR="00D16B1C" w:rsidRPr="0026696D" w:rsidRDefault="00D16B1C" w:rsidP="00D16B1C">
      <w:r w:rsidRPr="00114EB8">
        <w:t>The investments of the DCAF are managed by the Future Fund Board. The Investment Mandate for the DCAF provides guidance to the Board in relation to its investment strategy for th</w:t>
      </w:r>
      <w:r w:rsidRPr="0026696D">
        <w:t xml:space="preserve">e DCAF. The DCAF Investment Mandate sets a benchmark return of the Australian </w:t>
      </w:r>
      <w:r w:rsidR="00B23905">
        <w:t>3</w:t>
      </w:r>
      <w:r w:rsidR="00B51DAC">
        <w:noBreakHyphen/>
      </w:r>
      <w:r w:rsidRPr="0026696D">
        <w:t>month bank bill swap rate plus 0.3</w:t>
      </w:r>
      <w:r w:rsidR="00B23905">
        <w:t> per </w:t>
      </w:r>
      <w:r w:rsidRPr="0026696D">
        <w:t>cent</w:t>
      </w:r>
      <w:r w:rsidR="00B23905">
        <w:t> per </w:t>
      </w:r>
      <w:r w:rsidRPr="0026696D">
        <w:t>annum calculated on a rolling 12</w:t>
      </w:r>
      <w:r w:rsidR="00B51DAC">
        <w:noBreakHyphen/>
      </w:r>
      <w:r w:rsidRPr="0026696D">
        <w:t>month basis (net of fees). In achieving its objectives, the Board must invest in such a way as to minimise the probability of capital losses over a 12</w:t>
      </w:r>
      <w:r w:rsidR="00B51DAC">
        <w:noBreakHyphen/>
      </w:r>
      <w:r w:rsidRPr="0026696D">
        <w:t>month horizon.</w:t>
      </w:r>
    </w:p>
    <w:p w14:paraId="1CDC7B9D" w14:textId="19F29BEA" w:rsidR="00D16B1C" w:rsidRPr="00114EB8" w:rsidRDefault="00D16B1C" w:rsidP="00D16B1C">
      <w:r w:rsidRPr="0026696D">
        <w:t>For the 12</w:t>
      </w:r>
      <w:r w:rsidR="00B51DAC">
        <w:noBreakHyphen/>
      </w:r>
      <w:r w:rsidRPr="0026696D">
        <w:t xml:space="preserve">month period ending </w:t>
      </w:r>
      <w:r w:rsidR="002C2121">
        <w:t>31 March 2023</w:t>
      </w:r>
      <w:r w:rsidRPr="0026696D">
        <w:t xml:space="preserve">, the DCAF </w:t>
      </w:r>
      <w:r w:rsidR="008C22ED" w:rsidRPr="0026696D">
        <w:t>return was 2.3</w:t>
      </w:r>
      <w:r w:rsidR="00B23905">
        <w:t> per </w:t>
      </w:r>
      <w:r w:rsidRPr="0026696D">
        <w:t xml:space="preserve">cent against the benchmark return of </w:t>
      </w:r>
      <w:r w:rsidR="008C22ED" w:rsidRPr="0026696D">
        <w:t>2.3</w:t>
      </w:r>
      <w:r w:rsidR="00B23905">
        <w:t> per </w:t>
      </w:r>
      <w:r w:rsidRPr="0026696D">
        <w:t>cent. The DCAF was valued at $1</w:t>
      </w:r>
      <w:r w:rsidR="008C22ED" w:rsidRPr="0026696D">
        <w:t>4.9</w:t>
      </w:r>
      <w:r w:rsidRPr="0026696D">
        <w:t xml:space="preserve"> billion as </w:t>
      </w:r>
      <w:proofErr w:type="gramStart"/>
      <w:r w:rsidRPr="0026696D">
        <w:t>at</w:t>
      </w:r>
      <w:proofErr w:type="gramEnd"/>
      <w:r w:rsidRPr="0026696D">
        <w:t xml:space="preserve"> </w:t>
      </w:r>
      <w:r w:rsidR="002C2121">
        <w:t>31 March 2023</w:t>
      </w:r>
      <w:r w:rsidRPr="0026696D">
        <w:t>.</w:t>
      </w:r>
    </w:p>
    <w:p w14:paraId="357ED61B" w14:textId="77777777" w:rsidR="003B37F8" w:rsidRPr="00114EB8" w:rsidRDefault="003B37F8" w:rsidP="003B37F8">
      <w:pPr>
        <w:pStyle w:val="Heading6"/>
      </w:pPr>
      <w:r w:rsidRPr="00114EB8">
        <w:lastRenderedPageBreak/>
        <w:t>Medical Research Future Fund</w:t>
      </w:r>
    </w:p>
    <w:p w14:paraId="5DE8A991" w14:textId="77777777" w:rsidR="003B37F8" w:rsidRPr="00114EB8" w:rsidRDefault="003B37F8" w:rsidP="003B37F8">
      <w:r w:rsidRPr="00114EB8">
        <w:t>The Medical Research Future Fund (MRFF) was established on 26 August 2015 to provide additional funding for medical research and medical innovation.</w:t>
      </w:r>
    </w:p>
    <w:p w14:paraId="41BDFEC3" w14:textId="6E712FD6" w:rsidR="003B37F8" w:rsidRPr="00114EB8" w:rsidRDefault="003B37F8" w:rsidP="003B37F8">
      <w:r w:rsidRPr="00114EB8">
        <w:t>The investments of the MRFF are managed by the Future Fund Board. The Investment Mandate for the MRFF provides broad direction to the Board in relation to its investment strategy. The MRFF Investment Mandate sets a benchmark return of the Reserve Bank of Australia</w:t>
      </w:r>
      <w:r w:rsidR="00B51DAC">
        <w:t>’</w:t>
      </w:r>
      <w:r w:rsidRPr="00114EB8">
        <w:t>s Cash Rate target plus 1.5 to 2.0</w:t>
      </w:r>
      <w:r w:rsidR="00B23905">
        <w:t> per </w:t>
      </w:r>
      <w:r w:rsidRPr="00114EB8">
        <w:t>cent</w:t>
      </w:r>
      <w:r w:rsidR="00B23905">
        <w:t> per </w:t>
      </w:r>
      <w:r w:rsidRPr="00114EB8">
        <w:t>annum, net of costs, over a rolling 10</w:t>
      </w:r>
      <w:r w:rsidR="00B51DAC">
        <w:noBreakHyphen/>
      </w:r>
      <w:r w:rsidRPr="00114EB8">
        <w:t>year term.</w:t>
      </w:r>
    </w:p>
    <w:p w14:paraId="30E34593" w14:textId="00E99DA3" w:rsidR="003B37F8" w:rsidRPr="00114EB8" w:rsidRDefault="003B37F8" w:rsidP="003B37F8">
      <w:pPr>
        <w:keepNext/>
        <w:keepLines/>
      </w:pPr>
      <w:r w:rsidRPr="00791FBE">
        <w:t xml:space="preserve">Since inception to </w:t>
      </w:r>
      <w:r w:rsidR="002C2121">
        <w:t>31 March 2023</w:t>
      </w:r>
      <w:r w:rsidRPr="00791FBE">
        <w:t>, MRFF investments have returned 4.0</w:t>
      </w:r>
      <w:r w:rsidR="00B23905">
        <w:t> per </w:t>
      </w:r>
      <w:r w:rsidRPr="00791FBE">
        <w:t>cent</w:t>
      </w:r>
      <w:r w:rsidR="00B23905">
        <w:t> per </w:t>
      </w:r>
      <w:r w:rsidRPr="00791FBE">
        <w:t>annum against a benchmark return of 2.6</w:t>
      </w:r>
      <w:r w:rsidR="00B23905">
        <w:t> per </w:t>
      </w:r>
      <w:r w:rsidRPr="00791FBE">
        <w:t>cent. For the 12</w:t>
      </w:r>
      <w:r w:rsidR="00B51DAC">
        <w:noBreakHyphen/>
      </w:r>
      <w:r w:rsidRPr="00791FBE">
        <w:t xml:space="preserve">month period ending </w:t>
      </w:r>
      <w:r w:rsidR="002C2121">
        <w:t>31 March 2023</w:t>
      </w:r>
      <w:r w:rsidRPr="00791FBE">
        <w:t>, the MRFF</w:t>
      </w:r>
      <w:r w:rsidR="00B51DAC">
        <w:t>’</w:t>
      </w:r>
      <w:r w:rsidRPr="00791FBE">
        <w:t>s return was 1.3</w:t>
      </w:r>
      <w:r w:rsidR="00B23905">
        <w:t> per </w:t>
      </w:r>
      <w:r w:rsidRPr="00791FBE">
        <w:t>cent against the benchmark return of 3.5</w:t>
      </w:r>
      <w:r w:rsidR="00B23905">
        <w:t> per </w:t>
      </w:r>
      <w:r w:rsidRPr="00791FBE">
        <w:t>cent. The MRFF was valued at $21.7</w:t>
      </w:r>
      <w:r w:rsidR="001F3EFC">
        <w:t> </w:t>
      </w:r>
      <w:r w:rsidRPr="00791FBE">
        <w:t xml:space="preserve">billion as </w:t>
      </w:r>
      <w:proofErr w:type="gramStart"/>
      <w:r w:rsidRPr="00791FBE">
        <w:t>at</w:t>
      </w:r>
      <w:proofErr w:type="gramEnd"/>
      <w:r w:rsidRPr="00791FBE">
        <w:t xml:space="preserve"> </w:t>
      </w:r>
      <w:r w:rsidR="002C2121">
        <w:t>31 March 2023</w:t>
      </w:r>
      <w:r w:rsidRPr="00791FBE">
        <w:t>.</w:t>
      </w:r>
    </w:p>
    <w:p w14:paraId="517F0742" w14:textId="77777777" w:rsidR="00D16B1C" w:rsidRPr="00114EB8" w:rsidRDefault="00D16B1C" w:rsidP="003B37F8">
      <w:pPr>
        <w:pStyle w:val="Heading6"/>
      </w:pPr>
      <w:r w:rsidRPr="00114EB8">
        <w:t>Aboriginal and Torres Strait Islander Land and Sea Future Fund</w:t>
      </w:r>
    </w:p>
    <w:p w14:paraId="114644EC" w14:textId="6D882AF7" w:rsidR="00D16B1C" w:rsidRPr="00114EB8" w:rsidRDefault="00D16B1C" w:rsidP="00D16B1C">
      <w:r w:rsidRPr="00114EB8">
        <w:t>The Aboriginal and Torres Strait Islander Land and Sea Future Fund (ATSILSFF) was established on 1 February 2019 to support payments to the Indigenous Land and Sea Corporation.</w:t>
      </w:r>
    </w:p>
    <w:p w14:paraId="4FCED252" w14:textId="77777777" w:rsidR="00D16B1C" w:rsidRPr="0026696D" w:rsidRDefault="00D16B1C" w:rsidP="00D16B1C">
      <w:r w:rsidRPr="00114EB8">
        <w:t xml:space="preserve">The ATSILSFF was seeded with the capital of the former Aboriginal and Torres Strait Islander Land Account (Land Account) – approximately $2.0 billion. The Land Account </w:t>
      </w:r>
      <w:r w:rsidRPr="0026696D">
        <w:t>was abolished on the establishment of the ATSILSFF.</w:t>
      </w:r>
    </w:p>
    <w:p w14:paraId="4C6783A8" w14:textId="72919960" w:rsidR="00D16B1C" w:rsidRPr="0026696D" w:rsidRDefault="00D16B1C" w:rsidP="00D16B1C">
      <w:r w:rsidRPr="0026696D">
        <w:t>The investments of the ATSILSFF are managed by the Future Fund Board. The Investment Mandate for the ATSILSFF provides broad direction to the Board in relation to its investment strategy. The ATSILSFF Investment Mandate sets a long</w:t>
      </w:r>
      <w:r w:rsidR="00B51DAC">
        <w:noBreakHyphen/>
      </w:r>
      <w:r w:rsidRPr="0026696D">
        <w:t>term benchmark return of CPI plus 2.0 to 3.0</w:t>
      </w:r>
      <w:r w:rsidR="00B23905">
        <w:t> per </w:t>
      </w:r>
      <w:r w:rsidRPr="0026696D">
        <w:t>cent</w:t>
      </w:r>
      <w:r w:rsidR="00B23905">
        <w:t> per </w:t>
      </w:r>
      <w:r w:rsidRPr="0026696D">
        <w:t>annum, net of costs.</w:t>
      </w:r>
    </w:p>
    <w:p w14:paraId="3A32A524" w14:textId="1C573BE5" w:rsidR="00D16B1C" w:rsidRPr="00114EB8" w:rsidRDefault="00D16B1C" w:rsidP="00D16B1C">
      <w:r w:rsidRPr="0026696D">
        <w:t xml:space="preserve">Since inception to </w:t>
      </w:r>
      <w:r w:rsidR="002C2121">
        <w:t>31 March 2023</w:t>
      </w:r>
      <w:r w:rsidRPr="0026696D">
        <w:t>, ATSILSFF investments have returned 4.</w:t>
      </w:r>
      <w:r w:rsidR="0026696D" w:rsidRPr="0026696D">
        <w:t>1</w:t>
      </w:r>
      <w:r w:rsidR="00B23905">
        <w:t> per </w:t>
      </w:r>
      <w:r w:rsidRPr="0026696D">
        <w:t>cent</w:t>
      </w:r>
      <w:r w:rsidR="00B23905">
        <w:t> per </w:t>
      </w:r>
      <w:r w:rsidRPr="0026696D">
        <w:t xml:space="preserve">annum against a benchmark return of </w:t>
      </w:r>
      <w:r w:rsidR="0026696D" w:rsidRPr="0026696D">
        <w:t>6.1</w:t>
      </w:r>
      <w:r w:rsidR="00B23905">
        <w:t> per </w:t>
      </w:r>
      <w:r w:rsidRPr="0026696D">
        <w:t>cent. For the 12</w:t>
      </w:r>
      <w:r w:rsidR="00B51DAC">
        <w:noBreakHyphen/>
      </w:r>
      <w:r w:rsidRPr="0026696D">
        <w:t xml:space="preserve">month period ending </w:t>
      </w:r>
      <w:r w:rsidR="002C2121">
        <w:t>31 March 2023</w:t>
      </w:r>
      <w:r w:rsidRPr="0026696D">
        <w:t xml:space="preserve">, the ATSILSFF </w:t>
      </w:r>
      <w:r w:rsidR="005355F1">
        <w:t>returned</w:t>
      </w:r>
      <w:r w:rsidRPr="0026696D">
        <w:t xml:space="preserve"> 0.</w:t>
      </w:r>
      <w:r w:rsidR="0026696D" w:rsidRPr="0026696D">
        <w:t>7</w:t>
      </w:r>
      <w:r w:rsidR="00B23905">
        <w:t> per </w:t>
      </w:r>
      <w:r w:rsidRPr="0026696D">
        <w:t xml:space="preserve">cent against a benchmark return of </w:t>
      </w:r>
      <w:r w:rsidR="0026696D" w:rsidRPr="0026696D">
        <w:t>9.0</w:t>
      </w:r>
      <w:r w:rsidR="00B23905">
        <w:t> per </w:t>
      </w:r>
      <w:r w:rsidRPr="0026696D">
        <w:t>cent. The ATSILSFF was valued at $2.1</w:t>
      </w:r>
      <w:r w:rsidR="00F96996">
        <w:t> </w:t>
      </w:r>
      <w:r w:rsidRPr="0026696D">
        <w:t xml:space="preserve">billion as </w:t>
      </w:r>
      <w:proofErr w:type="gramStart"/>
      <w:r w:rsidRPr="0026696D">
        <w:t>at</w:t>
      </w:r>
      <w:proofErr w:type="gramEnd"/>
      <w:r w:rsidRPr="0026696D">
        <w:t xml:space="preserve"> </w:t>
      </w:r>
      <w:r w:rsidR="002C2121">
        <w:t>31 March 2023</w:t>
      </w:r>
      <w:r w:rsidRPr="0026696D">
        <w:t>.</w:t>
      </w:r>
    </w:p>
    <w:p w14:paraId="43F61924" w14:textId="77777777" w:rsidR="00D16B1C" w:rsidRPr="00114EB8" w:rsidRDefault="00D16B1C" w:rsidP="003B37F8">
      <w:pPr>
        <w:pStyle w:val="Heading6"/>
      </w:pPr>
      <w:r w:rsidRPr="00114EB8">
        <w:t>Future Drought Fund</w:t>
      </w:r>
    </w:p>
    <w:p w14:paraId="532F435B" w14:textId="77777777" w:rsidR="00D16B1C" w:rsidRPr="00114EB8" w:rsidRDefault="00D16B1C" w:rsidP="00D16B1C">
      <w:r w:rsidRPr="00114EB8">
        <w:t>The Future Drought Fund (FDF) was established on 1 September 2019 to fund initiatives that enhance future drought resilience, preparedness and response across Australia.</w:t>
      </w:r>
    </w:p>
    <w:p w14:paraId="5737EC9F" w14:textId="0A808693" w:rsidR="00D16B1C" w:rsidRPr="0026696D" w:rsidRDefault="00D16B1C" w:rsidP="00D16B1C">
      <w:r w:rsidRPr="00114EB8">
        <w:t xml:space="preserve">The </w:t>
      </w:r>
      <w:r w:rsidR="00B636CE">
        <w:t xml:space="preserve">FDF </w:t>
      </w:r>
      <w:r w:rsidRPr="0026696D">
        <w:t>provides disbursements of $100.0</w:t>
      </w:r>
      <w:r w:rsidR="009F5A53">
        <w:t> </w:t>
      </w:r>
      <w:r w:rsidRPr="0026696D">
        <w:t>million</w:t>
      </w:r>
      <w:r w:rsidR="00B23905">
        <w:t> per </w:t>
      </w:r>
      <w:r w:rsidRPr="0026696D">
        <w:t>annum, with the first disbursement made in July 2020.</w:t>
      </w:r>
    </w:p>
    <w:p w14:paraId="177D858D" w14:textId="26C76048" w:rsidR="00D16B1C" w:rsidRPr="0026696D" w:rsidRDefault="00D16B1C" w:rsidP="00D16B1C">
      <w:r w:rsidRPr="0026696D">
        <w:t>The investments of the FDF are managed by the Future Fund Board. The Investment Mandate for the FDF provides broad direction to the Board in relation to its investment strategy. The FDF Investment Mandate sets a long</w:t>
      </w:r>
      <w:r w:rsidR="00B51DAC">
        <w:noBreakHyphen/>
      </w:r>
      <w:r w:rsidRPr="0026696D">
        <w:t>term benchmark return of CPI plus 2.0 to 3.0</w:t>
      </w:r>
      <w:r w:rsidR="00B23905">
        <w:t> per </w:t>
      </w:r>
      <w:r w:rsidRPr="0026696D">
        <w:t>cent</w:t>
      </w:r>
      <w:r w:rsidR="00B23905">
        <w:t> per </w:t>
      </w:r>
      <w:r w:rsidRPr="0026696D">
        <w:t>annum, net of costs.</w:t>
      </w:r>
    </w:p>
    <w:p w14:paraId="45793A61" w14:textId="33E7FE8D" w:rsidR="00D16B1C" w:rsidRPr="00114EB8" w:rsidRDefault="00D16B1C" w:rsidP="00D16B1C">
      <w:r w:rsidRPr="0026696D">
        <w:lastRenderedPageBreak/>
        <w:t xml:space="preserve">Since inception to </w:t>
      </w:r>
      <w:r w:rsidR="002C2121">
        <w:t>31 March 2023</w:t>
      </w:r>
      <w:r w:rsidRPr="0026696D">
        <w:t xml:space="preserve">, FDF investments have returned </w:t>
      </w:r>
      <w:r w:rsidR="0026696D" w:rsidRPr="0026696D">
        <w:t>6.6</w:t>
      </w:r>
      <w:r w:rsidR="00B23905">
        <w:t> per </w:t>
      </w:r>
      <w:r w:rsidRPr="0026696D">
        <w:t>cent</w:t>
      </w:r>
      <w:r w:rsidR="00B23905">
        <w:t> per </w:t>
      </w:r>
      <w:r w:rsidRPr="0026696D">
        <w:t xml:space="preserve">annum against a benchmark return of </w:t>
      </w:r>
      <w:r w:rsidR="0026696D" w:rsidRPr="0026696D">
        <w:t>6.4</w:t>
      </w:r>
      <w:r w:rsidR="00B23905">
        <w:t> per </w:t>
      </w:r>
      <w:r w:rsidRPr="0026696D">
        <w:t>cent. For the 12</w:t>
      </w:r>
      <w:r w:rsidR="00B51DAC">
        <w:noBreakHyphen/>
      </w:r>
      <w:r w:rsidRPr="0026696D">
        <w:t xml:space="preserve">month period ending </w:t>
      </w:r>
      <w:r w:rsidR="002C2121">
        <w:t>31 March 2023</w:t>
      </w:r>
      <w:r w:rsidRPr="0026696D">
        <w:t xml:space="preserve">, the FDF </w:t>
      </w:r>
      <w:r w:rsidR="0026696D" w:rsidRPr="0026696D">
        <w:t>returned 0.8</w:t>
      </w:r>
      <w:r w:rsidR="00B23905">
        <w:t> per </w:t>
      </w:r>
      <w:r w:rsidRPr="0026696D">
        <w:t xml:space="preserve">cent against the benchmark return of </w:t>
      </w:r>
      <w:r w:rsidR="0026696D" w:rsidRPr="0026696D">
        <w:t>9.0</w:t>
      </w:r>
      <w:r w:rsidR="00B23905">
        <w:t> per </w:t>
      </w:r>
      <w:r w:rsidRPr="0026696D">
        <w:t xml:space="preserve">cent. The FDF was valued at $4.5 billion </w:t>
      </w:r>
      <w:r w:rsidR="00883FC5">
        <w:t xml:space="preserve">as </w:t>
      </w:r>
      <w:proofErr w:type="gramStart"/>
      <w:r w:rsidRPr="0026696D">
        <w:t>at</w:t>
      </w:r>
      <w:proofErr w:type="gramEnd"/>
      <w:r w:rsidRPr="0026696D">
        <w:t xml:space="preserve"> </w:t>
      </w:r>
      <w:r w:rsidR="002C2121">
        <w:t>31 March 2023</w:t>
      </w:r>
      <w:r w:rsidRPr="0026696D">
        <w:t>.</w:t>
      </w:r>
    </w:p>
    <w:p w14:paraId="56C17201" w14:textId="0DE01ACA" w:rsidR="00D16B1C" w:rsidRPr="00114EB8" w:rsidRDefault="00CF5492" w:rsidP="003B37F8">
      <w:pPr>
        <w:pStyle w:val="Heading6"/>
      </w:pPr>
      <w:r w:rsidRPr="00114EB8">
        <w:t xml:space="preserve">Disaster Ready </w:t>
      </w:r>
      <w:r w:rsidR="00D16B1C" w:rsidRPr="00114EB8">
        <w:t>Fund</w:t>
      </w:r>
    </w:p>
    <w:p w14:paraId="16B1613A" w14:textId="05C97B32" w:rsidR="00CF5492" w:rsidRPr="00785343" w:rsidRDefault="00CF5492" w:rsidP="008F53F4">
      <w:r w:rsidRPr="00785343">
        <w:rPr>
          <w:rFonts w:asciiTheme="minorHAnsi" w:hAnsiTheme="minorHAnsi"/>
        </w:rPr>
        <w:t>The Disaster Ready Fund (DRF) was initially established as the Emergency Response Fund (ERF) on 12 December 2019 and provided up to $150</w:t>
      </w:r>
      <w:r w:rsidR="00BB0CCA">
        <w:rPr>
          <w:rFonts w:asciiTheme="minorHAnsi" w:hAnsiTheme="minorHAnsi"/>
        </w:rPr>
        <w:t> </w:t>
      </w:r>
      <w:r w:rsidRPr="00785343">
        <w:rPr>
          <w:rFonts w:asciiTheme="minorHAnsi" w:hAnsiTheme="minorHAnsi"/>
        </w:rPr>
        <w:t>million</w:t>
      </w:r>
      <w:r w:rsidR="00B23905">
        <w:rPr>
          <w:rFonts w:asciiTheme="minorHAnsi" w:hAnsiTheme="minorHAnsi"/>
        </w:rPr>
        <w:t> per </w:t>
      </w:r>
      <w:r w:rsidRPr="00785343">
        <w:rPr>
          <w:rFonts w:asciiTheme="minorHAnsi" w:hAnsiTheme="minorHAnsi"/>
        </w:rPr>
        <w:t>year for emergency response and recovery, and up to $50</w:t>
      </w:r>
      <w:r w:rsidR="00BB0CCA">
        <w:rPr>
          <w:rFonts w:asciiTheme="minorHAnsi" w:hAnsiTheme="minorHAnsi"/>
        </w:rPr>
        <w:t> </w:t>
      </w:r>
      <w:r w:rsidRPr="00785343">
        <w:rPr>
          <w:rFonts w:asciiTheme="minorHAnsi" w:hAnsiTheme="minorHAnsi"/>
        </w:rPr>
        <w:t>million</w:t>
      </w:r>
      <w:r w:rsidR="00B23905">
        <w:rPr>
          <w:rFonts w:asciiTheme="minorHAnsi" w:hAnsiTheme="minorHAnsi"/>
        </w:rPr>
        <w:t> per </w:t>
      </w:r>
      <w:r w:rsidRPr="00785343">
        <w:rPr>
          <w:rFonts w:asciiTheme="minorHAnsi" w:hAnsiTheme="minorHAnsi"/>
        </w:rPr>
        <w:t xml:space="preserve">year for natural disaster resilience and risk reduction. </w:t>
      </w:r>
    </w:p>
    <w:p w14:paraId="2DEBB2B5" w14:textId="007148E0" w:rsidR="00CF5492" w:rsidRPr="00785343" w:rsidRDefault="00CF5492" w:rsidP="008F53F4">
      <w:r w:rsidRPr="00785343">
        <w:t xml:space="preserve">On 1 March 2023, legislative changes took effect that renamed the ERF as the DRF </w:t>
      </w:r>
      <w:r w:rsidR="00FD5BA5" w:rsidRPr="00785343">
        <w:t xml:space="preserve">and </w:t>
      </w:r>
      <w:r w:rsidRPr="00785343">
        <w:t>allowed up to $200</w:t>
      </w:r>
      <w:r w:rsidR="00BB0CCA">
        <w:t> </w:t>
      </w:r>
      <w:r w:rsidRPr="00785343">
        <w:t>million</w:t>
      </w:r>
      <w:r w:rsidR="00B23905">
        <w:t> per </w:t>
      </w:r>
      <w:r w:rsidRPr="00785343">
        <w:t>annum to be drawn from the DRF to fund natural disaster resilience and risk reduction from 2023</w:t>
      </w:r>
      <w:r w:rsidR="00B23905">
        <w:t>–</w:t>
      </w:r>
      <w:r w:rsidRPr="00785343">
        <w:t xml:space="preserve">24 onwards. </w:t>
      </w:r>
    </w:p>
    <w:p w14:paraId="13AF4CAE" w14:textId="088FD46E" w:rsidR="00D16B1C" w:rsidRPr="00785343" w:rsidRDefault="00D16B1C" w:rsidP="00D16B1C">
      <w:r w:rsidRPr="00785343">
        <w:t xml:space="preserve">The investments of the </w:t>
      </w:r>
      <w:r w:rsidR="00CF5492" w:rsidRPr="00785343">
        <w:t xml:space="preserve">DRF </w:t>
      </w:r>
      <w:r w:rsidRPr="00785343">
        <w:t xml:space="preserve">are managed by the Future Fund Board. The Investment Mandate for the </w:t>
      </w:r>
      <w:r w:rsidR="00CF5492" w:rsidRPr="00785343">
        <w:t xml:space="preserve">DRF </w:t>
      </w:r>
      <w:r w:rsidRPr="00785343">
        <w:t xml:space="preserve">provides broad direction to the Board in relation to its investment strategy. The </w:t>
      </w:r>
      <w:r w:rsidR="00CF5492" w:rsidRPr="00785343">
        <w:t xml:space="preserve">DRF </w:t>
      </w:r>
      <w:r w:rsidRPr="00785343">
        <w:t>Investment Mandate sets a long</w:t>
      </w:r>
      <w:r w:rsidR="00B51DAC">
        <w:noBreakHyphen/>
      </w:r>
      <w:r w:rsidRPr="00785343">
        <w:t>term benchmark return of CPI plus 2.0 to 3.0</w:t>
      </w:r>
      <w:r w:rsidR="00B23905">
        <w:t> per </w:t>
      </w:r>
      <w:r w:rsidRPr="00785343">
        <w:t>cent</w:t>
      </w:r>
      <w:r w:rsidR="00B23905">
        <w:t> per </w:t>
      </w:r>
      <w:r w:rsidRPr="00785343">
        <w:t>annum, net of costs.</w:t>
      </w:r>
    </w:p>
    <w:p w14:paraId="471D71E6" w14:textId="61229ED4" w:rsidR="00D16B1C" w:rsidRPr="00785343" w:rsidRDefault="00D16B1C" w:rsidP="00D16B1C">
      <w:r w:rsidRPr="00785343">
        <w:t xml:space="preserve">Since inception to </w:t>
      </w:r>
      <w:r w:rsidR="002C2121">
        <w:t>31 March 2023</w:t>
      </w:r>
      <w:r w:rsidRPr="00785343">
        <w:t xml:space="preserve">, </w:t>
      </w:r>
      <w:r w:rsidR="00CF5492" w:rsidRPr="00785343">
        <w:t xml:space="preserve">DRF </w:t>
      </w:r>
      <w:r w:rsidRPr="00785343">
        <w:t xml:space="preserve">investments have returned </w:t>
      </w:r>
      <w:r w:rsidR="0026696D" w:rsidRPr="00785343">
        <w:t>6.6</w:t>
      </w:r>
      <w:r w:rsidR="00B23905">
        <w:t> per </w:t>
      </w:r>
      <w:r w:rsidRPr="00785343">
        <w:t>cent</w:t>
      </w:r>
      <w:r w:rsidR="00B23905">
        <w:t> per </w:t>
      </w:r>
      <w:r w:rsidRPr="00785343">
        <w:t xml:space="preserve">annum against a benchmark return of </w:t>
      </w:r>
      <w:r w:rsidR="0026696D" w:rsidRPr="00785343">
        <w:t>6.4</w:t>
      </w:r>
      <w:r w:rsidR="00B23905">
        <w:t> per </w:t>
      </w:r>
      <w:r w:rsidRPr="00785343">
        <w:t>cent. For the 12</w:t>
      </w:r>
      <w:r w:rsidR="00B51DAC">
        <w:noBreakHyphen/>
      </w:r>
      <w:r w:rsidRPr="00785343">
        <w:t xml:space="preserve">month period ending </w:t>
      </w:r>
      <w:r w:rsidR="002C2121">
        <w:t>31 March 2023</w:t>
      </w:r>
      <w:r w:rsidRPr="00785343">
        <w:t xml:space="preserve">, the </w:t>
      </w:r>
      <w:r w:rsidR="00CF5492" w:rsidRPr="00785343">
        <w:t xml:space="preserve">DRF </w:t>
      </w:r>
      <w:r w:rsidR="0026696D" w:rsidRPr="00785343">
        <w:t>returned 0.8</w:t>
      </w:r>
      <w:r w:rsidR="00B23905">
        <w:t> per </w:t>
      </w:r>
      <w:r w:rsidRPr="00785343">
        <w:t xml:space="preserve">cent against the benchmark return of </w:t>
      </w:r>
      <w:r w:rsidR="0026696D" w:rsidRPr="00785343">
        <w:t>9.0</w:t>
      </w:r>
      <w:r w:rsidR="00B23905">
        <w:t> per </w:t>
      </w:r>
      <w:r w:rsidRPr="00785343">
        <w:t>cent. The </w:t>
      </w:r>
      <w:r w:rsidR="00CF5492" w:rsidRPr="00785343">
        <w:t xml:space="preserve">DRF </w:t>
      </w:r>
      <w:r w:rsidRPr="00785343">
        <w:t>was valued at $4.</w:t>
      </w:r>
      <w:r w:rsidR="0026696D" w:rsidRPr="00785343">
        <w:t>4</w:t>
      </w:r>
      <w:r w:rsidRPr="00785343">
        <w:t xml:space="preserve"> billion as </w:t>
      </w:r>
      <w:proofErr w:type="gramStart"/>
      <w:r w:rsidRPr="00785343">
        <w:t>at</w:t>
      </w:r>
      <w:proofErr w:type="gramEnd"/>
      <w:r w:rsidRPr="00785343">
        <w:t xml:space="preserve"> </w:t>
      </w:r>
      <w:r w:rsidR="002C2121">
        <w:t>31 March 2023</w:t>
      </w:r>
      <w:r w:rsidRPr="00785343">
        <w:t>.</w:t>
      </w:r>
    </w:p>
    <w:p w14:paraId="636D4233" w14:textId="77777777" w:rsidR="00D16B1C" w:rsidRPr="00785343" w:rsidRDefault="00D16B1C" w:rsidP="003B37F8">
      <w:pPr>
        <w:pStyle w:val="Heading6"/>
      </w:pPr>
      <w:r w:rsidRPr="00785343">
        <w:t xml:space="preserve">Housing Australia Future Fund </w:t>
      </w:r>
    </w:p>
    <w:p w14:paraId="7191784A" w14:textId="4BA2E5DD" w:rsidR="00D16B1C" w:rsidRDefault="00D16B1C" w:rsidP="00D16B1C">
      <w:r w:rsidRPr="00785343">
        <w:t xml:space="preserve">The Government proposes to establish the Housing Australia Future Fund </w:t>
      </w:r>
      <w:r w:rsidR="006C2ECB" w:rsidRPr="00785343">
        <w:t xml:space="preserve">(HAFF) </w:t>
      </w:r>
      <w:r w:rsidRPr="00785343">
        <w:t>to create an ongoing funding stream to increase social and affordable housing</w:t>
      </w:r>
      <w:r w:rsidR="00AD4C04">
        <w:t xml:space="preserve"> and fund other acute housing needs</w:t>
      </w:r>
      <w:r w:rsidRPr="00785343">
        <w:t xml:space="preserve">. Legislation to establish the </w:t>
      </w:r>
      <w:r w:rsidR="00AD4C04">
        <w:t>HAFF</w:t>
      </w:r>
      <w:r w:rsidR="00AD4C04" w:rsidRPr="00114EB8">
        <w:t xml:space="preserve"> </w:t>
      </w:r>
      <w:r w:rsidR="006C2ECB" w:rsidRPr="00114EB8">
        <w:t>was</w:t>
      </w:r>
      <w:r w:rsidRPr="00114EB8">
        <w:t xml:space="preserve"> introduced </w:t>
      </w:r>
      <w:r w:rsidR="006C2ECB" w:rsidRPr="00114EB8">
        <w:t>in</w:t>
      </w:r>
      <w:r w:rsidRPr="00114EB8">
        <w:t xml:space="preserve">to Parliament in </w:t>
      </w:r>
      <w:r w:rsidR="00B23905">
        <w:br/>
      </w:r>
      <w:r w:rsidRPr="00114EB8">
        <w:t>2022</w:t>
      </w:r>
      <w:r w:rsidR="00B23905">
        <w:t>–</w:t>
      </w:r>
      <w:r w:rsidRPr="00114EB8">
        <w:t xml:space="preserve">23. </w:t>
      </w:r>
      <w:r w:rsidR="00CF5492" w:rsidRPr="00114EB8">
        <w:t>Once established, the </w:t>
      </w:r>
      <w:r w:rsidRPr="000F1EF0">
        <w:t xml:space="preserve">investments of the </w:t>
      </w:r>
      <w:r w:rsidR="00CF5492" w:rsidRPr="000F1EF0">
        <w:t xml:space="preserve">HAFF </w:t>
      </w:r>
      <w:r w:rsidR="003E1640" w:rsidRPr="000F1EF0">
        <w:t>are</w:t>
      </w:r>
      <w:r w:rsidR="000E1160" w:rsidRPr="000F1EF0">
        <w:t xml:space="preserve"> proposed to be </w:t>
      </w:r>
      <w:r w:rsidRPr="000F1EF0">
        <w:t>managed by</w:t>
      </w:r>
      <w:r w:rsidRPr="00114EB8">
        <w:t xml:space="preserve"> the Future Fund Board. </w:t>
      </w:r>
    </w:p>
    <w:p w14:paraId="6183B451" w14:textId="7839CB23" w:rsidR="004C5C0D" w:rsidRPr="00114EB8" w:rsidRDefault="004C5C0D" w:rsidP="00A721D8">
      <w:pPr>
        <w:pStyle w:val="Heading4"/>
      </w:pPr>
      <w:r w:rsidRPr="00114EB8">
        <w:t>Equity investments</w:t>
      </w:r>
    </w:p>
    <w:p w14:paraId="497C0FC8" w14:textId="12E6580D" w:rsidR="005123BB" w:rsidRPr="00692D0A" w:rsidRDefault="005123BB" w:rsidP="005123BB">
      <w:r w:rsidRPr="00692D0A">
        <w:t xml:space="preserve">Equity investments is comprised of </w:t>
      </w:r>
      <w:r w:rsidR="00D1056B">
        <w:t>3</w:t>
      </w:r>
      <w:r w:rsidRPr="00692D0A">
        <w:t xml:space="preserve"> components: </w:t>
      </w:r>
    </w:p>
    <w:p w14:paraId="0A8B13E4" w14:textId="506E62ED" w:rsidR="00283E24" w:rsidRPr="00692D0A" w:rsidRDefault="00692D0A" w:rsidP="008A6A39">
      <w:pPr>
        <w:pStyle w:val="Bullet"/>
      </w:pPr>
      <w:r w:rsidRPr="00692D0A">
        <w:t>investments in those Government Business Enterprises which are public non</w:t>
      </w:r>
      <w:r w:rsidR="00B51DAC">
        <w:noBreakHyphen/>
      </w:r>
      <w:r w:rsidRPr="00692D0A">
        <w:t>financial corporations including NBN Co, Snowy Hydro Limited and the Australian Rail Track Corporation</w:t>
      </w:r>
      <w:r w:rsidR="005123BB" w:rsidRPr="00692D0A">
        <w:t xml:space="preserve">. </w:t>
      </w:r>
    </w:p>
    <w:p w14:paraId="1BCE5D75" w14:textId="4BEFBBD3" w:rsidR="0008353D" w:rsidRPr="00692D0A" w:rsidRDefault="00692D0A" w:rsidP="008A6A39">
      <w:pPr>
        <w:pStyle w:val="Bullet"/>
      </w:pPr>
      <w:r w:rsidRPr="00692D0A">
        <w:t>investments in other public sector entities outside the GGS, including certain components of specialist investment vehicles such as Export Finance Australia and the National Housing Finance and Investment Corporation, and investments held by specialist investment vehicles inside the GGS, such as the Clean Energy Finance Corporation and soon to be established National Reconstruction Fund Corporation</w:t>
      </w:r>
      <w:r w:rsidR="00D47622" w:rsidRPr="00692D0A">
        <w:t xml:space="preserve">. </w:t>
      </w:r>
    </w:p>
    <w:p w14:paraId="507FDD5C" w14:textId="7EB6336B" w:rsidR="005123BB" w:rsidRPr="00692D0A" w:rsidRDefault="0008353D" w:rsidP="00601C54">
      <w:pPr>
        <w:pStyle w:val="Bullet"/>
      </w:pPr>
      <w:r w:rsidRPr="00692D0A">
        <w:lastRenderedPageBreak/>
        <w:t xml:space="preserve">investments held in relation to the Australian Government Investment Funds, </w:t>
      </w:r>
      <w:r w:rsidR="00692D0A" w:rsidRPr="00692D0A">
        <w:t xml:space="preserve">such as shares, </w:t>
      </w:r>
      <w:r w:rsidRPr="00692D0A">
        <w:t xml:space="preserve">which are </w:t>
      </w:r>
      <w:r w:rsidR="0003358A" w:rsidRPr="00692D0A">
        <w:t xml:space="preserve">expected </w:t>
      </w:r>
      <w:r w:rsidRPr="00692D0A">
        <w:t xml:space="preserve">to increase steadily over the forward estimates due to additional contributions from Government and </w:t>
      </w:r>
      <w:r w:rsidR="0003358A" w:rsidRPr="00692D0A">
        <w:t xml:space="preserve">expected </w:t>
      </w:r>
      <w:r w:rsidRPr="00692D0A">
        <w:t>investment returns over time.</w:t>
      </w:r>
    </w:p>
    <w:p w14:paraId="4882FB31" w14:textId="67E4AD73" w:rsidR="007C3744" w:rsidRPr="00692D0A" w:rsidRDefault="007C3744" w:rsidP="007C3744">
      <w:pPr>
        <w:pStyle w:val="Heading5"/>
      </w:pPr>
      <w:r w:rsidRPr="00692D0A">
        <w:t>Government Business Enterprises</w:t>
      </w:r>
    </w:p>
    <w:p w14:paraId="486AAF5C" w14:textId="4E350A0B" w:rsidR="007C3744" w:rsidRPr="00692D0A" w:rsidRDefault="007C3744" w:rsidP="007C3744">
      <w:r w:rsidRPr="00692D0A">
        <w:t xml:space="preserve">Government Business Enterprises (GBEs) represent a significant proportion of equity investments held by the Australian Government. </w:t>
      </w:r>
    </w:p>
    <w:p w14:paraId="1FF1B339" w14:textId="6D4A9BB6" w:rsidR="007C3744" w:rsidRPr="00692D0A" w:rsidRDefault="007C3744" w:rsidP="007C3744">
      <w:r w:rsidRPr="00692D0A">
        <w:t>GBEs are commercially</w:t>
      </w:r>
      <w:r w:rsidR="00B51DAC">
        <w:noBreakHyphen/>
      </w:r>
      <w:r w:rsidRPr="00692D0A">
        <w:t xml:space="preserve">focused government owned businesses that are established to fulfil an Australian Government purpose. GBEs make a substantial contribution to the Australian economy by supporting productivity, job creation and Government policy objectives. </w:t>
      </w:r>
    </w:p>
    <w:p w14:paraId="6AEB429D" w14:textId="22C4AE98" w:rsidR="007C3744" w:rsidRPr="00692D0A" w:rsidRDefault="00692D0A" w:rsidP="00692D0A">
      <w:r w:rsidRPr="00692D0A">
        <w:t>Further information on the financial performance of individual GBEs is included in the annual report for each entity, including details of equity contributed by the Australian Government. GBE valuations are updated annually in accordance with Australian Accounting Standards and reported by the relevant portfolio department in its annual report.</w:t>
      </w:r>
      <w:r w:rsidR="00431B12" w:rsidRPr="00692D0A">
        <w:t xml:space="preserve"> </w:t>
      </w:r>
    </w:p>
    <w:p w14:paraId="5E53D3E1" w14:textId="3979FE2A" w:rsidR="00A3063A" w:rsidRPr="00692D0A" w:rsidRDefault="00A3063A" w:rsidP="00FF7B63">
      <w:pPr>
        <w:pStyle w:val="Heading5"/>
      </w:pPr>
      <w:r w:rsidRPr="00692D0A">
        <w:t xml:space="preserve">Specialist </w:t>
      </w:r>
      <w:r w:rsidR="00D2740A" w:rsidRPr="00692D0A">
        <w:t>i</w:t>
      </w:r>
      <w:r w:rsidRPr="00692D0A">
        <w:t xml:space="preserve">nvestment </w:t>
      </w:r>
      <w:r w:rsidR="00D2740A" w:rsidRPr="00692D0A">
        <w:t>v</w:t>
      </w:r>
      <w:r w:rsidRPr="00692D0A">
        <w:t>ehicles</w:t>
      </w:r>
    </w:p>
    <w:p w14:paraId="42E02224" w14:textId="77777777" w:rsidR="00A52630" w:rsidRDefault="00A52630" w:rsidP="00A52630">
      <w:r>
        <w:t xml:space="preserve">Specialist investment vehicles (SIVs) make investments in projects, businesses and joint ventures to directly address Australian Government policy objectives. These investments include for example concessional loans, debt issuances and equity investments. Specialist investment vehicles include the Clean Energy Finance Corporation, Regional Investment Corporation, Export Finance Australia, National Housing Finance and Investment Corporation, the Australian Renewable Energy Agency, the Northern Australian Infrastructure Facility and the Australian Infrastructure Financing Facility for the Pacific supported by Export Finance Australia. </w:t>
      </w:r>
    </w:p>
    <w:p w14:paraId="451D8924" w14:textId="2B8FE8AC" w:rsidR="00D2740A" w:rsidRPr="00114EB8" w:rsidRDefault="00A52630" w:rsidP="00A52630">
      <w:r>
        <w:t xml:space="preserve">The Australian Government is providing $10.4 million over </w:t>
      </w:r>
      <w:r w:rsidR="00D1056B">
        <w:t>4</w:t>
      </w:r>
      <w:r>
        <w:t xml:space="preserve"> years from 2023</w:t>
      </w:r>
      <w:r w:rsidR="00475493">
        <w:t>–</w:t>
      </w:r>
      <w:r>
        <w:t>24 to the Department of Finance to enhance accountability and effectiveness in the Australian Government</w:t>
      </w:r>
      <w:r w:rsidR="00B51DAC">
        <w:t>’</w:t>
      </w:r>
      <w:r>
        <w:t>s use of specialist investment vehicles, by establishing a comprehensive oversight and governance function of the specialist investment vehicle portfolio.</w:t>
      </w:r>
    </w:p>
    <w:p w14:paraId="2C7DE337" w14:textId="2A6025D3" w:rsidR="00D16B1C" w:rsidRPr="00114EB8" w:rsidRDefault="00D16B1C" w:rsidP="00FF7B63">
      <w:pPr>
        <w:pStyle w:val="Heading6"/>
      </w:pPr>
      <w:r w:rsidRPr="00114EB8">
        <w:t>Clean Energy Finance Corporation</w:t>
      </w:r>
    </w:p>
    <w:p w14:paraId="748290D7" w14:textId="5FA3D55F" w:rsidR="00D16B1C" w:rsidRPr="00FB0EEE" w:rsidRDefault="00D16B1C" w:rsidP="00D16B1C">
      <w:r w:rsidRPr="00114EB8">
        <w:t>T</w:t>
      </w:r>
      <w:r w:rsidRPr="00FB0EEE">
        <w:t xml:space="preserve">he Clean Energy Finance Corporation (CEFC) was established as a Commonwealth Authority in August 2012 through the </w:t>
      </w:r>
      <w:r w:rsidR="00FD5BA5" w:rsidRPr="00FB0EEE">
        <w:rPr>
          <w:i/>
          <w:iCs/>
        </w:rPr>
        <w:t>Clean Energy Finance Corporation Act 2012</w:t>
      </w:r>
      <w:r w:rsidRPr="00FB0EEE">
        <w:t xml:space="preserve"> (CEFC Act).</w:t>
      </w:r>
      <w:r w:rsidR="00DB2C6D" w:rsidRPr="00FB0EEE">
        <w:t xml:space="preserve"> </w:t>
      </w:r>
    </w:p>
    <w:p w14:paraId="4FFB7C78" w14:textId="798B99C6" w:rsidR="00D16B1C" w:rsidRPr="00FB0EEE" w:rsidRDefault="00D16B1C" w:rsidP="00D16B1C">
      <w:r w:rsidRPr="00FB0EEE">
        <w:t xml:space="preserve">Under the CEFC Act, the CEFC has been provided $10.0 billion to invest in renewable energy, low emissions technology and energy efficiency projects. </w:t>
      </w:r>
    </w:p>
    <w:p w14:paraId="7DE2E4E0" w14:textId="2B969E82" w:rsidR="00D16B1C" w:rsidRPr="00FB0EEE" w:rsidRDefault="00D16B1C" w:rsidP="00D16B1C">
      <w:r w:rsidRPr="00FB0EEE">
        <w:t>The Government has also provided $500.0</w:t>
      </w:r>
      <w:r w:rsidR="00D65575">
        <w:t> </w:t>
      </w:r>
      <w:r w:rsidRPr="00FB0EEE">
        <w:t>million to the CEFC</w:t>
      </w:r>
      <w:r w:rsidR="00D960DD" w:rsidRPr="00FB0EEE">
        <w:t xml:space="preserve">, </w:t>
      </w:r>
      <w:r w:rsidRPr="00FB0EEE">
        <w:t>to combine with $500.0 million from the private sector, to establish a $1.0</w:t>
      </w:r>
      <w:r w:rsidR="00D65575">
        <w:t> </w:t>
      </w:r>
      <w:r w:rsidRPr="00FB0EEE">
        <w:t>billion</w:t>
      </w:r>
      <w:r w:rsidR="00F0743A">
        <w:t xml:space="preserve"> </w:t>
      </w:r>
      <w:r w:rsidR="00B65D6F">
        <w:t>Powering Australia Technology Fund</w:t>
      </w:r>
      <w:r w:rsidRPr="00FB0EEE">
        <w:t>.</w:t>
      </w:r>
    </w:p>
    <w:p w14:paraId="28525214" w14:textId="10B8E853" w:rsidR="00114EB8" w:rsidRPr="00114EB8" w:rsidRDefault="00114EB8" w:rsidP="00D16B1C">
      <w:r w:rsidRPr="00FB0EEE">
        <w:lastRenderedPageBreak/>
        <w:t>The Government has also provided $1.0</w:t>
      </w:r>
      <w:r w:rsidR="00D65575">
        <w:t> </w:t>
      </w:r>
      <w:r w:rsidRPr="00FB0EEE">
        <w:t>billion to the CEFC to suppor</w:t>
      </w:r>
      <w:r w:rsidRPr="00114EB8">
        <w:t>t household energy efficiency upgrades.</w:t>
      </w:r>
    </w:p>
    <w:p w14:paraId="04736B0D" w14:textId="19CB9AA9" w:rsidR="00D16B1C" w:rsidRPr="00114EB8" w:rsidRDefault="00D16B1C" w:rsidP="00D16B1C">
      <w:r w:rsidRPr="00114EB8">
        <w:t>The CEFC continues to invest funds and manage its investments. Investment decisions are made by an independent board consistent with the CEFC Act and the CEFC</w:t>
      </w:r>
      <w:r w:rsidR="00B51DAC">
        <w:t>’</w:t>
      </w:r>
      <w:r w:rsidRPr="00114EB8">
        <w:t>s investment mandate.</w:t>
      </w:r>
    </w:p>
    <w:p w14:paraId="5ADE86FF" w14:textId="730293D5" w:rsidR="00D16B1C" w:rsidRPr="00114EB8" w:rsidRDefault="00D16B1C" w:rsidP="00FF7B63">
      <w:pPr>
        <w:pStyle w:val="Heading6"/>
      </w:pPr>
      <w:r w:rsidRPr="00114EB8">
        <w:t>National Reconstruction Fund</w:t>
      </w:r>
      <w:r w:rsidR="00E0122C">
        <w:t xml:space="preserve"> Corporation</w:t>
      </w:r>
    </w:p>
    <w:p w14:paraId="563C7CCC" w14:textId="034256E0" w:rsidR="00114EB8" w:rsidRPr="00114EB8" w:rsidRDefault="00D16B1C" w:rsidP="00D16B1C">
      <w:r w:rsidRPr="00114EB8">
        <w:t xml:space="preserve">The Government </w:t>
      </w:r>
      <w:r w:rsidR="00590A57" w:rsidRPr="00114EB8">
        <w:t xml:space="preserve">has passed the enabling </w:t>
      </w:r>
      <w:r w:rsidRPr="00114EB8">
        <w:t>legislation</w:t>
      </w:r>
      <w:r w:rsidR="00590A57" w:rsidRPr="00114EB8">
        <w:t xml:space="preserve"> to establish </w:t>
      </w:r>
      <w:r w:rsidRPr="00114EB8">
        <w:t xml:space="preserve">the National Reconstruction Fund </w:t>
      </w:r>
      <w:r w:rsidR="00590A57" w:rsidRPr="00114EB8">
        <w:t xml:space="preserve">Corporation </w:t>
      </w:r>
      <w:r w:rsidRPr="00114EB8">
        <w:t>(NRF</w:t>
      </w:r>
      <w:r w:rsidR="00590A57" w:rsidRPr="00114EB8">
        <w:t>C</w:t>
      </w:r>
      <w:r w:rsidRPr="00114EB8">
        <w:t>), to support, diversify and transform Australian industry and the economy.</w:t>
      </w:r>
    </w:p>
    <w:p w14:paraId="37C6C15E" w14:textId="77A6500F" w:rsidR="0020195C" w:rsidRDefault="00114EB8" w:rsidP="00D16B1C">
      <w:r w:rsidRPr="00114EB8">
        <w:t>The NRFC will make $15.0</w:t>
      </w:r>
      <w:r w:rsidR="00247C3E">
        <w:t> </w:t>
      </w:r>
      <w:r w:rsidRPr="00114EB8">
        <w:t>billion of targeted co</w:t>
      </w:r>
      <w:r w:rsidR="00B51DAC">
        <w:noBreakHyphen/>
      </w:r>
      <w:r w:rsidRPr="00114EB8">
        <w:t>investments through independently assessed projects in priority areas including resources, transport, medical science, renewables and low emission technology, defence capability, enabling capabilities and agriculture, forestry and fisheries sectors.</w:t>
      </w:r>
      <w:r w:rsidR="0020195C">
        <w:t xml:space="preserve"> </w:t>
      </w:r>
    </w:p>
    <w:p w14:paraId="50606EBA" w14:textId="20417679" w:rsidR="00114EB8" w:rsidRPr="00114EB8" w:rsidRDefault="0020195C" w:rsidP="00D16B1C">
      <w:r w:rsidRPr="0020195C">
        <w:t xml:space="preserve">The </w:t>
      </w:r>
      <w:r w:rsidRPr="0020195C">
        <w:rPr>
          <w:i/>
          <w:iCs/>
        </w:rPr>
        <w:t>National Reconstruction Fund Corporation Act 2023</w:t>
      </w:r>
      <w:r w:rsidRPr="0020195C">
        <w:t xml:space="preserve"> was passed by Parliament in late March 2023 with the NRFC expected to commence from mid</w:t>
      </w:r>
      <w:r w:rsidR="00074CBA">
        <w:t>–</w:t>
      </w:r>
      <w:r w:rsidRPr="0020195C">
        <w:t>2023.</w:t>
      </w:r>
    </w:p>
    <w:p w14:paraId="70C63276" w14:textId="629184C5" w:rsidR="00D16B1C" w:rsidRPr="00C23A4B" w:rsidRDefault="00D16B1C" w:rsidP="00FF7B63">
      <w:pPr>
        <w:pStyle w:val="Heading6"/>
      </w:pPr>
      <w:r w:rsidRPr="00C23A4B">
        <w:t xml:space="preserve">Rewiring the Nation </w:t>
      </w:r>
    </w:p>
    <w:p w14:paraId="7E8AC330" w14:textId="26A2F39B" w:rsidR="00D16B1C" w:rsidRPr="00D8589B" w:rsidRDefault="00D16B1C" w:rsidP="00D16B1C">
      <w:pPr>
        <w:autoSpaceDE w:val="0"/>
        <w:autoSpaceDN w:val="0"/>
        <w:spacing w:line="230" w:lineRule="atLeast"/>
        <w:rPr>
          <w:szCs w:val="19"/>
        </w:rPr>
      </w:pPr>
      <w:r w:rsidRPr="00F0743A">
        <w:rPr>
          <w:szCs w:val="19"/>
        </w:rPr>
        <w:t xml:space="preserve">The Government </w:t>
      </w:r>
      <w:r w:rsidR="00114EB8" w:rsidRPr="00F0743A">
        <w:rPr>
          <w:szCs w:val="19"/>
        </w:rPr>
        <w:t xml:space="preserve">has </w:t>
      </w:r>
      <w:r w:rsidRPr="00F0743A">
        <w:rPr>
          <w:szCs w:val="19"/>
        </w:rPr>
        <w:t>provide</w:t>
      </w:r>
      <w:r w:rsidR="00114EB8" w:rsidRPr="00F0743A">
        <w:rPr>
          <w:szCs w:val="19"/>
        </w:rPr>
        <w:t>d</w:t>
      </w:r>
      <w:r w:rsidRPr="00F0743A">
        <w:rPr>
          <w:szCs w:val="19"/>
        </w:rPr>
        <w:t xml:space="preserve"> $20</w:t>
      </w:r>
      <w:r w:rsidR="00247C3E">
        <w:rPr>
          <w:szCs w:val="19"/>
        </w:rPr>
        <w:t> </w:t>
      </w:r>
      <w:r w:rsidRPr="00F0743A">
        <w:rPr>
          <w:szCs w:val="19"/>
        </w:rPr>
        <w:t xml:space="preserve">billion </w:t>
      </w:r>
      <w:r w:rsidRPr="00F0743A">
        <w:rPr>
          <w:color w:val="000000"/>
          <w:szCs w:val="19"/>
        </w:rPr>
        <w:t>to establish Rewiring the Nation to expand and modernise Australia</w:t>
      </w:r>
      <w:r w:rsidR="00B51DAC">
        <w:rPr>
          <w:color w:val="000000"/>
          <w:szCs w:val="19"/>
        </w:rPr>
        <w:t>’</w:t>
      </w:r>
      <w:r w:rsidRPr="00F0743A">
        <w:rPr>
          <w:color w:val="000000"/>
          <w:szCs w:val="19"/>
        </w:rPr>
        <w:t>s electricity grids</w:t>
      </w:r>
      <w:r w:rsidR="00EE761D">
        <w:rPr>
          <w:color w:val="000000"/>
          <w:szCs w:val="19"/>
        </w:rPr>
        <w:t>. This includes $19</w:t>
      </w:r>
      <w:r w:rsidR="00247C3E">
        <w:rPr>
          <w:color w:val="000000"/>
          <w:szCs w:val="19"/>
        </w:rPr>
        <w:t> </w:t>
      </w:r>
      <w:r w:rsidR="00EE761D">
        <w:rPr>
          <w:color w:val="000000"/>
          <w:szCs w:val="19"/>
        </w:rPr>
        <w:t>billion of additional funding to CEFC and $1</w:t>
      </w:r>
      <w:r w:rsidR="00247C3E">
        <w:rPr>
          <w:color w:val="000000"/>
          <w:szCs w:val="19"/>
        </w:rPr>
        <w:t> </w:t>
      </w:r>
      <w:r w:rsidR="00EE761D">
        <w:rPr>
          <w:color w:val="000000"/>
          <w:szCs w:val="19"/>
        </w:rPr>
        <w:t xml:space="preserve">billion of funding for the Rewiring the Nation Office in the Department of Climate Change, Energy, the Environment and Water. The CEFC funding is to provide </w:t>
      </w:r>
      <w:r w:rsidRPr="00F0743A">
        <w:rPr>
          <w:color w:val="000000"/>
          <w:szCs w:val="19"/>
        </w:rPr>
        <w:t xml:space="preserve">concessional loans and equity to invest </w:t>
      </w:r>
      <w:r w:rsidRPr="00F0743A">
        <w:rPr>
          <w:rFonts w:cs="Arial"/>
          <w:szCs w:val="19"/>
        </w:rPr>
        <w:t>in</w:t>
      </w:r>
      <w:r w:rsidRPr="00F0743A">
        <w:rPr>
          <w:color w:val="000000"/>
          <w:szCs w:val="19"/>
        </w:rPr>
        <w:t xml:space="preserve"> transmission infrastructure projects that will help strengthen, grow</w:t>
      </w:r>
      <w:r w:rsidR="00247C3E">
        <w:rPr>
          <w:color w:val="000000"/>
          <w:szCs w:val="19"/>
        </w:rPr>
        <w:t>,</w:t>
      </w:r>
      <w:r w:rsidRPr="00F0743A">
        <w:rPr>
          <w:color w:val="000000"/>
          <w:szCs w:val="19"/>
        </w:rPr>
        <w:t xml:space="preserve"> and transition Australia</w:t>
      </w:r>
      <w:r w:rsidR="00B51DAC">
        <w:rPr>
          <w:color w:val="000000"/>
          <w:szCs w:val="19"/>
        </w:rPr>
        <w:t>’</w:t>
      </w:r>
      <w:r w:rsidRPr="00F0743A">
        <w:rPr>
          <w:color w:val="000000"/>
          <w:szCs w:val="19"/>
        </w:rPr>
        <w:t>s electricity grids.</w:t>
      </w:r>
      <w:r w:rsidRPr="00D8589B">
        <w:rPr>
          <w:color w:val="000000"/>
          <w:szCs w:val="19"/>
        </w:rPr>
        <w:t xml:space="preserve"> </w:t>
      </w:r>
    </w:p>
    <w:p w14:paraId="21D8D967" w14:textId="0968F609" w:rsidR="00C70919" w:rsidRPr="00114EB8" w:rsidRDefault="00C70919" w:rsidP="004C5C0D">
      <w:pPr>
        <w:pStyle w:val="Heading3"/>
      </w:pPr>
      <w:r w:rsidRPr="003A0A31">
        <w:t>Non</w:t>
      </w:r>
      <w:r w:rsidR="00B51DAC" w:rsidRPr="003A0A31">
        <w:noBreakHyphen/>
      </w:r>
      <w:r w:rsidRPr="003A0A31">
        <w:t>financial assets</w:t>
      </w:r>
    </w:p>
    <w:p w14:paraId="6358BF88" w14:textId="42669383" w:rsidR="00920912" w:rsidRPr="00472D88" w:rsidRDefault="00920912" w:rsidP="00920912">
      <w:r w:rsidRPr="00472D88">
        <w:t>The Government</w:t>
      </w:r>
      <w:r w:rsidR="00B51DAC">
        <w:t>’</w:t>
      </w:r>
      <w:r w:rsidRPr="00472D88">
        <w:t>s non</w:t>
      </w:r>
      <w:r w:rsidR="00B51DAC">
        <w:noBreakHyphen/>
      </w:r>
      <w:r w:rsidRPr="00472D88">
        <w:t>financial assets are estimated to be $20</w:t>
      </w:r>
      <w:r w:rsidR="00320F7B" w:rsidRPr="00472D88">
        <w:t>3</w:t>
      </w:r>
      <w:r w:rsidRPr="00472D88">
        <w:t>.</w:t>
      </w:r>
      <w:r w:rsidR="00320F7B" w:rsidRPr="00472D88">
        <w:t>9</w:t>
      </w:r>
      <w:r w:rsidR="00247C3E">
        <w:t> </w:t>
      </w:r>
      <w:r w:rsidRPr="00472D88">
        <w:t xml:space="preserve">billion </w:t>
      </w:r>
      <w:proofErr w:type="gramStart"/>
      <w:r w:rsidR="00CD61C7">
        <w:t>at</w:t>
      </w:r>
      <w:proofErr w:type="gramEnd"/>
      <w:r w:rsidR="00CD61C7">
        <w:t xml:space="preserve"> 30 June</w:t>
      </w:r>
      <w:r w:rsidRPr="00472D88">
        <w:t xml:space="preserve"> 2023, increasing to $</w:t>
      </w:r>
      <w:r w:rsidR="00472D88" w:rsidRPr="00472D88">
        <w:t>235.5</w:t>
      </w:r>
      <w:r w:rsidR="00247C3E">
        <w:t> </w:t>
      </w:r>
      <w:r w:rsidRPr="00472D88">
        <w:t>billion by</w:t>
      </w:r>
      <w:r w:rsidR="00CD61C7">
        <w:t xml:space="preserve"> 30 June 20</w:t>
      </w:r>
      <w:r w:rsidR="00320F7B" w:rsidRPr="00472D88">
        <w:t>27</w:t>
      </w:r>
      <w:r w:rsidRPr="00472D88">
        <w:t>.</w:t>
      </w:r>
    </w:p>
    <w:p w14:paraId="3F675DD0" w14:textId="768F7A03" w:rsidR="00F32279" w:rsidRDefault="00E356F2" w:rsidP="00E356F2">
      <w:r w:rsidRPr="00472D88">
        <w:t>Non</w:t>
      </w:r>
      <w:r w:rsidR="00B51DAC">
        <w:noBreakHyphen/>
      </w:r>
      <w:r w:rsidRPr="00472D88">
        <w:t>financial assets comprise assets such as land, buildings and property, plant and equipment and right</w:t>
      </w:r>
      <w:r w:rsidR="00B51DAC">
        <w:noBreakHyphen/>
      </w:r>
      <w:r w:rsidRPr="00472D88">
        <w:t>of</w:t>
      </w:r>
      <w:r w:rsidR="00B51DAC">
        <w:noBreakHyphen/>
      </w:r>
      <w:r w:rsidRPr="00472D88">
        <w:t>use lease assets. Non</w:t>
      </w:r>
      <w:r w:rsidR="00B51DAC">
        <w:noBreakHyphen/>
      </w:r>
      <w:r w:rsidRPr="00472D88">
        <w:t xml:space="preserve">financial assets are expected to grow consistently over the forward estimates </w:t>
      </w:r>
      <w:r w:rsidR="00D27947">
        <w:t xml:space="preserve">predominantly </w:t>
      </w:r>
      <w:r w:rsidRPr="00472D88">
        <w:t>due to increased investments in Specialised Military Equipment.</w:t>
      </w:r>
    </w:p>
    <w:p w14:paraId="7948C956" w14:textId="77777777" w:rsidR="00F32279" w:rsidRDefault="00F32279">
      <w:pPr>
        <w:spacing w:before="0" w:after="160" w:line="259" w:lineRule="auto"/>
      </w:pPr>
      <w:r>
        <w:br w:type="page"/>
      </w:r>
    </w:p>
    <w:p w14:paraId="2C6EFF0D" w14:textId="77777777" w:rsidR="00D16B1C" w:rsidRPr="00114EB8" w:rsidRDefault="00D16B1C" w:rsidP="00C70919">
      <w:pPr>
        <w:pStyle w:val="Heading2"/>
      </w:pPr>
      <w:bookmarkStart w:id="3" w:name="_Hlk134008595"/>
      <w:r w:rsidRPr="00114EB8">
        <w:lastRenderedPageBreak/>
        <w:t>Liabilities</w:t>
      </w:r>
    </w:p>
    <w:bookmarkEnd w:id="3"/>
    <w:p w14:paraId="393B5DE1" w14:textId="515C31B8" w:rsidR="00D16B1C" w:rsidRPr="00FB0EEE" w:rsidRDefault="00D16B1C" w:rsidP="00D16B1C">
      <w:r w:rsidRPr="00183239">
        <w:t>The Government</w:t>
      </w:r>
      <w:r w:rsidR="00B51DAC">
        <w:t>’</w:t>
      </w:r>
      <w:r w:rsidRPr="00183239">
        <w:t xml:space="preserve">s total liabilities </w:t>
      </w:r>
      <w:r w:rsidR="00E57118" w:rsidRPr="00183239">
        <w:t xml:space="preserve">were </w:t>
      </w:r>
      <w:r w:rsidRPr="00183239">
        <w:t>$1.3</w:t>
      </w:r>
      <w:r w:rsidR="008866BE">
        <w:t> </w:t>
      </w:r>
      <w:r w:rsidRPr="00183239">
        <w:t xml:space="preserve">trillion </w:t>
      </w:r>
      <w:proofErr w:type="gramStart"/>
      <w:r w:rsidR="00A72DF2">
        <w:t>at</w:t>
      </w:r>
      <w:proofErr w:type="gramEnd"/>
      <w:r w:rsidR="00A72DF2">
        <w:t xml:space="preserve"> 30 June 2022</w:t>
      </w:r>
      <w:r w:rsidRPr="00183239">
        <w:t xml:space="preserve">, </w:t>
      </w:r>
      <w:r w:rsidR="00E57118" w:rsidRPr="00183239">
        <w:t xml:space="preserve">and are expected to increase </w:t>
      </w:r>
      <w:r w:rsidRPr="00183239">
        <w:t xml:space="preserve">to </w:t>
      </w:r>
      <w:r w:rsidR="00183239" w:rsidRPr="00183239">
        <w:t xml:space="preserve">around </w:t>
      </w:r>
      <w:r w:rsidRPr="00183239">
        <w:t>$1.6</w:t>
      </w:r>
      <w:r w:rsidR="008866BE">
        <w:t> </w:t>
      </w:r>
      <w:r w:rsidRPr="00183239">
        <w:t xml:space="preserve">trillion by </w:t>
      </w:r>
      <w:r w:rsidR="00A72DF2">
        <w:t>30 June 2027</w:t>
      </w:r>
      <w:r w:rsidRPr="00183239">
        <w:t>.</w:t>
      </w:r>
      <w:r w:rsidR="005A77A7" w:rsidRPr="00FB0EEE">
        <w:t xml:space="preserve"> </w:t>
      </w:r>
    </w:p>
    <w:p w14:paraId="0B3A0604" w14:textId="482B9B90" w:rsidR="005A77A7" w:rsidRPr="00114EB8" w:rsidRDefault="005A77A7" w:rsidP="005A77A7">
      <w:r w:rsidRPr="00FB0EEE">
        <w:t xml:space="preserve">The composition of Australian Government GGS liabilities </w:t>
      </w:r>
      <w:proofErr w:type="gramStart"/>
      <w:r w:rsidRPr="00FB0EEE">
        <w:t>at</w:t>
      </w:r>
      <w:proofErr w:type="gramEnd"/>
      <w:r w:rsidRPr="00FB0EEE">
        <w:t xml:space="preserve"> 30 June 202</w:t>
      </w:r>
      <w:r w:rsidR="00D0686D" w:rsidRPr="00FB0EEE">
        <w:t>3</w:t>
      </w:r>
      <w:r w:rsidRPr="00FB0EEE">
        <w:t xml:space="preserve"> </w:t>
      </w:r>
      <w:r w:rsidR="00D960DD" w:rsidRPr="00FB0EEE">
        <w:t xml:space="preserve">is </w:t>
      </w:r>
      <w:r w:rsidRPr="00FB0EEE">
        <w:t>presented below in Chart 10B.</w:t>
      </w:r>
      <w:r w:rsidR="007C3744" w:rsidRPr="00FB0EEE">
        <w:t>4</w:t>
      </w:r>
      <w:r w:rsidRPr="00FB0EEE">
        <w:t>.</w:t>
      </w:r>
    </w:p>
    <w:p w14:paraId="29E46B1E" w14:textId="57D042B3" w:rsidR="00A47786" w:rsidRPr="00114EB8" w:rsidRDefault="00A47786" w:rsidP="00A47786">
      <w:pPr>
        <w:pStyle w:val="ChartMainHeading"/>
      </w:pPr>
      <w:r w:rsidRPr="00114EB8">
        <w:t xml:space="preserve">Chart </w:t>
      </w:r>
      <w:r w:rsidR="009353A3" w:rsidRPr="00114EB8">
        <w:t>10</w:t>
      </w:r>
      <w:r w:rsidRPr="00114EB8">
        <w:t>B.</w:t>
      </w:r>
      <w:r w:rsidR="00B76704">
        <w:t>4</w:t>
      </w:r>
      <w:r w:rsidRPr="00114EB8">
        <w:t>: Australian government liabilities composition</w:t>
      </w:r>
    </w:p>
    <w:p w14:paraId="4FBBB45F" w14:textId="5BE23E67" w:rsidR="00A47786" w:rsidRDefault="005A7DFF" w:rsidP="00ED5D67">
      <w:pPr>
        <w:pStyle w:val="ChartGraphic"/>
      </w:pPr>
      <w:r w:rsidRPr="005A7DFF">
        <w:rPr>
          <w:noProof/>
        </w:rPr>
        <w:drawing>
          <wp:inline distT="0" distB="0" distL="0" distR="0" wp14:anchorId="4A1B22CA" wp14:editId="59C7FBB1">
            <wp:extent cx="4895850" cy="2973070"/>
            <wp:effectExtent l="0" t="0" r="0" b="0"/>
            <wp:docPr id="1" name="Picture 1" descr="Chart 10B.4: Australian Government liabilities composition. This chart shows the composition of Australian government liabilities as at 30 June 2023. Government securities ($b) 859 being the largest liability followed, in order, by Superannuation liability ($b) 276, Suppliers, personal benefits, subsidies, grants and other payables and provisions ($b) 91, Deposits, loans and lease liabilities ($b) 50 and Other employee liabilities ($b) 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10B.4: Australian Government liabilities composition. This chart shows the composition of Australian government liabilities as at 30 June 2023. Government securities ($b) 859 being the largest liability followed, in order, by Superannuation liability ($b) 276, Suppliers, personal benefits, subsidies, grants and other payables and provisions ($b) 91, Deposits, loans and lease liabilities ($b) 50 and Other employee liabilities ($b) 35.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850" cy="2973070"/>
                    </a:xfrm>
                    <a:prstGeom prst="rect">
                      <a:avLst/>
                    </a:prstGeom>
                    <a:noFill/>
                    <a:ln>
                      <a:noFill/>
                    </a:ln>
                  </pic:spPr>
                </pic:pic>
              </a:graphicData>
            </a:graphic>
          </wp:inline>
        </w:drawing>
      </w:r>
    </w:p>
    <w:p w14:paraId="79605792" w14:textId="77777777" w:rsidR="00ED5D67" w:rsidRPr="00114EB8" w:rsidRDefault="00ED5D67" w:rsidP="00AF2276">
      <w:pPr>
        <w:pStyle w:val="ChartLine"/>
      </w:pPr>
    </w:p>
    <w:p w14:paraId="358D5782" w14:textId="4B6D86E9" w:rsidR="00D16B1C" w:rsidRPr="004B4AB7" w:rsidRDefault="00D16B1C" w:rsidP="00D16B1C">
      <w:r w:rsidRPr="00114EB8">
        <w:t>The Government</w:t>
      </w:r>
      <w:r w:rsidR="00B51DAC">
        <w:t>’</w:t>
      </w:r>
      <w:r w:rsidRPr="00114EB8">
        <w:t xml:space="preserve">s major liabilities are Australian Government </w:t>
      </w:r>
      <w:r w:rsidR="00CE330E">
        <w:t>s</w:t>
      </w:r>
      <w:r w:rsidRPr="00114EB8">
        <w:t xml:space="preserve">ecurities on issue (see Statement 7: </w:t>
      </w:r>
      <w:r w:rsidRPr="00114EB8">
        <w:rPr>
          <w:i/>
          <w:iCs/>
        </w:rPr>
        <w:t>Debt Statemen</w:t>
      </w:r>
      <w:r w:rsidRPr="00114EB8">
        <w:t xml:space="preserve">t for further information) and public sector employee </w:t>
      </w:r>
      <w:r w:rsidRPr="004B4AB7">
        <w:t>superannuation liabilities.</w:t>
      </w:r>
    </w:p>
    <w:p w14:paraId="23FFC3DE" w14:textId="122CD6F6" w:rsidR="004B221D" w:rsidRDefault="00AD3606" w:rsidP="00AD3606">
      <w:pPr>
        <w:rPr>
          <w:szCs w:val="16"/>
        </w:rPr>
      </w:pPr>
      <w:r w:rsidRPr="004B4AB7">
        <w:t>Further information on the impact of interest rates and the Budget is provided in Box</w:t>
      </w:r>
      <w:r w:rsidR="00B23905">
        <w:t> </w:t>
      </w:r>
      <w:r w:rsidRPr="004B4AB7">
        <w:t>3.4 of Budget Paper No.1</w:t>
      </w:r>
      <w:r w:rsidR="00366B9A">
        <w:t>,</w:t>
      </w:r>
      <w:r w:rsidRPr="004B4AB7">
        <w:t xml:space="preserve"> </w:t>
      </w:r>
      <w:r w:rsidRPr="00366B9A">
        <w:t xml:space="preserve">Statement 3: </w:t>
      </w:r>
      <w:r w:rsidRPr="004B4AB7">
        <w:rPr>
          <w:i/>
          <w:iCs/>
        </w:rPr>
        <w:t>Fiscal Strategy and Outlook</w:t>
      </w:r>
      <w:r w:rsidRPr="004B4AB7">
        <w:t xml:space="preserve"> in the October 2022</w:t>
      </w:r>
      <w:r w:rsidR="00B23905">
        <w:t>–</w:t>
      </w:r>
      <w:r w:rsidRPr="004B4AB7">
        <w:t>23 Budget.</w:t>
      </w:r>
      <w:r w:rsidRPr="004B4AB7">
        <w:rPr>
          <w:szCs w:val="16"/>
        </w:rPr>
        <w:t xml:space="preserve"> Further information on the Government</w:t>
      </w:r>
      <w:r w:rsidR="00B51DAC">
        <w:rPr>
          <w:szCs w:val="16"/>
        </w:rPr>
        <w:t>’</w:t>
      </w:r>
      <w:r w:rsidRPr="004B4AB7">
        <w:rPr>
          <w:szCs w:val="16"/>
        </w:rPr>
        <w:t xml:space="preserve">s borrowings is provided in </w:t>
      </w:r>
      <w:r w:rsidRPr="00366B9A">
        <w:rPr>
          <w:iCs/>
          <w:szCs w:val="16"/>
        </w:rPr>
        <w:t xml:space="preserve">Statement 7: </w:t>
      </w:r>
      <w:r w:rsidRPr="004B4AB7">
        <w:rPr>
          <w:i/>
          <w:szCs w:val="16"/>
        </w:rPr>
        <w:t>Debt</w:t>
      </w:r>
      <w:r w:rsidR="008518EF">
        <w:rPr>
          <w:i/>
          <w:szCs w:val="16"/>
        </w:rPr>
        <w:t> </w:t>
      </w:r>
      <w:r w:rsidRPr="004B4AB7">
        <w:rPr>
          <w:i/>
          <w:szCs w:val="16"/>
        </w:rPr>
        <w:t>Statement</w:t>
      </w:r>
      <w:r w:rsidRPr="004B4AB7">
        <w:rPr>
          <w:szCs w:val="16"/>
        </w:rPr>
        <w:t>.</w:t>
      </w:r>
      <w:r w:rsidRPr="00114EB8">
        <w:rPr>
          <w:szCs w:val="16"/>
        </w:rPr>
        <w:t xml:space="preserve"> </w:t>
      </w:r>
    </w:p>
    <w:p w14:paraId="3BFA8462" w14:textId="77777777" w:rsidR="004B221D" w:rsidRDefault="004B221D">
      <w:pPr>
        <w:spacing w:before="0" w:after="160" w:line="259" w:lineRule="auto"/>
        <w:rPr>
          <w:szCs w:val="16"/>
        </w:rPr>
      </w:pPr>
      <w:r>
        <w:rPr>
          <w:szCs w:val="16"/>
        </w:rPr>
        <w:br w:type="page"/>
      </w:r>
    </w:p>
    <w:p w14:paraId="2609F411" w14:textId="7C0D7C6C" w:rsidR="00AD3606" w:rsidRPr="00114EB8" w:rsidRDefault="00AD3606" w:rsidP="00FF7B63">
      <w:pPr>
        <w:pStyle w:val="Heading3"/>
      </w:pPr>
      <w:r w:rsidRPr="00114EB8">
        <w:lastRenderedPageBreak/>
        <w:t>Australian Government liabilities over the forward estimates</w:t>
      </w:r>
    </w:p>
    <w:p w14:paraId="66E4F08A" w14:textId="67BE4C30" w:rsidR="00AD3606" w:rsidRPr="00114EB8" w:rsidRDefault="00AD3606" w:rsidP="00AD3606">
      <w:pPr>
        <w:rPr>
          <w:szCs w:val="16"/>
        </w:rPr>
      </w:pPr>
      <w:r w:rsidRPr="00114EB8">
        <w:rPr>
          <w:szCs w:val="16"/>
        </w:rPr>
        <w:t>The budgeted composition of liabilities on the Australian Government</w:t>
      </w:r>
      <w:r w:rsidR="00B51DAC">
        <w:rPr>
          <w:szCs w:val="16"/>
        </w:rPr>
        <w:t>’</w:t>
      </w:r>
      <w:r w:rsidRPr="00114EB8">
        <w:rPr>
          <w:szCs w:val="16"/>
        </w:rPr>
        <w:t xml:space="preserve">s balance sheet is provided in Chart </w:t>
      </w:r>
      <w:r w:rsidR="0013770A" w:rsidRPr="00114EB8">
        <w:rPr>
          <w:szCs w:val="16"/>
        </w:rPr>
        <w:t>10</w:t>
      </w:r>
      <w:r w:rsidRPr="00114EB8">
        <w:rPr>
          <w:szCs w:val="16"/>
        </w:rPr>
        <w:t>B.</w:t>
      </w:r>
      <w:r w:rsidR="001350E1">
        <w:rPr>
          <w:szCs w:val="16"/>
        </w:rPr>
        <w:t>5</w:t>
      </w:r>
      <w:r w:rsidR="001350E1" w:rsidRPr="00114EB8">
        <w:rPr>
          <w:szCs w:val="16"/>
        </w:rPr>
        <w:t xml:space="preserve"> </w:t>
      </w:r>
      <w:r w:rsidRPr="00114EB8">
        <w:rPr>
          <w:szCs w:val="16"/>
        </w:rPr>
        <w:t>below.</w:t>
      </w:r>
    </w:p>
    <w:p w14:paraId="77ECB918" w14:textId="442625DD" w:rsidR="00AD3606" w:rsidRDefault="00AD3606" w:rsidP="00AD3606">
      <w:pPr>
        <w:pStyle w:val="ChartMainHeading"/>
      </w:pPr>
      <w:r w:rsidRPr="00114EB8">
        <w:t xml:space="preserve">Chart </w:t>
      </w:r>
      <w:r w:rsidR="009353A3" w:rsidRPr="00114EB8">
        <w:t>10</w:t>
      </w:r>
      <w:r w:rsidRPr="00114EB8">
        <w:t>B.</w:t>
      </w:r>
      <w:r w:rsidR="00251AD4">
        <w:t>5</w:t>
      </w:r>
      <w:r w:rsidRPr="00114EB8">
        <w:t>: Composition of Australian Government liabilities over the forward estimates</w:t>
      </w:r>
    </w:p>
    <w:p w14:paraId="2C83CFEB" w14:textId="1FD29B5B" w:rsidR="00F36049" w:rsidRPr="00F36049" w:rsidRDefault="00C348C9" w:rsidP="00F36049">
      <w:pPr>
        <w:pStyle w:val="ChartGraphic"/>
      </w:pPr>
      <w:r>
        <w:rPr>
          <w:noProof/>
        </w:rPr>
        <w:drawing>
          <wp:inline distT="0" distB="0" distL="0" distR="0" wp14:anchorId="27B66E9B" wp14:editId="094F8ABF">
            <wp:extent cx="4669155" cy="2869565"/>
            <wp:effectExtent l="0" t="0" r="0" b="0"/>
            <wp:docPr id="5" name="Picture 5" descr="Chart 10B.5: Composition of Australian Government liabilities over the forward estimates. This chart shows the composition of Australian Government liabilities in each year of the forward estimates. Although total liabilities are increasing over the forward estimates, the composition remains relatively consistent. Government securities make up the largest liability followed, in order, by Superannuation liability, Other provisions and payables and Other interest bearing li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10B.5: Composition of Australian Government liabilities over the forward estimates. This chart shows the composition of Australian Government liabilities in each year of the forward estimates. Although total liabilities are increasing over the forward estimates, the composition remains relatively consistent. Government securities make up the largest liability followed, in order, by Superannuation liability, Other provisions and payables and Other interest bearing liabiliti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9155" cy="2869565"/>
                    </a:xfrm>
                    <a:prstGeom prst="rect">
                      <a:avLst/>
                    </a:prstGeom>
                    <a:noFill/>
                    <a:ln>
                      <a:noFill/>
                    </a:ln>
                  </pic:spPr>
                </pic:pic>
              </a:graphicData>
            </a:graphic>
          </wp:inline>
        </w:drawing>
      </w:r>
    </w:p>
    <w:p w14:paraId="0D615F7F" w14:textId="72ED934B" w:rsidR="00AD3606" w:rsidRPr="00114EB8" w:rsidRDefault="00C90ED1" w:rsidP="003628C1">
      <w:pPr>
        <w:pStyle w:val="ChartandTableFootnote"/>
      </w:pPr>
      <w:r>
        <w:t xml:space="preserve">Note: </w:t>
      </w:r>
      <w:r w:rsidR="003628C1">
        <w:tab/>
      </w:r>
      <w:r>
        <w:t xml:space="preserve">Other </w:t>
      </w:r>
      <w:proofErr w:type="gramStart"/>
      <w:r>
        <w:t>interest bearing</w:t>
      </w:r>
      <w:proofErr w:type="gramEnd"/>
      <w:r>
        <w:t xml:space="preserve"> liabilities includes deposits held, loans and lease liabilities. Other provisions and payables </w:t>
      </w:r>
      <w:proofErr w:type="gramStart"/>
      <w:r>
        <w:t>includes</w:t>
      </w:r>
      <w:proofErr w:type="gramEnd"/>
      <w:r>
        <w:t xml:space="preserve"> other employee liabilities, suppliers payable, personal benefits payable, subsidies payable, grants payable, other </w:t>
      </w:r>
      <w:r w:rsidR="008554D3">
        <w:t>payables</w:t>
      </w:r>
      <w:r>
        <w:t xml:space="preserve"> and provisions. </w:t>
      </w:r>
    </w:p>
    <w:p w14:paraId="25F55F7E" w14:textId="77777777" w:rsidR="003628C1" w:rsidRDefault="003628C1" w:rsidP="003628C1">
      <w:pPr>
        <w:pStyle w:val="ChartLine"/>
      </w:pPr>
    </w:p>
    <w:p w14:paraId="14F92B66" w14:textId="5FA3F2F1" w:rsidR="00AD3606" w:rsidRPr="00114EB8" w:rsidRDefault="004B4AB7" w:rsidP="00D16B1C">
      <w:r>
        <w:t>Total liabilities are expected to grow consistently over the forward estimates, which is predominantly due to growth in government securities on issue and superannuation</w:t>
      </w:r>
      <w:r w:rsidR="008518EF">
        <w:t> </w:t>
      </w:r>
      <w:r>
        <w:t xml:space="preserve">liabilities. </w:t>
      </w:r>
    </w:p>
    <w:p w14:paraId="19FCBCD0" w14:textId="3EDD4F52" w:rsidR="00AD3606" w:rsidRPr="00114EB8" w:rsidRDefault="00AD3606" w:rsidP="00FF7B63">
      <w:pPr>
        <w:pStyle w:val="Heading4"/>
      </w:pPr>
      <w:r w:rsidRPr="00114EB8">
        <w:t>Government securities</w:t>
      </w:r>
    </w:p>
    <w:p w14:paraId="5E542D57" w14:textId="119A1371" w:rsidR="00C87723" w:rsidRDefault="00AD3606" w:rsidP="00D16B1C">
      <w:r w:rsidRPr="00114EB8">
        <w:t xml:space="preserve">Government securities </w:t>
      </w:r>
      <w:r w:rsidR="0074085A">
        <w:t>o</w:t>
      </w:r>
      <w:r w:rsidRPr="00114EB8">
        <w:t>n the Australian Government</w:t>
      </w:r>
      <w:r w:rsidR="00B51DAC">
        <w:t>’</w:t>
      </w:r>
      <w:r w:rsidRPr="00114EB8">
        <w:t xml:space="preserve">s balance sheet reflect the market value of the Australian Government </w:t>
      </w:r>
      <w:r w:rsidR="00767C21" w:rsidRPr="00114EB8">
        <w:t>s</w:t>
      </w:r>
      <w:r w:rsidRPr="00114EB8">
        <w:t>ecurities on issue</w:t>
      </w:r>
      <w:r w:rsidR="00767C21" w:rsidRPr="00114EB8">
        <w:t>, consistent with external reporting standards</w:t>
      </w:r>
      <w:r w:rsidRPr="00114EB8">
        <w:t xml:space="preserve">. Further detail on </w:t>
      </w:r>
      <w:r w:rsidR="005979BB" w:rsidRPr="00114EB8">
        <w:t xml:space="preserve">the </w:t>
      </w:r>
      <w:r w:rsidRPr="00114EB8">
        <w:t xml:space="preserve">face value of Australian Government securities can be found in Statement 7: </w:t>
      </w:r>
      <w:r w:rsidRPr="00114EB8">
        <w:rPr>
          <w:i/>
          <w:iCs/>
        </w:rPr>
        <w:t>Debt Statement</w:t>
      </w:r>
      <w:r w:rsidRPr="00114EB8">
        <w:t>.</w:t>
      </w:r>
    </w:p>
    <w:p w14:paraId="5EE89C1B" w14:textId="77777777" w:rsidR="00C87723" w:rsidRDefault="00C87723">
      <w:pPr>
        <w:spacing w:before="0" w:after="160" w:line="259" w:lineRule="auto"/>
      </w:pPr>
      <w:r>
        <w:br w:type="page"/>
      </w:r>
    </w:p>
    <w:p w14:paraId="0A62D6BE" w14:textId="352FAAEF" w:rsidR="00D16B1C" w:rsidRPr="00114EB8" w:rsidRDefault="005A77A7" w:rsidP="00FF7B63">
      <w:pPr>
        <w:pStyle w:val="Heading4"/>
      </w:pPr>
      <w:bookmarkStart w:id="4" w:name="_Hlk134008573"/>
      <w:r w:rsidRPr="00114EB8">
        <w:lastRenderedPageBreak/>
        <w:t>Public sector employee s</w:t>
      </w:r>
      <w:r w:rsidR="00D16B1C" w:rsidRPr="00114EB8">
        <w:t>uperannuation liabilities</w:t>
      </w:r>
    </w:p>
    <w:p w14:paraId="64026167" w14:textId="29609391" w:rsidR="005A77A7" w:rsidRPr="00114EB8" w:rsidRDefault="005A77A7" w:rsidP="005A77A7">
      <w:r w:rsidRPr="00114EB8">
        <w:t>Public sector employee superannuation entitlements relating to past and present civilian employees and military personnel are a financial liability on the Government</w:t>
      </w:r>
      <w:r w:rsidR="00B51DAC">
        <w:t>’</w:t>
      </w:r>
      <w:r w:rsidRPr="004B4AB7">
        <w:t xml:space="preserve">s balance sheet. </w:t>
      </w:r>
      <w:r w:rsidR="003658AD" w:rsidRPr="004B4AB7">
        <w:t>T</w:t>
      </w:r>
      <w:r w:rsidR="00E643AE" w:rsidRPr="004B4AB7">
        <w:t xml:space="preserve">otal </w:t>
      </w:r>
      <w:r w:rsidRPr="004B4AB7">
        <w:t>superannuation liabilities are projected</w:t>
      </w:r>
      <w:r w:rsidR="00697A05" w:rsidRPr="004B4AB7">
        <w:t xml:space="preserve"> to be</w:t>
      </w:r>
      <w:r w:rsidRPr="004B4AB7">
        <w:t xml:space="preserve"> </w:t>
      </w:r>
      <w:r w:rsidR="00760D24" w:rsidRPr="004B4AB7">
        <w:t>$275.8</w:t>
      </w:r>
      <w:r w:rsidR="008866BE">
        <w:t> </w:t>
      </w:r>
      <w:r w:rsidR="00760D24" w:rsidRPr="004B4AB7">
        <w:t xml:space="preserve">billion </w:t>
      </w:r>
      <w:proofErr w:type="gramStart"/>
      <w:r w:rsidR="00760D24" w:rsidRPr="004B4AB7">
        <w:t>at</w:t>
      </w:r>
      <w:proofErr w:type="gramEnd"/>
      <w:r w:rsidR="00760D24" w:rsidRPr="004B4AB7">
        <w:t xml:space="preserve"> 30</w:t>
      </w:r>
      <w:r w:rsidR="0080375D" w:rsidRPr="004B4AB7">
        <w:t> </w:t>
      </w:r>
      <w:r w:rsidR="00760D24" w:rsidRPr="004B4AB7">
        <w:t xml:space="preserve">June 2023, </w:t>
      </w:r>
      <w:r w:rsidRPr="004B4AB7">
        <w:t>$</w:t>
      </w:r>
      <w:r w:rsidR="000A5E0A" w:rsidRPr="004B4AB7">
        <w:t>311.0</w:t>
      </w:r>
      <w:r w:rsidR="008866BE">
        <w:t> </w:t>
      </w:r>
      <w:r w:rsidRPr="004B4AB7">
        <w:t xml:space="preserve">billion </w:t>
      </w:r>
      <w:r w:rsidR="00760D24" w:rsidRPr="004B4AB7">
        <w:t xml:space="preserve">at 30 June 2027 </w:t>
      </w:r>
      <w:r w:rsidRPr="004B4AB7">
        <w:t>and approximately $512.9</w:t>
      </w:r>
      <w:r w:rsidR="00760D24" w:rsidRPr="004B4AB7">
        <w:t> </w:t>
      </w:r>
      <w:r w:rsidRPr="004B4AB7">
        <w:t>billion at 30 June 2060.</w:t>
      </w:r>
    </w:p>
    <w:p w14:paraId="6176C82D" w14:textId="5AA5C9BE" w:rsidR="00D16B1C" w:rsidRPr="00114EB8" w:rsidRDefault="003A7F6B" w:rsidP="00D16B1C">
      <w:r w:rsidRPr="00114EB8">
        <w:t>These liabilities represent the present value of future unfunded superannuation benefits relating to past and present employees and are based on an actuarially determined discount rate. The long</w:t>
      </w:r>
      <w:r w:rsidR="00B51DAC">
        <w:noBreakHyphen/>
      </w:r>
      <w:r w:rsidRPr="00114EB8">
        <w:t>term nature of the unfunded superannuation liabilities requires the use of a discount rate that best matches the duration of the liabilities. The use of a long</w:t>
      </w:r>
      <w:r w:rsidR="00B51DAC">
        <w:noBreakHyphen/>
      </w:r>
      <w:r w:rsidRPr="00114EB8">
        <w:t xml:space="preserve">term </w:t>
      </w:r>
      <w:r>
        <w:t xml:space="preserve">discount rate for budget purposes avoids the volatility that would occur by using current </w:t>
      </w:r>
      <w:r w:rsidRPr="00114EB8">
        <w:t>market yields on Government bonds. The value recorded on the balance sheet is highly sensitive to the discount rate used.</w:t>
      </w:r>
    </w:p>
    <w:p w14:paraId="24EA4F66" w14:textId="3C826ACA" w:rsidR="00D16B1C" w:rsidRPr="00114EB8" w:rsidRDefault="00D16B1C" w:rsidP="00D16B1C">
      <w:r w:rsidRPr="00114EB8">
        <w:t>In preparing the latest Long Term Cost Reports for the civilian and military schemes, the scheme actuaries determined that a discount rate of 5.0</w:t>
      </w:r>
      <w:r w:rsidR="00B23905">
        <w:t> per </w:t>
      </w:r>
      <w:r w:rsidRPr="00114EB8">
        <w:t>cent should be applied.</w:t>
      </w:r>
    </w:p>
    <w:p w14:paraId="4BF4C8DB" w14:textId="0A1D8104" w:rsidR="00D16B1C" w:rsidRPr="00114EB8" w:rsidRDefault="00D16B1C" w:rsidP="00D16B1C">
      <w:r w:rsidRPr="00114EB8">
        <w:t xml:space="preserve">The Australian Government has never fully funded its </w:t>
      </w:r>
      <w:r w:rsidR="007843DC">
        <w:t xml:space="preserve">defined benefit scheme </w:t>
      </w:r>
      <w:r w:rsidRPr="00114EB8">
        <w:t>superannuation liabilities. However, the Future Fund was established in 2006 to help finance the Government</w:t>
      </w:r>
      <w:r w:rsidR="00B51DAC">
        <w:t>’</w:t>
      </w:r>
      <w:r w:rsidRPr="00114EB8">
        <w:t>s unfunded superannuation liabilities.</w:t>
      </w:r>
    </w:p>
    <w:p w14:paraId="08CA5A5F" w14:textId="4DA62A54" w:rsidR="00D16B1C" w:rsidRPr="00114EB8" w:rsidRDefault="00D16B1C" w:rsidP="00D16B1C">
      <w:r w:rsidRPr="00114EB8">
        <w:t xml:space="preserve">For civilian employees, the major defined benefit schemes are the Commonwealth Superannuation Scheme and the Public Sector Superannuation Scheme. These schemes were closed to new members in 1990 and 2005 respectively. The Public Sector Superannuation </w:t>
      </w:r>
      <w:r w:rsidR="00B65D6F">
        <w:t>A</w:t>
      </w:r>
      <w:r w:rsidR="00B65D6F" w:rsidRPr="00114EB8">
        <w:t xml:space="preserve">ccumulation </w:t>
      </w:r>
      <w:r w:rsidR="00B65D6F">
        <w:t>P</w:t>
      </w:r>
      <w:r w:rsidR="00B65D6F" w:rsidRPr="00114EB8">
        <w:t xml:space="preserve">lan </w:t>
      </w:r>
      <w:r w:rsidRPr="00114EB8">
        <w:t>was introduced on 1 July 2005 and provides fully funded accumulation benefits for new civilian employees from that date.</w:t>
      </w:r>
    </w:p>
    <w:p w14:paraId="55F995B3" w14:textId="348E35FF" w:rsidR="00D16B1C" w:rsidRPr="00FB0EEE" w:rsidRDefault="00D16B1C" w:rsidP="00D16B1C">
      <w:r w:rsidRPr="00114EB8">
        <w:t xml:space="preserve">For military personnel, the defined benefit schemes are the Defence Force Retirement and Death Benefits Scheme, the Defence Forces Retirement Benefits Scheme and the Military </w:t>
      </w:r>
      <w:r w:rsidRPr="00FB0EEE">
        <w:t xml:space="preserve">Superannuation and Benefits Scheme (MSBS). Following the closure of the MSBS on 30 June 2016, all defined benefit military schemes are now closed to new members. A new military superannuation accumulation scheme, </w:t>
      </w:r>
      <w:r w:rsidR="00E91E85">
        <w:t>Australian Defence Force (</w:t>
      </w:r>
      <w:r w:rsidRPr="00FB0EEE">
        <w:t>ADF</w:t>
      </w:r>
      <w:r w:rsidR="00E91E85">
        <w:t>)</w:t>
      </w:r>
      <w:r w:rsidRPr="00FB0EEE">
        <w:t xml:space="preserve"> Super, commenced on 1</w:t>
      </w:r>
      <w:r w:rsidR="00B23905">
        <w:t> </w:t>
      </w:r>
      <w:r w:rsidRPr="00FB0EEE">
        <w:t>July</w:t>
      </w:r>
      <w:r w:rsidR="00B23905">
        <w:t> </w:t>
      </w:r>
      <w:r w:rsidRPr="00FB0EEE">
        <w:t>2016. ADF Super is accompanied by a statutory death and disability arrangement ADF cover.</w:t>
      </w:r>
    </w:p>
    <w:p w14:paraId="62F0CDCA" w14:textId="5FB76C83" w:rsidR="00D16B1C" w:rsidRPr="00FB0EEE" w:rsidRDefault="00D16B1C" w:rsidP="00D16B1C">
      <w:r w:rsidRPr="00FB0EEE">
        <w:t xml:space="preserve">While there have not been any new members to the public service and military defined benefit schemes since closure in 2005 and 2016 respectively, </w:t>
      </w:r>
      <w:r w:rsidR="005127E0" w:rsidRPr="00FB0EEE">
        <w:t>the Government</w:t>
      </w:r>
      <w:r w:rsidR="00B51DAC">
        <w:t>’</w:t>
      </w:r>
      <w:r w:rsidR="005127E0" w:rsidRPr="00FB0EEE">
        <w:t xml:space="preserve">s unfunded superannuation liabilities are expected to grow as current members continue to accrue benefits prior to retirement. The present value of the superannuation liability is also sensitive to changes in the discount rate. </w:t>
      </w:r>
    </w:p>
    <w:p w14:paraId="293838A7" w14:textId="70756B67" w:rsidR="008C56E1" w:rsidRPr="00114EB8" w:rsidRDefault="00D16B1C" w:rsidP="00B26C0C">
      <w:r w:rsidRPr="00FB0EEE">
        <w:t>As the superannuation liabilities are included in the Government</w:t>
      </w:r>
      <w:r w:rsidR="00B51DAC">
        <w:t>’</w:t>
      </w:r>
      <w:r w:rsidRPr="00FB0EEE">
        <w:t>s net worth and net financial worth aggregates, revaluations of the liabilities have an impact on these aggregates.</w:t>
      </w:r>
    </w:p>
    <w:p w14:paraId="21267922" w14:textId="73F5F887" w:rsidR="00BB3DD7" w:rsidRDefault="00BB3DD7" w:rsidP="00BB3DD7">
      <w:r w:rsidRPr="002F2CB4">
        <w:t>The value of superannuation liabilities by scheme is provided in Table 10B.</w:t>
      </w:r>
      <w:r w:rsidR="002F2CB4" w:rsidRPr="002F2CB4">
        <w:t>3</w:t>
      </w:r>
      <w:r w:rsidR="00CD056A" w:rsidRPr="002F2CB4">
        <w:t xml:space="preserve"> </w:t>
      </w:r>
      <w:r w:rsidRPr="002F2CB4">
        <w:t>below.</w:t>
      </w:r>
      <w:r w:rsidRPr="00114EB8">
        <w:t xml:space="preserve"> </w:t>
      </w:r>
    </w:p>
    <w:p w14:paraId="360D9A3D" w14:textId="39FD4FFC" w:rsidR="00C166A5" w:rsidRDefault="00BB3DD7" w:rsidP="006853B7">
      <w:pPr>
        <w:pStyle w:val="TableHeading"/>
        <w:rPr>
          <w:rFonts w:asciiTheme="minorHAnsi" w:eastAsiaTheme="minorHAnsi" w:hAnsiTheme="minorHAnsi" w:cstheme="minorBidi"/>
          <w:sz w:val="22"/>
          <w:szCs w:val="22"/>
          <w:lang w:eastAsia="en-US"/>
        </w:rPr>
      </w:pPr>
      <w:r w:rsidRPr="002F2CB4">
        <w:lastRenderedPageBreak/>
        <w:t>Table 10B.</w:t>
      </w:r>
      <w:r w:rsidR="002F2CB4" w:rsidRPr="002F2CB4">
        <w:t>3</w:t>
      </w:r>
      <w:r w:rsidRPr="002F2CB4">
        <w:t>: Superannuation liabilities by scheme</w:t>
      </w:r>
    </w:p>
    <w:tbl>
      <w:tblPr>
        <w:tblW w:w="8440" w:type="dxa"/>
        <w:tblLook w:val="04A0" w:firstRow="1" w:lastRow="0" w:firstColumn="1" w:lastColumn="0" w:noHBand="0" w:noVBand="1"/>
      </w:tblPr>
      <w:tblGrid>
        <w:gridCol w:w="3640"/>
        <w:gridCol w:w="960"/>
        <w:gridCol w:w="960"/>
        <w:gridCol w:w="960"/>
        <w:gridCol w:w="960"/>
        <w:gridCol w:w="960"/>
      </w:tblGrid>
      <w:tr w:rsidR="00C166A5" w:rsidRPr="00C166A5" w14:paraId="1181D0BB" w14:textId="77777777" w:rsidTr="00C166A5">
        <w:trPr>
          <w:trHeight w:val="250"/>
        </w:trPr>
        <w:tc>
          <w:tcPr>
            <w:tcW w:w="3640" w:type="dxa"/>
            <w:tcBorders>
              <w:top w:val="single" w:sz="4" w:space="0" w:color="293F5B"/>
              <w:left w:val="nil"/>
              <w:bottom w:val="nil"/>
              <w:right w:val="nil"/>
            </w:tcBorders>
            <w:shd w:val="clear" w:color="000000" w:fill="FFFFFF"/>
            <w:vAlign w:val="center"/>
            <w:hideMark/>
          </w:tcPr>
          <w:p w14:paraId="40CDA6A3" w14:textId="2AA27920"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 </w:t>
            </w:r>
          </w:p>
        </w:tc>
        <w:tc>
          <w:tcPr>
            <w:tcW w:w="4800" w:type="dxa"/>
            <w:gridSpan w:val="5"/>
            <w:tcBorders>
              <w:top w:val="single" w:sz="4" w:space="0" w:color="293F5B"/>
              <w:left w:val="nil"/>
              <w:bottom w:val="single" w:sz="4" w:space="0" w:color="000000"/>
              <w:right w:val="nil"/>
            </w:tcBorders>
            <w:shd w:val="clear" w:color="000000" w:fill="FFFFFF"/>
            <w:vAlign w:val="center"/>
            <w:hideMark/>
          </w:tcPr>
          <w:p w14:paraId="2C7EA4B7" w14:textId="77777777" w:rsidR="00C166A5" w:rsidRPr="00C166A5" w:rsidRDefault="00C166A5" w:rsidP="00C166A5">
            <w:pPr>
              <w:spacing w:before="0" w:after="0" w:line="240" w:lineRule="auto"/>
              <w:jc w:val="center"/>
              <w:rPr>
                <w:rFonts w:ascii="Arial" w:hAnsi="Arial" w:cs="Arial"/>
                <w:color w:val="000000"/>
                <w:sz w:val="16"/>
                <w:szCs w:val="16"/>
              </w:rPr>
            </w:pPr>
            <w:r w:rsidRPr="00C166A5">
              <w:rPr>
                <w:rFonts w:ascii="Arial" w:hAnsi="Arial" w:cs="Arial"/>
                <w:color w:val="000000"/>
                <w:sz w:val="16"/>
                <w:szCs w:val="16"/>
              </w:rPr>
              <w:t>Estimates</w:t>
            </w:r>
          </w:p>
        </w:tc>
      </w:tr>
      <w:tr w:rsidR="00C166A5" w:rsidRPr="00C166A5" w14:paraId="1F25ADCB" w14:textId="77777777" w:rsidTr="00C166A5">
        <w:trPr>
          <w:trHeight w:val="250"/>
        </w:trPr>
        <w:tc>
          <w:tcPr>
            <w:tcW w:w="3640" w:type="dxa"/>
            <w:tcBorders>
              <w:top w:val="nil"/>
              <w:left w:val="nil"/>
              <w:bottom w:val="nil"/>
              <w:right w:val="nil"/>
            </w:tcBorders>
            <w:shd w:val="clear" w:color="000000" w:fill="FFFFFF"/>
            <w:vAlign w:val="center"/>
            <w:hideMark/>
          </w:tcPr>
          <w:p w14:paraId="3C315E04"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  </w:t>
            </w:r>
          </w:p>
        </w:tc>
        <w:tc>
          <w:tcPr>
            <w:tcW w:w="960" w:type="dxa"/>
            <w:tcBorders>
              <w:top w:val="nil"/>
              <w:left w:val="nil"/>
              <w:bottom w:val="nil"/>
              <w:right w:val="nil"/>
            </w:tcBorders>
            <w:shd w:val="clear" w:color="000000" w:fill="FFFFFF"/>
            <w:vAlign w:val="center"/>
            <w:hideMark/>
          </w:tcPr>
          <w:p w14:paraId="4CF08F40"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2022-23 </w:t>
            </w:r>
          </w:p>
        </w:tc>
        <w:tc>
          <w:tcPr>
            <w:tcW w:w="960" w:type="dxa"/>
            <w:tcBorders>
              <w:top w:val="nil"/>
              <w:left w:val="nil"/>
              <w:bottom w:val="nil"/>
              <w:right w:val="nil"/>
            </w:tcBorders>
            <w:shd w:val="clear" w:color="000000" w:fill="E6F2FF"/>
            <w:vAlign w:val="center"/>
            <w:hideMark/>
          </w:tcPr>
          <w:p w14:paraId="43B4753F"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2023-24 </w:t>
            </w:r>
          </w:p>
        </w:tc>
        <w:tc>
          <w:tcPr>
            <w:tcW w:w="960" w:type="dxa"/>
            <w:tcBorders>
              <w:top w:val="nil"/>
              <w:left w:val="nil"/>
              <w:bottom w:val="nil"/>
              <w:right w:val="nil"/>
            </w:tcBorders>
            <w:shd w:val="clear" w:color="000000" w:fill="FFFFFF"/>
            <w:vAlign w:val="center"/>
            <w:hideMark/>
          </w:tcPr>
          <w:p w14:paraId="7D02DA69"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2024-25 </w:t>
            </w:r>
          </w:p>
        </w:tc>
        <w:tc>
          <w:tcPr>
            <w:tcW w:w="960" w:type="dxa"/>
            <w:tcBorders>
              <w:top w:val="nil"/>
              <w:left w:val="nil"/>
              <w:bottom w:val="nil"/>
              <w:right w:val="nil"/>
            </w:tcBorders>
            <w:shd w:val="clear" w:color="000000" w:fill="FFFFFF"/>
            <w:vAlign w:val="center"/>
            <w:hideMark/>
          </w:tcPr>
          <w:p w14:paraId="7181D6E4"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2025-26 </w:t>
            </w:r>
          </w:p>
        </w:tc>
        <w:tc>
          <w:tcPr>
            <w:tcW w:w="960" w:type="dxa"/>
            <w:tcBorders>
              <w:top w:val="nil"/>
              <w:left w:val="nil"/>
              <w:bottom w:val="nil"/>
              <w:right w:val="nil"/>
            </w:tcBorders>
            <w:shd w:val="clear" w:color="000000" w:fill="FFFFFF"/>
            <w:vAlign w:val="center"/>
            <w:hideMark/>
          </w:tcPr>
          <w:p w14:paraId="1D1DE6A3"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2026-27 </w:t>
            </w:r>
          </w:p>
        </w:tc>
      </w:tr>
      <w:tr w:rsidR="00C166A5" w:rsidRPr="00C166A5" w14:paraId="39267E25" w14:textId="77777777" w:rsidTr="00C166A5">
        <w:trPr>
          <w:trHeight w:val="250"/>
        </w:trPr>
        <w:tc>
          <w:tcPr>
            <w:tcW w:w="3640" w:type="dxa"/>
            <w:tcBorders>
              <w:top w:val="nil"/>
              <w:left w:val="nil"/>
              <w:bottom w:val="nil"/>
              <w:right w:val="nil"/>
            </w:tcBorders>
            <w:shd w:val="clear" w:color="000000" w:fill="FFFFFF"/>
            <w:vAlign w:val="center"/>
            <w:hideMark/>
          </w:tcPr>
          <w:p w14:paraId="03890F87"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  </w:t>
            </w:r>
          </w:p>
        </w:tc>
        <w:tc>
          <w:tcPr>
            <w:tcW w:w="960" w:type="dxa"/>
            <w:tcBorders>
              <w:top w:val="nil"/>
              <w:left w:val="nil"/>
              <w:bottom w:val="single" w:sz="4" w:space="0" w:color="000000"/>
              <w:right w:val="nil"/>
            </w:tcBorders>
            <w:shd w:val="clear" w:color="000000" w:fill="FFFFFF"/>
            <w:vAlign w:val="center"/>
            <w:hideMark/>
          </w:tcPr>
          <w:p w14:paraId="3C256C29"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$m </w:t>
            </w:r>
          </w:p>
        </w:tc>
        <w:tc>
          <w:tcPr>
            <w:tcW w:w="960" w:type="dxa"/>
            <w:tcBorders>
              <w:top w:val="nil"/>
              <w:left w:val="nil"/>
              <w:bottom w:val="single" w:sz="4" w:space="0" w:color="000000"/>
              <w:right w:val="nil"/>
            </w:tcBorders>
            <w:shd w:val="clear" w:color="000000" w:fill="E6F2FF"/>
            <w:vAlign w:val="center"/>
            <w:hideMark/>
          </w:tcPr>
          <w:p w14:paraId="02B32AA1"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$m </w:t>
            </w:r>
          </w:p>
        </w:tc>
        <w:tc>
          <w:tcPr>
            <w:tcW w:w="960" w:type="dxa"/>
            <w:tcBorders>
              <w:top w:val="nil"/>
              <w:left w:val="nil"/>
              <w:bottom w:val="single" w:sz="4" w:space="0" w:color="000000"/>
              <w:right w:val="nil"/>
            </w:tcBorders>
            <w:shd w:val="clear" w:color="000000" w:fill="FFFFFF"/>
            <w:noWrap/>
            <w:vAlign w:val="bottom"/>
            <w:hideMark/>
          </w:tcPr>
          <w:p w14:paraId="2E770BC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$m </w:t>
            </w:r>
          </w:p>
        </w:tc>
        <w:tc>
          <w:tcPr>
            <w:tcW w:w="960" w:type="dxa"/>
            <w:tcBorders>
              <w:top w:val="nil"/>
              <w:left w:val="nil"/>
              <w:bottom w:val="single" w:sz="4" w:space="0" w:color="000000"/>
              <w:right w:val="nil"/>
            </w:tcBorders>
            <w:shd w:val="clear" w:color="000000" w:fill="FFFFFF"/>
            <w:noWrap/>
            <w:vAlign w:val="bottom"/>
            <w:hideMark/>
          </w:tcPr>
          <w:p w14:paraId="280B87FF"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$m </w:t>
            </w:r>
          </w:p>
        </w:tc>
        <w:tc>
          <w:tcPr>
            <w:tcW w:w="960" w:type="dxa"/>
            <w:tcBorders>
              <w:top w:val="nil"/>
              <w:left w:val="nil"/>
              <w:bottom w:val="single" w:sz="4" w:space="0" w:color="000000"/>
              <w:right w:val="nil"/>
            </w:tcBorders>
            <w:shd w:val="clear" w:color="000000" w:fill="FFFFFF"/>
            <w:noWrap/>
            <w:vAlign w:val="bottom"/>
            <w:hideMark/>
          </w:tcPr>
          <w:p w14:paraId="5D6CFCA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$m </w:t>
            </w:r>
          </w:p>
        </w:tc>
      </w:tr>
      <w:tr w:rsidR="00C166A5" w:rsidRPr="00C166A5" w14:paraId="751D0D3E" w14:textId="77777777" w:rsidTr="00C166A5">
        <w:trPr>
          <w:trHeight w:val="250"/>
        </w:trPr>
        <w:tc>
          <w:tcPr>
            <w:tcW w:w="3640" w:type="dxa"/>
            <w:tcBorders>
              <w:top w:val="nil"/>
              <w:left w:val="nil"/>
              <w:bottom w:val="nil"/>
              <w:right w:val="nil"/>
            </w:tcBorders>
            <w:shd w:val="clear" w:color="000000" w:fill="FFFFFF"/>
            <w:vAlign w:val="center"/>
            <w:hideMark/>
          </w:tcPr>
          <w:p w14:paraId="14C2309A" w14:textId="77777777" w:rsidR="00C166A5" w:rsidRPr="00C166A5" w:rsidRDefault="00C166A5" w:rsidP="00C166A5">
            <w:pPr>
              <w:spacing w:before="0" w:after="0" w:line="240" w:lineRule="auto"/>
              <w:rPr>
                <w:rFonts w:ascii="Arial" w:hAnsi="Arial" w:cs="Arial"/>
                <w:i/>
                <w:iCs/>
                <w:color w:val="000000"/>
                <w:sz w:val="16"/>
                <w:szCs w:val="16"/>
              </w:rPr>
            </w:pPr>
            <w:r w:rsidRPr="00C166A5">
              <w:rPr>
                <w:rFonts w:ascii="Arial" w:hAnsi="Arial" w:cs="Arial"/>
                <w:i/>
                <w:iCs/>
                <w:color w:val="000000"/>
                <w:sz w:val="16"/>
                <w:szCs w:val="16"/>
              </w:rPr>
              <w:t>Civilian superannuation schemes </w:t>
            </w:r>
          </w:p>
        </w:tc>
        <w:tc>
          <w:tcPr>
            <w:tcW w:w="960" w:type="dxa"/>
            <w:tcBorders>
              <w:top w:val="nil"/>
              <w:left w:val="nil"/>
              <w:bottom w:val="nil"/>
              <w:right w:val="nil"/>
            </w:tcBorders>
            <w:shd w:val="clear" w:color="000000" w:fill="FFFFFF"/>
            <w:vAlign w:val="center"/>
            <w:hideMark/>
          </w:tcPr>
          <w:p w14:paraId="78CF51A5" w14:textId="77777777" w:rsidR="00C166A5" w:rsidRPr="00C166A5" w:rsidRDefault="00C166A5" w:rsidP="00C166A5">
            <w:pPr>
              <w:spacing w:before="0" w:after="0" w:line="240" w:lineRule="auto"/>
              <w:jc w:val="right"/>
              <w:rPr>
                <w:rFonts w:cs="Arial"/>
                <w:sz w:val="18"/>
                <w:szCs w:val="18"/>
              </w:rPr>
            </w:pPr>
            <w:r w:rsidRPr="00C166A5">
              <w:rPr>
                <w:rFonts w:cs="Arial"/>
                <w:sz w:val="18"/>
                <w:szCs w:val="18"/>
              </w:rPr>
              <w:t> </w:t>
            </w:r>
          </w:p>
        </w:tc>
        <w:tc>
          <w:tcPr>
            <w:tcW w:w="960" w:type="dxa"/>
            <w:tcBorders>
              <w:top w:val="nil"/>
              <w:left w:val="nil"/>
              <w:bottom w:val="nil"/>
              <w:right w:val="nil"/>
            </w:tcBorders>
            <w:shd w:val="clear" w:color="000000" w:fill="E6F2FF"/>
            <w:vAlign w:val="center"/>
            <w:hideMark/>
          </w:tcPr>
          <w:p w14:paraId="447C0EA4" w14:textId="77777777" w:rsidR="00C166A5" w:rsidRPr="00C166A5" w:rsidRDefault="00C166A5" w:rsidP="00C166A5">
            <w:pPr>
              <w:spacing w:before="0" w:after="0" w:line="240" w:lineRule="auto"/>
              <w:jc w:val="right"/>
              <w:rPr>
                <w:rFonts w:cs="Arial"/>
                <w:sz w:val="18"/>
                <w:szCs w:val="18"/>
              </w:rPr>
            </w:pPr>
            <w:r w:rsidRPr="00C166A5">
              <w:rPr>
                <w:rFonts w:cs="Arial"/>
                <w:sz w:val="18"/>
                <w:szCs w:val="18"/>
              </w:rPr>
              <w:t> </w:t>
            </w:r>
          </w:p>
        </w:tc>
        <w:tc>
          <w:tcPr>
            <w:tcW w:w="960" w:type="dxa"/>
            <w:tcBorders>
              <w:top w:val="nil"/>
              <w:left w:val="nil"/>
              <w:bottom w:val="nil"/>
              <w:right w:val="nil"/>
            </w:tcBorders>
            <w:shd w:val="clear" w:color="000000" w:fill="FFFFFF"/>
            <w:vAlign w:val="center"/>
            <w:hideMark/>
          </w:tcPr>
          <w:p w14:paraId="664A9267" w14:textId="77777777" w:rsidR="00C166A5" w:rsidRPr="00C166A5" w:rsidRDefault="00C166A5" w:rsidP="00C166A5">
            <w:pPr>
              <w:spacing w:before="0" w:after="0" w:line="240" w:lineRule="auto"/>
              <w:jc w:val="right"/>
              <w:rPr>
                <w:rFonts w:cs="Arial"/>
                <w:sz w:val="18"/>
                <w:szCs w:val="18"/>
              </w:rPr>
            </w:pPr>
            <w:r w:rsidRPr="00C166A5">
              <w:rPr>
                <w:rFonts w:cs="Arial"/>
                <w:sz w:val="18"/>
                <w:szCs w:val="18"/>
              </w:rPr>
              <w:t> </w:t>
            </w:r>
          </w:p>
        </w:tc>
        <w:tc>
          <w:tcPr>
            <w:tcW w:w="960" w:type="dxa"/>
            <w:tcBorders>
              <w:top w:val="nil"/>
              <w:left w:val="nil"/>
              <w:bottom w:val="nil"/>
              <w:right w:val="nil"/>
            </w:tcBorders>
            <w:shd w:val="clear" w:color="000000" w:fill="FFFFFF"/>
            <w:vAlign w:val="center"/>
            <w:hideMark/>
          </w:tcPr>
          <w:p w14:paraId="55DF57AD" w14:textId="77777777" w:rsidR="00C166A5" w:rsidRPr="00C166A5" w:rsidRDefault="00C166A5" w:rsidP="00C166A5">
            <w:pPr>
              <w:spacing w:before="0" w:after="0" w:line="240" w:lineRule="auto"/>
              <w:jc w:val="right"/>
              <w:rPr>
                <w:rFonts w:cs="Arial"/>
                <w:sz w:val="18"/>
                <w:szCs w:val="18"/>
              </w:rPr>
            </w:pPr>
            <w:r w:rsidRPr="00C166A5">
              <w:rPr>
                <w:rFonts w:cs="Arial"/>
                <w:sz w:val="18"/>
                <w:szCs w:val="18"/>
              </w:rPr>
              <w:t> </w:t>
            </w:r>
          </w:p>
        </w:tc>
        <w:tc>
          <w:tcPr>
            <w:tcW w:w="960" w:type="dxa"/>
            <w:tcBorders>
              <w:top w:val="nil"/>
              <w:left w:val="nil"/>
              <w:bottom w:val="nil"/>
              <w:right w:val="nil"/>
            </w:tcBorders>
            <w:shd w:val="clear" w:color="000000" w:fill="FFFFFF"/>
            <w:vAlign w:val="center"/>
            <w:hideMark/>
          </w:tcPr>
          <w:p w14:paraId="74337504" w14:textId="77777777" w:rsidR="00C166A5" w:rsidRPr="00C166A5" w:rsidRDefault="00C166A5" w:rsidP="00C166A5">
            <w:pPr>
              <w:spacing w:before="0" w:after="0" w:line="240" w:lineRule="auto"/>
              <w:jc w:val="right"/>
              <w:rPr>
                <w:rFonts w:cs="Arial"/>
                <w:sz w:val="18"/>
                <w:szCs w:val="18"/>
              </w:rPr>
            </w:pPr>
            <w:r w:rsidRPr="00C166A5">
              <w:rPr>
                <w:rFonts w:cs="Arial"/>
                <w:sz w:val="18"/>
                <w:szCs w:val="18"/>
              </w:rPr>
              <w:t> </w:t>
            </w:r>
          </w:p>
        </w:tc>
      </w:tr>
      <w:tr w:rsidR="00C166A5" w:rsidRPr="00C166A5" w14:paraId="7F9E6639" w14:textId="77777777" w:rsidTr="00C166A5">
        <w:trPr>
          <w:trHeight w:val="250"/>
        </w:trPr>
        <w:tc>
          <w:tcPr>
            <w:tcW w:w="3640" w:type="dxa"/>
            <w:tcBorders>
              <w:top w:val="nil"/>
              <w:left w:val="nil"/>
              <w:bottom w:val="nil"/>
              <w:right w:val="nil"/>
            </w:tcBorders>
            <w:shd w:val="clear" w:color="000000" w:fill="FFFFFF"/>
            <w:vAlign w:val="bottom"/>
            <w:hideMark/>
          </w:tcPr>
          <w:p w14:paraId="7691E7D9"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Commonwealth Superannuation Scheme</w:t>
            </w:r>
          </w:p>
        </w:tc>
        <w:tc>
          <w:tcPr>
            <w:tcW w:w="960" w:type="dxa"/>
            <w:tcBorders>
              <w:top w:val="nil"/>
              <w:left w:val="nil"/>
              <w:bottom w:val="nil"/>
              <w:right w:val="nil"/>
            </w:tcBorders>
            <w:shd w:val="clear" w:color="000000" w:fill="FFFFFF"/>
            <w:vAlign w:val="bottom"/>
            <w:hideMark/>
          </w:tcPr>
          <w:p w14:paraId="5678786D"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62,234</w:t>
            </w:r>
          </w:p>
        </w:tc>
        <w:tc>
          <w:tcPr>
            <w:tcW w:w="960" w:type="dxa"/>
            <w:tcBorders>
              <w:top w:val="nil"/>
              <w:left w:val="nil"/>
              <w:bottom w:val="nil"/>
              <w:right w:val="nil"/>
            </w:tcBorders>
            <w:shd w:val="clear" w:color="000000" w:fill="E6F2FF"/>
            <w:vAlign w:val="bottom"/>
            <w:hideMark/>
          </w:tcPr>
          <w:p w14:paraId="66B0CC8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60,854</w:t>
            </w:r>
          </w:p>
        </w:tc>
        <w:tc>
          <w:tcPr>
            <w:tcW w:w="960" w:type="dxa"/>
            <w:tcBorders>
              <w:top w:val="nil"/>
              <w:left w:val="nil"/>
              <w:bottom w:val="nil"/>
              <w:right w:val="nil"/>
            </w:tcBorders>
            <w:shd w:val="clear" w:color="000000" w:fill="FFFFFF"/>
            <w:vAlign w:val="bottom"/>
            <w:hideMark/>
          </w:tcPr>
          <w:p w14:paraId="27A35C91"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59,377</w:t>
            </w:r>
          </w:p>
        </w:tc>
        <w:tc>
          <w:tcPr>
            <w:tcW w:w="960" w:type="dxa"/>
            <w:tcBorders>
              <w:top w:val="nil"/>
              <w:left w:val="nil"/>
              <w:bottom w:val="nil"/>
              <w:right w:val="nil"/>
            </w:tcBorders>
            <w:shd w:val="clear" w:color="000000" w:fill="FFFFFF"/>
            <w:vAlign w:val="bottom"/>
            <w:hideMark/>
          </w:tcPr>
          <w:p w14:paraId="4122F460"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57,809</w:t>
            </w:r>
          </w:p>
        </w:tc>
        <w:tc>
          <w:tcPr>
            <w:tcW w:w="960" w:type="dxa"/>
            <w:tcBorders>
              <w:top w:val="nil"/>
              <w:left w:val="nil"/>
              <w:bottom w:val="nil"/>
              <w:right w:val="nil"/>
            </w:tcBorders>
            <w:shd w:val="clear" w:color="000000" w:fill="FFFFFF"/>
            <w:vAlign w:val="bottom"/>
            <w:hideMark/>
          </w:tcPr>
          <w:p w14:paraId="7505EE9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56,154</w:t>
            </w:r>
          </w:p>
        </w:tc>
      </w:tr>
      <w:tr w:rsidR="00C166A5" w:rsidRPr="00C166A5" w14:paraId="2A374A6A" w14:textId="77777777" w:rsidTr="00C166A5">
        <w:trPr>
          <w:trHeight w:val="250"/>
        </w:trPr>
        <w:tc>
          <w:tcPr>
            <w:tcW w:w="3640" w:type="dxa"/>
            <w:tcBorders>
              <w:top w:val="nil"/>
              <w:left w:val="nil"/>
              <w:bottom w:val="nil"/>
              <w:right w:val="nil"/>
            </w:tcBorders>
            <w:shd w:val="clear" w:color="000000" w:fill="FFFFFF"/>
            <w:vAlign w:val="bottom"/>
            <w:hideMark/>
          </w:tcPr>
          <w:p w14:paraId="7AC49D67"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Public Sector Superannuation Scheme</w:t>
            </w:r>
          </w:p>
        </w:tc>
        <w:tc>
          <w:tcPr>
            <w:tcW w:w="960" w:type="dxa"/>
            <w:tcBorders>
              <w:top w:val="nil"/>
              <w:left w:val="nil"/>
              <w:bottom w:val="nil"/>
              <w:right w:val="nil"/>
            </w:tcBorders>
            <w:shd w:val="clear" w:color="000000" w:fill="FFFFFF"/>
            <w:vAlign w:val="bottom"/>
            <w:hideMark/>
          </w:tcPr>
          <w:p w14:paraId="63D76CA1"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91,019</w:t>
            </w:r>
          </w:p>
        </w:tc>
        <w:tc>
          <w:tcPr>
            <w:tcW w:w="960" w:type="dxa"/>
            <w:tcBorders>
              <w:top w:val="nil"/>
              <w:left w:val="nil"/>
              <w:bottom w:val="nil"/>
              <w:right w:val="nil"/>
            </w:tcBorders>
            <w:shd w:val="clear" w:color="000000" w:fill="E6F2FF"/>
            <w:vAlign w:val="bottom"/>
            <w:hideMark/>
          </w:tcPr>
          <w:p w14:paraId="5A6F523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93,717</w:t>
            </w:r>
          </w:p>
        </w:tc>
        <w:tc>
          <w:tcPr>
            <w:tcW w:w="960" w:type="dxa"/>
            <w:tcBorders>
              <w:top w:val="nil"/>
              <w:left w:val="nil"/>
              <w:bottom w:val="nil"/>
              <w:right w:val="nil"/>
            </w:tcBorders>
            <w:shd w:val="clear" w:color="000000" w:fill="FFFFFF"/>
            <w:vAlign w:val="bottom"/>
            <w:hideMark/>
          </w:tcPr>
          <w:p w14:paraId="7BB1561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102,141</w:t>
            </w:r>
          </w:p>
        </w:tc>
        <w:tc>
          <w:tcPr>
            <w:tcW w:w="960" w:type="dxa"/>
            <w:tcBorders>
              <w:top w:val="nil"/>
              <w:left w:val="nil"/>
              <w:bottom w:val="nil"/>
              <w:right w:val="nil"/>
            </w:tcBorders>
            <w:shd w:val="clear" w:color="000000" w:fill="FFFFFF"/>
            <w:vAlign w:val="bottom"/>
            <w:hideMark/>
          </w:tcPr>
          <w:p w14:paraId="5D401827"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106,172</w:t>
            </w:r>
          </w:p>
        </w:tc>
        <w:tc>
          <w:tcPr>
            <w:tcW w:w="960" w:type="dxa"/>
            <w:tcBorders>
              <w:top w:val="nil"/>
              <w:left w:val="nil"/>
              <w:bottom w:val="nil"/>
              <w:right w:val="nil"/>
            </w:tcBorders>
            <w:shd w:val="clear" w:color="000000" w:fill="FFFFFF"/>
            <w:vAlign w:val="bottom"/>
            <w:hideMark/>
          </w:tcPr>
          <w:p w14:paraId="7EEB76B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110,079</w:t>
            </w:r>
          </w:p>
        </w:tc>
      </w:tr>
      <w:tr w:rsidR="00C166A5" w:rsidRPr="00C166A5" w14:paraId="27ECB951" w14:textId="77777777" w:rsidTr="00C166A5">
        <w:trPr>
          <w:trHeight w:val="250"/>
        </w:trPr>
        <w:tc>
          <w:tcPr>
            <w:tcW w:w="3640" w:type="dxa"/>
            <w:tcBorders>
              <w:top w:val="nil"/>
              <w:left w:val="nil"/>
              <w:bottom w:val="nil"/>
              <w:right w:val="nil"/>
            </w:tcBorders>
            <w:shd w:val="clear" w:color="000000" w:fill="FFFFFF"/>
            <w:vAlign w:val="bottom"/>
            <w:hideMark/>
          </w:tcPr>
          <w:p w14:paraId="262E93DC"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Parliamentary Contributory Superannuation</w:t>
            </w:r>
          </w:p>
        </w:tc>
        <w:tc>
          <w:tcPr>
            <w:tcW w:w="960" w:type="dxa"/>
            <w:tcBorders>
              <w:top w:val="nil"/>
              <w:left w:val="nil"/>
              <w:bottom w:val="nil"/>
              <w:right w:val="nil"/>
            </w:tcBorders>
            <w:shd w:val="clear" w:color="000000" w:fill="FFFFFF"/>
            <w:vAlign w:val="bottom"/>
            <w:hideMark/>
          </w:tcPr>
          <w:p w14:paraId="63EB201C"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E6F2FF"/>
            <w:vAlign w:val="bottom"/>
            <w:hideMark/>
          </w:tcPr>
          <w:p w14:paraId="4E3BAD0F"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626AFEF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3DC39CB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145F5280"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r>
      <w:tr w:rsidR="00C166A5" w:rsidRPr="00C166A5" w14:paraId="6152AB39" w14:textId="77777777" w:rsidTr="00C166A5">
        <w:trPr>
          <w:trHeight w:val="250"/>
        </w:trPr>
        <w:tc>
          <w:tcPr>
            <w:tcW w:w="3640" w:type="dxa"/>
            <w:tcBorders>
              <w:top w:val="nil"/>
              <w:left w:val="nil"/>
              <w:bottom w:val="nil"/>
              <w:right w:val="nil"/>
            </w:tcBorders>
            <w:shd w:val="clear" w:color="000000" w:fill="FFFFFF"/>
            <w:vAlign w:val="bottom"/>
            <w:hideMark/>
          </w:tcPr>
          <w:p w14:paraId="3F8E1079"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 xml:space="preserve">   Scheme</w:t>
            </w:r>
          </w:p>
        </w:tc>
        <w:tc>
          <w:tcPr>
            <w:tcW w:w="960" w:type="dxa"/>
            <w:tcBorders>
              <w:top w:val="nil"/>
              <w:left w:val="nil"/>
              <w:bottom w:val="nil"/>
              <w:right w:val="nil"/>
            </w:tcBorders>
            <w:shd w:val="clear" w:color="000000" w:fill="FFFFFF"/>
            <w:vAlign w:val="bottom"/>
            <w:hideMark/>
          </w:tcPr>
          <w:p w14:paraId="481AC6B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847</w:t>
            </w:r>
          </w:p>
        </w:tc>
        <w:tc>
          <w:tcPr>
            <w:tcW w:w="960" w:type="dxa"/>
            <w:tcBorders>
              <w:top w:val="nil"/>
              <w:left w:val="nil"/>
              <w:bottom w:val="nil"/>
              <w:right w:val="nil"/>
            </w:tcBorders>
            <w:shd w:val="clear" w:color="000000" w:fill="E6F2FF"/>
            <w:vAlign w:val="bottom"/>
            <w:hideMark/>
          </w:tcPr>
          <w:p w14:paraId="4645AB9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842</w:t>
            </w:r>
          </w:p>
        </w:tc>
        <w:tc>
          <w:tcPr>
            <w:tcW w:w="960" w:type="dxa"/>
            <w:tcBorders>
              <w:top w:val="nil"/>
              <w:left w:val="nil"/>
              <w:bottom w:val="nil"/>
              <w:right w:val="nil"/>
            </w:tcBorders>
            <w:shd w:val="clear" w:color="000000" w:fill="FFFFFF"/>
            <w:vAlign w:val="bottom"/>
            <w:hideMark/>
          </w:tcPr>
          <w:p w14:paraId="79D40B7A"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836</w:t>
            </w:r>
          </w:p>
        </w:tc>
        <w:tc>
          <w:tcPr>
            <w:tcW w:w="960" w:type="dxa"/>
            <w:tcBorders>
              <w:top w:val="nil"/>
              <w:left w:val="nil"/>
              <w:bottom w:val="nil"/>
              <w:right w:val="nil"/>
            </w:tcBorders>
            <w:shd w:val="clear" w:color="000000" w:fill="FFFFFF"/>
            <w:vAlign w:val="bottom"/>
            <w:hideMark/>
          </w:tcPr>
          <w:p w14:paraId="56C948CC"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826</w:t>
            </w:r>
          </w:p>
        </w:tc>
        <w:tc>
          <w:tcPr>
            <w:tcW w:w="960" w:type="dxa"/>
            <w:tcBorders>
              <w:top w:val="nil"/>
              <w:left w:val="nil"/>
              <w:bottom w:val="nil"/>
              <w:right w:val="nil"/>
            </w:tcBorders>
            <w:shd w:val="clear" w:color="000000" w:fill="FFFFFF"/>
            <w:vAlign w:val="bottom"/>
            <w:hideMark/>
          </w:tcPr>
          <w:p w14:paraId="02FA8F2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816</w:t>
            </w:r>
          </w:p>
        </w:tc>
      </w:tr>
      <w:tr w:rsidR="00C166A5" w:rsidRPr="00C166A5" w14:paraId="40A10B5B" w14:textId="77777777" w:rsidTr="00C166A5">
        <w:trPr>
          <w:trHeight w:val="230"/>
        </w:trPr>
        <w:tc>
          <w:tcPr>
            <w:tcW w:w="3640" w:type="dxa"/>
            <w:tcBorders>
              <w:top w:val="nil"/>
              <w:left w:val="nil"/>
              <w:bottom w:val="nil"/>
              <w:right w:val="nil"/>
            </w:tcBorders>
            <w:shd w:val="clear" w:color="000000" w:fill="FFFFFF"/>
            <w:vAlign w:val="bottom"/>
            <w:hideMark/>
          </w:tcPr>
          <w:p w14:paraId="3B7FA4AB"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Governors-General Scheme   </w:t>
            </w:r>
          </w:p>
        </w:tc>
        <w:tc>
          <w:tcPr>
            <w:tcW w:w="960" w:type="dxa"/>
            <w:tcBorders>
              <w:top w:val="nil"/>
              <w:left w:val="nil"/>
              <w:bottom w:val="nil"/>
              <w:right w:val="nil"/>
            </w:tcBorders>
            <w:shd w:val="clear" w:color="000000" w:fill="FFFFFF"/>
            <w:vAlign w:val="bottom"/>
            <w:hideMark/>
          </w:tcPr>
          <w:p w14:paraId="2ADD0160"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16</w:t>
            </w:r>
          </w:p>
        </w:tc>
        <w:tc>
          <w:tcPr>
            <w:tcW w:w="960" w:type="dxa"/>
            <w:tcBorders>
              <w:top w:val="nil"/>
              <w:left w:val="nil"/>
              <w:bottom w:val="nil"/>
              <w:right w:val="nil"/>
            </w:tcBorders>
            <w:shd w:val="clear" w:color="000000" w:fill="E6F2FF"/>
            <w:vAlign w:val="bottom"/>
            <w:hideMark/>
          </w:tcPr>
          <w:p w14:paraId="7B8A7DC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15</w:t>
            </w:r>
          </w:p>
        </w:tc>
        <w:tc>
          <w:tcPr>
            <w:tcW w:w="960" w:type="dxa"/>
            <w:tcBorders>
              <w:top w:val="nil"/>
              <w:left w:val="nil"/>
              <w:bottom w:val="nil"/>
              <w:right w:val="nil"/>
            </w:tcBorders>
            <w:shd w:val="clear" w:color="000000" w:fill="FFFFFF"/>
            <w:vAlign w:val="bottom"/>
            <w:hideMark/>
          </w:tcPr>
          <w:p w14:paraId="0B07A365"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24</w:t>
            </w:r>
          </w:p>
        </w:tc>
        <w:tc>
          <w:tcPr>
            <w:tcW w:w="960" w:type="dxa"/>
            <w:tcBorders>
              <w:top w:val="nil"/>
              <w:left w:val="nil"/>
              <w:bottom w:val="nil"/>
              <w:right w:val="nil"/>
            </w:tcBorders>
            <w:shd w:val="clear" w:color="000000" w:fill="FFFFFF"/>
            <w:vAlign w:val="bottom"/>
            <w:hideMark/>
          </w:tcPr>
          <w:p w14:paraId="3F140F6A"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24</w:t>
            </w:r>
          </w:p>
        </w:tc>
        <w:tc>
          <w:tcPr>
            <w:tcW w:w="960" w:type="dxa"/>
            <w:tcBorders>
              <w:top w:val="nil"/>
              <w:left w:val="nil"/>
              <w:bottom w:val="nil"/>
              <w:right w:val="nil"/>
            </w:tcBorders>
            <w:shd w:val="clear" w:color="000000" w:fill="FFFFFF"/>
            <w:vAlign w:val="bottom"/>
            <w:hideMark/>
          </w:tcPr>
          <w:p w14:paraId="7FA03869"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24</w:t>
            </w:r>
          </w:p>
        </w:tc>
      </w:tr>
      <w:tr w:rsidR="00C166A5" w:rsidRPr="00C166A5" w14:paraId="22EBAFD4" w14:textId="77777777" w:rsidTr="00C166A5">
        <w:trPr>
          <w:trHeight w:val="230"/>
        </w:trPr>
        <w:tc>
          <w:tcPr>
            <w:tcW w:w="3640" w:type="dxa"/>
            <w:tcBorders>
              <w:top w:val="nil"/>
              <w:left w:val="nil"/>
              <w:bottom w:val="nil"/>
              <w:right w:val="nil"/>
            </w:tcBorders>
            <w:shd w:val="clear" w:color="000000" w:fill="FFFFFF"/>
            <w:vAlign w:val="bottom"/>
            <w:hideMark/>
          </w:tcPr>
          <w:p w14:paraId="7D3D7B98"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Judges' Pensions Scheme </w:t>
            </w:r>
          </w:p>
        </w:tc>
        <w:tc>
          <w:tcPr>
            <w:tcW w:w="960" w:type="dxa"/>
            <w:tcBorders>
              <w:top w:val="nil"/>
              <w:left w:val="nil"/>
              <w:bottom w:val="nil"/>
              <w:right w:val="nil"/>
            </w:tcBorders>
            <w:shd w:val="clear" w:color="000000" w:fill="FFFFFF"/>
            <w:vAlign w:val="bottom"/>
            <w:hideMark/>
          </w:tcPr>
          <w:p w14:paraId="3ABB78BF"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1,240</w:t>
            </w:r>
          </w:p>
        </w:tc>
        <w:tc>
          <w:tcPr>
            <w:tcW w:w="960" w:type="dxa"/>
            <w:tcBorders>
              <w:top w:val="nil"/>
              <w:left w:val="nil"/>
              <w:bottom w:val="nil"/>
              <w:right w:val="nil"/>
            </w:tcBorders>
            <w:shd w:val="clear" w:color="000000" w:fill="E6F2FF"/>
            <w:vAlign w:val="bottom"/>
            <w:hideMark/>
          </w:tcPr>
          <w:p w14:paraId="4513FB0C"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1,285</w:t>
            </w:r>
          </w:p>
        </w:tc>
        <w:tc>
          <w:tcPr>
            <w:tcW w:w="960" w:type="dxa"/>
            <w:tcBorders>
              <w:top w:val="nil"/>
              <w:left w:val="nil"/>
              <w:bottom w:val="nil"/>
              <w:right w:val="nil"/>
            </w:tcBorders>
            <w:shd w:val="clear" w:color="000000" w:fill="FFFFFF"/>
            <w:vAlign w:val="bottom"/>
            <w:hideMark/>
          </w:tcPr>
          <w:p w14:paraId="2A92D60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1,333</w:t>
            </w:r>
          </w:p>
        </w:tc>
        <w:tc>
          <w:tcPr>
            <w:tcW w:w="960" w:type="dxa"/>
            <w:tcBorders>
              <w:top w:val="nil"/>
              <w:left w:val="nil"/>
              <w:bottom w:val="nil"/>
              <w:right w:val="nil"/>
            </w:tcBorders>
            <w:shd w:val="clear" w:color="000000" w:fill="FFFFFF"/>
            <w:vAlign w:val="bottom"/>
            <w:hideMark/>
          </w:tcPr>
          <w:p w14:paraId="5E2975C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1,383</w:t>
            </w:r>
          </w:p>
        </w:tc>
        <w:tc>
          <w:tcPr>
            <w:tcW w:w="960" w:type="dxa"/>
            <w:tcBorders>
              <w:top w:val="nil"/>
              <w:left w:val="nil"/>
              <w:bottom w:val="nil"/>
              <w:right w:val="nil"/>
            </w:tcBorders>
            <w:shd w:val="clear" w:color="000000" w:fill="FFFFFF"/>
            <w:vAlign w:val="bottom"/>
            <w:hideMark/>
          </w:tcPr>
          <w:p w14:paraId="779825B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1,434</w:t>
            </w:r>
          </w:p>
        </w:tc>
      </w:tr>
      <w:tr w:rsidR="00C166A5" w:rsidRPr="00C166A5" w14:paraId="68CDB920" w14:textId="77777777" w:rsidTr="00C166A5">
        <w:trPr>
          <w:trHeight w:val="610"/>
        </w:trPr>
        <w:tc>
          <w:tcPr>
            <w:tcW w:w="3640" w:type="dxa"/>
            <w:tcBorders>
              <w:top w:val="nil"/>
              <w:left w:val="nil"/>
              <w:bottom w:val="nil"/>
              <w:right w:val="nil"/>
            </w:tcBorders>
            <w:shd w:val="clear" w:color="000000" w:fill="FFFFFF"/>
            <w:vAlign w:val="bottom"/>
            <w:hideMark/>
          </w:tcPr>
          <w:p w14:paraId="46C52378"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 xml:space="preserve">Division 2 Judges of the Federal Circuit and </w:t>
            </w:r>
            <w:r w:rsidRPr="00C166A5">
              <w:rPr>
                <w:rFonts w:ascii="Arial" w:hAnsi="Arial" w:cs="Arial"/>
                <w:color w:val="000000"/>
                <w:sz w:val="16"/>
                <w:szCs w:val="16"/>
              </w:rPr>
              <w:br/>
              <w:t xml:space="preserve">   Family Court of Australia Death and Disability </w:t>
            </w:r>
            <w:r w:rsidRPr="00C166A5">
              <w:rPr>
                <w:rFonts w:ascii="Arial" w:hAnsi="Arial" w:cs="Arial"/>
                <w:color w:val="000000"/>
                <w:sz w:val="16"/>
                <w:szCs w:val="16"/>
              </w:rPr>
              <w:br/>
              <w:t xml:space="preserve">   Scheme</w:t>
            </w:r>
          </w:p>
        </w:tc>
        <w:tc>
          <w:tcPr>
            <w:tcW w:w="960" w:type="dxa"/>
            <w:tcBorders>
              <w:top w:val="nil"/>
              <w:left w:val="nil"/>
              <w:bottom w:val="nil"/>
              <w:right w:val="nil"/>
            </w:tcBorders>
            <w:shd w:val="clear" w:color="000000" w:fill="FFFFFF"/>
            <w:vAlign w:val="bottom"/>
            <w:hideMark/>
          </w:tcPr>
          <w:p w14:paraId="13EE8910"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w:t>
            </w:r>
          </w:p>
        </w:tc>
        <w:tc>
          <w:tcPr>
            <w:tcW w:w="960" w:type="dxa"/>
            <w:tcBorders>
              <w:top w:val="nil"/>
              <w:left w:val="nil"/>
              <w:bottom w:val="nil"/>
              <w:right w:val="nil"/>
            </w:tcBorders>
            <w:shd w:val="clear" w:color="000000" w:fill="E6F2FF"/>
            <w:vAlign w:val="bottom"/>
            <w:hideMark/>
          </w:tcPr>
          <w:p w14:paraId="410CF5D1"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w:t>
            </w:r>
          </w:p>
        </w:tc>
        <w:tc>
          <w:tcPr>
            <w:tcW w:w="960" w:type="dxa"/>
            <w:tcBorders>
              <w:top w:val="nil"/>
              <w:left w:val="nil"/>
              <w:bottom w:val="nil"/>
              <w:right w:val="nil"/>
            </w:tcBorders>
            <w:shd w:val="clear" w:color="000000" w:fill="FFFFFF"/>
            <w:vAlign w:val="bottom"/>
            <w:hideMark/>
          </w:tcPr>
          <w:p w14:paraId="293F25F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w:t>
            </w:r>
          </w:p>
        </w:tc>
        <w:tc>
          <w:tcPr>
            <w:tcW w:w="960" w:type="dxa"/>
            <w:tcBorders>
              <w:top w:val="nil"/>
              <w:left w:val="nil"/>
              <w:bottom w:val="nil"/>
              <w:right w:val="nil"/>
            </w:tcBorders>
            <w:shd w:val="clear" w:color="000000" w:fill="FFFFFF"/>
            <w:vAlign w:val="bottom"/>
            <w:hideMark/>
          </w:tcPr>
          <w:p w14:paraId="769F98A4"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w:t>
            </w:r>
          </w:p>
        </w:tc>
        <w:tc>
          <w:tcPr>
            <w:tcW w:w="960" w:type="dxa"/>
            <w:tcBorders>
              <w:top w:val="nil"/>
              <w:left w:val="nil"/>
              <w:bottom w:val="nil"/>
              <w:right w:val="nil"/>
            </w:tcBorders>
            <w:shd w:val="clear" w:color="000000" w:fill="FFFFFF"/>
            <w:vAlign w:val="bottom"/>
            <w:hideMark/>
          </w:tcPr>
          <w:p w14:paraId="63AFC2B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w:t>
            </w:r>
          </w:p>
        </w:tc>
      </w:tr>
      <w:tr w:rsidR="00C166A5" w:rsidRPr="00C166A5" w14:paraId="16496984" w14:textId="77777777" w:rsidTr="00C166A5">
        <w:trPr>
          <w:trHeight w:val="230"/>
        </w:trPr>
        <w:tc>
          <w:tcPr>
            <w:tcW w:w="3640" w:type="dxa"/>
            <w:tcBorders>
              <w:top w:val="nil"/>
              <w:left w:val="nil"/>
              <w:bottom w:val="nil"/>
              <w:right w:val="nil"/>
            </w:tcBorders>
            <w:shd w:val="clear" w:color="000000" w:fill="FFFFFF"/>
            <w:vAlign w:val="bottom"/>
            <w:hideMark/>
          </w:tcPr>
          <w:p w14:paraId="3743E7E1" w14:textId="77777777" w:rsidR="00C166A5" w:rsidRPr="00C166A5" w:rsidRDefault="00C166A5" w:rsidP="00C166A5">
            <w:pPr>
              <w:spacing w:before="0" w:after="0" w:line="240" w:lineRule="auto"/>
              <w:rPr>
                <w:rFonts w:ascii="Arial" w:hAnsi="Arial" w:cs="Arial"/>
                <w:i/>
                <w:iCs/>
                <w:color w:val="000000"/>
                <w:sz w:val="16"/>
                <w:szCs w:val="16"/>
              </w:rPr>
            </w:pPr>
            <w:r w:rsidRPr="00C166A5">
              <w:rPr>
                <w:rFonts w:ascii="Arial" w:hAnsi="Arial" w:cs="Arial"/>
                <w:i/>
                <w:iCs/>
                <w:color w:val="000000"/>
                <w:sz w:val="16"/>
                <w:szCs w:val="16"/>
              </w:rPr>
              <w:t>Total civilian schemes</w:t>
            </w:r>
          </w:p>
        </w:tc>
        <w:tc>
          <w:tcPr>
            <w:tcW w:w="960" w:type="dxa"/>
            <w:tcBorders>
              <w:top w:val="single" w:sz="4" w:space="0" w:color="000000"/>
              <w:left w:val="nil"/>
              <w:bottom w:val="nil"/>
              <w:right w:val="nil"/>
            </w:tcBorders>
            <w:shd w:val="clear" w:color="000000" w:fill="FFFFFF"/>
            <w:vAlign w:val="bottom"/>
            <w:hideMark/>
          </w:tcPr>
          <w:p w14:paraId="432361C1"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155,356</w:t>
            </w:r>
          </w:p>
        </w:tc>
        <w:tc>
          <w:tcPr>
            <w:tcW w:w="960" w:type="dxa"/>
            <w:tcBorders>
              <w:top w:val="single" w:sz="4" w:space="0" w:color="000000"/>
              <w:left w:val="nil"/>
              <w:bottom w:val="nil"/>
              <w:right w:val="nil"/>
            </w:tcBorders>
            <w:shd w:val="clear" w:color="000000" w:fill="E6F2FF"/>
            <w:vAlign w:val="bottom"/>
            <w:hideMark/>
          </w:tcPr>
          <w:p w14:paraId="3F69F9BD"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156,714</w:t>
            </w:r>
          </w:p>
        </w:tc>
        <w:tc>
          <w:tcPr>
            <w:tcW w:w="960" w:type="dxa"/>
            <w:tcBorders>
              <w:top w:val="single" w:sz="4" w:space="0" w:color="000000"/>
              <w:left w:val="nil"/>
              <w:bottom w:val="nil"/>
              <w:right w:val="nil"/>
            </w:tcBorders>
            <w:shd w:val="clear" w:color="000000" w:fill="FFFFFF"/>
            <w:vAlign w:val="bottom"/>
            <w:hideMark/>
          </w:tcPr>
          <w:p w14:paraId="5F9E8C3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163,713</w:t>
            </w:r>
          </w:p>
        </w:tc>
        <w:tc>
          <w:tcPr>
            <w:tcW w:w="960" w:type="dxa"/>
            <w:tcBorders>
              <w:top w:val="single" w:sz="4" w:space="0" w:color="000000"/>
              <w:left w:val="nil"/>
              <w:bottom w:val="nil"/>
              <w:right w:val="nil"/>
            </w:tcBorders>
            <w:shd w:val="clear" w:color="000000" w:fill="FFFFFF"/>
            <w:vAlign w:val="bottom"/>
            <w:hideMark/>
          </w:tcPr>
          <w:p w14:paraId="607621E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166,217</w:t>
            </w:r>
          </w:p>
        </w:tc>
        <w:tc>
          <w:tcPr>
            <w:tcW w:w="960" w:type="dxa"/>
            <w:tcBorders>
              <w:top w:val="single" w:sz="4" w:space="0" w:color="000000"/>
              <w:left w:val="nil"/>
              <w:bottom w:val="nil"/>
              <w:right w:val="nil"/>
            </w:tcBorders>
            <w:shd w:val="clear" w:color="000000" w:fill="FFFFFF"/>
            <w:vAlign w:val="bottom"/>
            <w:hideMark/>
          </w:tcPr>
          <w:p w14:paraId="2EFF616D"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168,510</w:t>
            </w:r>
          </w:p>
        </w:tc>
      </w:tr>
      <w:tr w:rsidR="00C166A5" w:rsidRPr="00C166A5" w14:paraId="0F094A98" w14:textId="77777777" w:rsidTr="00C166A5">
        <w:trPr>
          <w:trHeight w:val="230"/>
        </w:trPr>
        <w:tc>
          <w:tcPr>
            <w:tcW w:w="3640" w:type="dxa"/>
            <w:tcBorders>
              <w:top w:val="nil"/>
              <w:left w:val="nil"/>
              <w:bottom w:val="nil"/>
              <w:right w:val="nil"/>
            </w:tcBorders>
            <w:shd w:val="clear" w:color="000000" w:fill="FFFFFF"/>
            <w:vAlign w:val="bottom"/>
            <w:hideMark/>
          </w:tcPr>
          <w:p w14:paraId="1961BB68" w14:textId="77777777" w:rsidR="00C166A5" w:rsidRPr="00C166A5" w:rsidRDefault="00C166A5" w:rsidP="00C166A5">
            <w:pPr>
              <w:spacing w:before="0" w:after="0" w:line="240" w:lineRule="auto"/>
              <w:rPr>
                <w:rFonts w:ascii="Arial" w:hAnsi="Arial" w:cs="Arial"/>
                <w:i/>
                <w:iCs/>
                <w:color w:val="000000"/>
                <w:sz w:val="16"/>
                <w:szCs w:val="16"/>
              </w:rPr>
            </w:pPr>
            <w:r w:rsidRPr="00C166A5">
              <w:rPr>
                <w:rFonts w:ascii="Arial" w:hAnsi="Arial" w:cs="Arial"/>
                <w:i/>
                <w:iCs/>
                <w:color w:val="000000"/>
                <w:sz w:val="16"/>
                <w:szCs w:val="16"/>
              </w:rPr>
              <w:t>Military superannuation schemes</w:t>
            </w:r>
          </w:p>
        </w:tc>
        <w:tc>
          <w:tcPr>
            <w:tcW w:w="960" w:type="dxa"/>
            <w:tcBorders>
              <w:top w:val="nil"/>
              <w:left w:val="nil"/>
              <w:bottom w:val="nil"/>
              <w:right w:val="nil"/>
            </w:tcBorders>
            <w:shd w:val="clear" w:color="000000" w:fill="FFFFFF"/>
            <w:vAlign w:val="bottom"/>
            <w:hideMark/>
          </w:tcPr>
          <w:p w14:paraId="555F3F1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E6F2FF"/>
            <w:vAlign w:val="bottom"/>
            <w:hideMark/>
          </w:tcPr>
          <w:p w14:paraId="4203A1E1"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206616BF"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 </w:t>
            </w:r>
          </w:p>
        </w:tc>
        <w:tc>
          <w:tcPr>
            <w:tcW w:w="960" w:type="dxa"/>
            <w:tcBorders>
              <w:top w:val="nil"/>
              <w:left w:val="nil"/>
              <w:bottom w:val="nil"/>
              <w:right w:val="nil"/>
            </w:tcBorders>
            <w:shd w:val="clear" w:color="000000" w:fill="FFFFFF"/>
            <w:vAlign w:val="bottom"/>
            <w:hideMark/>
          </w:tcPr>
          <w:p w14:paraId="0783675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5720592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r>
      <w:tr w:rsidR="00C166A5" w:rsidRPr="00C166A5" w14:paraId="31B65E73" w14:textId="77777777" w:rsidTr="00C166A5">
        <w:trPr>
          <w:trHeight w:val="250"/>
        </w:trPr>
        <w:tc>
          <w:tcPr>
            <w:tcW w:w="3640" w:type="dxa"/>
            <w:tcBorders>
              <w:top w:val="nil"/>
              <w:left w:val="nil"/>
              <w:bottom w:val="nil"/>
              <w:right w:val="nil"/>
            </w:tcBorders>
            <w:shd w:val="clear" w:color="000000" w:fill="FFFFFF"/>
            <w:vAlign w:val="bottom"/>
            <w:hideMark/>
          </w:tcPr>
          <w:p w14:paraId="727F74BE"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Military Superannuation and Benefits Scheme</w:t>
            </w:r>
          </w:p>
        </w:tc>
        <w:tc>
          <w:tcPr>
            <w:tcW w:w="960" w:type="dxa"/>
            <w:tcBorders>
              <w:top w:val="nil"/>
              <w:left w:val="nil"/>
              <w:bottom w:val="nil"/>
              <w:right w:val="nil"/>
            </w:tcBorders>
            <w:shd w:val="clear" w:color="000000" w:fill="FFFFFF"/>
            <w:vAlign w:val="bottom"/>
            <w:hideMark/>
          </w:tcPr>
          <w:p w14:paraId="1EAEA0D3"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84,184</w:t>
            </w:r>
          </w:p>
        </w:tc>
        <w:tc>
          <w:tcPr>
            <w:tcW w:w="960" w:type="dxa"/>
            <w:tcBorders>
              <w:top w:val="nil"/>
              <w:left w:val="nil"/>
              <w:bottom w:val="nil"/>
              <w:right w:val="nil"/>
            </w:tcBorders>
            <w:shd w:val="clear" w:color="000000" w:fill="E6F2FF"/>
            <w:vAlign w:val="bottom"/>
            <w:hideMark/>
          </w:tcPr>
          <w:p w14:paraId="2C5C859C"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88,239</w:t>
            </w:r>
          </w:p>
        </w:tc>
        <w:tc>
          <w:tcPr>
            <w:tcW w:w="960" w:type="dxa"/>
            <w:tcBorders>
              <w:top w:val="nil"/>
              <w:left w:val="nil"/>
              <w:bottom w:val="nil"/>
              <w:right w:val="nil"/>
            </w:tcBorders>
            <w:shd w:val="clear" w:color="000000" w:fill="FFFFFF"/>
            <w:vAlign w:val="bottom"/>
            <w:hideMark/>
          </w:tcPr>
          <w:p w14:paraId="747E8C0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92,141</w:t>
            </w:r>
          </w:p>
        </w:tc>
        <w:tc>
          <w:tcPr>
            <w:tcW w:w="960" w:type="dxa"/>
            <w:tcBorders>
              <w:top w:val="nil"/>
              <w:left w:val="nil"/>
              <w:bottom w:val="nil"/>
              <w:right w:val="nil"/>
            </w:tcBorders>
            <w:shd w:val="clear" w:color="000000" w:fill="FFFFFF"/>
            <w:vAlign w:val="bottom"/>
            <w:hideMark/>
          </w:tcPr>
          <w:p w14:paraId="35CF115B"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95,949</w:t>
            </w:r>
          </w:p>
        </w:tc>
        <w:tc>
          <w:tcPr>
            <w:tcW w:w="960" w:type="dxa"/>
            <w:tcBorders>
              <w:top w:val="nil"/>
              <w:left w:val="nil"/>
              <w:bottom w:val="nil"/>
              <w:right w:val="nil"/>
            </w:tcBorders>
            <w:shd w:val="clear" w:color="000000" w:fill="FFFFFF"/>
            <w:vAlign w:val="bottom"/>
            <w:hideMark/>
          </w:tcPr>
          <w:p w14:paraId="63D9B309"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99,675</w:t>
            </w:r>
          </w:p>
        </w:tc>
      </w:tr>
      <w:tr w:rsidR="00C166A5" w:rsidRPr="00C166A5" w14:paraId="6884318E" w14:textId="77777777" w:rsidTr="00C166A5">
        <w:trPr>
          <w:trHeight w:val="230"/>
        </w:trPr>
        <w:tc>
          <w:tcPr>
            <w:tcW w:w="3640" w:type="dxa"/>
            <w:tcBorders>
              <w:top w:val="nil"/>
              <w:left w:val="nil"/>
              <w:bottom w:val="nil"/>
              <w:right w:val="nil"/>
            </w:tcBorders>
            <w:shd w:val="clear" w:color="000000" w:fill="FFFFFF"/>
            <w:vAlign w:val="bottom"/>
            <w:hideMark/>
          </w:tcPr>
          <w:p w14:paraId="3C52371F"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Defence Force Retirement and Death Benefits</w:t>
            </w:r>
          </w:p>
        </w:tc>
        <w:tc>
          <w:tcPr>
            <w:tcW w:w="960" w:type="dxa"/>
            <w:tcBorders>
              <w:top w:val="nil"/>
              <w:left w:val="nil"/>
              <w:bottom w:val="nil"/>
              <w:right w:val="nil"/>
            </w:tcBorders>
            <w:shd w:val="clear" w:color="000000" w:fill="FFFFFF"/>
            <w:vAlign w:val="bottom"/>
            <w:hideMark/>
          </w:tcPr>
          <w:p w14:paraId="391975D5"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E6F2FF"/>
            <w:vAlign w:val="bottom"/>
            <w:hideMark/>
          </w:tcPr>
          <w:p w14:paraId="20CA307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07B3098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7A81128C"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c>
          <w:tcPr>
            <w:tcW w:w="960" w:type="dxa"/>
            <w:tcBorders>
              <w:top w:val="nil"/>
              <w:left w:val="nil"/>
              <w:bottom w:val="nil"/>
              <w:right w:val="nil"/>
            </w:tcBorders>
            <w:shd w:val="clear" w:color="000000" w:fill="FFFFFF"/>
            <w:vAlign w:val="bottom"/>
            <w:hideMark/>
          </w:tcPr>
          <w:p w14:paraId="44B17FE4"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 </w:t>
            </w:r>
          </w:p>
        </w:tc>
      </w:tr>
      <w:tr w:rsidR="00C166A5" w:rsidRPr="00C166A5" w14:paraId="219A5D49" w14:textId="77777777" w:rsidTr="00C166A5">
        <w:trPr>
          <w:trHeight w:val="230"/>
        </w:trPr>
        <w:tc>
          <w:tcPr>
            <w:tcW w:w="3640" w:type="dxa"/>
            <w:tcBorders>
              <w:top w:val="nil"/>
              <w:left w:val="nil"/>
              <w:bottom w:val="nil"/>
              <w:right w:val="nil"/>
            </w:tcBorders>
            <w:shd w:val="clear" w:color="000000" w:fill="FFFFFF"/>
            <w:vAlign w:val="bottom"/>
            <w:hideMark/>
          </w:tcPr>
          <w:p w14:paraId="326E0BB9"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 xml:space="preserve">   Scheme</w:t>
            </w:r>
          </w:p>
        </w:tc>
        <w:tc>
          <w:tcPr>
            <w:tcW w:w="960" w:type="dxa"/>
            <w:tcBorders>
              <w:top w:val="nil"/>
              <w:left w:val="nil"/>
              <w:bottom w:val="nil"/>
              <w:right w:val="nil"/>
            </w:tcBorders>
            <w:shd w:val="clear" w:color="000000" w:fill="FFFFFF"/>
            <w:vAlign w:val="bottom"/>
            <w:hideMark/>
          </w:tcPr>
          <w:p w14:paraId="42C48AB4"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32,291</w:t>
            </w:r>
          </w:p>
        </w:tc>
        <w:tc>
          <w:tcPr>
            <w:tcW w:w="960" w:type="dxa"/>
            <w:tcBorders>
              <w:top w:val="nil"/>
              <w:left w:val="nil"/>
              <w:bottom w:val="nil"/>
              <w:right w:val="nil"/>
            </w:tcBorders>
            <w:shd w:val="clear" w:color="000000" w:fill="E6F2FF"/>
            <w:vAlign w:val="bottom"/>
            <w:hideMark/>
          </w:tcPr>
          <w:p w14:paraId="0909F4B5"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32,059</w:t>
            </w:r>
          </w:p>
        </w:tc>
        <w:tc>
          <w:tcPr>
            <w:tcW w:w="960" w:type="dxa"/>
            <w:tcBorders>
              <w:top w:val="nil"/>
              <w:left w:val="nil"/>
              <w:bottom w:val="nil"/>
              <w:right w:val="nil"/>
            </w:tcBorders>
            <w:shd w:val="clear" w:color="000000" w:fill="FFFFFF"/>
            <w:vAlign w:val="bottom"/>
            <w:hideMark/>
          </w:tcPr>
          <w:p w14:paraId="5DFD8B02"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31,770</w:t>
            </w:r>
          </w:p>
        </w:tc>
        <w:tc>
          <w:tcPr>
            <w:tcW w:w="960" w:type="dxa"/>
            <w:tcBorders>
              <w:top w:val="nil"/>
              <w:left w:val="nil"/>
              <w:bottom w:val="nil"/>
              <w:right w:val="nil"/>
            </w:tcBorders>
            <w:shd w:val="clear" w:color="000000" w:fill="FFFFFF"/>
            <w:vAlign w:val="bottom"/>
            <w:hideMark/>
          </w:tcPr>
          <w:p w14:paraId="62CAC1F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31,444</w:t>
            </w:r>
          </w:p>
        </w:tc>
        <w:tc>
          <w:tcPr>
            <w:tcW w:w="960" w:type="dxa"/>
            <w:tcBorders>
              <w:top w:val="nil"/>
              <w:left w:val="nil"/>
              <w:bottom w:val="nil"/>
              <w:right w:val="nil"/>
            </w:tcBorders>
            <w:shd w:val="clear" w:color="000000" w:fill="FFFFFF"/>
            <w:vAlign w:val="bottom"/>
            <w:hideMark/>
          </w:tcPr>
          <w:p w14:paraId="177FEC56"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31,080</w:t>
            </w:r>
          </w:p>
        </w:tc>
      </w:tr>
      <w:tr w:rsidR="00C166A5" w:rsidRPr="00C166A5" w14:paraId="66C1FCA8" w14:textId="77777777" w:rsidTr="00C166A5">
        <w:trPr>
          <w:trHeight w:val="230"/>
        </w:trPr>
        <w:tc>
          <w:tcPr>
            <w:tcW w:w="3640" w:type="dxa"/>
            <w:tcBorders>
              <w:top w:val="nil"/>
              <w:left w:val="nil"/>
              <w:bottom w:val="nil"/>
              <w:right w:val="nil"/>
            </w:tcBorders>
            <w:shd w:val="clear" w:color="000000" w:fill="FFFFFF"/>
            <w:vAlign w:val="bottom"/>
            <w:hideMark/>
          </w:tcPr>
          <w:p w14:paraId="39F97C48"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Defence Forces Retirement Benefits Scheme</w:t>
            </w:r>
          </w:p>
        </w:tc>
        <w:tc>
          <w:tcPr>
            <w:tcW w:w="960" w:type="dxa"/>
            <w:tcBorders>
              <w:top w:val="nil"/>
              <w:left w:val="nil"/>
              <w:bottom w:val="nil"/>
              <w:right w:val="nil"/>
            </w:tcBorders>
            <w:shd w:val="clear" w:color="000000" w:fill="FFFFFF"/>
            <w:vAlign w:val="bottom"/>
            <w:hideMark/>
          </w:tcPr>
          <w:p w14:paraId="3321A9ED"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262</w:t>
            </w:r>
          </w:p>
        </w:tc>
        <w:tc>
          <w:tcPr>
            <w:tcW w:w="960" w:type="dxa"/>
            <w:tcBorders>
              <w:top w:val="nil"/>
              <w:left w:val="nil"/>
              <w:bottom w:val="nil"/>
              <w:right w:val="nil"/>
            </w:tcBorders>
            <w:shd w:val="clear" w:color="000000" w:fill="E6F2FF"/>
            <w:vAlign w:val="bottom"/>
            <w:hideMark/>
          </w:tcPr>
          <w:p w14:paraId="2D80C5C9"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245</w:t>
            </w:r>
          </w:p>
        </w:tc>
        <w:tc>
          <w:tcPr>
            <w:tcW w:w="960" w:type="dxa"/>
            <w:tcBorders>
              <w:top w:val="nil"/>
              <w:left w:val="nil"/>
              <w:bottom w:val="nil"/>
              <w:right w:val="nil"/>
            </w:tcBorders>
            <w:shd w:val="clear" w:color="000000" w:fill="FFFFFF"/>
            <w:vAlign w:val="bottom"/>
            <w:hideMark/>
          </w:tcPr>
          <w:p w14:paraId="40307DF2"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230</w:t>
            </w:r>
          </w:p>
        </w:tc>
        <w:tc>
          <w:tcPr>
            <w:tcW w:w="960" w:type="dxa"/>
            <w:tcBorders>
              <w:top w:val="nil"/>
              <w:left w:val="nil"/>
              <w:bottom w:val="nil"/>
              <w:right w:val="nil"/>
            </w:tcBorders>
            <w:shd w:val="clear" w:color="000000" w:fill="FFFFFF"/>
            <w:vAlign w:val="bottom"/>
            <w:hideMark/>
          </w:tcPr>
          <w:p w14:paraId="1F5C8329"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215</w:t>
            </w:r>
          </w:p>
        </w:tc>
        <w:tc>
          <w:tcPr>
            <w:tcW w:w="960" w:type="dxa"/>
            <w:tcBorders>
              <w:top w:val="nil"/>
              <w:left w:val="nil"/>
              <w:bottom w:val="nil"/>
              <w:right w:val="nil"/>
            </w:tcBorders>
            <w:shd w:val="clear" w:color="000000" w:fill="FFFFFF"/>
            <w:vAlign w:val="bottom"/>
            <w:hideMark/>
          </w:tcPr>
          <w:p w14:paraId="3B2071F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200</w:t>
            </w:r>
          </w:p>
        </w:tc>
      </w:tr>
      <w:tr w:rsidR="00C166A5" w:rsidRPr="00C166A5" w14:paraId="09236219" w14:textId="77777777" w:rsidTr="00C166A5">
        <w:trPr>
          <w:trHeight w:val="250"/>
        </w:trPr>
        <w:tc>
          <w:tcPr>
            <w:tcW w:w="3640" w:type="dxa"/>
            <w:tcBorders>
              <w:top w:val="nil"/>
              <w:left w:val="nil"/>
              <w:bottom w:val="nil"/>
              <w:right w:val="nil"/>
            </w:tcBorders>
            <w:shd w:val="clear" w:color="000000" w:fill="FFFFFF"/>
            <w:vAlign w:val="bottom"/>
            <w:hideMark/>
          </w:tcPr>
          <w:p w14:paraId="3B069BA3"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Australian Defence Force Cover</w:t>
            </w:r>
          </w:p>
        </w:tc>
        <w:tc>
          <w:tcPr>
            <w:tcW w:w="960" w:type="dxa"/>
            <w:tcBorders>
              <w:top w:val="nil"/>
              <w:left w:val="nil"/>
              <w:bottom w:val="single" w:sz="4" w:space="0" w:color="000000"/>
              <w:right w:val="nil"/>
            </w:tcBorders>
            <w:shd w:val="clear" w:color="000000" w:fill="FFFFFF"/>
            <w:vAlign w:val="bottom"/>
            <w:hideMark/>
          </w:tcPr>
          <w:p w14:paraId="078D978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3,504</w:t>
            </w:r>
          </w:p>
        </w:tc>
        <w:tc>
          <w:tcPr>
            <w:tcW w:w="960" w:type="dxa"/>
            <w:tcBorders>
              <w:top w:val="nil"/>
              <w:left w:val="nil"/>
              <w:bottom w:val="single" w:sz="4" w:space="0" w:color="000000"/>
              <w:right w:val="nil"/>
            </w:tcBorders>
            <w:shd w:val="clear" w:color="000000" w:fill="E6F2FF"/>
            <w:vAlign w:val="bottom"/>
            <w:hideMark/>
          </w:tcPr>
          <w:p w14:paraId="5DFBE62B"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5,023</w:t>
            </w:r>
          </w:p>
        </w:tc>
        <w:tc>
          <w:tcPr>
            <w:tcW w:w="960" w:type="dxa"/>
            <w:tcBorders>
              <w:top w:val="nil"/>
              <w:left w:val="nil"/>
              <w:bottom w:val="single" w:sz="4" w:space="0" w:color="000000"/>
              <w:right w:val="nil"/>
            </w:tcBorders>
            <w:shd w:val="clear" w:color="000000" w:fill="FFFFFF"/>
            <w:vAlign w:val="bottom"/>
            <w:hideMark/>
          </w:tcPr>
          <w:p w14:paraId="23B9F9A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6,825</w:t>
            </w:r>
          </w:p>
        </w:tc>
        <w:tc>
          <w:tcPr>
            <w:tcW w:w="960" w:type="dxa"/>
            <w:tcBorders>
              <w:top w:val="nil"/>
              <w:left w:val="nil"/>
              <w:bottom w:val="single" w:sz="4" w:space="0" w:color="000000"/>
              <w:right w:val="nil"/>
            </w:tcBorders>
            <w:shd w:val="clear" w:color="000000" w:fill="FFFFFF"/>
            <w:vAlign w:val="bottom"/>
            <w:hideMark/>
          </w:tcPr>
          <w:p w14:paraId="30AC5DEE"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8,928</w:t>
            </w:r>
          </w:p>
        </w:tc>
        <w:tc>
          <w:tcPr>
            <w:tcW w:w="960" w:type="dxa"/>
            <w:tcBorders>
              <w:top w:val="nil"/>
              <w:left w:val="nil"/>
              <w:bottom w:val="single" w:sz="4" w:space="0" w:color="000000"/>
              <w:right w:val="nil"/>
            </w:tcBorders>
            <w:shd w:val="clear" w:color="000000" w:fill="FFFFFF"/>
            <w:vAlign w:val="bottom"/>
            <w:hideMark/>
          </w:tcPr>
          <w:p w14:paraId="5F9C4581"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11,350</w:t>
            </w:r>
          </w:p>
        </w:tc>
      </w:tr>
      <w:tr w:rsidR="00C166A5" w:rsidRPr="00C166A5" w14:paraId="3D97FEE0" w14:textId="77777777" w:rsidTr="00C166A5">
        <w:trPr>
          <w:trHeight w:val="230"/>
        </w:trPr>
        <w:tc>
          <w:tcPr>
            <w:tcW w:w="3640" w:type="dxa"/>
            <w:tcBorders>
              <w:top w:val="nil"/>
              <w:left w:val="nil"/>
              <w:bottom w:val="nil"/>
              <w:right w:val="nil"/>
            </w:tcBorders>
            <w:shd w:val="clear" w:color="000000" w:fill="FFFFFF"/>
            <w:vAlign w:val="bottom"/>
            <w:hideMark/>
          </w:tcPr>
          <w:p w14:paraId="2D7712B4" w14:textId="77777777" w:rsidR="00C166A5" w:rsidRPr="00C166A5" w:rsidRDefault="00C166A5" w:rsidP="00C166A5">
            <w:pPr>
              <w:spacing w:before="0" w:after="0" w:line="240" w:lineRule="auto"/>
              <w:rPr>
                <w:rFonts w:ascii="Arial" w:hAnsi="Arial" w:cs="Arial"/>
                <w:i/>
                <w:iCs/>
                <w:color w:val="000000"/>
                <w:sz w:val="16"/>
                <w:szCs w:val="16"/>
              </w:rPr>
            </w:pPr>
            <w:r w:rsidRPr="00C166A5">
              <w:rPr>
                <w:rFonts w:ascii="Arial" w:hAnsi="Arial" w:cs="Arial"/>
                <w:i/>
                <w:iCs/>
                <w:color w:val="000000"/>
                <w:sz w:val="16"/>
                <w:szCs w:val="16"/>
              </w:rPr>
              <w:t>Total military schemes</w:t>
            </w:r>
          </w:p>
        </w:tc>
        <w:tc>
          <w:tcPr>
            <w:tcW w:w="960" w:type="dxa"/>
            <w:tcBorders>
              <w:top w:val="nil"/>
              <w:left w:val="nil"/>
              <w:bottom w:val="nil"/>
              <w:right w:val="nil"/>
            </w:tcBorders>
            <w:shd w:val="clear" w:color="000000" w:fill="FFFFFF"/>
            <w:vAlign w:val="bottom"/>
            <w:hideMark/>
          </w:tcPr>
          <w:p w14:paraId="4C155104"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120,241</w:t>
            </w:r>
          </w:p>
        </w:tc>
        <w:tc>
          <w:tcPr>
            <w:tcW w:w="960" w:type="dxa"/>
            <w:tcBorders>
              <w:top w:val="nil"/>
              <w:left w:val="nil"/>
              <w:bottom w:val="nil"/>
              <w:right w:val="nil"/>
            </w:tcBorders>
            <w:shd w:val="clear" w:color="000000" w:fill="E6F2FF"/>
            <w:vAlign w:val="bottom"/>
            <w:hideMark/>
          </w:tcPr>
          <w:p w14:paraId="68D1E72F"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125,566</w:t>
            </w:r>
          </w:p>
        </w:tc>
        <w:tc>
          <w:tcPr>
            <w:tcW w:w="960" w:type="dxa"/>
            <w:tcBorders>
              <w:top w:val="nil"/>
              <w:left w:val="nil"/>
              <w:bottom w:val="nil"/>
              <w:right w:val="nil"/>
            </w:tcBorders>
            <w:shd w:val="clear" w:color="000000" w:fill="FFFFFF"/>
            <w:vAlign w:val="bottom"/>
            <w:hideMark/>
          </w:tcPr>
          <w:p w14:paraId="579EE305"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130,965</w:t>
            </w:r>
          </w:p>
        </w:tc>
        <w:tc>
          <w:tcPr>
            <w:tcW w:w="960" w:type="dxa"/>
            <w:tcBorders>
              <w:top w:val="nil"/>
              <w:left w:val="nil"/>
              <w:bottom w:val="nil"/>
              <w:right w:val="nil"/>
            </w:tcBorders>
            <w:shd w:val="clear" w:color="000000" w:fill="FFFFFF"/>
            <w:vAlign w:val="bottom"/>
            <w:hideMark/>
          </w:tcPr>
          <w:p w14:paraId="057814B5"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136,536</w:t>
            </w:r>
          </w:p>
        </w:tc>
        <w:tc>
          <w:tcPr>
            <w:tcW w:w="960" w:type="dxa"/>
            <w:tcBorders>
              <w:top w:val="nil"/>
              <w:left w:val="nil"/>
              <w:bottom w:val="nil"/>
              <w:right w:val="nil"/>
            </w:tcBorders>
            <w:shd w:val="clear" w:color="000000" w:fill="FFFFFF"/>
            <w:vAlign w:val="bottom"/>
            <w:hideMark/>
          </w:tcPr>
          <w:p w14:paraId="6ABF07B8" w14:textId="77777777" w:rsidR="00C166A5" w:rsidRPr="00C166A5" w:rsidRDefault="00C166A5" w:rsidP="00C166A5">
            <w:pPr>
              <w:spacing w:before="0" w:after="0" w:line="240" w:lineRule="auto"/>
              <w:jc w:val="right"/>
              <w:rPr>
                <w:rFonts w:ascii="Arial" w:hAnsi="Arial" w:cs="Arial"/>
                <w:sz w:val="16"/>
                <w:szCs w:val="16"/>
              </w:rPr>
            </w:pPr>
            <w:r w:rsidRPr="00C166A5">
              <w:rPr>
                <w:rFonts w:ascii="Arial" w:hAnsi="Arial" w:cs="Arial"/>
                <w:sz w:val="16"/>
                <w:szCs w:val="16"/>
              </w:rPr>
              <w:t>142,304</w:t>
            </w:r>
          </w:p>
        </w:tc>
      </w:tr>
      <w:tr w:rsidR="00C166A5" w:rsidRPr="00C166A5" w14:paraId="51375874" w14:textId="77777777" w:rsidTr="00C166A5">
        <w:trPr>
          <w:trHeight w:val="230"/>
        </w:trPr>
        <w:tc>
          <w:tcPr>
            <w:tcW w:w="3640" w:type="dxa"/>
            <w:tcBorders>
              <w:top w:val="nil"/>
              <w:left w:val="nil"/>
              <w:bottom w:val="nil"/>
              <w:right w:val="nil"/>
            </w:tcBorders>
            <w:shd w:val="clear" w:color="000000" w:fill="FFFFFF"/>
            <w:vAlign w:val="bottom"/>
            <w:hideMark/>
          </w:tcPr>
          <w:p w14:paraId="0B19B9D6" w14:textId="77777777" w:rsidR="00C166A5" w:rsidRPr="00C166A5" w:rsidRDefault="00C166A5" w:rsidP="00C166A5">
            <w:pPr>
              <w:spacing w:before="0" w:after="0" w:line="240" w:lineRule="auto"/>
              <w:rPr>
                <w:rFonts w:ascii="Arial" w:hAnsi="Arial" w:cs="Arial"/>
                <w:color w:val="000000"/>
                <w:sz w:val="16"/>
                <w:szCs w:val="16"/>
              </w:rPr>
            </w:pPr>
            <w:r w:rsidRPr="00C166A5">
              <w:rPr>
                <w:rFonts w:ascii="Arial" w:hAnsi="Arial" w:cs="Arial"/>
                <w:color w:val="000000"/>
                <w:sz w:val="16"/>
                <w:szCs w:val="16"/>
              </w:rPr>
              <w:t>Other schemes</w:t>
            </w:r>
          </w:p>
        </w:tc>
        <w:tc>
          <w:tcPr>
            <w:tcW w:w="960" w:type="dxa"/>
            <w:tcBorders>
              <w:top w:val="nil"/>
              <w:left w:val="nil"/>
              <w:bottom w:val="nil"/>
              <w:right w:val="nil"/>
            </w:tcBorders>
            <w:shd w:val="clear" w:color="000000" w:fill="FFFFFF"/>
            <w:vAlign w:val="bottom"/>
            <w:hideMark/>
          </w:tcPr>
          <w:p w14:paraId="74FAEDC7"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199</w:t>
            </w:r>
          </w:p>
        </w:tc>
        <w:tc>
          <w:tcPr>
            <w:tcW w:w="960" w:type="dxa"/>
            <w:tcBorders>
              <w:top w:val="nil"/>
              <w:left w:val="nil"/>
              <w:bottom w:val="nil"/>
              <w:right w:val="nil"/>
            </w:tcBorders>
            <w:shd w:val="clear" w:color="000000" w:fill="E6F2FF"/>
            <w:vAlign w:val="bottom"/>
            <w:hideMark/>
          </w:tcPr>
          <w:p w14:paraId="5980DD7C"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207</w:t>
            </w:r>
          </w:p>
        </w:tc>
        <w:tc>
          <w:tcPr>
            <w:tcW w:w="960" w:type="dxa"/>
            <w:tcBorders>
              <w:top w:val="nil"/>
              <w:left w:val="nil"/>
              <w:bottom w:val="nil"/>
              <w:right w:val="nil"/>
            </w:tcBorders>
            <w:shd w:val="clear" w:color="000000" w:fill="FFFFFF"/>
            <w:vAlign w:val="bottom"/>
            <w:hideMark/>
          </w:tcPr>
          <w:p w14:paraId="3FBDB0FE"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217</w:t>
            </w:r>
          </w:p>
        </w:tc>
        <w:tc>
          <w:tcPr>
            <w:tcW w:w="960" w:type="dxa"/>
            <w:tcBorders>
              <w:top w:val="nil"/>
              <w:left w:val="nil"/>
              <w:bottom w:val="nil"/>
              <w:right w:val="nil"/>
            </w:tcBorders>
            <w:shd w:val="clear" w:color="000000" w:fill="FFFFFF"/>
            <w:vAlign w:val="bottom"/>
            <w:hideMark/>
          </w:tcPr>
          <w:p w14:paraId="6B3BDD08"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227</w:t>
            </w:r>
          </w:p>
        </w:tc>
        <w:tc>
          <w:tcPr>
            <w:tcW w:w="960" w:type="dxa"/>
            <w:tcBorders>
              <w:top w:val="nil"/>
              <w:left w:val="nil"/>
              <w:bottom w:val="nil"/>
              <w:right w:val="nil"/>
            </w:tcBorders>
            <w:shd w:val="clear" w:color="000000" w:fill="FFFFFF"/>
            <w:vAlign w:val="bottom"/>
            <w:hideMark/>
          </w:tcPr>
          <w:p w14:paraId="729B7729" w14:textId="77777777" w:rsidR="00C166A5" w:rsidRPr="00C166A5" w:rsidRDefault="00C166A5" w:rsidP="00C166A5">
            <w:pPr>
              <w:spacing w:before="0" w:after="0" w:line="240" w:lineRule="auto"/>
              <w:jc w:val="right"/>
              <w:rPr>
                <w:rFonts w:ascii="Arial" w:hAnsi="Arial" w:cs="Arial"/>
                <w:color w:val="000000"/>
                <w:sz w:val="16"/>
                <w:szCs w:val="16"/>
              </w:rPr>
            </w:pPr>
            <w:r w:rsidRPr="00C166A5">
              <w:rPr>
                <w:rFonts w:ascii="Arial" w:hAnsi="Arial" w:cs="Arial"/>
                <w:color w:val="000000"/>
                <w:sz w:val="16"/>
                <w:szCs w:val="16"/>
              </w:rPr>
              <w:t>235</w:t>
            </w:r>
          </w:p>
        </w:tc>
      </w:tr>
      <w:tr w:rsidR="00C166A5" w:rsidRPr="00C166A5" w14:paraId="3A7B8053" w14:textId="77777777" w:rsidTr="00C166A5">
        <w:trPr>
          <w:trHeight w:val="230"/>
        </w:trPr>
        <w:tc>
          <w:tcPr>
            <w:tcW w:w="3640" w:type="dxa"/>
            <w:tcBorders>
              <w:top w:val="single" w:sz="4" w:space="0" w:color="293F5B"/>
              <w:left w:val="nil"/>
              <w:bottom w:val="single" w:sz="4" w:space="0" w:color="293F5B"/>
              <w:right w:val="nil"/>
            </w:tcBorders>
            <w:shd w:val="clear" w:color="000000" w:fill="FFFFFF"/>
            <w:vAlign w:val="bottom"/>
            <w:hideMark/>
          </w:tcPr>
          <w:p w14:paraId="53493E05" w14:textId="77777777" w:rsidR="00C166A5" w:rsidRPr="00C166A5" w:rsidRDefault="00C166A5" w:rsidP="00C166A5">
            <w:pPr>
              <w:spacing w:before="0" w:after="0" w:line="240" w:lineRule="auto"/>
              <w:rPr>
                <w:rFonts w:ascii="Arial" w:hAnsi="Arial" w:cs="Arial"/>
                <w:b/>
                <w:bCs/>
                <w:color w:val="000000"/>
                <w:sz w:val="16"/>
                <w:szCs w:val="16"/>
              </w:rPr>
            </w:pPr>
            <w:r w:rsidRPr="00C166A5">
              <w:rPr>
                <w:rFonts w:ascii="Arial" w:hAnsi="Arial" w:cs="Arial"/>
                <w:b/>
                <w:bCs/>
                <w:color w:val="000000"/>
                <w:sz w:val="16"/>
                <w:szCs w:val="16"/>
              </w:rPr>
              <w:t>Total</w:t>
            </w:r>
          </w:p>
        </w:tc>
        <w:tc>
          <w:tcPr>
            <w:tcW w:w="960" w:type="dxa"/>
            <w:tcBorders>
              <w:top w:val="single" w:sz="4" w:space="0" w:color="293F5B"/>
              <w:left w:val="nil"/>
              <w:bottom w:val="single" w:sz="4" w:space="0" w:color="293F5B"/>
              <w:right w:val="nil"/>
            </w:tcBorders>
            <w:shd w:val="clear" w:color="000000" w:fill="FFFFFF"/>
            <w:vAlign w:val="bottom"/>
            <w:hideMark/>
          </w:tcPr>
          <w:p w14:paraId="3BDD2487" w14:textId="77777777" w:rsidR="00C166A5" w:rsidRPr="00C166A5" w:rsidRDefault="00C166A5" w:rsidP="00C166A5">
            <w:pPr>
              <w:spacing w:before="0" w:after="0" w:line="240" w:lineRule="auto"/>
              <w:jc w:val="right"/>
              <w:rPr>
                <w:rFonts w:ascii="Arial" w:hAnsi="Arial" w:cs="Arial"/>
                <w:b/>
                <w:bCs/>
                <w:color w:val="000000"/>
                <w:sz w:val="16"/>
                <w:szCs w:val="16"/>
              </w:rPr>
            </w:pPr>
            <w:r w:rsidRPr="00C166A5">
              <w:rPr>
                <w:rFonts w:ascii="Arial" w:hAnsi="Arial" w:cs="Arial"/>
                <w:b/>
                <w:bCs/>
                <w:color w:val="000000"/>
                <w:sz w:val="16"/>
                <w:szCs w:val="16"/>
              </w:rPr>
              <w:t>275,796</w:t>
            </w:r>
          </w:p>
        </w:tc>
        <w:tc>
          <w:tcPr>
            <w:tcW w:w="960" w:type="dxa"/>
            <w:tcBorders>
              <w:top w:val="single" w:sz="4" w:space="0" w:color="293F5B"/>
              <w:left w:val="nil"/>
              <w:bottom w:val="single" w:sz="4" w:space="0" w:color="293F5B"/>
              <w:right w:val="nil"/>
            </w:tcBorders>
            <w:shd w:val="clear" w:color="000000" w:fill="E6F2FF"/>
            <w:vAlign w:val="bottom"/>
            <w:hideMark/>
          </w:tcPr>
          <w:p w14:paraId="2DCF194C" w14:textId="77777777" w:rsidR="00C166A5" w:rsidRPr="00C166A5" w:rsidRDefault="00C166A5" w:rsidP="00C166A5">
            <w:pPr>
              <w:spacing w:before="0" w:after="0" w:line="240" w:lineRule="auto"/>
              <w:jc w:val="right"/>
              <w:rPr>
                <w:rFonts w:ascii="Arial" w:hAnsi="Arial" w:cs="Arial"/>
                <w:b/>
                <w:bCs/>
                <w:color w:val="000000"/>
                <w:sz w:val="16"/>
                <w:szCs w:val="16"/>
              </w:rPr>
            </w:pPr>
            <w:r w:rsidRPr="00C166A5">
              <w:rPr>
                <w:rFonts w:ascii="Arial" w:hAnsi="Arial" w:cs="Arial"/>
                <w:b/>
                <w:bCs/>
                <w:color w:val="000000"/>
                <w:sz w:val="16"/>
                <w:szCs w:val="16"/>
              </w:rPr>
              <w:t>282,487</w:t>
            </w:r>
          </w:p>
        </w:tc>
        <w:tc>
          <w:tcPr>
            <w:tcW w:w="960" w:type="dxa"/>
            <w:tcBorders>
              <w:top w:val="single" w:sz="4" w:space="0" w:color="293F5B"/>
              <w:left w:val="nil"/>
              <w:bottom w:val="single" w:sz="4" w:space="0" w:color="293F5B"/>
              <w:right w:val="nil"/>
            </w:tcBorders>
            <w:shd w:val="clear" w:color="000000" w:fill="FFFFFF"/>
            <w:vAlign w:val="bottom"/>
            <w:hideMark/>
          </w:tcPr>
          <w:p w14:paraId="7D0A52AB" w14:textId="77777777" w:rsidR="00C166A5" w:rsidRPr="00C166A5" w:rsidRDefault="00C166A5" w:rsidP="00C166A5">
            <w:pPr>
              <w:spacing w:before="0" w:after="0" w:line="240" w:lineRule="auto"/>
              <w:jc w:val="right"/>
              <w:rPr>
                <w:rFonts w:ascii="Arial" w:hAnsi="Arial" w:cs="Arial"/>
                <w:b/>
                <w:bCs/>
                <w:color w:val="000000"/>
                <w:sz w:val="16"/>
                <w:szCs w:val="16"/>
              </w:rPr>
            </w:pPr>
            <w:r w:rsidRPr="00C166A5">
              <w:rPr>
                <w:rFonts w:ascii="Arial" w:hAnsi="Arial" w:cs="Arial"/>
                <w:b/>
                <w:bCs/>
                <w:color w:val="000000"/>
                <w:sz w:val="16"/>
                <w:szCs w:val="16"/>
              </w:rPr>
              <w:t>294,896</w:t>
            </w:r>
          </w:p>
        </w:tc>
        <w:tc>
          <w:tcPr>
            <w:tcW w:w="960" w:type="dxa"/>
            <w:tcBorders>
              <w:top w:val="single" w:sz="4" w:space="0" w:color="293F5B"/>
              <w:left w:val="nil"/>
              <w:bottom w:val="single" w:sz="4" w:space="0" w:color="293F5B"/>
              <w:right w:val="nil"/>
            </w:tcBorders>
            <w:shd w:val="clear" w:color="000000" w:fill="FFFFFF"/>
            <w:vAlign w:val="bottom"/>
            <w:hideMark/>
          </w:tcPr>
          <w:p w14:paraId="10127711" w14:textId="77777777" w:rsidR="00C166A5" w:rsidRPr="00C166A5" w:rsidRDefault="00C166A5" w:rsidP="00C166A5">
            <w:pPr>
              <w:spacing w:before="0" w:after="0" w:line="240" w:lineRule="auto"/>
              <w:jc w:val="right"/>
              <w:rPr>
                <w:rFonts w:ascii="Arial" w:hAnsi="Arial" w:cs="Arial"/>
                <w:b/>
                <w:bCs/>
                <w:color w:val="000000"/>
                <w:sz w:val="16"/>
                <w:szCs w:val="16"/>
              </w:rPr>
            </w:pPr>
            <w:r w:rsidRPr="00C166A5">
              <w:rPr>
                <w:rFonts w:ascii="Arial" w:hAnsi="Arial" w:cs="Arial"/>
                <w:b/>
                <w:bCs/>
                <w:color w:val="000000"/>
                <w:sz w:val="16"/>
                <w:szCs w:val="16"/>
              </w:rPr>
              <w:t>302,980</w:t>
            </w:r>
          </w:p>
        </w:tc>
        <w:tc>
          <w:tcPr>
            <w:tcW w:w="960" w:type="dxa"/>
            <w:tcBorders>
              <w:top w:val="single" w:sz="4" w:space="0" w:color="293F5B"/>
              <w:left w:val="nil"/>
              <w:bottom w:val="single" w:sz="4" w:space="0" w:color="293F5B"/>
              <w:right w:val="nil"/>
            </w:tcBorders>
            <w:shd w:val="clear" w:color="000000" w:fill="FFFFFF"/>
            <w:vAlign w:val="bottom"/>
            <w:hideMark/>
          </w:tcPr>
          <w:p w14:paraId="2F6E6DEA" w14:textId="77777777" w:rsidR="00C166A5" w:rsidRPr="00C166A5" w:rsidRDefault="00C166A5" w:rsidP="00C166A5">
            <w:pPr>
              <w:spacing w:before="0" w:after="0" w:line="240" w:lineRule="auto"/>
              <w:jc w:val="right"/>
              <w:rPr>
                <w:rFonts w:ascii="Arial" w:hAnsi="Arial" w:cs="Arial"/>
                <w:b/>
                <w:bCs/>
                <w:color w:val="000000"/>
                <w:sz w:val="16"/>
                <w:szCs w:val="16"/>
              </w:rPr>
            </w:pPr>
            <w:r w:rsidRPr="00C166A5">
              <w:rPr>
                <w:rFonts w:ascii="Arial" w:hAnsi="Arial" w:cs="Arial"/>
                <w:b/>
                <w:bCs/>
                <w:color w:val="000000"/>
                <w:sz w:val="16"/>
                <w:szCs w:val="16"/>
              </w:rPr>
              <w:t>311,049</w:t>
            </w:r>
          </w:p>
        </w:tc>
      </w:tr>
    </w:tbl>
    <w:p w14:paraId="7636A81C" w14:textId="79868DDD" w:rsidR="003628C1" w:rsidRPr="00114EB8" w:rsidRDefault="003628C1" w:rsidP="0081257E">
      <w:pPr>
        <w:pStyle w:val="SingleParagraph"/>
      </w:pPr>
    </w:p>
    <w:bookmarkEnd w:id="4"/>
    <w:p w14:paraId="6C7B4D77" w14:textId="6D70077A" w:rsidR="00CA19BC" w:rsidRPr="00FF7B63" w:rsidRDefault="00CA19BC" w:rsidP="003628C1">
      <w:pPr>
        <w:pStyle w:val="Heading4"/>
      </w:pPr>
      <w:r w:rsidRPr="00FF7B63">
        <w:t>Other provisions and payables</w:t>
      </w:r>
    </w:p>
    <w:p w14:paraId="5C07610C" w14:textId="5AAA4525" w:rsidR="00CA19BC" w:rsidRPr="00114EB8" w:rsidRDefault="00CA19BC" w:rsidP="00B26C0C">
      <w:r w:rsidRPr="00114EB8">
        <w:t xml:space="preserve">Other provisions and payables </w:t>
      </w:r>
      <w:proofErr w:type="gramStart"/>
      <w:r w:rsidRPr="00114EB8">
        <w:t>includes</w:t>
      </w:r>
      <w:proofErr w:type="gramEnd"/>
      <w:r w:rsidRPr="00114EB8">
        <w:t xml:space="preserve"> all other Government liabilities including lease liabilities, provisions for other employee entitlements such as leave, unpaid grants, subsidies, personal benefits, and payments to suppliers.</w:t>
      </w:r>
    </w:p>
    <w:sectPr w:rsidR="00CA19BC" w:rsidRPr="00114EB8" w:rsidSect="002A4BEF">
      <w:headerReference w:type="even" r:id="rId16"/>
      <w:headerReference w:type="default" r:id="rId17"/>
      <w:footerReference w:type="even" r:id="rId18"/>
      <w:footerReference w:type="default" r:id="rId19"/>
      <w:headerReference w:type="first" r:id="rId20"/>
      <w:footerReference w:type="first" r:id="rId21"/>
      <w:type w:val="oddPage"/>
      <w:pgSz w:w="11906" w:h="16838" w:code="9"/>
      <w:pgMar w:top="2835" w:right="2098" w:bottom="2466" w:left="2098" w:header="1814" w:footer="1814" w:gutter="0"/>
      <w:pgNumType w:start="39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71B39" w14:textId="77777777" w:rsidR="0014785A" w:rsidRDefault="0014785A" w:rsidP="00E40261">
      <w:pPr>
        <w:spacing w:after="0" w:line="240" w:lineRule="auto"/>
      </w:pPr>
      <w:r>
        <w:separator/>
      </w:r>
    </w:p>
  </w:endnote>
  <w:endnote w:type="continuationSeparator" w:id="0">
    <w:p w14:paraId="2E6F07D6" w14:textId="77777777" w:rsidR="0014785A" w:rsidRDefault="0014785A" w:rsidP="00E40261">
      <w:pPr>
        <w:spacing w:after="0" w:line="240" w:lineRule="auto"/>
      </w:pPr>
      <w:r>
        <w:continuationSeparator/>
      </w:r>
    </w:p>
  </w:endnote>
  <w:endnote w:type="continuationNotice" w:id="1">
    <w:p w14:paraId="4AD66D80" w14:textId="77777777" w:rsidR="0014785A" w:rsidRDefault="001478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A903" w14:textId="2CC6D5C1"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B92C3C">
        <w:t>Statement 10: Australian Government Budget Financial Statements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89E8" w14:textId="08C3E9CB" w:rsidR="004C3F27" w:rsidRDefault="0004038D" w:rsidP="002A6A16">
    <w:pPr>
      <w:pStyle w:val="FooterOdd"/>
    </w:pPr>
    <w:fldSimple w:instr=" SUBJECT   \* MERGEFORMAT ">
      <w:r w:rsidR="00B92C3C">
        <w:t>Statement 10: Australian Government Budget Financial Statements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24EE" w14:textId="3D0DE66C" w:rsidR="00551E91" w:rsidRDefault="0004038D" w:rsidP="00360947">
    <w:pPr>
      <w:pStyle w:val="FooterOdd"/>
    </w:pPr>
    <w:fldSimple w:instr=" SUBJECT   \* MERGEFORMAT ">
      <w:r w:rsidR="00B92C3C">
        <w:t>Statement 10: Australian Government Budget Financial Statements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FED8F" w14:textId="77777777" w:rsidR="0014785A" w:rsidRPr="003C1CA4" w:rsidRDefault="0014785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2FFBA16" w14:textId="77777777" w:rsidR="0014785A" w:rsidRDefault="0014785A" w:rsidP="00E40261">
      <w:pPr>
        <w:spacing w:after="0" w:line="240" w:lineRule="auto"/>
      </w:pPr>
      <w:r>
        <w:continuationSeparator/>
      </w:r>
    </w:p>
  </w:footnote>
  <w:footnote w:type="continuationNotice" w:id="1">
    <w:p w14:paraId="15523925" w14:textId="77777777" w:rsidR="0014785A" w:rsidRDefault="0014785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59FA" w14:textId="557985B4" w:rsidR="004C3F27" w:rsidRPr="00AA5439" w:rsidRDefault="009A2618" w:rsidP="00AA5439">
    <w:pPr>
      <w:pStyle w:val="HeaderEven"/>
      <w:rPr>
        <w:sz w:val="2"/>
        <w:szCs w:val="2"/>
      </w:rPr>
    </w:pPr>
    <w:r>
      <w:rPr>
        <w:noProof/>
      </w:rPr>
      <w:drawing>
        <wp:anchor distT="0" distB="0" distL="114300" distR="114300" simplePos="0" relativeHeight="251661312" behindDoc="1" locked="0" layoutInCell="1" allowOverlap="1" wp14:anchorId="1BFDF6C5" wp14:editId="0661569E">
          <wp:simplePos x="0" y="0"/>
          <wp:positionH relativeFrom="page">
            <wp:align>center</wp:align>
          </wp:positionH>
          <wp:positionV relativeFrom="page">
            <wp:align>center</wp:align>
          </wp:positionV>
          <wp:extent cx="7560000" cy="10692000"/>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0D8AF90B" w14:textId="77777777" w:rsidTr="008C56E1">
      <w:trPr>
        <w:trHeight w:hRule="exact" w:val="340"/>
      </w:trPr>
      <w:tc>
        <w:tcPr>
          <w:tcW w:w="7797" w:type="dxa"/>
        </w:tcPr>
        <w:p w14:paraId="28D1A3F0" w14:textId="2BCB33C7" w:rsidR="008C56E1" w:rsidRPr="008C56E1" w:rsidRDefault="008C56E1" w:rsidP="008C56E1">
          <w:pPr>
            <w:pStyle w:val="HeaderEven"/>
          </w:pPr>
          <w:r w:rsidRPr="008C56E1">
            <w:rPr>
              <w:noProof/>
              <w:position w:val="-8"/>
            </w:rPr>
            <w:drawing>
              <wp:inline distT="0" distB="0" distL="0" distR="0" wp14:anchorId="1D8165DC" wp14:editId="0013F95E">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B92C3C">
              <w:t>Budget Paper No. 1</w:t>
            </w:r>
          </w:fldSimple>
        </w:p>
      </w:tc>
    </w:tr>
  </w:tbl>
  <w:p w14:paraId="2780E015" w14:textId="77777777" w:rsidR="004C3F27" w:rsidRPr="00AA5439" w:rsidRDefault="004C3F27" w:rsidP="00AA5439">
    <w:pPr>
      <w:pStyle w:val="HeaderEven"/>
      <w:rPr>
        <w:sz w:val="2"/>
        <w:szCs w:val="4"/>
      </w:rPr>
    </w:pPr>
  </w:p>
  <w:p w14:paraId="16214B3D" w14:textId="6E553259"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6B9E" w14:textId="4840EB10" w:rsidR="004C3F27" w:rsidRPr="000635BE" w:rsidRDefault="009A2618" w:rsidP="000635BE">
    <w:pPr>
      <w:pStyle w:val="HeaderOdd"/>
      <w:rPr>
        <w:sz w:val="2"/>
        <w:szCs w:val="4"/>
      </w:rPr>
    </w:pPr>
    <w:r>
      <w:rPr>
        <w:noProof/>
      </w:rPr>
      <w:drawing>
        <wp:anchor distT="0" distB="0" distL="114300" distR="114300" simplePos="0" relativeHeight="251663360" behindDoc="1" locked="0" layoutInCell="1" allowOverlap="1" wp14:anchorId="511D1B8B" wp14:editId="3332D4B0">
          <wp:simplePos x="0" y="0"/>
          <wp:positionH relativeFrom="page">
            <wp:align>center</wp:align>
          </wp:positionH>
          <wp:positionV relativeFrom="page">
            <wp:align>center</wp:align>
          </wp:positionV>
          <wp:extent cx="7560000" cy="10692000"/>
          <wp:effectExtent l="0" t="0" r="317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E120E" w14:paraId="23949A9B" w14:textId="77777777" w:rsidTr="008C56E1">
      <w:trPr>
        <w:trHeight w:hRule="exact" w:val="340"/>
      </w:trPr>
      <w:tc>
        <w:tcPr>
          <w:tcW w:w="7797" w:type="dxa"/>
        </w:tcPr>
        <w:p w14:paraId="7C74B019" w14:textId="4138A8F3" w:rsidR="004E120E" w:rsidRPr="00D13BF9" w:rsidRDefault="0004038D" w:rsidP="00D13BF9">
          <w:pPr>
            <w:pStyle w:val="HeaderOdd"/>
          </w:pPr>
          <w:fldSimple w:instr=" TITLE   \* MERGEFORMAT ">
            <w:r w:rsidR="00B92C3C">
              <w:t>Budget Paper No. 1</w:t>
            </w:r>
          </w:fldSimple>
          <w:r w:rsidR="004E120E" w:rsidRPr="00D13BF9">
            <w:t xml:space="preserve">  |  </w:t>
          </w:r>
          <w:r w:rsidR="004E120E" w:rsidRPr="00C9389A">
            <w:rPr>
              <w:noProof/>
              <w:position w:val="-8"/>
            </w:rPr>
            <w:drawing>
              <wp:inline distT="0" distB="0" distL="0" distR="0" wp14:anchorId="16FBF8F7" wp14:editId="3BD6FF28">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C12E65C" w14:textId="32141A4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C408" w14:textId="4B4003DA" w:rsidR="004C3F27" w:rsidRDefault="009A2618">
    <w:pPr>
      <w:pStyle w:val="Header"/>
      <w:rPr>
        <w:sz w:val="2"/>
        <w:szCs w:val="2"/>
      </w:rPr>
    </w:pPr>
    <w:r>
      <w:rPr>
        <w:noProof/>
      </w:rPr>
      <w:drawing>
        <wp:anchor distT="0" distB="0" distL="114300" distR="114300" simplePos="0" relativeHeight="251659264" behindDoc="1" locked="0" layoutInCell="1" allowOverlap="1" wp14:anchorId="71E095F6" wp14:editId="2D001851">
          <wp:simplePos x="0" y="0"/>
          <wp:positionH relativeFrom="page">
            <wp:align>center</wp:align>
          </wp:positionH>
          <wp:positionV relativeFrom="page">
            <wp:align>center</wp:align>
          </wp:positionV>
          <wp:extent cx="7560000" cy="106920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E6947CB" w14:textId="77777777" w:rsidR="004C3F27" w:rsidRDefault="004C3F27">
    <w:pPr>
      <w:pStyle w:val="Header"/>
      <w:rPr>
        <w:sz w:val="2"/>
        <w:szCs w:val="2"/>
      </w:rPr>
    </w:pPr>
  </w:p>
  <w:p w14:paraId="60432A77" w14:textId="78165BF3"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C456C"/>
    <w:multiLevelType w:val="multilevel"/>
    <w:tmpl w:val="98A42FC4"/>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6D2A41"/>
    <w:multiLevelType w:val="hybridMultilevel"/>
    <w:tmpl w:val="88B646B0"/>
    <w:lvl w:ilvl="0" w:tplc="C4708B5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237BD3CA"/>
    <w:multiLevelType w:val="hybridMultilevel"/>
    <w:tmpl w:val="18945648"/>
    <w:lvl w:ilvl="0" w:tplc="7A465B82">
      <w:start w:val="1"/>
      <w:numFmt w:val="bullet"/>
      <w:lvlText w:val=""/>
      <w:lvlJc w:val="left"/>
      <w:pPr>
        <w:ind w:left="360" w:hanging="360"/>
      </w:pPr>
      <w:rPr>
        <w:rFonts w:ascii="Symbol" w:hAnsi="Symbol" w:hint="default"/>
      </w:rPr>
    </w:lvl>
    <w:lvl w:ilvl="1" w:tplc="003671F2">
      <w:start w:val="1"/>
      <w:numFmt w:val="bullet"/>
      <w:lvlText w:val="o"/>
      <w:lvlJc w:val="left"/>
      <w:pPr>
        <w:ind w:left="1080" w:hanging="360"/>
      </w:pPr>
      <w:rPr>
        <w:rFonts w:ascii="Courier New" w:hAnsi="Courier New" w:hint="default"/>
      </w:rPr>
    </w:lvl>
    <w:lvl w:ilvl="2" w:tplc="ED5C8B3A">
      <w:start w:val="1"/>
      <w:numFmt w:val="bullet"/>
      <w:lvlText w:val=""/>
      <w:lvlJc w:val="left"/>
      <w:pPr>
        <w:ind w:left="1800" w:hanging="360"/>
      </w:pPr>
      <w:rPr>
        <w:rFonts w:ascii="Wingdings" w:hAnsi="Wingdings" w:hint="default"/>
      </w:rPr>
    </w:lvl>
    <w:lvl w:ilvl="3" w:tplc="C9E633A0">
      <w:start w:val="1"/>
      <w:numFmt w:val="bullet"/>
      <w:lvlText w:val=""/>
      <w:lvlJc w:val="left"/>
      <w:pPr>
        <w:ind w:left="2520" w:hanging="360"/>
      </w:pPr>
      <w:rPr>
        <w:rFonts w:ascii="Symbol" w:hAnsi="Symbol" w:hint="default"/>
      </w:rPr>
    </w:lvl>
    <w:lvl w:ilvl="4" w:tplc="FAD68BDA">
      <w:start w:val="1"/>
      <w:numFmt w:val="bullet"/>
      <w:lvlText w:val="o"/>
      <w:lvlJc w:val="left"/>
      <w:pPr>
        <w:ind w:left="3240" w:hanging="360"/>
      </w:pPr>
      <w:rPr>
        <w:rFonts w:ascii="Courier New" w:hAnsi="Courier New" w:hint="default"/>
      </w:rPr>
    </w:lvl>
    <w:lvl w:ilvl="5" w:tplc="D60644E6">
      <w:start w:val="1"/>
      <w:numFmt w:val="bullet"/>
      <w:lvlText w:val=""/>
      <w:lvlJc w:val="left"/>
      <w:pPr>
        <w:ind w:left="3960" w:hanging="360"/>
      </w:pPr>
      <w:rPr>
        <w:rFonts w:ascii="Wingdings" w:hAnsi="Wingdings" w:hint="default"/>
      </w:rPr>
    </w:lvl>
    <w:lvl w:ilvl="6" w:tplc="BD04ED8C">
      <w:start w:val="1"/>
      <w:numFmt w:val="bullet"/>
      <w:lvlText w:val=""/>
      <w:lvlJc w:val="left"/>
      <w:pPr>
        <w:ind w:left="4680" w:hanging="360"/>
      </w:pPr>
      <w:rPr>
        <w:rFonts w:ascii="Symbol" w:hAnsi="Symbol" w:hint="default"/>
      </w:rPr>
    </w:lvl>
    <w:lvl w:ilvl="7" w:tplc="CBBEBDCA">
      <w:start w:val="1"/>
      <w:numFmt w:val="bullet"/>
      <w:lvlText w:val="o"/>
      <w:lvlJc w:val="left"/>
      <w:pPr>
        <w:ind w:left="5400" w:hanging="360"/>
      </w:pPr>
      <w:rPr>
        <w:rFonts w:ascii="Courier New" w:hAnsi="Courier New" w:hint="default"/>
      </w:rPr>
    </w:lvl>
    <w:lvl w:ilvl="8" w:tplc="64AEE5C2">
      <w:start w:val="1"/>
      <w:numFmt w:val="bullet"/>
      <w:lvlText w:val=""/>
      <w:lvlJc w:val="left"/>
      <w:pPr>
        <w:ind w:left="6120" w:hanging="360"/>
      </w:pPr>
      <w:rPr>
        <w:rFonts w:ascii="Wingdings" w:hAnsi="Wingdings" w:hint="default"/>
      </w:rPr>
    </w:lvl>
  </w:abstractNum>
  <w:abstractNum w:abstractNumId="16" w15:restartNumberingAfterBreak="0">
    <w:nsid w:val="291E2EA3"/>
    <w:multiLevelType w:val="hybridMultilevel"/>
    <w:tmpl w:val="8A627094"/>
    <w:lvl w:ilvl="0" w:tplc="4D087A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9D5712D"/>
    <w:multiLevelType w:val="hybridMultilevel"/>
    <w:tmpl w:val="E98AFA92"/>
    <w:lvl w:ilvl="0" w:tplc="5694D2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6D6F1C61"/>
    <w:multiLevelType w:val="hybridMultilevel"/>
    <w:tmpl w:val="42B451A8"/>
    <w:lvl w:ilvl="0" w:tplc="C11A74D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03410866">
    <w:abstractNumId w:val="18"/>
  </w:num>
  <w:num w:numId="2" w16cid:durableId="70975900">
    <w:abstractNumId w:val="13"/>
  </w:num>
  <w:num w:numId="3" w16cid:durableId="1903564601">
    <w:abstractNumId w:val="12"/>
  </w:num>
  <w:num w:numId="4" w16cid:durableId="778522229">
    <w:abstractNumId w:val="14"/>
  </w:num>
  <w:num w:numId="5" w16cid:durableId="308556280">
    <w:abstractNumId w:val="19"/>
  </w:num>
  <w:num w:numId="6" w16cid:durableId="772752326">
    <w:abstractNumId w:val="12"/>
  </w:num>
  <w:num w:numId="7" w16cid:durableId="541596858">
    <w:abstractNumId w:val="12"/>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2065936">
    <w:abstractNumId w:val="15"/>
  </w:num>
  <w:num w:numId="22" w16cid:durableId="1025907272">
    <w:abstractNumId w:val="20"/>
  </w:num>
  <w:num w:numId="23" w16cid:durableId="2121755486">
    <w:abstractNumId w:val="16"/>
  </w:num>
  <w:num w:numId="24" w16cid:durableId="946543731">
    <w:abstractNumId w:val="16"/>
    <w:lvlOverride w:ilvl="0">
      <w:startOverride w:val="1"/>
    </w:lvlOverride>
  </w:num>
  <w:num w:numId="25" w16cid:durableId="1751195164">
    <w:abstractNumId w:val="11"/>
  </w:num>
  <w:num w:numId="26" w16cid:durableId="819729073">
    <w:abstractNumId w:val="17"/>
  </w:num>
  <w:num w:numId="27" w16cid:durableId="1091469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16B1C"/>
    <w:rsid w:val="000004CD"/>
    <w:rsid w:val="000004EA"/>
    <w:rsid w:val="000039C8"/>
    <w:rsid w:val="0001009E"/>
    <w:rsid w:val="00011DBB"/>
    <w:rsid w:val="00013EA8"/>
    <w:rsid w:val="00023CFF"/>
    <w:rsid w:val="00024BA4"/>
    <w:rsid w:val="000257C7"/>
    <w:rsid w:val="00026F88"/>
    <w:rsid w:val="0003358A"/>
    <w:rsid w:val="000351C4"/>
    <w:rsid w:val="00035C00"/>
    <w:rsid w:val="00035D8D"/>
    <w:rsid w:val="0004038D"/>
    <w:rsid w:val="00043AFB"/>
    <w:rsid w:val="0004612A"/>
    <w:rsid w:val="00047EBA"/>
    <w:rsid w:val="000509F6"/>
    <w:rsid w:val="0005151A"/>
    <w:rsid w:val="00052025"/>
    <w:rsid w:val="00054265"/>
    <w:rsid w:val="000546EB"/>
    <w:rsid w:val="000571D7"/>
    <w:rsid w:val="00057BC1"/>
    <w:rsid w:val="00060C48"/>
    <w:rsid w:val="000622DA"/>
    <w:rsid w:val="000635BE"/>
    <w:rsid w:val="000701C2"/>
    <w:rsid w:val="00071B48"/>
    <w:rsid w:val="00074CBA"/>
    <w:rsid w:val="0008225D"/>
    <w:rsid w:val="0008353D"/>
    <w:rsid w:val="0008399A"/>
    <w:rsid w:val="00084391"/>
    <w:rsid w:val="0008597F"/>
    <w:rsid w:val="000947FA"/>
    <w:rsid w:val="00094C62"/>
    <w:rsid w:val="000A00A1"/>
    <w:rsid w:val="000A0220"/>
    <w:rsid w:val="000A0FE0"/>
    <w:rsid w:val="000A3559"/>
    <w:rsid w:val="000A5E0A"/>
    <w:rsid w:val="000A6D1A"/>
    <w:rsid w:val="000A7E0E"/>
    <w:rsid w:val="000B0CC0"/>
    <w:rsid w:val="000B38A8"/>
    <w:rsid w:val="000B6949"/>
    <w:rsid w:val="000D78F4"/>
    <w:rsid w:val="000E105B"/>
    <w:rsid w:val="000E1160"/>
    <w:rsid w:val="000E149B"/>
    <w:rsid w:val="000E47AC"/>
    <w:rsid w:val="000F1E1E"/>
    <w:rsid w:val="000F1EF0"/>
    <w:rsid w:val="000F2720"/>
    <w:rsid w:val="000F554F"/>
    <w:rsid w:val="000F63D6"/>
    <w:rsid w:val="001012F7"/>
    <w:rsid w:val="00103F65"/>
    <w:rsid w:val="0011175D"/>
    <w:rsid w:val="00114EB8"/>
    <w:rsid w:val="0011747B"/>
    <w:rsid w:val="00123CF0"/>
    <w:rsid w:val="0012462B"/>
    <w:rsid w:val="001350E1"/>
    <w:rsid w:val="0013770A"/>
    <w:rsid w:val="00137A61"/>
    <w:rsid w:val="0014276B"/>
    <w:rsid w:val="00143C64"/>
    <w:rsid w:val="00145DF2"/>
    <w:rsid w:val="001472CA"/>
    <w:rsid w:val="0014785A"/>
    <w:rsid w:val="00151FBA"/>
    <w:rsid w:val="00152FB7"/>
    <w:rsid w:val="00160928"/>
    <w:rsid w:val="00172CFE"/>
    <w:rsid w:val="00175AAB"/>
    <w:rsid w:val="001773F6"/>
    <w:rsid w:val="00177FF8"/>
    <w:rsid w:val="00183239"/>
    <w:rsid w:val="0019115B"/>
    <w:rsid w:val="00192B1E"/>
    <w:rsid w:val="001970E6"/>
    <w:rsid w:val="001A5A92"/>
    <w:rsid w:val="001A6E20"/>
    <w:rsid w:val="001A7712"/>
    <w:rsid w:val="001B333D"/>
    <w:rsid w:val="001B3DE3"/>
    <w:rsid w:val="001B45F2"/>
    <w:rsid w:val="001B462E"/>
    <w:rsid w:val="001C0921"/>
    <w:rsid w:val="001C29BA"/>
    <w:rsid w:val="001C5E21"/>
    <w:rsid w:val="001D33D6"/>
    <w:rsid w:val="001D4642"/>
    <w:rsid w:val="001E6FD3"/>
    <w:rsid w:val="001E7646"/>
    <w:rsid w:val="001F06E8"/>
    <w:rsid w:val="001F08E1"/>
    <w:rsid w:val="001F1CE0"/>
    <w:rsid w:val="001F1F23"/>
    <w:rsid w:val="001F2392"/>
    <w:rsid w:val="001F3E74"/>
    <w:rsid w:val="001F3EFC"/>
    <w:rsid w:val="00200FC7"/>
    <w:rsid w:val="0020195C"/>
    <w:rsid w:val="0020299B"/>
    <w:rsid w:val="00206A05"/>
    <w:rsid w:val="00213197"/>
    <w:rsid w:val="00214A9C"/>
    <w:rsid w:val="0022488B"/>
    <w:rsid w:val="00225FE1"/>
    <w:rsid w:val="00226008"/>
    <w:rsid w:val="002270D8"/>
    <w:rsid w:val="00230E5A"/>
    <w:rsid w:val="00232640"/>
    <w:rsid w:val="00235C88"/>
    <w:rsid w:val="00237F04"/>
    <w:rsid w:val="00242462"/>
    <w:rsid w:val="00242479"/>
    <w:rsid w:val="00243451"/>
    <w:rsid w:val="0024412F"/>
    <w:rsid w:val="0024521A"/>
    <w:rsid w:val="00247C3E"/>
    <w:rsid w:val="00250208"/>
    <w:rsid w:val="00251243"/>
    <w:rsid w:val="00251AD4"/>
    <w:rsid w:val="002529FD"/>
    <w:rsid w:val="0025624D"/>
    <w:rsid w:val="002571E1"/>
    <w:rsid w:val="00260513"/>
    <w:rsid w:val="002655CA"/>
    <w:rsid w:val="0026696D"/>
    <w:rsid w:val="00267200"/>
    <w:rsid w:val="00270AA5"/>
    <w:rsid w:val="0027291D"/>
    <w:rsid w:val="00281716"/>
    <w:rsid w:val="00283E24"/>
    <w:rsid w:val="00291A4E"/>
    <w:rsid w:val="0029414D"/>
    <w:rsid w:val="00297D2C"/>
    <w:rsid w:val="002A064A"/>
    <w:rsid w:val="002A2274"/>
    <w:rsid w:val="002A4BEF"/>
    <w:rsid w:val="002A5E27"/>
    <w:rsid w:val="002A6A16"/>
    <w:rsid w:val="002A6F06"/>
    <w:rsid w:val="002B6106"/>
    <w:rsid w:val="002C0D0D"/>
    <w:rsid w:val="002C2097"/>
    <w:rsid w:val="002C2121"/>
    <w:rsid w:val="002C2892"/>
    <w:rsid w:val="002C3DEB"/>
    <w:rsid w:val="002C596C"/>
    <w:rsid w:val="002D128C"/>
    <w:rsid w:val="002D15F7"/>
    <w:rsid w:val="002D6785"/>
    <w:rsid w:val="002D777A"/>
    <w:rsid w:val="002D789E"/>
    <w:rsid w:val="002E2BC6"/>
    <w:rsid w:val="002E398B"/>
    <w:rsid w:val="002E638A"/>
    <w:rsid w:val="002E7B71"/>
    <w:rsid w:val="002F2CB4"/>
    <w:rsid w:val="002F40F3"/>
    <w:rsid w:val="00301BBB"/>
    <w:rsid w:val="00305105"/>
    <w:rsid w:val="00305E66"/>
    <w:rsid w:val="00313DB6"/>
    <w:rsid w:val="00313F0A"/>
    <w:rsid w:val="00320F7B"/>
    <w:rsid w:val="003213DB"/>
    <w:rsid w:val="0032205D"/>
    <w:rsid w:val="003251F8"/>
    <w:rsid w:val="00326047"/>
    <w:rsid w:val="003263CC"/>
    <w:rsid w:val="00326B7C"/>
    <w:rsid w:val="003303B0"/>
    <w:rsid w:val="003311F6"/>
    <w:rsid w:val="00331930"/>
    <w:rsid w:val="00331FAE"/>
    <w:rsid w:val="00337683"/>
    <w:rsid w:val="003421CD"/>
    <w:rsid w:val="003451F5"/>
    <w:rsid w:val="00345A73"/>
    <w:rsid w:val="003478ED"/>
    <w:rsid w:val="003506C0"/>
    <w:rsid w:val="00354777"/>
    <w:rsid w:val="00355B2B"/>
    <w:rsid w:val="00357029"/>
    <w:rsid w:val="00357F6C"/>
    <w:rsid w:val="00360947"/>
    <w:rsid w:val="003628C1"/>
    <w:rsid w:val="003658AD"/>
    <w:rsid w:val="00366B9A"/>
    <w:rsid w:val="00376330"/>
    <w:rsid w:val="00377927"/>
    <w:rsid w:val="00381D29"/>
    <w:rsid w:val="00382E3D"/>
    <w:rsid w:val="00383C03"/>
    <w:rsid w:val="00384C5E"/>
    <w:rsid w:val="00385C33"/>
    <w:rsid w:val="003915A6"/>
    <w:rsid w:val="00395119"/>
    <w:rsid w:val="003A0A31"/>
    <w:rsid w:val="003A374F"/>
    <w:rsid w:val="003A3AC2"/>
    <w:rsid w:val="003A7F6B"/>
    <w:rsid w:val="003B3670"/>
    <w:rsid w:val="003B37F8"/>
    <w:rsid w:val="003B3E17"/>
    <w:rsid w:val="003C01B5"/>
    <w:rsid w:val="003C0D54"/>
    <w:rsid w:val="003C1580"/>
    <w:rsid w:val="003C1CA4"/>
    <w:rsid w:val="003D49B5"/>
    <w:rsid w:val="003E1640"/>
    <w:rsid w:val="003E2CD6"/>
    <w:rsid w:val="003F04FA"/>
    <w:rsid w:val="003F42F4"/>
    <w:rsid w:val="004101DF"/>
    <w:rsid w:val="00410AC2"/>
    <w:rsid w:val="00414D61"/>
    <w:rsid w:val="0041744E"/>
    <w:rsid w:val="00421D62"/>
    <w:rsid w:val="004233DE"/>
    <w:rsid w:val="004234CB"/>
    <w:rsid w:val="00425632"/>
    <w:rsid w:val="004279BF"/>
    <w:rsid w:val="00431B12"/>
    <w:rsid w:val="0043387D"/>
    <w:rsid w:val="00436802"/>
    <w:rsid w:val="00437FD5"/>
    <w:rsid w:val="00447E2C"/>
    <w:rsid w:val="00457A0B"/>
    <w:rsid w:val="00460391"/>
    <w:rsid w:val="00460798"/>
    <w:rsid w:val="00462FB1"/>
    <w:rsid w:val="00463680"/>
    <w:rsid w:val="0046391C"/>
    <w:rsid w:val="00467A9E"/>
    <w:rsid w:val="00472D88"/>
    <w:rsid w:val="00473BE1"/>
    <w:rsid w:val="00475493"/>
    <w:rsid w:val="004840B0"/>
    <w:rsid w:val="0048563A"/>
    <w:rsid w:val="00486090"/>
    <w:rsid w:val="00487AAF"/>
    <w:rsid w:val="00490953"/>
    <w:rsid w:val="004918AB"/>
    <w:rsid w:val="00497D1C"/>
    <w:rsid w:val="004A2F4B"/>
    <w:rsid w:val="004A5314"/>
    <w:rsid w:val="004B221D"/>
    <w:rsid w:val="004B2558"/>
    <w:rsid w:val="004B2759"/>
    <w:rsid w:val="004B2F68"/>
    <w:rsid w:val="004B4AB7"/>
    <w:rsid w:val="004B54C7"/>
    <w:rsid w:val="004B7243"/>
    <w:rsid w:val="004B7A8B"/>
    <w:rsid w:val="004B7CBD"/>
    <w:rsid w:val="004C004F"/>
    <w:rsid w:val="004C3F27"/>
    <w:rsid w:val="004C5C0D"/>
    <w:rsid w:val="004D44D9"/>
    <w:rsid w:val="004E001B"/>
    <w:rsid w:val="004E0560"/>
    <w:rsid w:val="004E120E"/>
    <w:rsid w:val="004F3FD9"/>
    <w:rsid w:val="004F60DD"/>
    <w:rsid w:val="004F71F1"/>
    <w:rsid w:val="004F73F9"/>
    <w:rsid w:val="00503E8C"/>
    <w:rsid w:val="005123BB"/>
    <w:rsid w:val="005127E0"/>
    <w:rsid w:val="00513FCE"/>
    <w:rsid w:val="005151D9"/>
    <w:rsid w:val="00520C2B"/>
    <w:rsid w:val="00526448"/>
    <w:rsid w:val="005303E1"/>
    <w:rsid w:val="00532259"/>
    <w:rsid w:val="005340A6"/>
    <w:rsid w:val="00534B6E"/>
    <w:rsid w:val="005355F1"/>
    <w:rsid w:val="0053644B"/>
    <w:rsid w:val="00536E72"/>
    <w:rsid w:val="00545609"/>
    <w:rsid w:val="005476BD"/>
    <w:rsid w:val="00551E91"/>
    <w:rsid w:val="0055202C"/>
    <w:rsid w:val="00556F44"/>
    <w:rsid w:val="005620C5"/>
    <w:rsid w:val="005642C7"/>
    <w:rsid w:val="005645E6"/>
    <w:rsid w:val="00565BBF"/>
    <w:rsid w:val="00567894"/>
    <w:rsid w:val="00571353"/>
    <w:rsid w:val="00574FD8"/>
    <w:rsid w:val="00580067"/>
    <w:rsid w:val="00580414"/>
    <w:rsid w:val="00583899"/>
    <w:rsid w:val="005875B1"/>
    <w:rsid w:val="00590146"/>
    <w:rsid w:val="00590A57"/>
    <w:rsid w:val="00596BC9"/>
    <w:rsid w:val="005979BB"/>
    <w:rsid w:val="005A329C"/>
    <w:rsid w:val="005A3EC8"/>
    <w:rsid w:val="005A3ED7"/>
    <w:rsid w:val="005A43A4"/>
    <w:rsid w:val="005A6F5F"/>
    <w:rsid w:val="005A77A7"/>
    <w:rsid w:val="005A7DFF"/>
    <w:rsid w:val="005B2F30"/>
    <w:rsid w:val="005B3010"/>
    <w:rsid w:val="005B3ACE"/>
    <w:rsid w:val="005B419A"/>
    <w:rsid w:val="005B7BB0"/>
    <w:rsid w:val="005C5F61"/>
    <w:rsid w:val="005D23CB"/>
    <w:rsid w:val="005D2BCD"/>
    <w:rsid w:val="005D6ADA"/>
    <w:rsid w:val="005D754D"/>
    <w:rsid w:val="005D7A76"/>
    <w:rsid w:val="005E2821"/>
    <w:rsid w:val="005E4F85"/>
    <w:rsid w:val="005E59B2"/>
    <w:rsid w:val="005E7826"/>
    <w:rsid w:val="005E792C"/>
    <w:rsid w:val="005F06A2"/>
    <w:rsid w:val="005F0FCC"/>
    <w:rsid w:val="006016A6"/>
    <w:rsid w:val="00601C54"/>
    <w:rsid w:val="0060305C"/>
    <w:rsid w:val="0060498F"/>
    <w:rsid w:val="00611CDB"/>
    <w:rsid w:val="00614554"/>
    <w:rsid w:val="00614FC4"/>
    <w:rsid w:val="006157B6"/>
    <w:rsid w:val="0061761F"/>
    <w:rsid w:val="00622CAD"/>
    <w:rsid w:val="00622CDB"/>
    <w:rsid w:val="006320F6"/>
    <w:rsid w:val="0063503D"/>
    <w:rsid w:val="006442B5"/>
    <w:rsid w:val="0065057B"/>
    <w:rsid w:val="00653D2B"/>
    <w:rsid w:val="00656736"/>
    <w:rsid w:val="006568AA"/>
    <w:rsid w:val="0066226D"/>
    <w:rsid w:val="00664F1B"/>
    <w:rsid w:val="00667738"/>
    <w:rsid w:val="00672359"/>
    <w:rsid w:val="00677EBB"/>
    <w:rsid w:val="00680768"/>
    <w:rsid w:val="00682D05"/>
    <w:rsid w:val="0068315E"/>
    <w:rsid w:val="006853B7"/>
    <w:rsid w:val="00692105"/>
    <w:rsid w:val="00692D0A"/>
    <w:rsid w:val="00697A05"/>
    <w:rsid w:val="006A708C"/>
    <w:rsid w:val="006C07BD"/>
    <w:rsid w:val="006C1494"/>
    <w:rsid w:val="006C2D50"/>
    <w:rsid w:val="006C2ECB"/>
    <w:rsid w:val="006C314B"/>
    <w:rsid w:val="006C3E1F"/>
    <w:rsid w:val="006C4809"/>
    <w:rsid w:val="006C4A90"/>
    <w:rsid w:val="006D02DE"/>
    <w:rsid w:val="006D4A4D"/>
    <w:rsid w:val="006D5D32"/>
    <w:rsid w:val="006D6339"/>
    <w:rsid w:val="006D6D7B"/>
    <w:rsid w:val="006E2209"/>
    <w:rsid w:val="006E7F46"/>
    <w:rsid w:val="006F3D8C"/>
    <w:rsid w:val="00702304"/>
    <w:rsid w:val="00706573"/>
    <w:rsid w:val="0071017E"/>
    <w:rsid w:val="00710ADB"/>
    <w:rsid w:val="0072449F"/>
    <w:rsid w:val="00724FA6"/>
    <w:rsid w:val="0074085A"/>
    <w:rsid w:val="00740FBB"/>
    <w:rsid w:val="00743963"/>
    <w:rsid w:val="0074527D"/>
    <w:rsid w:val="00746972"/>
    <w:rsid w:val="00754CF2"/>
    <w:rsid w:val="00755CAB"/>
    <w:rsid w:val="00755F34"/>
    <w:rsid w:val="00760D24"/>
    <w:rsid w:val="00761DCB"/>
    <w:rsid w:val="00767C21"/>
    <w:rsid w:val="007703C7"/>
    <w:rsid w:val="007712BA"/>
    <w:rsid w:val="00774CAE"/>
    <w:rsid w:val="007843DC"/>
    <w:rsid w:val="00785343"/>
    <w:rsid w:val="00786FE2"/>
    <w:rsid w:val="00787DEE"/>
    <w:rsid w:val="00791275"/>
    <w:rsid w:val="007913DD"/>
    <w:rsid w:val="00791FBE"/>
    <w:rsid w:val="00792F0C"/>
    <w:rsid w:val="00796794"/>
    <w:rsid w:val="007A2D4E"/>
    <w:rsid w:val="007B146A"/>
    <w:rsid w:val="007B1BCA"/>
    <w:rsid w:val="007C3744"/>
    <w:rsid w:val="007D5AEF"/>
    <w:rsid w:val="007D6482"/>
    <w:rsid w:val="007E5AA5"/>
    <w:rsid w:val="007F0B54"/>
    <w:rsid w:val="007F2825"/>
    <w:rsid w:val="007F6EAE"/>
    <w:rsid w:val="008012F1"/>
    <w:rsid w:val="008027E7"/>
    <w:rsid w:val="0080375D"/>
    <w:rsid w:val="00804AAA"/>
    <w:rsid w:val="0081257E"/>
    <w:rsid w:val="0081303C"/>
    <w:rsid w:val="00816CB8"/>
    <w:rsid w:val="00824E07"/>
    <w:rsid w:val="008253FB"/>
    <w:rsid w:val="008279D3"/>
    <w:rsid w:val="00832C20"/>
    <w:rsid w:val="00834962"/>
    <w:rsid w:val="00835BDB"/>
    <w:rsid w:val="00841B03"/>
    <w:rsid w:val="008503BC"/>
    <w:rsid w:val="00850C8E"/>
    <w:rsid w:val="008518EF"/>
    <w:rsid w:val="008554D3"/>
    <w:rsid w:val="008574EC"/>
    <w:rsid w:val="00864494"/>
    <w:rsid w:val="00864C7E"/>
    <w:rsid w:val="00864F9D"/>
    <w:rsid w:val="008655F0"/>
    <w:rsid w:val="008659F6"/>
    <w:rsid w:val="008770AB"/>
    <w:rsid w:val="00881D59"/>
    <w:rsid w:val="00883FC5"/>
    <w:rsid w:val="00885620"/>
    <w:rsid w:val="008866BE"/>
    <w:rsid w:val="00891D4A"/>
    <w:rsid w:val="0089360C"/>
    <w:rsid w:val="00896A09"/>
    <w:rsid w:val="008A661D"/>
    <w:rsid w:val="008A6A39"/>
    <w:rsid w:val="008B0674"/>
    <w:rsid w:val="008B5DE2"/>
    <w:rsid w:val="008B65E4"/>
    <w:rsid w:val="008C22ED"/>
    <w:rsid w:val="008C2AAD"/>
    <w:rsid w:val="008C56E1"/>
    <w:rsid w:val="008D3CA1"/>
    <w:rsid w:val="008D3EF8"/>
    <w:rsid w:val="008D45DE"/>
    <w:rsid w:val="008D71E5"/>
    <w:rsid w:val="008E1145"/>
    <w:rsid w:val="008E2BDE"/>
    <w:rsid w:val="008E4E53"/>
    <w:rsid w:val="008E5B3B"/>
    <w:rsid w:val="008E63C7"/>
    <w:rsid w:val="008E7225"/>
    <w:rsid w:val="008F53F4"/>
    <w:rsid w:val="008F55F8"/>
    <w:rsid w:val="0091070B"/>
    <w:rsid w:val="00920912"/>
    <w:rsid w:val="009262EF"/>
    <w:rsid w:val="009312B7"/>
    <w:rsid w:val="0093363A"/>
    <w:rsid w:val="009345C5"/>
    <w:rsid w:val="009353A3"/>
    <w:rsid w:val="00941337"/>
    <w:rsid w:val="0094345F"/>
    <w:rsid w:val="00943C8B"/>
    <w:rsid w:val="00945C29"/>
    <w:rsid w:val="009526DA"/>
    <w:rsid w:val="009538AE"/>
    <w:rsid w:val="00957EAA"/>
    <w:rsid w:val="00964667"/>
    <w:rsid w:val="009665BD"/>
    <w:rsid w:val="00974469"/>
    <w:rsid w:val="009804F5"/>
    <w:rsid w:val="0098629D"/>
    <w:rsid w:val="00986C17"/>
    <w:rsid w:val="00990889"/>
    <w:rsid w:val="00990B46"/>
    <w:rsid w:val="00993A22"/>
    <w:rsid w:val="00994665"/>
    <w:rsid w:val="00995F64"/>
    <w:rsid w:val="00997029"/>
    <w:rsid w:val="009A040F"/>
    <w:rsid w:val="009A1C47"/>
    <w:rsid w:val="009A22D0"/>
    <w:rsid w:val="009A241D"/>
    <w:rsid w:val="009A2618"/>
    <w:rsid w:val="009A4C7C"/>
    <w:rsid w:val="009A553C"/>
    <w:rsid w:val="009A5D3D"/>
    <w:rsid w:val="009A6550"/>
    <w:rsid w:val="009A7DCC"/>
    <w:rsid w:val="009B2CFA"/>
    <w:rsid w:val="009B466E"/>
    <w:rsid w:val="009C37E9"/>
    <w:rsid w:val="009C3A40"/>
    <w:rsid w:val="009C4905"/>
    <w:rsid w:val="009D2722"/>
    <w:rsid w:val="009D44CF"/>
    <w:rsid w:val="009D7662"/>
    <w:rsid w:val="009E5592"/>
    <w:rsid w:val="009E766A"/>
    <w:rsid w:val="009F0B43"/>
    <w:rsid w:val="009F390B"/>
    <w:rsid w:val="009F5A53"/>
    <w:rsid w:val="00A04475"/>
    <w:rsid w:val="00A04FC5"/>
    <w:rsid w:val="00A15209"/>
    <w:rsid w:val="00A161BB"/>
    <w:rsid w:val="00A202A0"/>
    <w:rsid w:val="00A209B9"/>
    <w:rsid w:val="00A26245"/>
    <w:rsid w:val="00A268AC"/>
    <w:rsid w:val="00A27919"/>
    <w:rsid w:val="00A27D3E"/>
    <w:rsid w:val="00A3063A"/>
    <w:rsid w:val="00A33A6D"/>
    <w:rsid w:val="00A36880"/>
    <w:rsid w:val="00A41A87"/>
    <w:rsid w:val="00A43E6B"/>
    <w:rsid w:val="00A47786"/>
    <w:rsid w:val="00A4783E"/>
    <w:rsid w:val="00A47E11"/>
    <w:rsid w:val="00A50412"/>
    <w:rsid w:val="00A52630"/>
    <w:rsid w:val="00A52AFA"/>
    <w:rsid w:val="00A532FC"/>
    <w:rsid w:val="00A601CC"/>
    <w:rsid w:val="00A70049"/>
    <w:rsid w:val="00A721D8"/>
    <w:rsid w:val="00A72DF2"/>
    <w:rsid w:val="00A7353B"/>
    <w:rsid w:val="00A819BF"/>
    <w:rsid w:val="00A81E9E"/>
    <w:rsid w:val="00A82A1C"/>
    <w:rsid w:val="00A85845"/>
    <w:rsid w:val="00A91DA8"/>
    <w:rsid w:val="00A94128"/>
    <w:rsid w:val="00AA267D"/>
    <w:rsid w:val="00AA2B1E"/>
    <w:rsid w:val="00AA3A4B"/>
    <w:rsid w:val="00AA5439"/>
    <w:rsid w:val="00AA71F1"/>
    <w:rsid w:val="00AB5E51"/>
    <w:rsid w:val="00AB63E5"/>
    <w:rsid w:val="00AC2FED"/>
    <w:rsid w:val="00AC6993"/>
    <w:rsid w:val="00AD2DE7"/>
    <w:rsid w:val="00AD3606"/>
    <w:rsid w:val="00AD4332"/>
    <w:rsid w:val="00AD4664"/>
    <w:rsid w:val="00AD4C04"/>
    <w:rsid w:val="00AD68DA"/>
    <w:rsid w:val="00AD6C61"/>
    <w:rsid w:val="00AE7FD9"/>
    <w:rsid w:val="00AF2276"/>
    <w:rsid w:val="00AF46BB"/>
    <w:rsid w:val="00AF49A2"/>
    <w:rsid w:val="00AF5BF5"/>
    <w:rsid w:val="00AF6C4E"/>
    <w:rsid w:val="00B0033F"/>
    <w:rsid w:val="00B00E7D"/>
    <w:rsid w:val="00B051A6"/>
    <w:rsid w:val="00B20EE6"/>
    <w:rsid w:val="00B214CF"/>
    <w:rsid w:val="00B21F35"/>
    <w:rsid w:val="00B23905"/>
    <w:rsid w:val="00B26C0C"/>
    <w:rsid w:val="00B30DB0"/>
    <w:rsid w:val="00B40021"/>
    <w:rsid w:val="00B51DAC"/>
    <w:rsid w:val="00B540F1"/>
    <w:rsid w:val="00B55C3C"/>
    <w:rsid w:val="00B62ED2"/>
    <w:rsid w:val="00B636CE"/>
    <w:rsid w:val="00B64978"/>
    <w:rsid w:val="00B65D6F"/>
    <w:rsid w:val="00B662E2"/>
    <w:rsid w:val="00B742E3"/>
    <w:rsid w:val="00B75873"/>
    <w:rsid w:val="00B76704"/>
    <w:rsid w:val="00B77953"/>
    <w:rsid w:val="00B83139"/>
    <w:rsid w:val="00B83B30"/>
    <w:rsid w:val="00B85531"/>
    <w:rsid w:val="00B91AED"/>
    <w:rsid w:val="00B92058"/>
    <w:rsid w:val="00B92C3C"/>
    <w:rsid w:val="00B95FD2"/>
    <w:rsid w:val="00B96A23"/>
    <w:rsid w:val="00BA101E"/>
    <w:rsid w:val="00BA7246"/>
    <w:rsid w:val="00BB0CCA"/>
    <w:rsid w:val="00BB1A78"/>
    <w:rsid w:val="00BB207D"/>
    <w:rsid w:val="00BB3DD7"/>
    <w:rsid w:val="00BB52EC"/>
    <w:rsid w:val="00BC0CA0"/>
    <w:rsid w:val="00BC0D95"/>
    <w:rsid w:val="00BC4E72"/>
    <w:rsid w:val="00BD03DB"/>
    <w:rsid w:val="00BD0E72"/>
    <w:rsid w:val="00BE2420"/>
    <w:rsid w:val="00BE6D1F"/>
    <w:rsid w:val="00BE712B"/>
    <w:rsid w:val="00BE7579"/>
    <w:rsid w:val="00BF5E88"/>
    <w:rsid w:val="00C060D7"/>
    <w:rsid w:val="00C166A5"/>
    <w:rsid w:val="00C21110"/>
    <w:rsid w:val="00C236A3"/>
    <w:rsid w:val="00C23A4B"/>
    <w:rsid w:val="00C33129"/>
    <w:rsid w:val="00C339DF"/>
    <w:rsid w:val="00C348C9"/>
    <w:rsid w:val="00C37BD4"/>
    <w:rsid w:val="00C42862"/>
    <w:rsid w:val="00C4293F"/>
    <w:rsid w:val="00C43CCF"/>
    <w:rsid w:val="00C44195"/>
    <w:rsid w:val="00C4532A"/>
    <w:rsid w:val="00C461BE"/>
    <w:rsid w:val="00C532FE"/>
    <w:rsid w:val="00C561B3"/>
    <w:rsid w:val="00C57DB0"/>
    <w:rsid w:val="00C601D0"/>
    <w:rsid w:val="00C64CC1"/>
    <w:rsid w:val="00C65844"/>
    <w:rsid w:val="00C70919"/>
    <w:rsid w:val="00C75ABC"/>
    <w:rsid w:val="00C76325"/>
    <w:rsid w:val="00C82402"/>
    <w:rsid w:val="00C85C2F"/>
    <w:rsid w:val="00C87723"/>
    <w:rsid w:val="00C90ED1"/>
    <w:rsid w:val="00C925BC"/>
    <w:rsid w:val="00C93398"/>
    <w:rsid w:val="00C9389A"/>
    <w:rsid w:val="00C94AB7"/>
    <w:rsid w:val="00CA0519"/>
    <w:rsid w:val="00CA19BC"/>
    <w:rsid w:val="00CA6692"/>
    <w:rsid w:val="00CB34DB"/>
    <w:rsid w:val="00CB57C7"/>
    <w:rsid w:val="00CC094B"/>
    <w:rsid w:val="00CC6004"/>
    <w:rsid w:val="00CC692B"/>
    <w:rsid w:val="00CC6B7C"/>
    <w:rsid w:val="00CD056A"/>
    <w:rsid w:val="00CD2874"/>
    <w:rsid w:val="00CD5E94"/>
    <w:rsid w:val="00CD61C7"/>
    <w:rsid w:val="00CE2067"/>
    <w:rsid w:val="00CE330E"/>
    <w:rsid w:val="00CE4115"/>
    <w:rsid w:val="00CE52D7"/>
    <w:rsid w:val="00CE6A5A"/>
    <w:rsid w:val="00CF5492"/>
    <w:rsid w:val="00CF7A78"/>
    <w:rsid w:val="00D003DA"/>
    <w:rsid w:val="00D06673"/>
    <w:rsid w:val="00D0686D"/>
    <w:rsid w:val="00D1056B"/>
    <w:rsid w:val="00D13256"/>
    <w:rsid w:val="00D13BF9"/>
    <w:rsid w:val="00D1656D"/>
    <w:rsid w:val="00D1685E"/>
    <w:rsid w:val="00D169B7"/>
    <w:rsid w:val="00D16B1C"/>
    <w:rsid w:val="00D23154"/>
    <w:rsid w:val="00D26F9B"/>
    <w:rsid w:val="00D27078"/>
    <w:rsid w:val="00D270F4"/>
    <w:rsid w:val="00D2740A"/>
    <w:rsid w:val="00D27947"/>
    <w:rsid w:val="00D321E1"/>
    <w:rsid w:val="00D42AC7"/>
    <w:rsid w:val="00D47622"/>
    <w:rsid w:val="00D47C6E"/>
    <w:rsid w:val="00D52A53"/>
    <w:rsid w:val="00D5569F"/>
    <w:rsid w:val="00D6391E"/>
    <w:rsid w:val="00D65575"/>
    <w:rsid w:val="00D81A31"/>
    <w:rsid w:val="00D82B0F"/>
    <w:rsid w:val="00D83D25"/>
    <w:rsid w:val="00D8589B"/>
    <w:rsid w:val="00D90692"/>
    <w:rsid w:val="00D91BE4"/>
    <w:rsid w:val="00D93796"/>
    <w:rsid w:val="00D960DD"/>
    <w:rsid w:val="00DA1DFB"/>
    <w:rsid w:val="00DA42A3"/>
    <w:rsid w:val="00DA4B47"/>
    <w:rsid w:val="00DA58C6"/>
    <w:rsid w:val="00DB084B"/>
    <w:rsid w:val="00DB2C6D"/>
    <w:rsid w:val="00DB513A"/>
    <w:rsid w:val="00DB55C6"/>
    <w:rsid w:val="00DB56E2"/>
    <w:rsid w:val="00DC65C5"/>
    <w:rsid w:val="00DD2238"/>
    <w:rsid w:val="00DD22F4"/>
    <w:rsid w:val="00DD4C87"/>
    <w:rsid w:val="00DE1BBF"/>
    <w:rsid w:val="00DE4F38"/>
    <w:rsid w:val="00DE504B"/>
    <w:rsid w:val="00DE71D2"/>
    <w:rsid w:val="00DF24AE"/>
    <w:rsid w:val="00DF5A91"/>
    <w:rsid w:val="00DF6846"/>
    <w:rsid w:val="00E0116D"/>
    <w:rsid w:val="00E0122C"/>
    <w:rsid w:val="00E050E7"/>
    <w:rsid w:val="00E05202"/>
    <w:rsid w:val="00E11FAE"/>
    <w:rsid w:val="00E23216"/>
    <w:rsid w:val="00E30019"/>
    <w:rsid w:val="00E356F2"/>
    <w:rsid w:val="00E40261"/>
    <w:rsid w:val="00E404C5"/>
    <w:rsid w:val="00E41C47"/>
    <w:rsid w:val="00E4685E"/>
    <w:rsid w:val="00E47746"/>
    <w:rsid w:val="00E57118"/>
    <w:rsid w:val="00E634DF"/>
    <w:rsid w:val="00E643AE"/>
    <w:rsid w:val="00E6440D"/>
    <w:rsid w:val="00E66821"/>
    <w:rsid w:val="00E70282"/>
    <w:rsid w:val="00E71045"/>
    <w:rsid w:val="00E80210"/>
    <w:rsid w:val="00E84D5D"/>
    <w:rsid w:val="00E85029"/>
    <w:rsid w:val="00E858FF"/>
    <w:rsid w:val="00E91E85"/>
    <w:rsid w:val="00EA247E"/>
    <w:rsid w:val="00EA377E"/>
    <w:rsid w:val="00EA52E4"/>
    <w:rsid w:val="00EA5DD2"/>
    <w:rsid w:val="00EB57B6"/>
    <w:rsid w:val="00EB6597"/>
    <w:rsid w:val="00EC2050"/>
    <w:rsid w:val="00EC2C3B"/>
    <w:rsid w:val="00EC3004"/>
    <w:rsid w:val="00EC42F3"/>
    <w:rsid w:val="00ED5D67"/>
    <w:rsid w:val="00EE4527"/>
    <w:rsid w:val="00EE63A5"/>
    <w:rsid w:val="00EE6C3D"/>
    <w:rsid w:val="00EE761D"/>
    <w:rsid w:val="00EE7F7B"/>
    <w:rsid w:val="00EF1B7E"/>
    <w:rsid w:val="00EF338C"/>
    <w:rsid w:val="00EF42E4"/>
    <w:rsid w:val="00EF4C8A"/>
    <w:rsid w:val="00EF6BF2"/>
    <w:rsid w:val="00F06021"/>
    <w:rsid w:val="00F0743A"/>
    <w:rsid w:val="00F075F8"/>
    <w:rsid w:val="00F11365"/>
    <w:rsid w:val="00F15C92"/>
    <w:rsid w:val="00F20B0C"/>
    <w:rsid w:val="00F21C8F"/>
    <w:rsid w:val="00F32279"/>
    <w:rsid w:val="00F32436"/>
    <w:rsid w:val="00F35183"/>
    <w:rsid w:val="00F36049"/>
    <w:rsid w:val="00F362DE"/>
    <w:rsid w:val="00F36302"/>
    <w:rsid w:val="00F37688"/>
    <w:rsid w:val="00F51DA2"/>
    <w:rsid w:val="00F5620D"/>
    <w:rsid w:val="00F61BD5"/>
    <w:rsid w:val="00F656D2"/>
    <w:rsid w:val="00F66EDB"/>
    <w:rsid w:val="00F72DFB"/>
    <w:rsid w:val="00F827F0"/>
    <w:rsid w:val="00F8433E"/>
    <w:rsid w:val="00F848BF"/>
    <w:rsid w:val="00F84F40"/>
    <w:rsid w:val="00F858FC"/>
    <w:rsid w:val="00F90759"/>
    <w:rsid w:val="00F94FAB"/>
    <w:rsid w:val="00F95977"/>
    <w:rsid w:val="00F961BC"/>
    <w:rsid w:val="00F96996"/>
    <w:rsid w:val="00FA019C"/>
    <w:rsid w:val="00FA7D31"/>
    <w:rsid w:val="00FB0CA9"/>
    <w:rsid w:val="00FB0EEE"/>
    <w:rsid w:val="00FB2A0A"/>
    <w:rsid w:val="00FB608F"/>
    <w:rsid w:val="00FB7855"/>
    <w:rsid w:val="00FC2CD4"/>
    <w:rsid w:val="00FC3735"/>
    <w:rsid w:val="00FC675C"/>
    <w:rsid w:val="00FC7371"/>
    <w:rsid w:val="00FD37C1"/>
    <w:rsid w:val="00FD5BA5"/>
    <w:rsid w:val="00FE2E7A"/>
    <w:rsid w:val="00FE48A3"/>
    <w:rsid w:val="00FF3D9C"/>
    <w:rsid w:val="00FF4150"/>
    <w:rsid w:val="00FF7452"/>
    <w:rsid w:val="00FF7B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F7C41"/>
  <w15:chartTrackingRefBased/>
  <w15:docId w15:val="{11F300CC-217C-4D07-B997-D07420C6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1F1"/>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4F71F1"/>
    <w:pPr>
      <w:spacing w:after="240"/>
      <w:outlineLvl w:val="0"/>
    </w:pPr>
    <w:rPr>
      <w:rFonts w:ascii="Arial Bold" w:hAnsi="Arial Bold"/>
      <w:b/>
      <w:kern w:val="34"/>
      <w:sz w:val="36"/>
    </w:rPr>
  </w:style>
  <w:style w:type="paragraph" w:styleId="Heading2">
    <w:name w:val="heading 2"/>
    <w:basedOn w:val="HeadingBase"/>
    <w:next w:val="Normal"/>
    <w:link w:val="Heading2Char"/>
    <w:qFormat/>
    <w:rsid w:val="004F71F1"/>
    <w:pPr>
      <w:spacing w:before="240" w:after="240"/>
      <w:outlineLvl w:val="1"/>
    </w:pPr>
    <w:rPr>
      <w:rFonts w:ascii="Arial Bold" w:hAnsi="Arial Bold"/>
      <w:b/>
      <w:sz w:val="26"/>
    </w:rPr>
  </w:style>
  <w:style w:type="paragraph" w:styleId="Heading3">
    <w:name w:val="heading 3"/>
    <w:basedOn w:val="HeadingBase"/>
    <w:next w:val="Normal"/>
    <w:link w:val="Heading3Char"/>
    <w:qFormat/>
    <w:rsid w:val="004F71F1"/>
    <w:pPr>
      <w:spacing w:before="120" w:after="120"/>
      <w:outlineLvl w:val="2"/>
    </w:pPr>
    <w:rPr>
      <w:rFonts w:ascii="Arial Bold" w:hAnsi="Arial Bold"/>
      <w:b/>
      <w:sz w:val="22"/>
    </w:rPr>
  </w:style>
  <w:style w:type="paragraph" w:styleId="Heading4">
    <w:name w:val="heading 4"/>
    <w:basedOn w:val="HeadingBase"/>
    <w:next w:val="Normal"/>
    <w:link w:val="Heading4Char"/>
    <w:qFormat/>
    <w:rsid w:val="004F71F1"/>
    <w:pPr>
      <w:spacing w:after="120"/>
      <w:outlineLvl w:val="3"/>
    </w:pPr>
    <w:rPr>
      <w:rFonts w:ascii="Arial Bold" w:hAnsi="Arial Bold"/>
      <w:b/>
      <w:sz w:val="20"/>
    </w:rPr>
  </w:style>
  <w:style w:type="paragraph" w:styleId="Heading5">
    <w:name w:val="heading 5"/>
    <w:basedOn w:val="HeadingBase"/>
    <w:next w:val="Normal"/>
    <w:link w:val="Heading5Char"/>
    <w:qFormat/>
    <w:rsid w:val="004F71F1"/>
    <w:pPr>
      <w:spacing w:after="120"/>
      <w:outlineLvl w:val="4"/>
    </w:pPr>
    <w:rPr>
      <w:bCs/>
      <w:i/>
      <w:iCs/>
      <w:sz w:val="20"/>
      <w:szCs w:val="26"/>
    </w:rPr>
  </w:style>
  <w:style w:type="paragraph" w:styleId="Heading6">
    <w:name w:val="heading 6"/>
    <w:basedOn w:val="HeadingBase"/>
    <w:next w:val="Normal"/>
    <w:link w:val="Heading6Char"/>
    <w:rsid w:val="004F71F1"/>
    <w:pPr>
      <w:spacing w:after="120"/>
      <w:outlineLvl w:val="5"/>
    </w:pPr>
    <w:rPr>
      <w:bCs/>
      <w:sz w:val="20"/>
      <w:szCs w:val="22"/>
    </w:rPr>
  </w:style>
  <w:style w:type="paragraph" w:styleId="Heading7">
    <w:name w:val="heading 7"/>
    <w:basedOn w:val="HeadingBase"/>
    <w:next w:val="Normal"/>
    <w:link w:val="Heading7Char"/>
    <w:rsid w:val="004F71F1"/>
    <w:pPr>
      <w:spacing w:before="120"/>
      <w:outlineLvl w:val="6"/>
    </w:pPr>
    <w:rPr>
      <w:sz w:val="20"/>
      <w:szCs w:val="24"/>
    </w:rPr>
  </w:style>
  <w:style w:type="paragraph" w:styleId="Heading8">
    <w:name w:val="heading 8"/>
    <w:basedOn w:val="HeadingBase"/>
    <w:next w:val="Normal"/>
    <w:link w:val="Heading8Char"/>
    <w:rsid w:val="004F71F1"/>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4F71F1"/>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4F71F1"/>
    <w:pPr>
      <w:tabs>
        <w:tab w:val="center" w:pos="4153"/>
        <w:tab w:val="right" w:pos="8306"/>
      </w:tabs>
    </w:pPr>
  </w:style>
  <w:style w:type="character" w:customStyle="1" w:styleId="HeaderChar">
    <w:name w:val="Header Char"/>
    <w:basedOn w:val="DefaultParagraphFont"/>
    <w:link w:val="Header"/>
    <w:rsid w:val="004F71F1"/>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4F71F1"/>
    <w:pPr>
      <w:tabs>
        <w:tab w:val="center" w:pos="4153"/>
        <w:tab w:val="right" w:pos="8306"/>
      </w:tabs>
    </w:pPr>
  </w:style>
  <w:style w:type="character" w:customStyle="1" w:styleId="FooterChar">
    <w:name w:val="Footer Char"/>
    <w:basedOn w:val="DefaultParagraphFont"/>
    <w:link w:val="Footer"/>
    <w:rsid w:val="004F71F1"/>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4F71F1"/>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4F71F1"/>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4F71F1"/>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4F71F1"/>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4F71F1"/>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4F71F1"/>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4F71F1"/>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4F71F1"/>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4F71F1"/>
    <w:pPr>
      <w:jc w:val="center"/>
    </w:pPr>
    <w:rPr>
      <w:rFonts w:ascii="Arial Bold" w:hAnsi="Arial Bold"/>
      <w:b/>
      <w:caps/>
      <w:sz w:val="22"/>
    </w:rPr>
  </w:style>
  <w:style w:type="paragraph" w:customStyle="1" w:styleId="FileProperties">
    <w:name w:val="File Properties"/>
    <w:basedOn w:val="Normal"/>
    <w:rsid w:val="004F71F1"/>
    <w:pPr>
      <w:spacing w:before="0"/>
    </w:pPr>
    <w:rPr>
      <w:i/>
    </w:rPr>
  </w:style>
  <w:style w:type="paragraph" w:customStyle="1" w:styleId="AlphaParagraph">
    <w:name w:val="Alpha Paragraph"/>
    <w:basedOn w:val="Normal"/>
    <w:rsid w:val="004F71F1"/>
    <w:pPr>
      <w:numPr>
        <w:numId w:val="1"/>
      </w:numPr>
      <w:tabs>
        <w:tab w:val="clear" w:pos="567"/>
        <w:tab w:val="num" w:pos="360"/>
      </w:tabs>
      <w:ind w:left="0" w:firstLine="0"/>
    </w:pPr>
  </w:style>
  <w:style w:type="paragraph" w:customStyle="1" w:styleId="HeadingBase">
    <w:name w:val="Heading Base"/>
    <w:rsid w:val="004F71F1"/>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4F71F1"/>
    <w:rPr>
      <w:bCs/>
      <w:color w:val="002A54" w:themeColor="text2"/>
      <w:szCs w:val="52"/>
    </w:rPr>
  </w:style>
  <w:style w:type="paragraph" w:customStyle="1" w:styleId="BoxText">
    <w:name w:val="Box Text"/>
    <w:basedOn w:val="Normal"/>
    <w:qFormat/>
    <w:rsid w:val="004F71F1"/>
    <w:pPr>
      <w:spacing w:before="120" w:after="120" w:line="240" w:lineRule="auto"/>
    </w:pPr>
  </w:style>
  <w:style w:type="paragraph" w:customStyle="1" w:styleId="BoxBullet">
    <w:name w:val="Box Bullet"/>
    <w:basedOn w:val="BoxText"/>
    <w:rsid w:val="004F71F1"/>
    <w:pPr>
      <w:numPr>
        <w:numId w:val="2"/>
      </w:numPr>
    </w:pPr>
  </w:style>
  <w:style w:type="paragraph" w:customStyle="1" w:styleId="BoxHeading">
    <w:name w:val="Box Heading"/>
    <w:basedOn w:val="HeadingBase"/>
    <w:next w:val="BoxText"/>
    <w:rsid w:val="004F71F1"/>
    <w:pPr>
      <w:spacing w:before="120" w:after="120"/>
    </w:pPr>
    <w:rPr>
      <w:b/>
      <w:sz w:val="20"/>
    </w:rPr>
  </w:style>
  <w:style w:type="character" w:customStyle="1" w:styleId="Heading6Char">
    <w:name w:val="Heading 6 Char"/>
    <w:basedOn w:val="DefaultParagraphFont"/>
    <w:link w:val="Heading6"/>
    <w:rsid w:val="004F71F1"/>
    <w:rPr>
      <w:rFonts w:ascii="Arial" w:eastAsia="Times New Roman" w:hAnsi="Arial" w:cs="Times New Roman"/>
      <w:bCs/>
      <w:sz w:val="20"/>
      <w:lang w:eastAsia="en-AU"/>
    </w:rPr>
  </w:style>
  <w:style w:type="paragraph" w:customStyle="1" w:styleId="Bullet">
    <w:name w:val="Bullet"/>
    <w:basedOn w:val="Normal"/>
    <w:qFormat/>
    <w:rsid w:val="004F71F1"/>
    <w:pPr>
      <w:numPr>
        <w:numId w:val="3"/>
      </w:numPr>
      <w:spacing w:after="160"/>
      <w:ind w:left="284" w:hanging="284"/>
    </w:pPr>
  </w:style>
  <w:style w:type="paragraph" w:styleId="Caption">
    <w:name w:val="caption"/>
    <w:basedOn w:val="Normal"/>
    <w:next w:val="Normal"/>
    <w:rsid w:val="004F71F1"/>
    <w:rPr>
      <w:b/>
      <w:bCs/>
    </w:rPr>
  </w:style>
  <w:style w:type="paragraph" w:customStyle="1" w:styleId="ChartandTableFootnote">
    <w:name w:val="Chart and Table Footnote"/>
    <w:basedOn w:val="HeadingBase"/>
    <w:next w:val="Normal"/>
    <w:rsid w:val="004F71F1"/>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4F71F1"/>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4F71F1"/>
    <w:pPr>
      <w:keepNext w:val="0"/>
      <w:tabs>
        <w:tab w:val="left" w:pos="284"/>
      </w:tabs>
      <w:jc w:val="both"/>
    </w:pPr>
    <w:rPr>
      <w:color w:val="000000"/>
      <w:sz w:val="15"/>
    </w:rPr>
  </w:style>
  <w:style w:type="paragraph" w:customStyle="1" w:styleId="ChartGraphic">
    <w:name w:val="Chart Graphic"/>
    <w:basedOn w:val="HeadingBase"/>
    <w:rsid w:val="004F71F1"/>
    <w:rPr>
      <w:sz w:val="20"/>
    </w:rPr>
  </w:style>
  <w:style w:type="paragraph" w:customStyle="1" w:styleId="TableLine">
    <w:name w:val="Table Line"/>
    <w:basedOn w:val="Normal"/>
    <w:next w:val="Normal"/>
    <w:autoRedefine/>
    <w:rsid w:val="004F71F1"/>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4F71F1"/>
    <w:pPr>
      <w:spacing w:after="60"/>
    </w:pPr>
    <w:rPr>
      <w:sz w:val="19"/>
    </w:rPr>
  </w:style>
  <w:style w:type="character" w:styleId="CommentReference">
    <w:name w:val="annotation reference"/>
    <w:basedOn w:val="DefaultParagraphFont"/>
    <w:rsid w:val="004F71F1"/>
    <w:rPr>
      <w:sz w:val="16"/>
      <w:szCs w:val="16"/>
    </w:rPr>
  </w:style>
  <w:style w:type="paragraph" w:styleId="CommentText">
    <w:name w:val="annotation text"/>
    <w:basedOn w:val="Normal"/>
    <w:link w:val="CommentTextChar"/>
    <w:rsid w:val="004F71F1"/>
  </w:style>
  <w:style w:type="character" w:customStyle="1" w:styleId="CommentTextChar">
    <w:name w:val="Comment Text Char"/>
    <w:basedOn w:val="DefaultParagraphFont"/>
    <w:link w:val="CommentText"/>
    <w:rsid w:val="004F71F1"/>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4F71F1"/>
    <w:rPr>
      <w:b/>
      <w:bCs/>
    </w:rPr>
  </w:style>
  <w:style w:type="character" w:customStyle="1" w:styleId="CommentSubjectChar">
    <w:name w:val="Comment Subject Char"/>
    <w:basedOn w:val="CommentTextChar"/>
    <w:link w:val="CommentSubject"/>
    <w:semiHidden/>
    <w:rsid w:val="004F71F1"/>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4F71F1"/>
    <w:pPr>
      <w:spacing w:after="720"/>
      <w:outlineLvl w:val="9"/>
    </w:pPr>
  </w:style>
  <w:style w:type="character" w:styleId="Strong">
    <w:name w:val="Strong"/>
    <w:basedOn w:val="DefaultParagraphFont"/>
    <w:uiPriority w:val="22"/>
    <w:qFormat/>
    <w:rsid w:val="004F71F1"/>
    <w:rPr>
      <w:b/>
      <w:bCs/>
      <w:color w:val="002A54" w:themeColor="text2"/>
    </w:rPr>
  </w:style>
  <w:style w:type="paragraph" w:customStyle="1" w:styleId="Dash">
    <w:name w:val="Dash"/>
    <w:basedOn w:val="Normal"/>
    <w:qFormat/>
    <w:rsid w:val="004F71F1"/>
    <w:pPr>
      <w:numPr>
        <w:ilvl w:val="1"/>
        <w:numId w:val="3"/>
      </w:numPr>
      <w:tabs>
        <w:tab w:val="left" w:pos="567"/>
      </w:tabs>
    </w:pPr>
  </w:style>
  <w:style w:type="paragraph" w:styleId="DocumentMap">
    <w:name w:val="Document Map"/>
    <w:basedOn w:val="Normal"/>
    <w:link w:val="DocumentMapChar"/>
    <w:semiHidden/>
    <w:rsid w:val="004F71F1"/>
    <w:pPr>
      <w:shd w:val="clear" w:color="auto" w:fill="000080"/>
    </w:pPr>
    <w:rPr>
      <w:rFonts w:ascii="Tahoma" w:hAnsi="Tahoma" w:cs="Tahoma"/>
    </w:rPr>
  </w:style>
  <w:style w:type="character" w:customStyle="1" w:styleId="DocumentMapChar">
    <w:name w:val="Document Map Char"/>
    <w:basedOn w:val="DefaultParagraphFont"/>
    <w:link w:val="DocumentMap"/>
    <w:semiHidden/>
    <w:rsid w:val="004F71F1"/>
    <w:rPr>
      <w:rFonts w:ascii="Tahoma" w:eastAsia="Times New Roman" w:hAnsi="Tahoma" w:cs="Tahoma"/>
      <w:sz w:val="19"/>
      <w:szCs w:val="20"/>
      <w:shd w:val="clear" w:color="auto" w:fill="000080"/>
      <w:lang w:eastAsia="en-AU"/>
    </w:rPr>
  </w:style>
  <w:style w:type="paragraph" w:customStyle="1" w:styleId="DoubleDot">
    <w:name w:val="Double Dot"/>
    <w:basedOn w:val="Normal"/>
    <w:rsid w:val="004F71F1"/>
    <w:pPr>
      <w:numPr>
        <w:ilvl w:val="2"/>
        <w:numId w:val="3"/>
      </w:numPr>
      <w:tabs>
        <w:tab w:val="clear" w:pos="850"/>
        <w:tab w:val="num" w:pos="360"/>
        <w:tab w:val="left" w:pos="851"/>
      </w:tabs>
    </w:pPr>
  </w:style>
  <w:style w:type="paragraph" w:customStyle="1" w:styleId="FigureHeading">
    <w:name w:val="Figure Heading"/>
    <w:basedOn w:val="HeadingBase"/>
    <w:next w:val="ChartGraphic"/>
    <w:rsid w:val="004F71F1"/>
    <w:pPr>
      <w:spacing w:before="120" w:after="20"/>
    </w:pPr>
    <w:rPr>
      <w:b/>
      <w:sz w:val="20"/>
    </w:rPr>
  </w:style>
  <w:style w:type="paragraph" w:customStyle="1" w:styleId="FooterBase">
    <w:name w:val="Footer Base"/>
    <w:rsid w:val="004F71F1"/>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4F71F1"/>
    <w:pPr>
      <w:pBdr>
        <w:top w:val="single" w:sz="4" w:space="10" w:color="002A54" w:themeColor="text2"/>
      </w:pBdr>
      <w:jc w:val="left"/>
    </w:pPr>
    <w:rPr>
      <w:sz w:val="18"/>
    </w:rPr>
  </w:style>
  <w:style w:type="paragraph" w:customStyle="1" w:styleId="FooterOdd">
    <w:name w:val="Footer Odd"/>
    <w:basedOn w:val="Footer"/>
    <w:qFormat/>
    <w:rsid w:val="004F71F1"/>
    <w:pPr>
      <w:pBdr>
        <w:top w:val="single" w:sz="4" w:space="10" w:color="002A54" w:themeColor="text2"/>
      </w:pBdr>
      <w:jc w:val="right"/>
    </w:pPr>
    <w:rPr>
      <w:sz w:val="18"/>
    </w:rPr>
  </w:style>
  <w:style w:type="character" w:styleId="FootnoteReference">
    <w:name w:val="footnote reference"/>
    <w:basedOn w:val="DefaultParagraphFont"/>
    <w:rsid w:val="004F71F1"/>
    <w:rPr>
      <w:vertAlign w:val="superscript"/>
    </w:rPr>
  </w:style>
  <w:style w:type="paragraph" w:styleId="FootnoteText">
    <w:name w:val="footnote text"/>
    <w:basedOn w:val="Normal"/>
    <w:link w:val="FootnoteTextChar"/>
    <w:rsid w:val="004F71F1"/>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4F71F1"/>
    <w:rPr>
      <w:rFonts w:ascii="Book Antiqua" w:eastAsia="Times New Roman" w:hAnsi="Book Antiqua" w:cs="Times New Roman"/>
      <w:sz w:val="18"/>
      <w:szCs w:val="20"/>
      <w:lang w:eastAsia="en-AU"/>
    </w:rPr>
  </w:style>
  <w:style w:type="character" w:customStyle="1" w:styleId="FramedHeader">
    <w:name w:val="Framed Header"/>
    <w:basedOn w:val="DefaultParagraphFont"/>
    <w:rsid w:val="004F71F1"/>
    <w:rPr>
      <w:rFonts w:ascii="Book Antiqua" w:hAnsi="Book Antiqua"/>
      <w:i/>
      <w:dstrike w:val="0"/>
      <w:color w:val="auto"/>
      <w:sz w:val="20"/>
      <w:vertAlign w:val="baseline"/>
    </w:rPr>
  </w:style>
  <w:style w:type="paragraph" w:customStyle="1" w:styleId="HeaderBase">
    <w:name w:val="Header Base"/>
    <w:rsid w:val="004F71F1"/>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4F71F1"/>
  </w:style>
  <w:style w:type="paragraph" w:customStyle="1" w:styleId="HeaderOdd">
    <w:name w:val="Header Odd"/>
    <w:basedOn w:val="HeaderBase"/>
    <w:rsid w:val="004F71F1"/>
    <w:pPr>
      <w:jc w:val="right"/>
    </w:pPr>
  </w:style>
  <w:style w:type="character" w:customStyle="1" w:styleId="Heading1Char">
    <w:name w:val="Heading 1 Char"/>
    <w:basedOn w:val="DefaultParagraphFont"/>
    <w:link w:val="Heading1"/>
    <w:rsid w:val="004F71F1"/>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4F71F1"/>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4F71F1"/>
    <w:rPr>
      <w:rFonts w:ascii="Arial Bold" w:eastAsia="Times New Roman" w:hAnsi="Arial Bold" w:cs="Times New Roman"/>
      <w:b/>
      <w:szCs w:val="20"/>
      <w:lang w:eastAsia="en-AU"/>
    </w:rPr>
  </w:style>
  <w:style w:type="paragraph" w:customStyle="1" w:styleId="Heading3noTOC">
    <w:name w:val="Heading 3 no TOC"/>
    <w:basedOn w:val="Heading3"/>
    <w:rsid w:val="004F71F1"/>
    <w:pPr>
      <w:outlineLvl w:val="9"/>
    </w:pPr>
  </w:style>
  <w:style w:type="character" w:customStyle="1" w:styleId="Heading4Char">
    <w:name w:val="Heading 4 Char"/>
    <w:basedOn w:val="DefaultParagraphFont"/>
    <w:link w:val="Heading4"/>
    <w:rsid w:val="004F71F1"/>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4F71F1"/>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4F71F1"/>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4F71F1"/>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4F71F1"/>
    <w:rPr>
      <w:rFonts w:ascii="Times New Roman" w:hAnsi="Times New Roman"/>
      <w:vanish/>
      <w:sz w:val="16"/>
    </w:rPr>
  </w:style>
  <w:style w:type="character" w:styleId="Hyperlink">
    <w:name w:val="Hyperlink"/>
    <w:basedOn w:val="DefaultParagraphFont"/>
    <w:uiPriority w:val="99"/>
    <w:unhideWhenUsed/>
    <w:rsid w:val="004F71F1"/>
    <w:rPr>
      <w:color w:val="auto"/>
      <w:u w:val="single"/>
    </w:rPr>
  </w:style>
  <w:style w:type="paragraph" w:styleId="Index4">
    <w:name w:val="index 4"/>
    <w:basedOn w:val="Normal"/>
    <w:next w:val="Normal"/>
    <w:autoRedefine/>
    <w:semiHidden/>
    <w:rsid w:val="004F71F1"/>
    <w:pPr>
      <w:ind w:left="800" w:hanging="200"/>
    </w:pPr>
  </w:style>
  <w:style w:type="paragraph" w:styleId="Index5">
    <w:name w:val="index 5"/>
    <w:basedOn w:val="Normal"/>
    <w:next w:val="Normal"/>
    <w:autoRedefine/>
    <w:semiHidden/>
    <w:rsid w:val="004F71F1"/>
    <w:pPr>
      <w:ind w:left="1000" w:hanging="200"/>
    </w:pPr>
  </w:style>
  <w:style w:type="paragraph" w:styleId="Index6">
    <w:name w:val="index 6"/>
    <w:basedOn w:val="Normal"/>
    <w:next w:val="Normal"/>
    <w:autoRedefine/>
    <w:semiHidden/>
    <w:rsid w:val="004F71F1"/>
    <w:pPr>
      <w:ind w:left="1200" w:hanging="200"/>
    </w:pPr>
  </w:style>
  <w:style w:type="paragraph" w:styleId="Index7">
    <w:name w:val="index 7"/>
    <w:basedOn w:val="Normal"/>
    <w:next w:val="Normal"/>
    <w:autoRedefine/>
    <w:semiHidden/>
    <w:rsid w:val="004F71F1"/>
    <w:pPr>
      <w:ind w:left="1400" w:hanging="200"/>
    </w:pPr>
  </w:style>
  <w:style w:type="paragraph" w:styleId="Index8">
    <w:name w:val="index 8"/>
    <w:basedOn w:val="Normal"/>
    <w:next w:val="Normal"/>
    <w:autoRedefine/>
    <w:semiHidden/>
    <w:rsid w:val="004F71F1"/>
    <w:pPr>
      <w:ind w:left="1600" w:hanging="200"/>
    </w:pPr>
  </w:style>
  <w:style w:type="paragraph" w:styleId="Index9">
    <w:name w:val="index 9"/>
    <w:basedOn w:val="Normal"/>
    <w:next w:val="Normal"/>
    <w:autoRedefine/>
    <w:semiHidden/>
    <w:rsid w:val="004F71F1"/>
    <w:pPr>
      <w:ind w:left="1800" w:hanging="200"/>
    </w:pPr>
  </w:style>
  <w:style w:type="paragraph" w:styleId="MacroText">
    <w:name w:val="macro"/>
    <w:link w:val="MacroTextChar"/>
    <w:unhideWhenUsed/>
    <w:rsid w:val="004F71F1"/>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4F71F1"/>
    <w:rPr>
      <w:rFonts w:ascii="Courier New" w:eastAsia="Times New Roman" w:hAnsi="Courier New" w:cs="Courier New"/>
      <w:sz w:val="20"/>
      <w:szCs w:val="20"/>
      <w:lang w:eastAsia="en-AU"/>
    </w:rPr>
  </w:style>
  <w:style w:type="paragraph" w:styleId="NormalIndent">
    <w:name w:val="Normal Indent"/>
    <w:basedOn w:val="Normal"/>
    <w:rsid w:val="004F71F1"/>
    <w:pPr>
      <w:ind w:left="567"/>
    </w:pPr>
  </w:style>
  <w:style w:type="paragraph" w:customStyle="1" w:styleId="NoteTableHeading">
    <w:name w:val="Note Table Heading"/>
    <w:basedOn w:val="HeadingBase"/>
    <w:next w:val="Normal"/>
    <w:rsid w:val="004F71F1"/>
    <w:pPr>
      <w:spacing w:before="240"/>
    </w:pPr>
    <w:rPr>
      <w:b/>
      <w:sz w:val="20"/>
    </w:rPr>
  </w:style>
  <w:style w:type="paragraph" w:customStyle="1" w:styleId="OverviewParagraph">
    <w:name w:val="Overview Paragraph"/>
    <w:basedOn w:val="Normal"/>
    <w:rsid w:val="004F71F1"/>
    <w:pPr>
      <w:spacing w:before="120" w:after="120" w:line="240" w:lineRule="auto"/>
    </w:pPr>
  </w:style>
  <w:style w:type="character" w:styleId="PageNumber">
    <w:name w:val="page number"/>
    <w:basedOn w:val="DefaultParagraphFont"/>
    <w:rsid w:val="004F71F1"/>
    <w:rPr>
      <w:rFonts w:ascii="Arial" w:hAnsi="Arial" w:cs="Arial"/>
    </w:rPr>
  </w:style>
  <w:style w:type="paragraph" w:customStyle="1" w:styleId="SingleParagraph">
    <w:name w:val="Single Paragraph"/>
    <w:basedOn w:val="Normal"/>
    <w:rsid w:val="004F71F1"/>
    <w:pPr>
      <w:spacing w:before="0" w:after="0"/>
    </w:pPr>
  </w:style>
  <w:style w:type="paragraph" w:customStyle="1" w:styleId="Source">
    <w:name w:val="Source"/>
    <w:basedOn w:val="Normal"/>
    <w:rsid w:val="004F71F1"/>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4F71F1"/>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4F71F1"/>
    <w:pPr>
      <w:jc w:val="center"/>
    </w:pPr>
  </w:style>
  <w:style w:type="paragraph" w:customStyle="1" w:styleId="TableColumnHeadingLeft">
    <w:name w:val="Table Column Heading Left"/>
    <w:basedOn w:val="TableColumnHeadingBase"/>
    <w:next w:val="Normal"/>
    <w:rsid w:val="004F71F1"/>
  </w:style>
  <w:style w:type="paragraph" w:customStyle="1" w:styleId="TableColumnHeadingRight">
    <w:name w:val="Table Column Heading Right"/>
    <w:basedOn w:val="TableColumnHeadingBase"/>
    <w:next w:val="Normal"/>
    <w:rsid w:val="004F71F1"/>
    <w:pPr>
      <w:jc w:val="right"/>
    </w:pPr>
  </w:style>
  <w:style w:type="paragraph" w:customStyle="1" w:styleId="TableGraphic">
    <w:name w:val="Table Graphic"/>
    <w:basedOn w:val="Normal"/>
    <w:next w:val="Normal"/>
    <w:rsid w:val="004F71F1"/>
    <w:pPr>
      <w:spacing w:after="0" w:line="240" w:lineRule="auto"/>
      <w:ind w:right="-113"/>
    </w:pPr>
  </w:style>
  <w:style w:type="table" w:styleId="TableGrid">
    <w:name w:val="Table Grid"/>
    <w:basedOn w:val="TableNormal"/>
    <w:rsid w:val="004F71F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4F71F1"/>
    <w:pPr>
      <w:spacing w:before="120" w:after="20"/>
    </w:pPr>
    <w:rPr>
      <w:b/>
      <w:sz w:val="20"/>
    </w:rPr>
  </w:style>
  <w:style w:type="paragraph" w:customStyle="1" w:styleId="TableHeadingcontinued">
    <w:name w:val="Table Heading continued"/>
    <w:basedOn w:val="HeadingBase"/>
    <w:next w:val="TableGraphic"/>
    <w:rsid w:val="004F71F1"/>
    <w:pPr>
      <w:spacing w:before="120" w:after="20"/>
    </w:pPr>
    <w:rPr>
      <w:rFonts w:ascii="Arial Bold" w:hAnsi="Arial Bold"/>
      <w:b/>
      <w:sz w:val="20"/>
    </w:rPr>
  </w:style>
  <w:style w:type="paragraph" w:styleId="TableofFigures">
    <w:name w:val="table of figures"/>
    <w:basedOn w:val="Normal"/>
    <w:next w:val="Normal"/>
    <w:rsid w:val="004F71F1"/>
  </w:style>
  <w:style w:type="paragraph" w:customStyle="1" w:styleId="TableTextBase">
    <w:name w:val="Table Text Base"/>
    <w:basedOn w:val="Normal"/>
    <w:rsid w:val="004F71F1"/>
    <w:pPr>
      <w:spacing w:before="20" w:after="20" w:line="240" w:lineRule="auto"/>
    </w:pPr>
    <w:rPr>
      <w:rFonts w:ascii="Arial" w:hAnsi="Arial"/>
      <w:sz w:val="16"/>
    </w:rPr>
  </w:style>
  <w:style w:type="paragraph" w:customStyle="1" w:styleId="TableTextCentred">
    <w:name w:val="Table Text Centred"/>
    <w:basedOn w:val="TableTextBase"/>
    <w:rsid w:val="004F71F1"/>
    <w:pPr>
      <w:jc w:val="center"/>
    </w:pPr>
  </w:style>
  <w:style w:type="paragraph" w:customStyle="1" w:styleId="TableTextIndented">
    <w:name w:val="Table Text Indented"/>
    <w:basedOn w:val="TableTextBase"/>
    <w:rsid w:val="004F71F1"/>
    <w:pPr>
      <w:ind w:left="284"/>
    </w:pPr>
  </w:style>
  <w:style w:type="paragraph" w:customStyle="1" w:styleId="TableTextLeft">
    <w:name w:val="Table Text Left"/>
    <w:basedOn w:val="TableTextBase"/>
    <w:rsid w:val="004F71F1"/>
  </w:style>
  <w:style w:type="paragraph" w:customStyle="1" w:styleId="TableTextRight">
    <w:name w:val="Table Text Right"/>
    <w:basedOn w:val="TableTextBase"/>
    <w:rsid w:val="004F71F1"/>
    <w:pPr>
      <w:jc w:val="right"/>
    </w:pPr>
  </w:style>
  <w:style w:type="paragraph" w:styleId="TOAHeading">
    <w:name w:val="toa heading"/>
    <w:basedOn w:val="Normal"/>
    <w:next w:val="Normal"/>
    <w:rsid w:val="004F71F1"/>
    <w:pPr>
      <w:spacing w:before="120"/>
    </w:pPr>
    <w:rPr>
      <w:rFonts w:ascii="Arial" w:hAnsi="Arial" w:cs="Arial"/>
      <w:b/>
      <w:bCs/>
      <w:sz w:val="24"/>
      <w:szCs w:val="24"/>
    </w:rPr>
  </w:style>
  <w:style w:type="paragraph" w:styleId="TOC1">
    <w:name w:val="toc 1"/>
    <w:basedOn w:val="HeaderBase"/>
    <w:next w:val="Normal"/>
    <w:uiPriority w:val="2"/>
    <w:rsid w:val="004F71F1"/>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4F71F1"/>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4F71F1"/>
    <w:pPr>
      <w:tabs>
        <w:tab w:val="right" w:leader="dot" w:pos="7700"/>
      </w:tabs>
      <w:spacing w:before="40"/>
      <w:ind w:right="851"/>
    </w:pPr>
    <w:rPr>
      <w:sz w:val="20"/>
    </w:rPr>
  </w:style>
  <w:style w:type="paragraph" w:styleId="TOC4">
    <w:name w:val="toc 4"/>
    <w:basedOn w:val="HeadingBase"/>
    <w:next w:val="Normal"/>
    <w:uiPriority w:val="2"/>
    <w:unhideWhenUsed/>
    <w:rsid w:val="004F71F1"/>
    <w:pPr>
      <w:tabs>
        <w:tab w:val="right" w:leader="dot" w:pos="7700"/>
      </w:tabs>
      <w:spacing w:before="40"/>
      <w:ind w:right="851"/>
    </w:pPr>
    <w:rPr>
      <w:sz w:val="20"/>
    </w:rPr>
  </w:style>
  <w:style w:type="paragraph" w:styleId="TOC5">
    <w:name w:val="toc 5"/>
    <w:basedOn w:val="Normal"/>
    <w:next w:val="Normal"/>
    <w:autoRedefine/>
    <w:uiPriority w:val="2"/>
    <w:semiHidden/>
    <w:rsid w:val="004F71F1"/>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4F71F1"/>
    <w:pPr>
      <w:tabs>
        <w:tab w:val="left" w:pos="851"/>
      </w:tabs>
      <w:ind w:left="851" w:hanging="851"/>
    </w:pPr>
    <w:rPr>
      <w:color w:val="000000"/>
    </w:rPr>
  </w:style>
  <w:style w:type="paragraph" w:styleId="TOC7">
    <w:name w:val="toc 7"/>
    <w:basedOn w:val="Normal"/>
    <w:next w:val="Normal"/>
    <w:autoRedefine/>
    <w:uiPriority w:val="2"/>
    <w:semiHidden/>
    <w:rsid w:val="004F71F1"/>
    <w:pPr>
      <w:ind w:left="1200"/>
    </w:pPr>
  </w:style>
  <w:style w:type="paragraph" w:styleId="TOC8">
    <w:name w:val="toc 8"/>
    <w:basedOn w:val="Normal"/>
    <w:next w:val="Normal"/>
    <w:autoRedefine/>
    <w:uiPriority w:val="2"/>
    <w:semiHidden/>
    <w:rsid w:val="004F71F1"/>
    <w:pPr>
      <w:ind w:left="1400"/>
    </w:pPr>
  </w:style>
  <w:style w:type="paragraph" w:styleId="TOC9">
    <w:name w:val="toc 9"/>
    <w:basedOn w:val="Normal"/>
    <w:next w:val="Normal"/>
    <w:autoRedefine/>
    <w:uiPriority w:val="2"/>
    <w:semiHidden/>
    <w:rsid w:val="004F71F1"/>
    <w:pPr>
      <w:ind w:left="1600"/>
    </w:pPr>
  </w:style>
  <w:style w:type="paragraph" w:customStyle="1" w:styleId="TPHeading1">
    <w:name w:val="TP Heading 1"/>
    <w:basedOn w:val="HeadingBase"/>
    <w:semiHidden/>
    <w:rsid w:val="004F71F1"/>
    <w:pPr>
      <w:spacing w:before="60" w:after="60"/>
      <w:ind w:left="1134"/>
    </w:pPr>
    <w:rPr>
      <w:rFonts w:ascii="Arial Bold" w:hAnsi="Arial Bold"/>
      <w:b/>
      <w:caps/>
      <w:spacing w:val="-10"/>
      <w:sz w:val="28"/>
    </w:rPr>
  </w:style>
  <w:style w:type="paragraph" w:customStyle="1" w:styleId="TPHeading2">
    <w:name w:val="TP Heading 2"/>
    <w:basedOn w:val="HeadingBase"/>
    <w:semiHidden/>
    <w:rsid w:val="004F71F1"/>
    <w:pPr>
      <w:ind w:left="1134"/>
    </w:pPr>
    <w:rPr>
      <w:caps/>
      <w:spacing w:val="-10"/>
      <w:sz w:val="28"/>
    </w:rPr>
  </w:style>
  <w:style w:type="paragraph" w:customStyle="1" w:styleId="TPHeading3">
    <w:name w:val="TP Heading 3"/>
    <w:basedOn w:val="HeadingBase"/>
    <w:semiHidden/>
    <w:rsid w:val="004F71F1"/>
    <w:pPr>
      <w:ind w:left="1134"/>
    </w:pPr>
    <w:rPr>
      <w:caps/>
      <w:spacing w:val="-10"/>
    </w:rPr>
  </w:style>
  <w:style w:type="paragraph" w:customStyle="1" w:styleId="TPHeading3bold">
    <w:name w:val="TP Heading 3 bold"/>
    <w:basedOn w:val="TPHeading3"/>
    <w:semiHidden/>
    <w:rsid w:val="004F71F1"/>
    <w:rPr>
      <w:rFonts w:cs="Arial"/>
      <w:b/>
      <w:sz w:val="22"/>
      <w:szCs w:val="22"/>
    </w:rPr>
  </w:style>
  <w:style w:type="paragraph" w:customStyle="1" w:styleId="TPHEADING3boldspace">
    <w:name w:val="TP HEADING 3 bold space"/>
    <w:basedOn w:val="TPHeading3bold"/>
    <w:semiHidden/>
    <w:rsid w:val="004F71F1"/>
    <w:pPr>
      <w:spacing w:after="120"/>
    </w:pPr>
  </w:style>
  <w:style w:type="paragraph" w:customStyle="1" w:styleId="TPHEADING3space">
    <w:name w:val="TP HEADING 3 space"/>
    <w:basedOn w:val="TPHeading3"/>
    <w:semiHidden/>
    <w:rsid w:val="004F71F1"/>
    <w:pPr>
      <w:spacing w:before="120" w:after="120"/>
    </w:pPr>
    <w:rPr>
      <w:rFonts w:cs="Arial"/>
      <w:sz w:val="22"/>
      <w:szCs w:val="22"/>
    </w:rPr>
  </w:style>
  <w:style w:type="paragraph" w:customStyle="1" w:styleId="TPHeading4">
    <w:name w:val="TP Heading 4"/>
    <w:basedOn w:val="TPHeading3"/>
    <w:semiHidden/>
    <w:rsid w:val="004F71F1"/>
    <w:rPr>
      <w:sz w:val="20"/>
    </w:rPr>
  </w:style>
  <w:style w:type="paragraph" w:customStyle="1" w:styleId="TPHEADING4space">
    <w:name w:val="TP HEADING 4 space"/>
    <w:basedOn w:val="TPHEADING3space"/>
    <w:semiHidden/>
    <w:rsid w:val="004F71F1"/>
  </w:style>
  <w:style w:type="paragraph" w:customStyle="1" w:styleId="ChartLine">
    <w:name w:val="Chart Line"/>
    <w:basedOn w:val="Normal"/>
    <w:link w:val="ChartLineChar"/>
    <w:autoRedefine/>
    <w:qFormat/>
    <w:rsid w:val="004F71F1"/>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4F71F1"/>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4F71F1"/>
    <w:rPr>
      <w:sz w:val="16"/>
    </w:rPr>
  </w:style>
  <w:style w:type="paragraph" w:customStyle="1" w:styleId="Box-continuedon">
    <w:name w:val="Box - continued on"/>
    <w:basedOn w:val="Normal"/>
    <w:qFormat/>
    <w:rsid w:val="004F71F1"/>
    <w:pPr>
      <w:jc w:val="right"/>
    </w:pPr>
    <w:rPr>
      <w:rFonts w:asciiTheme="majorHAnsi" w:hAnsiTheme="majorHAnsi" w:cstheme="majorHAnsi"/>
      <w:i/>
      <w:iCs/>
      <w:sz w:val="18"/>
      <w:szCs w:val="24"/>
    </w:rPr>
  </w:style>
  <w:style w:type="paragraph" w:customStyle="1" w:styleId="BoxHeading2">
    <w:name w:val="Box Heading 2"/>
    <w:basedOn w:val="BoxHeading"/>
    <w:autoRedefine/>
    <w:rsid w:val="004F71F1"/>
    <w:pPr>
      <w:spacing w:after="0"/>
    </w:pPr>
    <w:rPr>
      <w:b w:val="0"/>
      <w:bCs/>
      <w:szCs w:val="14"/>
    </w:rPr>
  </w:style>
  <w:style w:type="character" w:customStyle="1" w:styleId="Heading9Char">
    <w:name w:val="Heading 9 Char"/>
    <w:basedOn w:val="DefaultParagraphFont"/>
    <w:link w:val="Heading9"/>
    <w:uiPriority w:val="9"/>
    <w:rsid w:val="004F71F1"/>
    <w:rPr>
      <w:rFonts w:ascii="Cambria" w:eastAsia="Times New Roman" w:hAnsi="Cambria" w:cs="Times New Roman"/>
      <w:lang w:eastAsia="en-AU"/>
    </w:rPr>
  </w:style>
  <w:style w:type="paragraph" w:customStyle="1" w:styleId="GhostLine">
    <w:name w:val="Ghost Line"/>
    <w:basedOn w:val="NoSpacing"/>
    <w:qFormat/>
    <w:rsid w:val="004F71F1"/>
    <w:pPr>
      <w:jc w:val="both"/>
    </w:pPr>
    <w:rPr>
      <w:rFonts w:ascii="Book Antiqua" w:hAnsi="Book Antiqua"/>
      <w:sz w:val="2"/>
    </w:rPr>
  </w:style>
  <w:style w:type="paragraph" w:styleId="NoSpacing">
    <w:name w:val="No Spacing"/>
    <w:uiPriority w:val="1"/>
    <w:qFormat/>
    <w:rsid w:val="004F71F1"/>
    <w:pPr>
      <w:spacing w:after="0" w:line="240" w:lineRule="auto"/>
    </w:pPr>
    <w:rPr>
      <w:rFonts w:eastAsia="Times New Roman" w:cs="Times New Roman"/>
      <w:sz w:val="19"/>
      <w:szCs w:val="20"/>
      <w:lang w:eastAsia="en-AU"/>
    </w:rPr>
  </w:style>
  <w:style w:type="character" w:customStyle="1" w:styleId="TableHeadingChar">
    <w:name w:val="Table Heading Char"/>
    <w:link w:val="TableHeading"/>
    <w:rsid w:val="00D16B1C"/>
    <w:rPr>
      <w:rFonts w:ascii="Arial" w:eastAsia="Times New Roman" w:hAnsi="Arial" w:cs="Times New Roman"/>
      <w:b/>
      <w:sz w:val="20"/>
      <w:szCs w:val="20"/>
      <w:lang w:eastAsia="en-AU"/>
    </w:rPr>
  </w:style>
  <w:style w:type="paragraph" w:styleId="Revision">
    <w:name w:val="Revision"/>
    <w:hidden/>
    <w:uiPriority w:val="99"/>
    <w:semiHidden/>
    <w:rsid w:val="00DD2238"/>
    <w:pPr>
      <w:spacing w:after="0" w:line="240" w:lineRule="auto"/>
    </w:pPr>
    <w:rPr>
      <w:rFonts w:eastAsia="Times New Roman" w:cs="Times New Roman"/>
      <w:sz w:val="19"/>
      <w:szCs w:val="20"/>
      <w:lang w:eastAsia="en-AU"/>
    </w:rPr>
  </w:style>
  <w:style w:type="paragraph" w:styleId="ListParagraph">
    <w:name w:val="List Paragraph"/>
    <w:basedOn w:val="Normal"/>
    <w:uiPriority w:val="34"/>
    <w:qFormat/>
    <w:rsid w:val="00565BBF"/>
    <w:pPr>
      <w:ind w:left="720"/>
      <w:contextualSpacing/>
    </w:pPr>
  </w:style>
  <w:style w:type="paragraph" w:styleId="NormalWeb">
    <w:name w:val="Normal (Web)"/>
    <w:basedOn w:val="Normal"/>
    <w:uiPriority w:val="99"/>
    <w:semiHidden/>
    <w:unhideWhenUsed/>
    <w:rsid w:val="00CF5492"/>
    <w:pPr>
      <w:spacing w:before="100" w:beforeAutospacing="1" w:after="100" w:afterAutospacing="1" w:line="240" w:lineRule="auto"/>
    </w:pPr>
    <w:rPr>
      <w:rFonts w:ascii="Times New Roman" w:hAnsi="Times New Roman"/>
      <w:sz w:val="24"/>
      <w:szCs w:val="24"/>
    </w:rPr>
  </w:style>
  <w:style w:type="paragraph" w:customStyle="1" w:styleId="OutlineNumbered1">
    <w:name w:val="Outline Numbered 1"/>
    <w:basedOn w:val="Normal"/>
    <w:link w:val="OutlineNumbered1Char"/>
    <w:rsid w:val="00AF2276"/>
    <w:pPr>
      <w:numPr>
        <w:numId w:val="27"/>
      </w:numPr>
    </w:pPr>
    <w:rPr>
      <w:noProof/>
    </w:rPr>
  </w:style>
  <w:style w:type="character" w:customStyle="1" w:styleId="ChartLineChar">
    <w:name w:val="Chart Line Char"/>
    <w:basedOn w:val="DefaultParagraphFont"/>
    <w:link w:val="ChartLine"/>
    <w:rsid w:val="00AF2276"/>
    <w:rPr>
      <w:rFonts w:ascii="Book Antiqua" w:eastAsia="Times New Roman" w:hAnsi="Book Antiqua" w:cs="Times New Roman"/>
      <w:noProof/>
      <w:sz w:val="4"/>
      <w:szCs w:val="4"/>
      <w:lang w:eastAsia="en-AU"/>
    </w:rPr>
  </w:style>
  <w:style w:type="character" w:customStyle="1" w:styleId="OutlineNumbered1Char">
    <w:name w:val="Outline Numbered 1 Char"/>
    <w:basedOn w:val="ChartLineChar"/>
    <w:link w:val="OutlineNumbered1"/>
    <w:rsid w:val="00AF2276"/>
    <w:rPr>
      <w:rFonts w:ascii="Book Antiqua" w:eastAsia="Times New Roman" w:hAnsi="Book Antiqua" w:cs="Times New Roman"/>
      <w:noProof/>
      <w:sz w:val="19"/>
      <w:szCs w:val="20"/>
      <w:lang w:eastAsia="en-AU"/>
    </w:rPr>
  </w:style>
  <w:style w:type="paragraph" w:customStyle="1" w:styleId="OutlineNumbered2">
    <w:name w:val="Outline Numbered 2"/>
    <w:basedOn w:val="Normal"/>
    <w:link w:val="OutlineNumbered2Char"/>
    <w:rsid w:val="00AF2276"/>
    <w:pPr>
      <w:numPr>
        <w:ilvl w:val="1"/>
        <w:numId w:val="27"/>
      </w:numPr>
    </w:pPr>
    <w:rPr>
      <w:noProof/>
    </w:rPr>
  </w:style>
  <w:style w:type="character" w:customStyle="1" w:styleId="OutlineNumbered2Char">
    <w:name w:val="Outline Numbered 2 Char"/>
    <w:basedOn w:val="ChartLineChar"/>
    <w:link w:val="OutlineNumbered2"/>
    <w:rsid w:val="00AF2276"/>
    <w:rPr>
      <w:rFonts w:ascii="Book Antiqua" w:eastAsia="Times New Roman" w:hAnsi="Book Antiqua" w:cs="Times New Roman"/>
      <w:noProof/>
      <w:sz w:val="19"/>
      <w:szCs w:val="20"/>
      <w:lang w:eastAsia="en-AU"/>
    </w:rPr>
  </w:style>
  <w:style w:type="paragraph" w:customStyle="1" w:styleId="OutlineNumbered3">
    <w:name w:val="Outline Numbered 3"/>
    <w:basedOn w:val="Normal"/>
    <w:link w:val="OutlineNumbered3Char"/>
    <w:rsid w:val="00AF2276"/>
    <w:pPr>
      <w:numPr>
        <w:ilvl w:val="2"/>
        <w:numId w:val="27"/>
      </w:numPr>
    </w:pPr>
    <w:rPr>
      <w:noProof/>
    </w:rPr>
  </w:style>
  <w:style w:type="character" w:customStyle="1" w:styleId="OutlineNumbered3Char">
    <w:name w:val="Outline Numbered 3 Char"/>
    <w:basedOn w:val="ChartLineChar"/>
    <w:link w:val="OutlineNumbered3"/>
    <w:rsid w:val="00AF2276"/>
    <w:rPr>
      <w:rFonts w:ascii="Book Antiqua" w:eastAsia="Times New Roman" w:hAnsi="Book Antiqua" w:cs="Times New Roman"/>
      <w:noProof/>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82869">
      <w:bodyDiv w:val="1"/>
      <w:marLeft w:val="0"/>
      <w:marRight w:val="0"/>
      <w:marTop w:val="0"/>
      <w:marBottom w:val="0"/>
      <w:divBdr>
        <w:top w:val="none" w:sz="0" w:space="0" w:color="auto"/>
        <w:left w:val="none" w:sz="0" w:space="0" w:color="auto"/>
        <w:bottom w:val="none" w:sz="0" w:space="0" w:color="auto"/>
        <w:right w:val="none" w:sz="0" w:space="0" w:color="auto"/>
      </w:divBdr>
    </w:div>
    <w:div w:id="380636616">
      <w:bodyDiv w:val="1"/>
      <w:marLeft w:val="0"/>
      <w:marRight w:val="0"/>
      <w:marTop w:val="0"/>
      <w:marBottom w:val="0"/>
      <w:divBdr>
        <w:top w:val="none" w:sz="0" w:space="0" w:color="auto"/>
        <w:left w:val="none" w:sz="0" w:space="0" w:color="auto"/>
        <w:bottom w:val="none" w:sz="0" w:space="0" w:color="auto"/>
        <w:right w:val="none" w:sz="0" w:space="0" w:color="auto"/>
      </w:divBdr>
    </w:div>
    <w:div w:id="451166196">
      <w:bodyDiv w:val="1"/>
      <w:marLeft w:val="0"/>
      <w:marRight w:val="0"/>
      <w:marTop w:val="0"/>
      <w:marBottom w:val="0"/>
      <w:divBdr>
        <w:top w:val="none" w:sz="0" w:space="0" w:color="auto"/>
        <w:left w:val="none" w:sz="0" w:space="0" w:color="auto"/>
        <w:bottom w:val="none" w:sz="0" w:space="0" w:color="auto"/>
        <w:right w:val="none" w:sz="0" w:space="0" w:color="auto"/>
      </w:divBdr>
    </w:div>
    <w:div w:id="531193369">
      <w:bodyDiv w:val="1"/>
      <w:marLeft w:val="0"/>
      <w:marRight w:val="0"/>
      <w:marTop w:val="0"/>
      <w:marBottom w:val="0"/>
      <w:divBdr>
        <w:top w:val="none" w:sz="0" w:space="0" w:color="auto"/>
        <w:left w:val="none" w:sz="0" w:space="0" w:color="auto"/>
        <w:bottom w:val="none" w:sz="0" w:space="0" w:color="auto"/>
        <w:right w:val="none" w:sz="0" w:space="0" w:color="auto"/>
      </w:divBdr>
    </w:div>
    <w:div w:id="652686619">
      <w:bodyDiv w:val="1"/>
      <w:marLeft w:val="0"/>
      <w:marRight w:val="0"/>
      <w:marTop w:val="0"/>
      <w:marBottom w:val="0"/>
      <w:divBdr>
        <w:top w:val="none" w:sz="0" w:space="0" w:color="auto"/>
        <w:left w:val="none" w:sz="0" w:space="0" w:color="auto"/>
        <w:bottom w:val="none" w:sz="0" w:space="0" w:color="auto"/>
        <w:right w:val="none" w:sz="0" w:space="0" w:color="auto"/>
      </w:divBdr>
    </w:div>
    <w:div w:id="818812549">
      <w:bodyDiv w:val="1"/>
      <w:marLeft w:val="0"/>
      <w:marRight w:val="0"/>
      <w:marTop w:val="0"/>
      <w:marBottom w:val="0"/>
      <w:divBdr>
        <w:top w:val="none" w:sz="0" w:space="0" w:color="auto"/>
        <w:left w:val="none" w:sz="0" w:space="0" w:color="auto"/>
        <w:bottom w:val="none" w:sz="0" w:space="0" w:color="auto"/>
        <w:right w:val="none" w:sz="0" w:space="0" w:color="auto"/>
      </w:divBdr>
    </w:div>
    <w:div w:id="878204431">
      <w:bodyDiv w:val="1"/>
      <w:marLeft w:val="0"/>
      <w:marRight w:val="0"/>
      <w:marTop w:val="0"/>
      <w:marBottom w:val="0"/>
      <w:divBdr>
        <w:top w:val="none" w:sz="0" w:space="0" w:color="auto"/>
        <w:left w:val="none" w:sz="0" w:space="0" w:color="auto"/>
        <w:bottom w:val="none" w:sz="0" w:space="0" w:color="auto"/>
        <w:right w:val="none" w:sz="0" w:space="0" w:color="auto"/>
      </w:divBdr>
    </w:div>
    <w:div w:id="880745371">
      <w:bodyDiv w:val="1"/>
      <w:marLeft w:val="0"/>
      <w:marRight w:val="0"/>
      <w:marTop w:val="0"/>
      <w:marBottom w:val="0"/>
      <w:divBdr>
        <w:top w:val="none" w:sz="0" w:space="0" w:color="auto"/>
        <w:left w:val="none" w:sz="0" w:space="0" w:color="auto"/>
        <w:bottom w:val="none" w:sz="0" w:space="0" w:color="auto"/>
        <w:right w:val="none" w:sz="0" w:space="0" w:color="auto"/>
      </w:divBdr>
    </w:div>
    <w:div w:id="957100352">
      <w:bodyDiv w:val="1"/>
      <w:marLeft w:val="0"/>
      <w:marRight w:val="0"/>
      <w:marTop w:val="0"/>
      <w:marBottom w:val="0"/>
      <w:divBdr>
        <w:top w:val="none" w:sz="0" w:space="0" w:color="auto"/>
        <w:left w:val="none" w:sz="0" w:space="0" w:color="auto"/>
        <w:bottom w:val="none" w:sz="0" w:space="0" w:color="auto"/>
        <w:right w:val="none" w:sz="0" w:space="0" w:color="auto"/>
      </w:divBdr>
    </w:div>
    <w:div w:id="1015499382">
      <w:bodyDiv w:val="1"/>
      <w:marLeft w:val="0"/>
      <w:marRight w:val="0"/>
      <w:marTop w:val="0"/>
      <w:marBottom w:val="0"/>
      <w:divBdr>
        <w:top w:val="none" w:sz="0" w:space="0" w:color="auto"/>
        <w:left w:val="none" w:sz="0" w:space="0" w:color="auto"/>
        <w:bottom w:val="none" w:sz="0" w:space="0" w:color="auto"/>
        <w:right w:val="none" w:sz="0" w:space="0" w:color="auto"/>
      </w:divBdr>
    </w:div>
    <w:div w:id="1126042035">
      <w:bodyDiv w:val="1"/>
      <w:marLeft w:val="0"/>
      <w:marRight w:val="0"/>
      <w:marTop w:val="0"/>
      <w:marBottom w:val="0"/>
      <w:divBdr>
        <w:top w:val="none" w:sz="0" w:space="0" w:color="auto"/>
        <w:left w:val="none" w:sz="0" w:space="0" w:color="auto"/>
        <w:bottom w:val="none" w:sz="0" w:space="0" w:color="auto"/>
        <w:right w:val="none" w:sz="0" w:space="0" w:color="auto"/>
      </w:divBdr>
    </w:div>
    <w:div w:id="1421370068">
      <w:bodyDiv w:val="1"/>
      <w:marLeft w:val="0"/>
      <w:marRight w:val="0"/>
      <w:marTop w:val="0"/>
      <w:marBottom w:val="0"/>
      <w:divBdr>
        <w:top w:val="none" w:sz="0" w:space="0" w:color="auto"/>
        <w:left w:val="none" w:sz="0" w:space="0" w:color="auto"/>
        <w:bottom w:val="none" w:sz="0" w:space="0" w:color="auto"/>
        <w:right w:val="none" w:sz="0" w:space="0" w:color="auto"/>
      </w:divBdr>
    </w:div>
    <w:div w:id="1428816583">
      <w:bodyDiv w:val="1"/>
      <w:marLeft w:val="0"/>
      <w:marRight w:val="0"/>
      <w:marTop w:val="0"/>
      <w:marBottom w:val="0"/>
      <w:divBdr>
        <w:top w:val="none" w:sz="0" w:space="0" w:color="auto"/>
        <w:left w:val="none" w:sz="0" w:space="0" w:color="auto"/>
        <w:bottom w:val="none" w:sz="0" w:space="0" w:color="auto"/>
        <w:right w:val="none" w:sz="0" w:space="0" w:color="auto"/>
      </w:divBdr>
    </w:div>
    <w:div w:id="1706249572">
      <w:bodyDiv w:val="1"/>
      <w:marLeft w:val="0"/>
      <w:marRight w:val="0"/>
      <w:marTop w:val="0"/>
      <w:marBottom w:val="0"/>
      <w:divBdr>
        <w:top w:val="none" w:sz="0" w:space="0" w:color="auto"/>
        <w:left w:val="none" w:sz="0" w:space="0" w:color="auto"/>
        <w:bottom w:val="none" w:sz="0" w:space="0" w:color="auto"/>
        <w:right w:val="none" w:sz="0" w:space="0" w:color="auto"/>
      </w:divBdr>
    </w:div>
    <w:div w:id="1869949503">
      <w:bodyDiv w:val="1"/>
      <w:marLeft w:val="0"/>
      <w:marRight w:val="0"/>
      <w:marTop w:val="0"/>
      <w:marBottom w:val="0"/>
      <w:divBdr>
        <w:top w:val="none" w:sz="0" w:space="0" w:color="auto"/>
        <w:left w:val="none" w:sz="0" w:space="0" w:color="auto"/>
        <w:bottom w:val="none" w:sz="0" w:space="0" w:color="auto"/>
        <w:right w:val="none" w:sz="0" w:space="0" w:color="auto"/>
      </w:divBdr>
    </w:div>
    <w:div w:id="1884369349">
      <w:bodyDiv w:val="1"/>
      <w:marLeft w:val="0"/>
      <w:marRight w:val="0"/>
      <w:marTop w:val="0"/>
      <w:marBottom w:val="0"/>
      <w:divBdr>
        <w:top w:val="none" w:sz="0" w:space="0" w:color="auto"/>
        <w:left w:val="none" w:sz="0" w:space="0" w:color="auto"/>
        <w:bottom w:val="none" w:sz="0" w:space="0" w:color="auto"/>
        <w:right w:val="none" w:sz="0" w:space="0" w:color="auto"/>
      </w:divBdr>
    </w:div>
    <w:div w:id="20133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B61DB1-582E-4EB7-ACC4-51449273F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DBEC6A69-2952-4BBE-9DC6-E13A7D9AC6DC}">
  <ds:schemaRefs>
    <ds:schemaRef ds:uri="http://purl.org/dc/elements/1.1/"/>
    <ds:schemaRef ds:uri="http://schemas.microsoft.com/sharepoint/v3"/>
    <ds:schemaRef ds:uri="9115ddca-c623-419f-a3c0-6a1c58c4dac8"/>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244fe85f-b655-4145-9b20-543b75dc1c24"/>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E2157AE8-DF84-48FB-9037-B5B907E8F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1046</TotalTime>
  <Pages>14</Pages>
  <Words>3585</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10: Australian Government Budget Financial Statements</dc:subject>
  <dc:creator>Australian Government</dc:creator>
  <cp:keywords/>
  <dc:description/>
  <cp:lastModifiedBy>Van Der Hoeven, Megan</cp:lastModifiedBy>
  <cp:revision>354</cp:revision>
  <cp:lastPrinted>2023-05-07T06:48:00Z</cp:lastPrinted>
  <dcterms:created xsi:type="dcterms:W3CDTF">2023-05-04T10:27:00Z</dcterms:created>
  <dcterms:modified xsi:type="dcterms:W3CDTF">2023-05-08T02:55:00Z</dcterms:modified>
  <cp:category/>
</cp:coreProperties>
</file>