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BEDF5" w14:textId="64896C6A" w:rsidR="003F2AA7" w:rsidRPr="00C179A5" w:rsidRDefault="003F2AA7" w:rsidP="003F2AA7">
      <w:pPr>
        <w:pStyle w:val="Heading1"/>
      </w:pPr>
      <w:r w:rsidRPr="00C179A5">
        <w:t>Part 1: Australia</w:t>
      </w:r>
      <w:r w:rsidR="00B71E80" w:rsidRPr="00C179A5">
        <w:t>’</w:t>
      </w:r>
      <w:r w:rsidRPr="00C179A5">
        <w:t>s Federal Relations</w:t>
      </w:r>
    </w:p>
    <w:p w14:paraId="52C4A918" w14:textId="77777777" w:rsidR="003F2AA7" w:rsidRPr="00C179A5" w:rsidRDefault="003F2AA7" w:rsidP="003F2AA7">
      <w:pPr>
        <w:pStyle w:val="Heading2"/>
      </w:pPr>
      <w:bookmarkStart w:id="0" w:name="_Toc4765132"/>
      <w:r w:rsidRPr="00C179A5">
        <w:t>Overview</w:t>
      </w:r>
      <w:bookmarkEnd w:id="0"/>
      <w:r w:rsidRPr="00C179A5">
        <w:t xml:space="preserve"> </w:t>
      </w:r>
    </w:p>
    <w:p w14:paraId="5D97D66F" w14:textId="64A74B47" w:rsidR="003F2AA7" w:rsidRPr="00C179A5" w:rsidRDefault="003F2AA7" w:rsidP="003F2AA7">
      <w:r w:rsidRPr="00C179A5">
        <w:t>In 202</w:t>
      </w:r>
      <w:r w:rsidR="00D66440" w:rsidRPr="00C179A5">
        <w:t>3</w:t>
      </w:r>
      <w:r w:rsidRPr="00C179A5">
        <w:t>–2</w:t>
      </w:r>
      <w:r w:rsidR="00D66440" w:rsidRPr="00C179A5">
        <w:t>4</w:t>
      </w:r>
      <w:r w:rsidRPr="00C179A5">
        <w:t>, the Australian Government will provide state and territory governments (states) with $</w:t>
      </w:r>
      <w:r w:rsidR="00FF0EBD" w:rsidRPr="00C179A5">
        <w:t>179.9</w:t>
      </w:r>
      <w:r w:rsidRPr="00C179A5">
        <w:t> billion in total payments, including payments of $</w:t>
      </w:r>
      <w:r w:rsidR="008B3AC7" w:rsidRPr="00C179A5">
        <w:t>87.4</w:t>
      </w:r>
      <w:r w:rsidRPr="00C179A5">
        <w:t xml:space="preserve"> billion for specific purposes </w:t>
      </w:r>
      <w:r w:rsidR="0036019E" w:rsidRPr="00C179A5">
        <w:t>including for</w:t>
      </w:r>
      <w:r w:rsidRPr="00C179A5">
        <w:t xml:space="preserve"> schools and hospitals, and general revenue assistance of $</w:t>
      </w:r>
      <w:r w:rsidR="00A0059E" w:rsidRPr="00C179A5">
        <w:t>92.5</w:t>
      </w:r>
      <w:r w:rsidRPr="00C179A5">
        <w:t xml:space="preserve"> billion. </w:t>
      </w:r>
    </w:p>
    <w:p w14:paraId="250A3C90" w14:textId="298D7379" w:rsidR="003F2AA7" w:rsidRPr="00C179A5" w:rsidRDefault="003F2AA7" w:rsidP="00325C60">
      <w:r w:rsidRPr="00C179A5">
        <w:t>Through its payments to the states, the Australian Government is:</w:t>
      </w:r>
    </w:p>
    <w:p w14:paraId="14C22ACB" w14:textId="720215D6" w:rsidR="003F2AA7" w:rsidRPr="00C179A5" w:rsidRDefault="003F2AA7" w:rsidP="00E242F7">
      <w:pPr>
        <w:pStyle w:val="Bullet"/>
      </w:pPr>
      <w:r w:rsidRPr="00C179A5">
        <w:t>contributing $</w:t>
      </w:r>
      <w:r w:rsidR="00E96A43" w:rsidRPr="00C179A5">
        <w:t>125.5</w:t>
      </w:r>
      <w:r w:rsidRPr="00C179A5">
        <w:t> billion from 202</w:t>
      </w:r>
      <w:r w:rsidR="00957DA6" w:rsidRPr="00C179A5">
        <w:t>3</w:t>
      </w:r>
      <w:r w:rsidRPr="00C179A5">
        <w:t>–2</w:t>
      </w:r>
      <w:r w:rsidR="00957DA6" w:rsidRPr="00C179A5">
        <w:t>4</w:t>
      </w:r>
      <w:r w:rsidRPr="00C179A5">
        <w:t xml:space="preserve"> to 202</w:t>
      </w:r>
      <w:r w:rsidR="00957DA6" w:rsidRPr="00C179A5">
        <w:t>6</w:t>
      </w:r>
      <w:r w:rsidRPr="00C179A5">
        <w:t>–2</w:t>
      </w:r>
      <w:r w:rsidR="00957DA6" w:rsidRPr="00C179A5">
        <w:t>7</w:t>
      </w:r>
      <w:r w:rsidRPr="00C179A5">
        <w:t xml:space="preserve"> for public health and hospital services </w:t>
      </w:r>
    </w:p>
    <w:p w14:paraId="5EF934E8" w14:textId="770D6C48" w:rsidR="003F2AA7" w:rsidRPr="00C179A5" w:rsidRDefault="003F2AA7" w:rsidP="00E242F7">
      <w:pPr>
        <w:pStyle w:val="Bullet"/>
      </w:pPr>
      <w:r w:rsidRPr="00C179A5">
        <w:t>investing $</w:t>
      </w:r>
      <w:r w:rsidR="00FF0738" w:rsidRPr="00C179A5">
        <w:t>119.4</w:t>
      </w:r>
      <w:r w:rsidRPr="00C179A5">
        <w:t xml:space="preserve"> billion in Quality </w:t>
      </w:r>
      <w:r w:rsidR="004B0F59" w:rsidRPr="00C179A5">
        <w:t>Schools</w:t>
      </w:r>
      <w:r w:rsidRPr="00C179A5">
        <w:t xml:space="preserve"> funding from 202</w:t>
      </w:r>
      <w:r w:rsidR="00CE24FA" w:rsidRPr="00C179A5">
        <w:t>3</w:t>
      </w:r>
      <w:r w:rsidRPr="00C179A5">
        <w:t>–2</w:t>
      </w:r>
      <w:r w:rsidR="00CE24FA" w:rsidRPr="00C179A5">
        <w:t>4</w:t>
      </w:r>
      <w:r w:rsidRPr="00C179A5">
        <w:t xml:space="preserve"> to 202</w:t>
      </w:r>
      <w:r w:rsidR="00CE24FA" w:rsidRPr="00C179A5">
        <w:t>6</w:t>
      </w:r>
      <w:r w:rsidRPr="00C179A5">
        <w:t>–2</w:t>
      </w:r>
      <w:r w:rsidR="00CE24FA" w:rsidRPr="00C179A5">
        <w:t>7</w:t>
      </w:r>
    </w:p>
    <w:p w14:paraId="3B1ED642" w14:textId="17ACF229" w:rsidR="00BB240B" w:rsidRPr="00C179A5" w:rsidRDefault="004448B8" w:rsidP="00E242F7">
      <w:pPr>
        <w:pStyle w:val="Bullet"/>
      </w:pPr>
      <w:r w:rsidRPr="00C179A5">
        <w:t>committing</w:t>
      </w:r>
      <w:r w:rsidR="00BB240B" w:rsidRPr="00C179A5">
        <w:t xml:space="preserve"> $</w:t>
      </w:r>
      <w:r w:rsidR="00731450" w:rsidRPr="00C179A5">
        <w:t>61.0</w:t>
      </w:r>
      <w:r w:rsidR="00BB240B" w:rsidRPr="00C179A5">
        <w:t> billion from 2023–24 to 2026–27 to invest in nation</w:t>
      </w:r>
      <w:r w:rsidR="00B71E80" w:rsidRPr="00C179A5">
        <w:noBreakHyphen/>
      </w:r>
      <w:r w:rsidR="00BB240B" w:rsidRPr="00C179A5">
        <w:t>building infrastructure</w:t>
      </w:r>
    </w:p>
    <w:p w14:paraId="2B7EDB4B" w14:textId="036CE3FE" w:rsidR="003F2AA7" w:rsidRPr="00C179A5" w:rsidRDefault="003F2AA7" w:rsidP="00E242F7">
      <w:pPr>
        <w:pStyle w:val="Bullet"/>
      </w:pPr>
      <w:r w:rsidRPr="00C179A5">
        <w:t>permanently boosting the size of the GST pool that is distributed among the states each year. From 2021–22, the Australian Government will inject $</w:t>
      </w:r>
      <w:r w:rsidR="00313D34" w:rsidRPr="00C179A5">
        <w:t>600</w:t>
      </w:r>
      <w:r w:rsidR="00166C8E" w:rsidRPr="00C179A5">
        <w:t>.0</w:t>
      </w:r>
      <w:r w:rsidRPr="00C179A5">
        <w:t> million annually into the GST pool, followed by a further $</w:t>
      </w:r>
      <w:r w:rsidR="00313D34" w:rsidRPr="00C179A5">
        <w:t>250</w:t>
      </w:r>
      <w:r w:rsidR="00166C8E" w:rsidRPr="00C179A5">
        <w:t>.0</w:t>
      </w:r>
      <w:r w:rsidRPr="00C179A5">
        <w:t xml:space="preserve"> million annually from 2024–25, with this amount to grow each year in line with the underlying growth of the GST</w:t>
      </w:r>
    </w:p>
    <w:p w14:paraId="3CAF8664" w14:textId="18906F24" w:rsidR="003F2AA7" w:rsidRPr="00C179A5" w:rsidRDefault="003F2AA7" w:rsidP="00E242F7">
      <w:pPr>
        <w:pStyle w:val="Bullet"/>
      </w:pPr>
      <w:r w:rsidRPr="00C179A5">
        <w:t>providing an estimated $</w:t>
      </w:r>
      <w:r w:rsidR="00DF02E4" w:rsidRPr="00C179A5">
        <w:t>19.4</w:t>
      </w:r>
      <w:r w:rsidRPr="00C179A5">
        <w:t xml:space="preserve"> billion in horizontal fiscal equalisation (HFE) transition payments from </w:t>
      </w:r>
      <w:r w:rsidR="003D76A1" w:rsidRPr="00C179A5">
        <w:t>2023</w:t>
      </w:r>
      <w:r w:rsidR="008A63F8" w:rsidRPr="00C179A5">
        <w:t>–</w:t>
      </w:r>
      <w:r w:rsidR="003D76A1" w:rsidRPr="00C179A5">
        <w:t>24</w:t>
      </w:r>
      <w:r w:rsidRPr="00C179A5">
        <w:t xml:space="preserve"> to </w:t>
      </w:r>
      <w:r w:rsidR="003D76A1" w:rsidRPr="00C179A5">
        <w:t>2026</w:t>
      </w:r>
      <w:r w:rsidR="008A63F8" w:rsidRPr="00C179A5">
        <w:t>–</w:t>
      </w:r>
      <w:r w:rsidR="003D76A1" w:rsidRPr="00C179A5">
        <w:t>27</w:t>
      </w:r>
      <w:r w:rsidRPr="00C179A5">
        <w:t xml:space="preserve"> to support the transition to the new HFE system.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F2AA7" w:rsidRPr="00F13221" w14:paraId="10C7E67F" w14:textId="77777777" w:rsidTr="73C84C1F">
        <w:trPr>
          <w:cantSplit/>
        </w:trPr>
        <w:tc>
          <w:tcPr>
            <w:tcW w:w="7710" w:type="dxa"/>
            <w:shd w:val="clear" w:color="auto" w:fill="E6F2FF"/>
          </w:tcPr>
          <w:p w14:paraId="34C3825F" w14:textId="0088B85C" w:rsidR="003F2AA7" w:rsidRPr="00C179A5" w:rsidRDefault="003F2AA7" w:rsidP="006056A9">
            <w:pPr>
              <w:pStyle w:val="BoxHeading"/>
            </w:pPr>
            <w:r w:rsidRPr="00C179A5">
              <w:lastRenderedPageBreak/>
              <w:t xml:space="preserve">Box 1.1: </w:t>
            </w:r>
            <w:r w:rsidR="009D4159" w:rsidRPr="00C179A5">
              <w:t>A better future for the federation</w:t>
            </w:r>
          </w:p>
          <w:p w14:paraId="747289E8" w14:textId="77777777" w:rsidR="00BB6D11" w:rsidRPr="00C179A5" w:rsidRDefault="00BB6D11" w:rsidP="00BB6D11">
            <w:pPr>
              <w:pStyle w:val="BoxText"/>
            </w:pPr>
            <w:r w:rsidRPr="00C179A5">
              <w:t>All levels of government have vital roles in delivering the essential services that Australians rely on every day. The Australian Government is bringing the states together to drive the reforms needed to ensure the next generation of growth, jobs, prosperity, and security.</w:t>
            </w:r>
          </w:p>
          <w:p w14:paraId="692171BB" w14:textId="6E2D2FF5" w:rsidR="00BB6D11" w:rsidRPr="00C179A5" w:rsidRDefault="00BB6D11" w:rsidP="00BB6D11">
            <w:pPr>
              <w:pStyle w:val="BoxText"/>
            </w:pPr>
            <w:r w:rsidRPr="00C179A5">
              <w:t>On 28 April</w:t>
            </w:r>
            <w:r w:rsidR="00C31645" w:rsidRPr="00C179A5">
              <w:t xml:space="preserve"> 2023</w:t>
            </w:r>
            <w:r w:rsidRPr="00C179A5">
              <w:t xml:space="preserve">, National Cabinet agreed to progress a range of key national priorities which are supported by measures in this Budget. This includes a package of Strengthening Medicare measures, a commitment to </w:t>
            </w:r>
            <w:proofErr w:type="gramStart"/>
            <w:r w:rsidRPr="00C179A5">
              <w:t>an</w:t>
            </w:r>
            <w:proofErr w:type="gramEnd"/>
            <w:r w:rsidRPr="00C179A5">
              <w:t xml:space="preserve"> NDIS Financial Sustainability Framework and Better Planning for Stronger Growth reforms. Further detail is available in Budget Paper No. 1, </w:t>
            </w:r>
            <w:r w:rsidRPr="00C179A5">
              <w:rPr>
                <w:i/>
                <w:iCs/>
              </w:rPr>
              <w:t>Budget Strategy and Outlook 2023–24</w:t>
            </w:r>
            <w:r w:rsidRPr="00C179A5">
              <w:t xml:space="preserve">, Statement 1: </w:t>
            </w:r>
            <w:r w:rsidRPr="00C179A5">
              <w:rPr>
                <w:i/>
                <w:iCs/>
              </w:rPr>
              <w:t>Budget Overview</w:t>
            </w:r>
            <w:r w:rsidRPr="00C179A5">
              <w:t>.</w:t>
            </w:r>
          </w:p>
          <w:p w14:paraId="5C76C9BC" w14:textId="2BE9DE5C" w:rsidR="00492F00" w:rsidRPr="00C179A5" w:rsidRDefault="00F110CD" w:rsidP="00E242F7">
            <w:pPr>
              <w:pStyle w:val="BoxText"/>
            </w:pPr>
            <w:r w:rsidRPr="00C179A5">
              <w:t>All</w:t>
            </w:r>
            <w:r w:rsidR="00492F00" w:rsidRPr="00C179A5">
              <w:t xml:space="preserve"> levels of government face shared fiscal challenges, particularly in the health and care sectors.</w:t>
            </w:r>
            <w:r w:rsidR="00584609" w:rsidRPr="00C179A5">
              <w:t xml:space="preserve"> </w:t>
            </w:r>
            <w:r w:rsidR="00492F00" w:rsidRPr="00C179A5">
              <w:t>These fiscal pressure</w:t>
            </w:r>
            <w:r w:rsidR="00C21243" w:rsidRPr="00C179A5">
              <w:t>s</w:t>
            </w:r>
            <w:r w:rsidR="00492F00" w:rsidRPr="00C179A5">
              <w:t xml:space="preserve"> require ongoing collaboration and a focus on shared objectives and interconnected solutions</w:t>
            </w:r>
            <w:r w:rsidR="00810578" w:rsidRPr="00C179A5">
              <w:t>,</w:t>
            </w:r>
            <w:r w:rsidR="00492F00" w:rsidRPr="00C179A5">
              <w:t xml:space="preserve"> given the joint roles and responsibilities</w:t>
            </w:r>
            <w:r w:rsidR="00810578" w:rsidRPr="00C179A5">
              <w:t>,</w:t>
            </w:r>
            <w:r w:rsidR="00492F00" w:rsidRPr="00C179A5">
              <w:t xml:space="preserve"> as well as </w:t>
            </w:r>
            <w:r w:rsidR="00943E90" w:rsidRPr="00C179A5">
              <w:t xml:space="preserve">a </w:t>
            </w:r>
            <w:r w:rsidR="00492F00" w:rsidRPr="00C179A5">
              <w:t>shared ambition to improve fiscal positions over the medium term.</w:t>
            </w:r>
          </w:p>
          <w:p w14:paraId="5D106456" w14:textId="1DCA3B84" w:rsidR="006C2D7F" w:rsidRPr="00C179A5" w:rsidRDefault="006C2D7F" w:rsidP="006C2D7F">
            <w:pPr>
              <w:pStyle w:val="BoxText"/>
            </w:pPr>
            <w:r w:rsidRPr="00C179A5">
              <w:t xml:space="preserve">The Australian Government makes payments to the states to deliver services they are responsible for under the Constitution, through GST and other untied assistance, and tied assistance via funding agreements covering key sectors such as health, education, community services and infrastructure. Total assistance to </w:t>
            </w:r>
            <w:r w:rsidR="00693D72" w:rsidRPr="00C179A5">
              <w:t>the</w:t>
            </w:r>
            <w:r w:rsidRPr="00C179A5">
              <w:t xml:space="preserve"> states grows by $</w:t>
            </w:r>
            <w:r w:rsidR="00F274E9" w:rsidRPr="00C179A5">
              <w:t xml:space="preserve">24.1 </w:t>
            </w:r>
            <w:r w:rsidRPr="00C179A5">
              <w:t>billion from 2022–23 to 2026–27. This includes GST</w:t>
            </w:r>
            <w:r w:rsidR="00B71E80" w:rsidRPr="00C179A5">
              <w:noBreakHyphen/>
            </w:r>
            <w:r w:rsidRPr="00C179A5">
              <w:t xml:space="preserve">related payments </w:t>
            </w:r>
            <w:r w:rsidR="00A57891" w:rsidRPr="00C179A5">
              <w:t>w</w:t>
            </w:r>
            <w:r w:rsidR="009B5056" w:rsidRPr="00C179A5">
              <w:t>hich grow</w:t>
            </w:r>
            <w:r w:rsidR="0066541E" w:rsidRPr="00C179A5">
              <w:t xml:space="preserve"> by</w:t>
            </w:r>
            <w:r w:rsidRPr="00C179A5">
              <w:t xml:space="preserve"> $</w:t>
            </w:r>
            <w:r w:rsidR="00302E46" w:rsidRPr="00C179A5">
              <w:t>18.3</w:t>
            </w:r>
            <w:r w:rsidRPr="00C179A5">
              <w:t xml:space="preserve"> billion </w:t>
            </w:r>
            <w:r w:rsidR="0066541E" w:rsidRPr="00C179A5">
              <w:t>from 2022–23 to 2026–27</w:t>
            </w:r>
            <w:r w:rsidR="00B71E80" w:rsidRPr="00C179A5">
              <w:t xml:space="preserve">. </w:t>
            </w:r>
          </w:p>
          <w:p w14:paraId="54DED45B" w14:textId="43F1BB84" w:rsidR="00492F00" w:rsidRPr="00C179A5" w:rsidRDefault="001C0E2B" w:rsidP="00D04236">
            <w:pPr>
              <w:pStyle w:val="BoxText"/>
            </w:pPr>
            <w:r w:rsidRPr="00C179A5">
              <w:t>Major commitments i</w:t>
            </w:r>
            <w:r w:rsidR="00631B76" w:rsidRPr="00C179A5">
              <w:t>n this Budget</w:t>
            </w:r>
            <w:r w:rsidR="005E2A98" w:rsidRPr="00C179A5">
              <w:t xml:space="preserve"> </w:t>
            </w:r>
            <w:r w:rsidRPr="00C179A5">
              <w:t>include</w:t>
            </w:r>
            <w:r w:rsidR="005F7525" w:rsidRPr="00C179A5">
              <w:t xml:space="preserve"> </w:t>
            </w:r>
            <w:r w:rsidR="006E3CE2" w:rsidRPr="00C179A5">
              <w:t xml:space="preserve">the Australian Government </w:t>
            </w:r>
            <w:r w:rsidR="005F7525" w:rsidRPr="00C179A5">
              <w:t xml:space="preserve">providing $1.5 billion through the Energy Bill Relief Fund to </w:t>
            </w:r>
            <w:r w:rsidR="00456036" w:rsidRPr="00C179A5">
              <w:t xml:space="preserve">the </w:t>
            </w:r>
            <w:r w:rsidR="005F7525" w:rsidRPr="00C179A5">
              <w:t>states to deliver energy bill assistance to eligible households and small businesses</w:t>
            </w:r>
            <w:r w:rsidR="006725FF" w:rsidRPr="00C179A5">
              <w:t>. Additionally</w:t>
            </w:r>
            <w:r w:rsidR="003B37D0" w:rsidRPr="00C179A5">
              <w:t>,</w:t>
            </w:r>
            <w:r w:rsidR="006725FF" w:rsidRPr="00C179A5">
              <w:t xml:space="preserve"> the </w:t>
            </w:r>
            <w:r w:rsidR="00E55E2C" w:rsidRPr="00C179A5">
              <w:t xml:space="preserve">Government is </w:t>
            </w:r>
            <w:r w:rsidRPr="00C179A5">
              <w:t>p</w:t>
            </w:r>
            <w:r w:rsidR="00481E06" w:rsidRPr="00C179A5">
              <w:t xml:space="preserve">roviding </w:t>
            </w:r>
            <w:r w:rsidR="00CF5994" w:rsidRPr="00C179A5">
              <w:t xml:space="preserve">up to </w:t>
            </w:r>
            <w:r w:rsidR="00481E06" w:rsidRPr="00C179A5">
              <w:t xml:space="preserve">$3.4 billion </w:t>
            </w:r>
            <w:r w:rsidR="00253589" w:rsidRPr="00C179A5">
              <w:t xml:space="preserve">for </w:t>
            </w:r>
            <w:r w:rsidR="00481E06" w:rsidRPr="00C179A5">
              <w:t>infrastructure investment to support the delivery of the Brisbane 2032 Olympic and Paralympic Games</w:t>
            </w:r>
            <w:r w:rsidR="00E662EF" w:rsidRPr="00C179A5">
              <w:t>.</w:t>
            </w:r>
          </w:p>
          <w:p w14:paraId="1D9B0FC8" w14:textId="1EC4BF96" w:rsidR="0528F97A" w:rsidRPr="00C179A5" w:rsidRDefault="5DC34394" w:rsidP="00E242F7">
            <w:pPr>
              <w:pStyle w:val="BoxText"/>
            </w:pPr>
            <w:r w:rsidRPr="00C179A5">
              <w:t>The Australian Government</w:t>
            </w:r>
            <w:r w:rsidR="00A275E7" w:rsidRPr="00C179A5">
              <w:t xml:space="preserve"> </w:t>
            </w:r>
            <w:r w:rsidR="396A6238" w:rsidRPr="00C179A5">
              <w:t>provides</w:t>
            </w:r>
            <w:r w:rsidR="73FBA133" w:rsidRPr="00C179A5">
              <w:t xml:space="preserve"> </w:t>
            </w:r>
            <w:r w:rsidR="06089361" w:rsidRPr="00C179A5">
              <w:t xml:space="preserve">funding to the </w:t>
            </w:r>
            <w:r w:rsidR="008F026A" w:rsidRPr="00C179A5">
              <w:t>states</w:t>
            </w:r>
            <w:r w:rsidR="0025733F" w:rsidRPr="00C179A5">
              <w:t xml:space="preserve"> </w:t>
            </w:r>
            <w:r w:rsidR="00E40A03" w:rsidRPr="00C179A5">
              <w:t xml:space="preserve">to </w:t>
            </w:r>
            <w:r w:rsidR="006A5E38" w:rsidRPr="00C179A5">
              <w:t xml:space="preserve">support </w:t>
            </w:r>
            <w:r w:rsidR="00695828" w:rsidRPr="00C179A5">
              <w:t>C</w:t>
            </w:r>
            <w:r w:rsidR="0045063C" w:rsidRPr="00C179A5">
              <w:t>losing</w:t>
            </w:r>
            <w:r w:rsidR="00BF622E" w:rsidRPr="00C179A5">
              <w:t xml:space="preserve"> </w:t>
            </w:r>
            <w:r w:rsidR="0045063C" w:rsidRPr="00C179A5">
              <w:t>the</w:t>
            </w:r>
            <w:r w:rsidR="00BF622E" w:rsidRPr="00C179A5">
              <w:t xml:space="preserve"> </w:t>
            </w:r>
            <w:r w:rsidR="0045063C" w:rsidRPr="00C179A5">
              <w:t xml:space="preserve">Gap Commitments and </w:t>
            </w:r>
            <w:r w:rsidR="00E40A03" w:rsidRPr="00C179A5">
              <w:t xml:space="preserve">deliver services to </w:t>
            </w:r>
            <w:r w:rsidR="17316268" w:rsidRPr="00C179A5">
              <w:t>Aboriginal</w:t>
            </w:r>
            <w:r w:rsidR="2659D0CB" w:rsidRPr="00C179A5">
              <w:t xml:space="preserve"> and Torres Strait Island</w:t>
            </w:r>
            <w:r w:rsidR="1E3B0A69" w:rsidRPr="00C179A5">
              <w:t>er</w:t>
            </w:r>
            <w:r w:rsidR="2659D0CB" w:rsidRPr="00C179A5">
              <w:t xml:space="preserve"> </w:t>
            </w:r>
            <w:r w:rsidR="4332B7A9" w:rsidRPr="00C179A5">
              <w:t>Australians</w:t>
            </w:r>
            <w:r w:rsidR="37A2B2AE" w:rsidRPr="00C179A5">
              <w:t>.</w:t>
            </w:r>
            <w:r w:rsidR="72A34980" w:rsidRPr="00C179A5">
              <w:t xml:space="preserve"> </w:t>
            </w:r>
            <w:r w:rsidR="00B24088" w:rsidRPr="00C179A5">
              <w:t>This</w:t>
            </w:r>
            <w:r w:rsidR="64FBA7CD" w:rsidRPr="00C179A5">
              <w:t xml:space="preserve"> includes </w:t>
            </w:r>
            <w:r w:rsidR="00465EF0" w:rsidRPr="00C179A5">
              <w:t>committing</w:t>
            </w:r>
            <w:r w:rsidR="6EA6ED9B" w:rsidRPr="00C179A5">
              <w:t xml:space="preserve"> </w:t>
            </w:r>
            <w:r w:rsidR="0821D54F" w:rsidRPr="00C179A5">
              <w:t>$150</w:t>
            </w:r>
            <w:r w:rsidR="006867CA" w:rsidRPr="00C179A5">
              <w:t>.0</w:t>
            </w:r>
            <w:r w:rsidR="0821D54F" w:rsidRPr="00C179A5">
              <w:t xml:space="preserve"> million </w:t>
            </w:r>
            <w:r w:rsidR="4D76D4A6" w:rsidRPr="00C179A5">
              <w:t>of the National Water Grid Fund</w:t>
            </w:r>
            <w:r w:rsidR="3E60B1F6" w:rsidRPr="00C179A5">
              <w:t xml:space="preserve"> </w:t>
            </w:r>
            <w:r w:rsidR="23C9CEA8" w:rsidRPr="00C179A5">
              <w:t xml:space="preserve">over </w:t>
            </w:r>
            <w:r w:rsidR="00DB034A" w:rsidRPr="00C179A5">
              <w:t>4</w:t>
            </w:r>
            <w:r w:rsidR="23C9CEA8" w:rsidRPr="00C179A5">
              <w:t xml:space="preserve"> years </w:t>
            </w:r>
            <w:r w:rsidR="0ED7406A" w:rsidRPr="00C179A5">
              <w:t>to support Fi</w:t>
            </w:r>
            <w:r w:rsidR="373F1FE5" w:rsidRPr="00C179A5">
              <w:t>r</w:t>
            </w:r>
            <w:r w:rsidR="0ED7406A" w:rsidRPr="00C179A5">
              <w:t xml:space="preserve">st Nations </w:t>
            </w:r>
            <w:r w:rsidR="4D76D4A6" w:rsidRPr="00C179A5">
              <w:t>communities</w:t>
            </w:r>
            <w:r w:rsidR="00B71E80" w:rsidRPr="00C179A5">
              <w:t>’</w:t>
            </w:r>
            <w:r w:rsidR="4D76D4A6" w:rsidRPr="00C179A5">
              <w:t xml:space="preserve"> access to clean drinking water</w:t>
            </w:r>
            <w:r w:rsidR="003D4496" w:rsidRPr="00C179A5">
              <w:t xml:space="preserve">. </w:t>
            </w:r>
            <w:r w:rsidR="00A26AF1" w:rsidRPr="00C179A5">
              <w:t>In addition</w:t>
            </w:r>
            <w:r w:rsidR="003D4496" w:rsidRPr="00C179A5">
              <w:t xml:space="preserve">, the Australian Government is </w:t>
            </w:r>
            <w:r w:rsidR="00D27CC9" w:rsidRPr="00C179A5">
              <w:t xml:space="preserve">delivering </w:t>
            </w:r>
            <w:r w:rsidR="0ED7406A" w:rsidRPr="00C179A5">
              <w:t>$111.7</w:t>
            </w:r>
            <w:r w:rsidR="009D2EE8" w:rsidRPr="00C179A5">
              <w:t> </w:t>
            </w:r>
            <w:r w:rsidR="0ED7406A" w:rsidRPr="00C179A5">
              <w:t xml:space="preserve">million for a new </w:t>
            </w:r>
            <w:r w:rsidR="008A63F8" w:rsidRPr="00C179A5">
              <w:t>one</w:t>
            </w:r>
            <w:r w:rsidR="00B71E80" w:rsidRPr="00C179A5">
              <w:noBreakHyphen/>
            </w:r>
            <w:r w:rsidR="7343C4FE" w:rsidRPr="00C179A5">
              <w:t xml:space="preserve">year </w:t>
            </w:r>
            <w:r w:rsidR="0ED7406A" w:rsidRPr="00C179A5">
              <w:t xml:space="preserve">remote housing agreement </w:t>
            </w:r>
            <w:r w:rsidR="13F89951" w:rsidRPr="00C179A5">
              <w:t xml:space="preserve">with the Northern Territory Government </w:t>
            </w:r>
            <w:r w:rsidR="0ED7406A" w:rsidRPr="00C179A5">
              <w:t xml:space="preserve">and </w:t>
            </w:r>
            <w:r w:rsidR="00C4485F" w:rsidRPr="00C179A5">
              <w:t xml:space="preserve">providing </w:t>
            </w:r>
            <w:r w:rsidR="0ED7406A" w:rsidRPr="00C179A5">
              <w:t>$100</w:t>
            </w:r>
            <w:r w:rsidR="006867CA" w:rsidRPr="00C179A5">
              <w:t>.0</w:t>
            </w:r>
            <w:r w:rsidR="008974AE" w:rsidRPr="00C179A5">
              <w:t> </w:t>
            </w:r>
            <w:r w:rsidR="0ED7406A" w:rsidRPr="00C179A5">
              <w:t xml:space="preserve">million </w:t>
            </w:r>
            <w:r w:rsidR="7A9C9CD8" w:rsidRPr="00C179A5">
              <w:t xml:space="preserve">over </w:t>
            </w:r>
            <w:r w:rsidR="00420F44" w:rsidRPr="00C179A5">
              <w:t xml:space="preserve">2 </w:t>
            </w:r>
            <w:r w:rsidR="7A9C9CD8" w:rsidRPr="00C179A5">
              <w:t xml:space="preserve">years </w:t>
            </w:r>
            <w:r w:rsidR="50E14BA4" w:rsidRPr="00C179A5">
              <w:t xml:space="preserve">for urgent work on housing and essential infrastructure on Northern </w:t>
            </w:r>
            <w:r w:rsidR="1CC4631B" w:rsidRPr="00C179A5">
              <w:t>Territory</w:t>
            </w:r>
            <w:r w:rsidR="50E14BA4" w:rsidRPr="00C179A5">
              <w:t xml:space="preserve"> homelands.</w:t>
            </w:r>
            <w:r w:rsidR="67691EDB" w:rsidRPr="00C179A5">
              <w:t xml:space="preserve"> </w:t>
            </w:r>
          </w:p>
          <w:p w14:paraId="2BB318B7" w14:textId="1D290132" w:rsidR="003F2AA7" w:rsidRPr="00F13221" w:rsidRDefault="00860903" w:rsidP="00BB634C">
            <w:pPr>
              <w:pStyle w:val="Box-continuedon"/>
            </w:pPr>
            <w:proofErr w:type="gramStart"/>
            <w:r>
              <w:t xml:space="preserve">continued </w:t>
            </w:r>
            <w:r w:rsidR="00BB634C">
              <w:t>on</w:t>
            </w:r>
            <w:proofErr w:type="gramEnd"/>
            <w:r w:rsidR="00BB634C">
              <w:t xml:space="preserve"> next page</w:t>
            </w:r>
          </w:p>
        </w:tc>
      </w:tr>
      <w:tr w:rsidR="00860903" w:rsidRPr="00F13221" w14:paraId="3B7F3A90" w14:textId="77777777" w:rsidTr="73C84C1F">
        <w:trPr>
          <w:cantSplit/>
        </w:trPr>
        <w:tc>
          <w:tcPr>
            <w:tcW w:w="7710" w:type="dxa"/>
            <w:shd w:val="clear" w:color="auto" w:fill="E6F2FF"/>
          </w:tcPr>
          <w:p w14:paraId="7B4664DE" w14:textId="72395970" w:rsidR="00860903" w:rsidRPr="00C179A5" w:rsidRDefault="00860903" w:rsidP="00860903">
            <w:pPr>
              <w:pStyle w:val="BoxHeading"/>
            </w:pPr>
            <w:r w:rsidRPr="00C179A5">
              <w:lastRenderedPageBreak/>
              <w:t>Box 1.1: A better future for the federation (continued)</w:t>
            </w:r>
          </w:p>
          <w:p w14:paraId="0C2D28B4" w14:textId="4934309A" w:rsidR="00860903" w:rsidRPr="00F13221" w:rsidRDefault="00860903" w:rsidP="00860903">
            <w:pPr>
              <w:pStyle w:val="BoxText"/>
            </w:pPr>
            <w:r w:rsidRPr="00C179A5">
              <w:t>The Australian Government’s contribution to areas of shared responsibility is not limited to direct payments to the states. The Government also directly funds substantial programs in these areas, which it is responsible for administering. For example, in the health sector the Commonwealth separately funds the Medicare Benefit</w:t>
            </w:r>
            <w:r w:rsidR="00BB6D11" w:rsidRPr="00C179A5">
              <w:t>s</w:t>
            </w:r>
            <w:r w:rsidRPr="00C179A5">
              <w:t xml:space="preserve"> Schedule and the Pharmaceutical Benefits Scheme. The Australian Government also funds the majority of the National Disability Insurance Scheme</w:t>
            </w:r>
            <w:r w:rsidRPr="00C179A5" w:rsidDel="007C76C2">
              <w:t xml:space="preserve">, </w:t>
            </w:r>
            <w:r w:rsidRPr="00C179A5">
              <w:t xml:space="preserve">with its share </w:t>
            </w:r>
            <w:r w:rsidRPr="00C179A5" w:rsidDel="007C76C2">
              <w:t>growing over the forward estimates</w:t>
            </w:r>
            <w:r w:rsidRPr="00C179A5">
              <w:t>.</w:t>
            </w:r>
          </w:p>
        </w:tc>
      </w:tr>
    </w:tbl>
    <w:p w14:paraId="62D0CD22" w14:textId="74E8F308" w:rsidR="003F2AA7" w:rsidRPr="00C179A5" w:rsidRDefault="003F2AA7" w:rsidP="003F2AA7">
      <w:pPr>
        <w:pStyle w:val="Heading2"/>
      </w:pPr>
      <w:bookmarkStart w:id="1" w:name="_Toc4765133"/>
      <w:r w:rsidRPr="00C179A5">
        <w:t>Australian Government funding to the states</w:t>
      </w:r>
      <w:bookmarkEnd w:id="1"/>
    </w:p>
    <w:p w14:paraId="7F5A8A95" w14:textId="296A2DDC" w:rsidR="003F2AA7" w:rsidRPr="00C179A5" w:rsidRDefault="003F2AA7" w:rsidP="003F2AA7">
      <w:r w:rsidRPr="00C179A5">
        <w:t xml:space="preserve">The Australian Government provides substantial funding to the states in key sectors such as health, </w:t>
      </w:r>
      <w:proofErr w:type="gramStart"/>
      <w:r w:rsidRPr="00C179A5">
        <w:t>education</w:t>
      </w:r>
      <w:proofErr w:type="gramEnd"/>
      <w:r w:rsidR="006B07D9" w:rsidRPr="00C179A5">
        <w:t xml:space="preserve"> and</w:t>
      </w:r>
      <w:r w:rsidRPr="00C179A5">
        <w:t xml:space="preserve"> community services, and supports important productivity</w:t>
      </w:r>
      <w:r w:rsidR="00B71E80" w:rsidRPr="00C179A5">
        <w:noBreakHyphen/>
      </w:r>
      <w:r w:rsidRPr="00C179A5">
        <w:t xml:space="preserve">enhancing projects and reforms, such as </w:t>
      </w:r>
      <w:r w:rsidR="00772C23" w:rsidRPr="00C179A5">
        <w:t xml:space="preserve">investments in </w:t>
      </w:r>
      <w:r w:rsidR="00D23C8B" w:rsidRPr="00C179A5">
        <w:t>infrastructure</w:t>
      </w:r>
      <w:r w:rsidR="000E5C6E" w:rsidRPr="00C179A5">
        <w:t xml:space="preserve"> and skills</w:t>
      </w:r>
      <w:r w:rsidRPr="00C179A5">
        <w:t xml:space="preserve">. In addition, the Australian Government provides general revenue assistance that states can spend according to their own budget priorities. </w:t>
      </w:r>
    </w:p>
    <w:p w14:paraId="4F837249" w14:textId="62F7CBE6" w:rsidR="003F2AA7" w:rsidRPr="00C179A5" w:rsidRDefault="003F2AA7" w:rsidP="00E242F7">
      <w:r w:rsidRPr="00C179A5">
        <w:t>The states are estimated to receive total Australian Government payments of $</w:t>
      </w:r>
      <w:r w:rsidR="00B000EF" w:rsidRPr="00C179A5">
        <w:t>179</w:t>
      </w:r>
      <w:r w:rsidRPr="00C179A5">
        <w:t>.</w:t>
      </w:r>
      <w:r w:rsidR="00B000EF" w:rsidRPr="00C179A5">
        <w:t>9</w:t>
      </w:r>
      <w:r w:rsidRPr="00C179A5">
        <w:t> billion in 202</w:t>
      </w:r>
      <w:r w:rsidR="00316DAA" w:rsidRPr="00C179A5">
        <w:t>3</w:t>
      </w:r>
      <w:r w:rsidRPr="00C179A5">
        <w:t>–2</w:t>
      </w:r>
      <w:r w:rsidR="00316DAA" w:rsidRPr="00C179A5">
        <w:t>4</w:t>
      </w:r>
      <w:r w:rsidRPr="00C179A5">
        <w:t xml:space="preserve">. </w:t>
      </w:r>
    </w:p>
    <w:p w14:paraId="00C4339D" w14:textId="6F3308B8" w:rsidR="003F2AA7" w:rsidRPr="00C179A5" w:rsidRDefault="003F2AA7" w:rsidP="00E242F7">
      <w:r w:rsidRPr="00C179A5">
        <w:t>Payments to the states in 202</w:t>
      </w:r>
      <w:r w:rsidR="00316DAA" w:rsidRPr="00C179A5">
        <w:t>3</w:t>
      </w:r>
      <w:r w:rsidRPr="00C179A5">
        <w:t>–2</w:t>
      </w:r>
      <w:r w:rsidR="00316DAA" w:rsidRPr="00C179A5">
        <w:t>4</w:t>
      </w:r>
      <w:r w:rsidRPr="00C179A5">
        <w:t xml:space="preserve"> are estimated to be </w:t>
      </w:r>
      <w:r w:rsidR="003C2EC8" w:rsidRPr="00C179A5">
        <w:t>26</w:t>
      </w:r>
      <w:r w:rsidR="00CE2636" w:rsidRPr="00C179A5">
        <w:t>.</w:t>
      </w:r>
      <w:r w:rsidR="003C2EC8" w:rsidRPr="00C179A5">
        <w:t>3</w:t>
      </w:r>
      <w:r w:rsidRPr="00C179A5">
        <w:t> per cent of total Australian</w:t>
      </w:r>
      <w:r w:rsidR="00BB634C" w:rsidRPr="00C179A5">
        <w:t> </w:t>
      </w:r>
      <w:r w:rsidRPr="00C179A5">
        <w:t xml:space="preserve">Government expenditure and </w:t>
      </w:r>
      <w:r w:rsidR="00611F50" w:rsidRPr="00C179A5">
        <w:t>7.</w:t>
      </w:r>
      <w:r w:rsidR="00173CB6" w:rsidRPr="00C179A5">
        <w:t>0</w:t>
      </w:r>
      <w:r w:rsidRPr="00C179A5">
        <w:t xml:space="preserve"> per cent of GDP. </w:t>
      </w:r>
    </w:p>
    <w:p w14:paraId="01FCC064" w14:textId="77777777" w:rsidR="003F2AA7" w:rsidRPr="00C179A5" w:rsidRDefault="003F2AA7" w:rsidP="003F2AA7">
      <w:pPr>
        <w:spacing w:before="0" w:after="160" w:line="259" w:lineRule="auto"/>
        <w:rPr>
          <w:rFonts w:ascii="Arial Bold" w:hAnsi="Arial Bold"/>
          <w:b/>
          <w:sz w:val="22"/>
        </w:rPr>
      </w:pPr>
      <w:r w:rsidRPr="00C179A5">
        <w:br w:type="page"/>
      </w:r>
    </w:p>
    <w:p w14:paraId="586D7234" w14:textId="77777777" w:rsidR="003F2AA7" w:rsidRPr="00C179A5" w:rsidRDefault="003F2AA7" w:rsidP="003F2AA7">
      <w:pPr>
        <w:pStyle w:val="Heading3"/>
      </w:pPr>
      <w:r w:rsidRPr="00C179A5">
        <w:lastRenderedPageBreak/>
        <w:t xml:space="preserve">Payments for specific purposes </w:t>
      </w:r>
    </w:p>
    <w:p w14:paraId="79C30ADE" w14:textId="164CE2A9" w:rsidR="003F2AA7" w:rsidRPr="00C179A5" w:rsidRDefault="003F2AA7" w:rsidP="003F2AA7">
      <w:r w:rsidRPr="00C179A5">
        <w:t>In 202</w:t>
      </w:r>
      <w:r w:rsidR="00FD063B" w:rsidRPr="00C179A5">
        <w:t>3</w:t>
      </w:r>
      <w:r w:rsidRPr="00C179A5">
        <w:t>–2</w:t>
      </w:r>
      <w:r w:rsidR="00FD063B" w:rsidRPr="00C179A5">
        <w:t>4</w:t>
      </w:r>
      <w:r w:rsidRPr="00C179A5">
        <w:t>, the Australian Government will provide the states with $</w:t>
      </w:r>
      <w:r w:rsidR="00B000EF" w:rsidRPr="00C179A5">
        <w:t>87</w:t>
      </w:r>
      <w:r w:rsidRPr="00C179A5">
        <w:t>.</w:t>
      </w:r>
      <w:r w:rsidR="00B000EF" w:rsidRPr="00C179A5">
        <w:t>4</w:t>
      </w:r>
      <w:r w:rsidRPr="00C179A5">
        <w:t xml:space="preserve"> billion in payments for specific purposes. This represents </w:t>
      </w:r>
      <w:r w:rsidR="00DB1DE3" w:rsidRPr="00C179A5">
        <w:t>an</w:t>
      </w:r>
      <w:r w:rsidRPr="00C179A5">
        <w:t xml:space="preserve"> </w:t>
      </w:r>
      <w:r w:rsidR="00FD063B" w:rsidRPr="00C179A5">
        <w:t>increase</w:t>
      </w:r>
      <w:r w:rsidRPr="00C179A5">
        <w:t xml:space="preserve"> of $</w:t>
      </w:r>
      <w:r w:rsidR="00386DE6" w:rsidRPr="00C179A5">
        <w:t>6</w:t>
      </w:r>
      <w:r w:rsidRPr="00C179A5" w:rsidDel="004D4D5B">
        <w:t>.</w:t>
      </w:r>
      <w:r w:rsidR="00BA5C99" w:rsidRPr="00C179A5">
        <w:t>6</w:t>
      </w:r>
      <w:r w:rsidRPr="00C179A5">
        <w:t xml:space="preserve"> billion or </w:t>
      </w:r>
      <w:r w:rsidR="00785770" w:rsidRPr="00C179A5">
        <w:t>8</w:t>
      </w:r>
      <w:r w:rsidRPr="00C179A5">
        <w:t>.</w:t>
      </w:r>
      <w:r w:rsidR="00785770" w:rsidRPr="00C179A5">
        <w:t>2</w:t>
      </w:r>
      <w:r w:rsidRPr="00C179A5">
        <w:t> per cent compared with </w:t>
      </w:r>
      <w:r w:rsidR="00A63CCC" w:rsidRPr="00C179A5">
        <w:t xml:space="preserve">the </w:t>
      </w:r>
      <w:r w:rsidRPr="00C179A5">
        <w:t>202</w:t>
      </w:r>
      <w:r w:rsidR="00FD063B" w:rsidRPr="00C179A5">
        <w:t>2</w:t>
      </w:r>
      <w:r w:rsidRPr="00C179A5">
        <w:t>–2</w:t>
      </w:r>
      <w:r w:rsidR="00FD063B" w:rsidRPr="00C179A5">
        <w:t>3</w:t>
      </w:r>
      <w:r w:rsidR="00A63CCC" w:rsidRPr="00C179A5">
        <w:t xml:space="preserve"> estimate</w:t>
      </w:r>
      <w:r w:rsidRPr="00C179A5">
        <w:t xml:space="preserve"> </w:t>
      </w:r>
      <w:r w:rsidR="00F0789D" w:rsidRPr="00C179A5">
        <w:t xml:space="preserve">primarily </w:t>
      </w:r>
      <w:r w:rsidRPr="00C179A5">
        <w:t xml:space="preserve">due to </w:t>
      </w:r>
      <w:r w:rsidR="0083176A" w:rsidRPr="00C179A5">
        <w:t xml:space="preserve">an increase in infrastructure investment and the </w:t>
      </w:r>
      <w:r w:rsidR="00893C3C" w:rsidRPr="00C179A5">
        <w:t xml:space="preserve">new </w:t>
      </w:r>
      <w:r w:rsidR="0083176A" w:rsidRPr="00C179A5">
        <w:t>Energy Bill Relief</w:t>
      </w:r>
      <w:r w:rsidR="00893C3C">
        <w:t xml:space="preserve"> Fund</w:t>
      </w:r>
      <w:r w:rsidR="0083176A" w:rsidRPr="00C179A5">
        <w:t>.</w:t>
      </w:r>
      <w:r w:rsidRPr="00C179A5">
        <w:t xml:space="preserve"> Payments for specific purposes are estimated to make up </w:t>
      </w:r>
      <w:r w:rsidR="00AE6A0C" w:rsidRPr="00C179A5">
        <w:t>12</w:t>
      </w:r>
      <w:r w:rsidR="00BD2FBE" w:rsidRPr="00C179A5">
        <w:t>.</w:t>
      </w:r>
      <w:r w:rsidR="00AE6A0C" w:rsidRPr="00C179A5">
        <w:t>8</w:t>
      </w:r>
      <w:r w:rsidRPr="00C179A5" w:rsidDel="008F0BB6">
        <w:t xml:space="preserve"> </w:t>
      </w:r>
      <w:r w:rsidRPr="00C179A5">
        <w:t>per cent of total Australian Government expenditure in 202</w:t>
      </w:r>
      <w:r w:rsidR="00DB1DE3" w:rsidRPr="00C179A5">
        <w:t>3</w:t>
      </w:r>
      <w:r w:rsidRPr="00C179A5">
        <w:t>–2</w:t>
      </w:r>
      <w:r w:rsidR="00DB1DE3" w:rsidRPr="00C179A5">
        <w:t>4</w:t>
      </w:r>
      <w:r w:rsidRPr="00C179A5">
        <w:t xml:space="preserve"> and be </w:t>
      </w:r>
      <w:r w:rsidR="009A5AAC" w:rsidRPr="00C179A5">
        <w:t>3.4</w:t>
      </w:r>
      <w:r w:rsidR="000740F6" w:rsidRPr="00C179A5">
        <w:t> </w:t>
      </w:r>
      <w:r w:rsidRPr="00C179A5">
        <w:t>per cent of GDP.</w:t>
      </w:r>
    </w:p>
    <w:p w14:paraId="4A84CD4D" w14:textId="5E3F7032" w:rsidR="003F2AA7" w:rsidRPr="00C179A5" w:rsidRDefault="003F2AA7" w:rsidP="003F2AA7">
      <w:r w:rsidRPr="00C179A5">
        <w:t>National Specific Purpose Payments (National SPPs), National Health Reform, the National Housing and Homelessness Agreement</w:t>
      </w:r>
      <w:r w:rsidR="00790D4D" w:rsidRPr="00C179A5">
        <w:t>, Energy Bill Relief</w:t>
      </w:r>
      <w:r w:rsidRPr="00C179A5">
        <w:t xml:space="preserve"> and Quality Schools funding are expected to total $</w:t>
      </w:r>
      <w:r w:rsidR="00B000EF" w:rsidRPr="00C179A5">
        <w:t>61</w:t>
      </w:r>
      <w:r w:rsidRPr="00C179A5">
        <w:t>.</w:t>
      </w:r>
      <w:r w:rsidR="00B000EF" w:rsidRPr="00C179A5">
        <w:t>3</w:t>
      </w:r>
      <w:r w:rsidRPr="00C179A5">
        <w:t> billion in 202</w:t>
      </w:r>
      <w:r w:rsidR="007A5EAE" w:rsidRPr="00C179A5">
        <w:t>3</w:t>
      </w:r>
      <w:r w:rsidRPr="00C179A5">
        <w:t>–2</w:t>
      </w:r>
      <w:r w:rsidR="007A5EAE" w:rsidRPr="00C179A5">
        <w:t>4</w:t>
      </w:r>
      <w:r w:rsidRPr="00C179A5">
        <w:t>.</w:t>
      </w:r>
    </w:p>
    <w:p w14:paraId="63C4D71E" w14:textId="5F0DBCDB" w:rsidR="003F2AA7" w:rsidRPr="00C179A5" w:rsidRDefault="003F2AA7" w:rsidP="003F2AA7">
      <w:r w:rsidRPr="00C179A5">
        <w:t>National Partnership payments are expected to be $</w:t>
      </w:r>
      <w:r w:rsidR="00B000EF" w:rsidRPr="00C179A5">
        <w:t>26.</w:t>
      </w:r>
      <w:r w:rsidR="00AD7AAD" w:rsidRPr="00C179A5">
        <w:t>1</w:t>
      </w:r>
      <w:r w:rsidRPr="00C179A5">
        <w:t> billion in 202</w:t>
      </w:r>
      <w:r w:rsidR="000025A7" w:rsidRPr="00C179A5">
        <w:t>3</w:t>
      </w:r>
      <w:r w:rsidRPr="00C179A5">
        <w:t>–2</w:t>
      </w:r>
      <w:r w:rsidR="000025A7" w:rsidRPr="00C179A5">
        <w:t>4</w:t>
      </w:r>
      <w:r w:rsidRPr="00C179A5">
        <w:t>.</w:t>
      </w:r>
    </w:p>
    <w:p w14:paraId="117D7311" w14:textId="7547D03D" w:rsidR="003F2AA7" w:rsidRPr="00C179A5" w:rsidRDefault="003F2AA7" w:rsidP="00E242F7">
      <w:r w:rsidRPr="00C179A5">
        <w:t>Chart 1.1 shows estimated specific purpose payments to the states in 202</w:t>
      </w:r>
      <w:r w:rsidR="000025A7" w:rsidRPr="00C179A5">
        <w:t>3</w:t>
      </w:r>
      <w:r w:rsidRPr="00C179A5">
        <w:t>–2</w:t>
      </w:r>
      <w:r w:rsidR="000025A7" w:rsidRPr="00C179A5">
        <w:t>4</w:t>
      </w:r>
      <w:r w:rsidRPr="00C179A5">
        <w:t xml:space="preserve"> by sector.</w:t>
      </w:r>
    </w:p>
    <w:p w14:paraId="14B40C80" w14:textId="77777777" w:rsidR="003F2AA7" w:rsidRPr="00C179A5" w:rsidRDefault="003F2AA7" w:rsidP="003F2AA7">
      <w:r w:rsidRPr="00C179A5">
        <w:t xml:space="preserve">Part 2 of this Budget Paper provides further information on payments to the states for specific purposes. </w:t>
      </w:r>
    </w:p>
    <w:p w14:paraId="5A503C40" w14:textId="3E365E2D" w:rsidR="003F2AA7" w:rsidRPr="00C179A5" w:rsidRDefault="003F2AA7" w:rsidP="003F2AA7">
      <w:r w:rsidRPr="00C179A5">
        <w:t xml:space="preserve">The conditions for payments to states for specific purposes are documented in agreements between the Commonwealth and the states. The Federation Funding Agreement (FFA) Framework sets out the governance arrangements for these agreements. Further information on the FFA Framework can be found on the Federal Financial Relations website at </w:t>
      </w:r>
      <w:hyperlink r:id="rId11" w:history="1">
        <w:r w:rsidRPr="00C179A5">
          <w:rPr>
            <w:rStyle w:val="Hyperlink"/>
            <w:u w:val="none"/>
          </w:rPr>
          <w:t>www.federalfinancialrelations.gov.au</w:t>
        </w:r>
      </w:hyperlink>
      <w:r w:rsidRPr="00C179A5">
        <w:t>.</w:t>
      </w:r>
      <w:r w:rsidRPr="00C179A5">
        <w:rPr>
          <w:b/>
        </w:rPr>
        <w:t xml:space="preserve"> </w:t>
      </w:r>
    </w:p>
    <w:p w14:paraId="53245477" w14:textId="19A2B2E5" w:rsidR="003F2AA7" w:rsidRPr="00C179A5" w:rsidRDefault="003F2AA7" w:rsidP="007303FB">
      <w:pPr>
        <w:pStyle w:val="ChartMainHeading"/>
      </w:pPr>
      <w:bookmarkStart w:id="2" w:name="_Toc4765159"/>
      <w:r w:rsidRPr="00C179A5">
        <w:t>Chart 1.1: Payments for specific purposes 202</w:t>
      </w:r>
      <w:r w:rsidR="0052394F" w:rsidRPr="00C179A5">
        <w:t>3</w:t>
      </w:r>
      <w:r w:rsidRPr="00C179A5">
        <w:t>–2</w:t>
      </w:r>
      <w:r w:rsidR="0052394F" w:rsidRPr="00C179A5">
        <w:t>4</w:t>
      </w:r>
      <w:r w:rsidRPr="00C179A5">
        <w:t>, by sector</w:t>
      </w:r>
      <w:bookmarkEnd w:id="2"/>
      <w:r w:rsidRPr="00C179A5">
        <w:t xml:space="preserve"> </w:t>
      </w:r>
    </w:p>
    <w:p w14:paraId="2E4F5D59" w14:textId="4CF90EF9" w:rsidR="008909CC" w:rsidRPr="00C179A5" w:rsidRDefault="00890220" w:rsidP="008909CC">
      <w:pPr>
        <w:pStyle w:val="ChartGraphic"/>
      </w:pPr>
      <w:r>
        <w:pict w14:anchorId="5D276F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tal payments for specific purposes in 2023-24, by sector. Total payments are $87.4 billion, comprising $29.3 billion for Health, $29.1 billion for Education, $1.9 billion for Skills and workforce development, $2.2 billion for Community services, $1.9 billion for Affordable housing, $15.5 billion for Infrastructure, $3.7 billion for Environment, energy and water and $3.7 billion for Other. " style="width:368pt;height:194pt">
            <v:imagedata r:id="rId12" o:title=""/>
          </v:shape>
        </w:pict>
      </w:r>
      <w:r w:rsidR="001C536D" w:rsidRPr="00C179A5">
        <w:t xml:space="preserve"> </w:t>
      </w:r>
    </w:p>
    <w:p w14:paraId="4B5C8CD2" w14:textId="77777777" w:rsidR="003F2AA7" w:rsidRPr="00C179A5" w:rsidRDefault="003F2AA7" w:rsidP="00FB0587">
      <w:pPr>
        <w:pStyle w:val="ChartLine"/>
      </w:pPr>
    </w:p>
    <w:p w14:paraId="7780C01B" w14:textId="77777777" w:rsidR="007A1362" w:rsidRPr="00C179A5" w:rsidRDefault="007A1362">
      <w:pPr>
        <w:spacing w:before="0" w:after="160" w:line="259" w:lineRule="auto"/>
        <w:rPr>
          <w:rFonts w:ascii="Arial Bold" w:hAnsi="Arial Bold"/>
          <w:b/>
          <w:sz w:val="22"/>
        </w:rPr>
      </w:pPr>
      <w:r w:rsidRPr="00C179A5">
        <w:br w:type="page"/>
      </w:r>
    </w:p>
    <w:p w14:paraId="38932450" w14:textId="71661964" w:rsidR="003F2AA7" w:rsidRPr="00C179A5" w:rsidRDefault="003F2AA7" w:rsidP="003F2AA7">
      <w:pPr>
        <w:pStyle w:val="Heading3"/>
      </w:pPr>
      <w:r w:rsidRPr="00C179A5">
        <w:lastRenderedPageBreak/>
        <w:t xml:space="preserve">General revenue assistance </w:t>
      </w:r>
    </w:p>
    <w:p w14:paraId="7FE4EA99" w14:textId="18A60CF3" w:rsidR="003F2AA7" w:rsidRPr="00C179A5" w:rsidRDefault="003F2AA7" w:rsidP="003F2AA7">
      <w:r w:rsidRPr="00C179A5">
        <w:t>General revenue assistance, which principally comprises the states</w:t>
      </w:r>
      <w:r w:rsidR="00B71E80" w:rsidRPr="00C179A5">
        <w:t>’</w:t>
      </w:r>
      <w:r w:rsidRPr="00C179A5">
        <w:t xml:space="preserve"> GST entitlement, provides untied funding to support the states</w:t>
      </w:r>
      <w:r w:rsidR="00B71E80" w:rsidRPr="00C179A5">
        <w:t>’</w:t>
      </w:r>
      <w:r w:rsidRPr="00C179A5">
        <w:t xml:space="preserve"> delivery of services.</w:t>
      </w:r>
    </w:p>
    <w:p w14:paraId="0C08F21C" w14:textId="5BD8C679" w:rsidR="003F2AA7" w:rsidRPr="00C179A5" w:rsidRDefault="003F2AA7" w:rsidP="007A1362">
      <w:r w:rsidRPr="00C179A5">
        <w:t xml:space="preserve">In </w:t>
      </w:r>
      <w:r w:rsidR="004711A5" w:rsidRPr="00C179A5">
        <w:t>2023</w:t>
      </w:r>
      <w:r w:rsidR="008A63F8" w:rsidRPr="00C179A5">
        <w:t>–</w:t>
      </w:r>
      <w:r w:rsidR="004711A5" w:rsidRPr="00C179A5">
        <w:t>24</w:t>
      </w:r>
      <w:r w:rsidRPr="00C179A5">
        <w:t>, the states are expected to receive $</w:t>
      </w:r>
      <w:r w:rsidR="002E2628" w:rsidRPr="00C179A5">
        <w:t>92</w:t>
      </w:r>
      <w:r w:rsidR="004711A5" w:rsidRPr="00C179A5">
        <w:t>.</w:t>
      </w:r>
      <w:r w:rsidR="002E2628" w:rsidRPr="00C179A5">
        <w:t>5</w:t>
      </w:r>
      <w:r w:rsidR="00551773" w:rsidRPr="00C179A5">
        <w:t xml:space="preserve"> </w:t>
      </w:r>
      <w:r w:rsidRPr="00C179A5">
        <w:t>billion in general revenue assistance, including $</w:t>
      </w:r>
      <w:r w:rsidR="0035355D" w:rsidRPr="00C179A5">
        <w:t>86</w:t>
      </w:r>
      <w:r w:rsidR="004711A5" w:rsidRPr="00C179A5">
        <w:t>.</w:t>
      </w:r>
      <w:r w:rsidR="0035355D" w:rsidRPr="00C179A5">
        <w:t>6</w:t>
      </w:r>
      <w:r w:rsidRPr="00C179A5">
        <w:t xml:space="preserve"> billion for the GST entitlement. General revenue assistance to the states is estimated to represent </w:t>
      </w:r>
      <w:r w:rsidR="00171048" w:rsidRPr="00C179A5">
        <w:t>13.</w:t>
      </w:r>
      <w:r w:rsidR="00214378" w:rsidRPr="00C179A5">
        <w:t>5</w:t>
      </w:r>
      <w:r w:rsidRPr="00C179A5">
        <w:t xml:space="preserve"> per cent of total Australian Government expenditure in </w:t>
      </w:r>
      <w:r w:rsidR="004711A5" w:rsidRPr="00C179A5">
        <w:t>2023</w:t>
      </w:r>
      <w:r w:rsidR="008A63F8" w:rsidRPr="00C179A5">
        <w:t>–</w:t>
      </w:r>
      <w:r w:rsidR="004711A5" w:rsidRPr="00C179A5">
        <w:t>24</w:t>
      </w:r>
      <w:r w:rsidRPr="00C179A5">
        <w:t xml:space="preserve"> and be </w:t>
      </w:r>
      <w:r w:rsidR="004E02E6" w:rsidRPr="00C179A5">
        <w:t>3.6</w:t>
      </w:r>
      <w:r w:rsidRPr="00C179A5">
        <w:t> per cent of GDP.</w:t>
      </w:r>
    </w:p>
    <w:p w14:paraId="4E3CDFD5" w14:textId="5B506D84" w:rsidR="003F2AA7" w:rsidRPr="00C179A5" w:rsidRDefault="003F2AA7" w:rsidP="003F2AA7">
      <w:r w:rsidRPr="00C179A5">
        <w:t>Part 3 of this Budget Paper contains further details of general revenue assistance to the states.</w:t>
      </w:r>
    </w:p>
    <w:p w14:paraId="1063C90C" w14:textId="25774F4D" w:rsidR="003F2AA7" w:rsidRPr="00F13221" w:rsidRDefault="003F2AA7" w:rsidP="003F2AA7">
      <w:pPr>
        <w:rPr>
          <w:color w:val="FF0000"/>
        </w:rPr>
      </w:pPr>
      <w:r w:rsidRPr="00F13221">
        <w:rPr>
          <w:color w:val="FF0000"/>
        </w:rPr>
        <w:br w:type="page"/>
      </w:r>
    </w:p>
    <w:p w14:paraId="5F247C97" w14:textId="0FA0C376" w:rsidR="003F2AA7" w:rsidRPr="00C179A5" w:rsidRDefault="003F2AA7" w:rsidP="003F2AA7">
      <w:pPr>
        <w:pStyle w:val="Heading3"/>
      </w:pPr>
      <w:r w:rsidRPr="00C179A5">
        <w:lastRenderedPageBreak/>
        <w:t xml:space="preserve">Payments to the states </w:t>
      </w:r>
    </w:p>
    <w:p w14:paraId="1590C575" w14:textId="2383E3AB" w:rsidR="007B196B" w:rsidRPr="00C179A5" w:rsidRDefault="003F2AA7" w:rsidP="007B196B">
      <w:r w:rsidRPr="00C179A5">
        <w:t>Total Australian Government payments to the states are shown in Table 1.1 and as a proportion of GDP in Table 1.2.</w:t>
      </w:r>
    </w:p>
    <w:p w14:paraId="3128B2BE" w14:textId="0E31C597" w:rsidR="0096630A" w:rsidRPr="00C179A5" w:rsidRDefault="0053684D" w:rsidP="0053684D">
      <w:pPr>
        <w:pStyle w:val="TableHeading"/>
        <w:rPr>
          <w:rFonts w:eastAsiaTheme="minorHAnsi"/>
        </w:rPr>
      </w:pPr>
      <w:r w:rsidRPr="00C179A5">
        <w:t>Table 1.1: Australian Government payments to the states, 2022–23 to 2026–27</w:t>
      </w:r>
    </w:p>
    <w:tbl>
      <w:tblPr>
        <w:tblW w:w="5000" w:type="pct"/>
        <w:tblCellMar>
          <w:left w:w="0" w:type="dxa"/>
          <w:right w:w="28" w:type="dxa"/>
        </w:tblCellMar>
        <w:tblLook w:val="04A0" w:firstRow="1" w:lastRow="0" w:firstColumn="1" w:lastColumn="0" w:noHBand="0" w:noVBand="1"/>
      </w:tblPr>
      <w:tblGrid>
        <w:gridCol w:w="2228"/>
        <w:gridCol w:w="610"/>
        <w:gridCol w:w="610"/>
        <w:gridCol w:w="609"/>
        <w:gridCol w:w="609"/>
        <w:gridCol w:w="609"/>
        <w:gridCol w:w="567"/>
        <w:gridCol w:w="567"/>
        <w:gridCol w:w="567"/>
        <w:gridCol w:w="734"/>
      </w:tblGrid>
      <w:tr w:rsidR="00394A39" w:rsidRPr="00C179A5" w14:paraId="687D4B78" w14:textId="77777777" w:rsidTr="00BB634C">
        <w:trPr>
          <w:trHeight w:hRule="exact" w:val="225"/>
        </w:trPr>
        <w:tc>
          <w:tcPr>
            <w:tcW w:w="1444" w:type="pct"/>
            <w:tcBorders>
              <w:top w:val="single" w:sz="4" w:space="0" w:color="002A54" w:themeColor="text2"/>
              <w:left w:val="nil"/>
              <w:bottom w:val="nil"/>
              <w:right w:val="nil"/>
            </w:tcBorders>
            <w:shd w:val="clear" w:color="000000" w:fill="FFFFFF"/>
            <w:noWrap/>
            <w:vAlign w:val="center"/>
            <w:hideMark/>
          </w:tcPr>
          <w:p w14:paraId="29E01E3B" w14:textId="16680F89"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$million</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15F4835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NSW</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605F8C8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VIC</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4C9DF9E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QLD</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63898A0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WA</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2E8130B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SA</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2D35E3B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TAS</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076D050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ACT</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7C65829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NT</w:t>
            </w:r>
          </w:p>
        </w:tc>
        <w:tc>
          <w:tcPr>
            <w:tcW w:w="476" w:type="pct"/>
            <w:tcBorders>
              <w:top w:val="single" w:sz="4" w:space="0" w:color="002A54" w:themeColor="text2"/>
              <w:left w:val="nil"/>
              <w:bottom w:val="single" w:sz="4" w:space="0" w:color="002A54" w:themeColor="text2"/>
              <w:right w:val="nil"/>
            </w:tcBorders>
            <w:shd w:val="clear" w:color="000000" w:fill="FFFFFF"/>
            <w:noWrap/>
            <w:vAlign w:val="center"/>
            <w:hideMark/>
          </w:tcPr>
          <w:p w14:paraId="5D50313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Total</w:t>
            </w:r>
          </w:p>
        </w:tc>
      </w:tr>
      <w:tr w:rsidR="00394A39" w:rsidRPr="00C179A5" w14:paraId="4FF6086F" w14:textId="77777777" w:rsidTr="00BB634C">
        <w:trPr>
          <w:trHeight w:hRule="exact" w:val="225"/>
        </w:trPr>
        <w:tc>
          <w:tcPr>
            <w:tcW w:w="1444" w:type="pct"/>
            <w:tcBorders>
              <w:top w:val="nil"/>
              <w:left w:val="nil"/>
              <w:bottom w:val="nil"/>
              <w:right w:val="nil"/>
            </w:tcBorders>
            <w:shd w:val="clear" w:color="000000" w:fill="FFFFFF"/>
            <w:noWrap/>
            <w:vAlign w:val="center"/>
            <w:hideMark/>
          </w:tcPr>
          <w:p w14:paraId="29C52CC9" w14:textId="418DF678" w:rsidR="0096630A" w:rsidRPr="00C179A5" w:rsidRDefault="0096630A" w:rsidP="0096630A">
            <w:pPr>
              <w:spacing w:before="0" w:after="0" w:line="240" w:lineRule="auto"/>
              <w:rPr>
                <w:rFonts w:ascii="Arial" w:hAnsi="Arial" w:cs="Arial"/>
                <w:b/>
                <w:sz w:val="16"/>
                <w:szCs w:val="16"/>
              </w:rPr>
            </w:pPr>
            <w:r w:rsidRPr="00C179A5">
              <w:rPr>
                <w:rFonts w:ascii="Arial" w:hAnsi="Arial" w:cs="Arial"/>
                <w:b/>
                <w:sz w:val="16"/>
                <w:szCs w:val="16"/>
              </w:rPr>
              <w:t>2022</w:t>
            </w:r>
            <w:r w:rsidR="00B71E80" w:rsidRPr="00C179A5">
              <w:rPr>
                <w:rFonts w:ascii="Arial" w:hAnsi="Arial" w:cs="Arial"/>
                <w:b/>
                <w:sz w:val="16"/>
                <w:szCs w:val="16"/>
              </w:rPr>
              <w:noBreakHyphen/>
            </w:r>
            <w:r w:rsidRPr="00C179A5">
              <w:rPr>
                <w:rFonts w:ascii="Arial" w:hAnsi="Arial" w:cs="Arial"/>
                <w:b/>
                <w:sz w:val="16"/>
                <w:szCs w:val="16"/>
              </w:rPr>
              <w:t>23</w:t>
            </w:r>
          </w:p>
        </w:tc>
        <w:tc>
          <w:tcPr>
            <w:tcW w:w="395" w:type="pct"/>
            <w:tcBorders>
              <w:top w:val="single" w:sz="4" w:space="0" w:color="002A54" w:themeColor="text2"/>
              <w:left w:val="nil"/>
              <w:bottom w:val="nil"/>
              <w:right w:val="nil"/>
            </w:tcBorders>
            <w:shd w:val="clear" w:color="000000" w:fill="FFFFFF"/>
            <w:noWrap/>
            <w:vAlign w:val="center"/>
            <w:hideMark/>
          </w:tcPr>
          <w:p w14:paraId="0C53EDF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0ADCF97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5A5C2BA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1D04113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4016545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FFFFFF"/>
            <w:noWrap/>
            <w:vAlign w:val="center"/>
            <w:hideMark/>
          </w:tcPr>
          <w:p w14:paraId="33AF294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FFFFFF"/>
            <w:noWrap/>
            <w:vAlign w:val="center"/>
            <w:hideMark/>
          </w:tcPr>
          <w:p w14:paraId="61CFA385"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FFFFFF"/>
            <w:noWrap/>
            <w:vAlign w:val="center"/>
            <w:hideMark/>
          </w:tcPr>
          <w:p w14:paraId="75C1028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single" w:sz="4" w:space="0" w:color="002A54" w:themeColor="text2"/>
              <w:left w:val="nil"/>
              <w:bottom w:val="nil"/>
              <w:right w:val="nil"/>
            </w:tcBorders>
            <w:shd w:val="clear" w:color="000000" w:fill="FFFFFF"/>
            <w:noWrap/>
            <w:vAlign w:val="center"/>
            <w:hideMark/>
          </w:tcPr>
          <w:p w14:paraId="088ACD6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28F78A17"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2CAE7061"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Payments for specific</w:t>
            </w:r>
          </w:p>
        </w:tc>
        <w:tc>
          <w:tcPr>
            <w:tcW w:w="395" w:type="pct"/>
            <w:tcBorders>
              <w:top w:val="nil"/>
              <w:left w:val="nil"/>
              <w:bottom w:val="nil"/>
              <w:right w:val="nil"/>
            </w:tcBorders>
            <w:shd w:val="clear" w:color="000000" w:fill="FFFFFF"/>
            <w:noWrap/>
            <w:vAlign w:val="center"/>
            <w:hideMark/>
          </w:tcPr>
          <w:p w14:paraId="3B19FBD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6EDFA00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140B117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07AA1C3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2409018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088BB36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726EC58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1E9C5B41"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nil"/>
              <w:left w:val="nil"/>
              <w:bottom w:val="nil"/>
              <w:right w:val="nil"/>
            </w:tcBorders>
            <w:shd w:val="clear" w:color="000000" w:fill="FFFFFF"/>
            <w:noWrap/>
            <w:vAlign w:val="center"/>
            <w:hideMark/>
          </w:tcPr>
          <w:p w14:paraId="6F65A1A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4A639F21"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3B79691A" w14:textId="77777777" w:rsidR="0096630A" w:rsidRPr="00C179A5" w:rsidRDefault="0096630A" w:rsidP="0096630A">
            <w:pPr>
              <w:spacing w:before="0" w:after="0" w:line="240" w:lineRule="auto"/>
              <w:ind w:left="170"/>
              <w:rPr>
                <w:rFonts w:ascii="Arial" w:hAnsi="Arial" w:cs="Arial"/>
                <w:sz w:val="16"/>
                <w:szCs w:val="16"/>
              </w:rPr>
            </w:pPr>
            <w:r w:rsidRPr="00C179A5">
              <w:rPr>
                <w:rFonts w:ascii="Arial" w:hAnsi="Arial" w:cs="Arial"/>
                <w:sz w:val="16"/>
                <w:szCs w:val="16"/>
              </w:rPr>
              <w:t>purposes(a)</w:t>
            </w:r>
          </w:p>
        </w:tc>
        <w:tc>
          <w:tcPr>
            <w:tcW w:w="395" w:type="pct"/>
            <w:tcBorders>
              <w:top w:val="nil"/>
              <w:left w:val="nil"/>
              <w:bottom w:val="nil"/>
              <w:right w:val="nil"/>
            </w:tcBorders>
            <w:shd w:val="clear" w:color="000000" w:fill="FFFFFF"/>
            <w:noWrap/>
            <w:vAlign w:val="center"/>
            <w:hideMark/>
          </w:tcPr>
          <w:p w14:paraId="3BC1CEA1"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22,990</w:t>
            </w:r>
          </w:p>
        </w:tc>
        <w:tc>
          <w:tcPr>
            <w:tcW w:w="395" w:type="pct"/>
            <w:tcBorders>
              <w:top w:val="nil"/>
              <w:left w:val="nil"/>
              <w:bottom w:val="nil"/>
              <w:right w:val="nil"/>
            </w:tcBorders>
            <w:shd w:val="clear" w:color="000000" w:fill="FFFFFF"/>
            <w:noWrap/>
            <w:vAlign w:val="center"/>
            <w:hideMark/>
          </w:tcPr>
          <w:p w14:paraId="1520DB9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19,927</w:t>
            </w:r>
          </w:p>
        </w:tc>
        <w:tc>
          <w:tcPr>
            <w:tcW w:w="395" w:type="pct"/>
            <w:tcBorders>
              <w:top w:val="nil"/>
              <w:left w:val="nil"/>
              <w:bottom w:val="nil"/>
              <w:right w:val="nil"/>
            </w:tcBorders>
            <w:shd w:val="clear" w:color="000000" w:fill="FFFFFF"/>
            <w:noWrap/>
            <w:vAlign w:val="center"/>
            <w:hideMark/>
          </w:tcPr>
          <w:p w14:paraId="289424C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16,914</w:t>
            </w:r>
          </w:p>
        </w:tc>
        <w:tc>
          <w:tcPr>
            <w:tcW w:w="395" w:type="pct"/>
            <w:tcBorders>
              <w:top w:val="nil"/>
              <w:left w:val="nil"/>
              <w:bottom w:val="nil"/>
              <w:right w:val="nil"/>
            </w:tcBorders>
            <w:shd w:val="clear" w:color="000000" w:fill="FFFFFF"/>
            <w:noWrap/>
            <w:vAlign w:val="center"/>
            <w:hideMark/>
          </w:tcPr>
          <w:p w14:paraId="56542E6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8,817</w:t>
            </w:r>
          </w:p>
        </w:tc>
        <w:tc>
          <w:tcPr>
            <w:tcW w:w="395" w:type="pct"/>
            <w:tcBorders>
              <w:top w:val="nil"/>
              <w:left w:val="nil"/>
              <w:bottom w:val="nil"/>
              <w:right w:val="nil"/>
            </w:tcBorders>
            <w:shd w:val="clear" w:color="000000" w:fill="FFFFFF"/>
            <w:noWrap/>
            <w:vAlign w:val="center"/>
            <w:hideMark/>
          </w:tcPr>
          <w:p w14:paraId="7685EBA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5,686</w:t>
            </w:r>
          </w:p>
        </w:tc>
        <w:tc>
          <w:tcPr>
            <w:tcW w:w="368" w:type="pct"/>
            <w:tcBorders>
              <w:top w:val="nil"/>
              <w:left w:val="nil"/>
              <w:bottom w:val="nil"/>
              <w:right w:val="nil"/>
            </w:tcBorders>
            <w:shd w:val="clear" w:color="000000" w:fill="FFFFFF"/>
            <w:noWrap/>
            <w:vAlign w:val="center"/>
            <w:hideMark/>
          </w:tcPr>
          <w:p w14:paraId="0AAE60A1"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2,051</w:t>
            </w:r>
          </w:p>
        </w:tc>
        <w:tc>
          <w:tcPr>
            <w:tcW w:w="368" w:type="pct"/>
            <w:tcBorders>
              <w:top w:val="nil"/>
              <w:left w:val="nil"/>
              <w:bottom w:val="nil"/>
              <w:right w:val="nil"/>
            </w:tcBorders>
            <w:shd w:val="clear" w:color="000000" w:fill="FFFFFF"/>
            <w:noWrap/>
            <w:vAlign w:val="center"/>
            <w:hideMark/>
          </w:tcPr>
          <w:p w14:paraId="5EBDB6C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1,239</w:t>
            </w:r>
          </w:p>
        </w:tc>
        <w:tc>
          <w:tcPr>
            <w:tcW w:w="368" w:type="pct"/>
            <w:tcBorders>
              <w:top w:val="nil"/>
              <w:left w:val="nil"/>
              <w:bottom w:val="nil"/>
              <w:right w:val="nil"/>
            </w:tcBorders>
            <w:shd w:val="clear" w:color="000000" w:fill="FFFFFF"/>
            <w:noWrap/>
            <w:vAlign w:val="center"/>
            <w:hideMark/>
          </w:tcPr>
          <w:p w14:paraId="2F1B177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1,897</w:t>
            </w:r>
          </w:p>
        </w:tc>
        <w:tc>
          <w:tcPr>
            <w:tcW w:w="476" w:type="pct"/>
            <w:tcBorders>
              <w:top w:val="nil"/>
              <w:left w:val="nil"/>
              <w:bottom w:val="nil"/>
              <w:right w:val="nil"/>
            </w:tcBorders>
            <w:shd w:val="clear" w:color="000000" w:fill="FFFFFF"/>
            <w:noWrap/>
            <w:vAlign w:val="center"/>
            <w:hideMark/>
          </w:tcPr>
          <w:p w14:paraId="3D60ECA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80,803</w:t>
            </w:r>
          </w:p>
        </w:tc>
      </w:tr>
      <w:tr w:rsidR="00394A39" w:rsidRPr="00C179A5" w14:paraId="3B64D63F"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6ADC945F" w14:textId="5B8149CB"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GST</w:t>
            </w:r>
            <w:r w:rsidR="00B71E80" w:rsidRPr="00C179A5">
              <w:rPr>
                <w:rFonts w:ascii="Arial" w:hAnsi="Arial" w:cs="Arial"/>
                <w:sz w:val="16"/>
                <w:szCs w:val="16"/>
              </w:rPr>
              <w:noBreakHyphen/>
            </w:r>
            <w:r w:rsidRPr="00C179A5">
              <w:rPr>
                <w:rFonts w:ascii="Arial" w:hAnsi="Arial" w:cs="Arial"/>
                <w:sz w:val="16"/>
                <w:szCs w:val="16"/>
              </w:rPr>
              <w:t>related payments(b)</w:t>
            </w:r>
          </w:p>
        </w:tc>
        <w:tc>
          <w:tcPr>
            <w:tcW w:w="395" w:type="pct"/>
            <w:tcBorders>
              <w:top w:val="nil"/>
              <w:left w:val="nil"/>
              <w:bottom w:val="nil"/>
              <w:right w:val="nil"/>
            </w:tcBorders>
            <w:shd w:val="clear" w:color="000000" w:fill="FFFFFF"/>
            <w:noWrap/>
            <w:vAlign w:val="center"/>
            <w:hideMark/>
          </w:tcPr>
          <w:p w14:paraId="2B34E31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25,986</w:t>
            </w:r>
          </w:p>
        </w:tc>
        <w:tc>
          <w:tcPr>
            <w:tcW w:w="395" w:type="pct"/>
            <w:tcBorders>
              <w:top w:val="nil"/>
              <w:left w:val="nil"/>
              <w:bottom w:val="nil"/>
              <w:right w:val="nil"/>
            </w:tcBorders>
            <w:shd w:val="clear" w:color="000000" w:fill="FFFFFF"/>
            <w:noWrap/>
            <w:vAlign w:val="center"/>
            <w:hideMark/>
          </w:tcPr>
          <w:p w14:paraId="26F9D13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19,238</w:t>
            </w:r>
          </w:p>
        </w:tc>
        <w:tc>
          <w:tcPr>
            <w:tcW w:w="395" w:type="pct"/>
            <w:tcBorders>
              <w:top w:val="nil"/>
              <w:left w:val="nil"/>
              <w:bottom w:val="nil"/>
              <w:right w:val="nil"/>
            </w:tcBorders>
            <w:shd w:val="clear" w:color="000000" w:fill="FFFFFF"/>
            <w:noWrap/>
            <w:vAlign w:val="center"/>
            <w:hideMark/>
          </w:tcPr>
          <w:p w14:paraId="58DCD4B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18,397</w:t>
            </w:r>
          </w:p>
        </w:tc>
        <w:tc>
          <w:tcPr>
            <w:tcW w:w="395" w:type="pct"/>
            <w:tcBorders>
              <w:top w:val="nil"/>
              <w:left w:val="nil"/>
              <w:bottom w:val="nil"/>
              <w:right w:val="nil"/>
            </w:tcBorders>
            <w:shd w:val="clear" w:color="000000" w:fill="FFFFFF"/>
            <w:noWrap/>
            <w:vAlign w:val="center"/>
            <w:hideMark/>
          </w:tcPr>
          <w:p w14:paraId="2ADA7715"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6,183</w:t>
            </w:r>
          </w:p>
        </w:tc>
        <w:tc>
          <w:tcPr>
            <w:tcW w:w="395" w:type="pct"/>
            <w:tcBorders>
              <w:top w:val="nil"/>
              <w:left w:val="nil"/>
              <w:bottom w:val="nil"/>
              <w:right w:val="nil"/>
            </w:tcBorders>
            <w:shd w:val="clear" w:color="000000" w:fill="FFFFFF"/>
            <w:noWrap/>
            <w:vAlign w:val="center"/>
            <w:hideMark/>
          </w:tcPr>
          <w:p w14:paraId="1A17365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7,702</w:t>
            </w:r>
          </w:p>
        </w:tc>
        <w:tc>
          <w:tcPr>
            <w:tcW w:w="368" w:type="pct"/>
            <w:tcBorders>
              <w:top w:val="nil"/>
              <w:left w:val="nil"/>
              <w:bottom w:val="nil"/>
              <w:right w:val="nil"/>
            </w:tcBorders>
            <w:shd w:val="clear" w:color="000000" w:fill="FFFFFF"/>
            <w:noWrap/>
            <w:vAlign w:val="center"/>
            <w:hideMark/>
          </w:tcPr>
          <w:p w14:paraId="078CC66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3,426</w:t>
            </w:r>
          </w:p>
        </w:tc>
        <w:tc>
          <w:tcPr>
            <w:tcW w:w="368" w:type="pct"/>
            <w:tcBorders>
              <w:top w:val="nil"/>
              <w:left w:val="nil"/>
              <w:bottom w:val="nil"/>
              <w:right w:val="nil"/>
            </w:tcBorders>
            <w:shd w:val="clear" w:color="000000" w:fill="FFFFFF"/>
            <w:noWrap/>
            <w:vAlign w:val="center"/>
            <w:hideMark/>
          </w:tcPr>
          <w:p w14:paraId="3EA34D1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1,662</w:t>
            </w:r>
          </w:p>
        </w:tc>
        <w:tc>
          <w:tcPr>
            <w:tcW w:w="368" w:type="pct"/>
            <w:tcBorders>
              <w:top w:val="nil"/>
              <w:left w:val="nil"/>
              <w:bottom w:val="nil"/>
              <w:right w:val="nil"/>
            </w:tcBorders>
            <w:shd w:val="clear" w:color="000000" w:fill="FFFFFF"/>
            <w:noWrap/>
            <w:vAlign w:val="center"/>
            <w:hideMark/>
          </w:tcPr>
          <w:p w14:paraId="19D1E4C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3,865</w:t>
            </w:r>
          </w:p>
        </w:tc>
        <w:tc>
          <w:tcPr>
            <w:tcW w:w="476" w:type="pct"/>
            <w:tcBorders>
              <w:top w:val="nil"/>
              <w:left w:val="nil"/>
              <w:bottom w:val="nil"/>
              <w:right w:val="nil"/>
            </w:tcBorders>
            <w:shd w:val="clear" w:color="000000" w:fill="FFFFFF"/>
            <w:noWrap/>
            <w:vAlign w:val="center"/>
            <w:hideMark/>
          </w:tcPr>
          <w:p w14:paraId="24430D6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86,458</w:t>
            </w:r>
          </w:p>
        </w:tc>
      </w:tr>
      <w:tr w:rsidR="00394A39" w:rsidRPr="00C179A5" w14:paraId="2BAF128C"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267BF579"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Other general revenue</w:t>
            </w:r>
          </w:p>
        </w:tc>
        <w:tc>
          <w:tcPr>
            <w:tcW w:w="395" w:type="pct"/>
            <w:tcBorders>
              <w:top w:val="nil"/>
              <w:left w:val="nil"/>
              <w:bottom w:val="nil"/>
              <w:right w:val="nil"/>
            </w:tcBorders>
            <w:shd w:val="clear" w:color="000000" w:fill="FFFFFF"/>
            <w:noWrap/>
            <w:vAlign w:val="center"/>
            <w:hideMark/>
          </w:tcPr>
          <w:p w14:paraId="7C84DA7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0FBE6B0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171C332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2FE20EB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0E5B763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65D41AB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1511B16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62D07F5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nil"/>
              <w:left w:val="nil"/>
              <w:bottom w:val="nil"/>
              <w:right w:val="nil"/>
            </w:tcBorders>
            <w:shd w:val="clear" w:color="000000" w:fill="FFFFFF"/>
            <w:noWrap/>
            <w:vAlign w:val="center"/>
            <w:hideMark/>
          </w:tcPr>
          <w:p w14:paraId="73B2C15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55657C60" w14:textId="77777777" w:rsidTr="00BB634C">
        <w:trPr>
          <w:trHeight w:hRule="exact" w:val="225"/>
        </w:trPr>
        <w:tc>
          <w:tcPr>
            <w:tcW w:w="1444" w:type="pct"/>
            <w:tcBorders>
              <w:top w:val="nil"/>
              <w:left w:val="nil"/>
              <w:bottom w:val="nil"/>
              <w:right w:val="nil"/>
            </w:tcBorders>
            <w:shd w:val="clear" w:color="000000" w:fill="FFFFFF"/>
            <w:noWrap/>
            <w:vAlign w:val="center"/>
            <w:hideMark/>
          </w:tcPr>
          <w:p w14:paraId="766761B1" w14:textId="77777777" w:rsidR="0096630A" w:rsidRPr="00C179A5" w:rsidRDefault="0096630A" w:rsidP="0096630A">
            <w:pPr>
              <w:spacing w:before="0" w:after="0" w:line="240" w:lineRule="auto"/>
              <w:ind w:left="170"/>
              <w:rPr>
                <w:rFonts w:ascii="Arial" w:hAnsi="Arial" w:cs="Arial"/>
                <w:sz w:val="16"/>
                <w:szCs w:val="16"/>
              </w:rPr>
            </w:pPr>
            <w:r w:rsidRPr="00C179A5">
              <w:rPr>
                <w:rFonts w:ascii="Arial" w:hAnsi="Arial" w:cs="Arial"/>
                <w:sz w:val="16"/>
                <w:szCs w:val="16"/>
              </w:rPr>
              <w:t>assistance</w:t>
            </w:r>
          </w:p>
        </w:tc>
        <w:tc>
          <w:tcPr>
            <w:tcW w:w="395" w:type="pct"/>
            <w:tcBorders>
              <w:top w:val="nil"/>
              <w:left w:val="nil"/>
              <w:bottom w:val="single" w:sz="4" w:space="0" w:color="002A54" w:themeColor="text2"/>
              <w:right w:val="nil"/>
            </w:tcBorders>
            <w:shd w:val="clear" w:color="000000" w:fill="FFFFFF"/>
            <w:noWrap/>
            <w:vAlign w:val="center"/>
            <w:hideMark/>
          </w:tcPr>
          <w:p w14:paraId="771BC586" w14:textId="2C8B7F9C"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FFFFFF"/>
            <w:noWrap/>
            <w:vAlign w:val="center"/>
            <w:hideMark/>
          </w:tcPr>
          <w:p w14:paraId="7F759A31" w14:textId="0B412987"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FFFFFF"/>
            <w:noWrap/>
            <w:vAlign w:val="center"/>
            <w:hideMark/>
          </w:tcPr>
          <w:p w14:paraId="5DA93506" w14:textId="6537C030"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FFFFFF"/>
            <w:noWrap/>
            <w:vAlign w:val="center"/>
            <w:hideMark/>
          </w:tcPr>
          <w:p w14:paraId="3F63FE5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1,520</w:t>
            </w:r>
          </w:p>
        </w:tc>
        <w:tc>
          <w:tcPr>
            <w:tcW w:w="395" w:type="pct"/>
            <w:tcBorders>
              <w:top w:val="nil"/>
              <w:left w:val="nil"/>
              <w:bottom w:val="single" w:sz="4" w:space="0" w:color="002A54" w:themeColor="text2"/>
              <w:right w:val="nil"/>
            </w:tcBorders>
            <w:shd w:val="clear" w:color="000000" w:fill="FFFFFF"/>
            <w:noWrap/>
            <w:vAlign w:val="center"/>
            <w:hideMark/>
          </w:tcPr>
          <w:p w14:paraId="7A207324" w14:textId="50E84207"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68" w:type="pct"/>
            <w:tcBorders>
              <w:top w:val="nil"/>
              <w:left w:val="nil"/>
              <w:bottom w:val="single" w:sz="4" w:space="0" w:color="002A54" w:themeColor="text2"/>
              <w:right w:val="nil"/>
            </w:tcBorders>
            <w:shd w:val="clear" w:color="000000" w:fill="FFFFFF"/>
            <w:noWrap/>
            <w:vAlign w:val="center"/>
            <w:hideMark/>
          </w:tcPr>
          <w:p w14:paraId="49EE26BC" w14:textId="3CEBDB11"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68" w:type="pct"/>
            <w:tcBorders>
              <w:top w:val="nil"/>
              <w:left w:val="nil"/>
              <w:bottom w:val="single" w:sz="4" w:space="0" w:color="002A54" w:themeColor="text2"/>
              <w:right w:val="nil"/>
            </w:tcBorders>
            <w:shd w:val="clear" w:color="000000" w:fill="FFFFFF"/>
            <w:noWrap/>
            <w:vAlign w:val="center"/>
            <w:hideMark/>
          </w:tcPr>
          <w:p w14:paraId="5050E17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42</w:t>
            </w:r>
          </w:p>
        </w:tc>
        <w:tc>
          <w:tcPr>
            <w:tcW w:w="368" w:type="pct"/>
            <w:tcBorders>
              <w:top w:val="nil"/>
              <w:left w:val="nil"/>
              <w:bottom w:val="single" w:sz="4" w:space="0" w:color="002A54" w:themeColor="text2"/>
              <w:right w:val="nil"/>
            </w:tcBorders>
            <w:shd w:val="clear" w:color="000000" w:fill="FFFFFF"/>
            <w:noWrap/>
            <w:vAlign w:val="center"/>
            <w:hideMark/>
          </w:tcPr>
          <w:p w14:paraId="49E6BD5E" w14:textId="12B5F6FE"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476" w:type="pct"/>
            <w:tcBorders>
              <w:top w:val="nil"/>
              <w:left w:val="nil"/>
              <w:bottom w:val="single" w:sz="4" w:space="0" w:color="002A54" w:themeColor="text2"/>
              <w:right w:val="nil"/>
            </w:tcBorders>
            <w:shd w:val="clear" w:color="000000" w:fill="FFFFFF"/>
            <w:noWrap/>
            <w:vAlign w:val="center"/>
            <w:hideMark/>
          </w:tcPr>
          <w:p w14:paraId="33FB93E5"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1,562</w:t>
            </w:r>
          </w:p>
        </w:tc>
      </w:tr>
      <w:tr w:rsidR="00394A39" w:rsidRPr="00C179A5" w14:paraId="365DA6BE" w14:textId="77777777" w:rsidTr="00BB634C">
        <w:trPr>
          <w:trHeight w:hRule="exact" w:val="225"/>
        </w:trPr>
        <w:tc>
          <w:tcPr>
            <w:tcW w:w="1444" w:type="pct"/>
            <w:tcBorders>
              <w:top w:val="nil"/>
              <w:left w:val="nil"/>
              <w:bottom w:val="nil"/>
              <w:right w:val="nil"/>
            </w:tcBorders>
            <w:shd w:val="clear" w:color="000000" w:fill="FFFFFF"/>
            <w:noWrap/>
            <w:vAlign w:val="center"/>
            <w:hideMark/>
          </w:tcPr>
          <w:p w14:paraId="316153F4"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Total payments to the states</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7DDE92C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48,975</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5EB0CB2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39,166</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3F6E9DA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35,311</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11A35E5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16,520</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4366484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13,388</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45EFB97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5,478</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18ABC741"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2,943</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1107D01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5,761</w:t>
            </w:r>
          </w:p>
        </w:tc>
        <w:tc>
          <w:tcPr>
            <w:tcW w:w="476" w:type="pct"/>
            <w:tcBorders>
              <w:top w:val="single" w:sz="4" w:space="0" w:color="002A54" w:themeColor="text2"/>
              <w:left w:val="nil"/>
              <w:bottom w:val="single" w:sz="4" w:space="0" w:color="002A54" w:themeColor="text2"/>
              <w:right w:val="nil"/>
            </w:tcBorders>
            <w:shd w:val="clear" w:color="000000" w:fill="FFFFFF"/>
            <w:noWrap/>
            <w:vAlign w:val="center"/>
            <w:hideMark/>
          </w:tcPr>
          <w:p w14:paraId="73C70D7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168,824</w:t>
            </w:r>
          </w:p>
        </w:tc>
      </w:tr>
      <w:tr w:rsidR="00394A39" w:rsidRPr="00C179A5" w14:paraId="70808C88" w14:textId="77777777" w:rsidTr="00BB634C">
        <w:trPr>
          <w:trHeight w:hRule="exact" w:val="225"/>
        </w:trPr>
        <w:tc>
          <w:tcPr>
            <w:tcW w:w="1444" w:type="pct"/>
            <w:tcBorders>
              <w:top w:val="nil"/>
              <w:left w:val="nil"/>
              <w:bottom w:val="nil"/>
              <w:right w:val="nil"/>
            </w:tcBorders>
            <w:shd w:val="clear" w:color="000000" w:fill="E6F2FF"/>
            <w:noWrap/>
            <w:vAlign w:val="center"/>
            <w:hideMark/>
          </w:tcPr>
          <w:p w14:paraId="41D28630" w14:textId="1719D3A6" w:rsidR="0096630A" w:rsidRPr="00C179A5" w:rsidRDefault="0096630A" w:rsidP="0096630A">
            <w:pPr>
              <w:spacing w:before="0" w:after="0" w:line="240" w:lineRule="auto"/>
              <w:rPr>
                <w:rFonts w:ascii="Arial" w:hAnsi="Arial" w:cs="Arial"/>
                <w:b/>
                <w:sz w:val="16"/>
                <w:szCs w:val="16"/>
              </w:rPr>
            </w:pPr>
            <w:r w:rsidRPr="00C179A5">
              <w:rPr>
                <w:rFonts w:ascii="Arial" w:hAnsi="Arial" w:cs="Arial"/>
                <w:b/>
                <w:sz w:val="16"/>
                <w:szCs w:val="16"/>
              </w:rPr>
              <w:t>2023</w:t>
            </w:r>
            <w:r w:rsidR="00B71E80" w:rsidRPr="00C179A5">
              <w:rPr>
                <w:rFonts w:ascii="Arial" w:hAnsi="Arial" w:cs="Arial"/>
                <w:b/>
                <w:sz w:val="16"/>
                <w:szCs w:val="16"/>
              </w:rPr>
              <w:noBreakHyphen/>
            </w:r>
            <w:r w:rsidRPr="00C179A5">
              <w:rPr>
                <w:rFonts w:ascii="Arial" w:hAnsi="Arial" w:cs="Arial"/>
                <w:b/>
                <w:sz w:val="16"/>
                <w:szCs w:val="16"/>
              </w:rPr>
              <w:t>24</w:t>
            </w:r>
          </w:p>
        </w:tc>
        <w:tc>
          <w:tcPr>
            <w:tcW w:w="395" w:type="pct"/>
            <w:tcBorders>
              <w:top w:val="single" w:sz="4" w:space="0" w:color="002A54" w:themeColor="text2"/>
              <w:left w:val="nil"/>
              <w:bottom w:val="nil"/>
              <w:right w:val="nil"/>
            </w:tcBorders>
            <w:shd w:val="clear" w:color="000000" w:fill="E6F2FF"/>
            <w:noWrap/>
            <w:vAlign w:val="center"/>
            <w:hideMark/>
          </w:tcPr>
          <w:p w14:paraId="4472BDF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E6F2FF"/>
            <w:noWrap/>
            <w:vAlign w:val="center"/>
            <w:hideMark/>
          </w:tcPr>
          <w:p w14:paraId="00EFC25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E6F2FF"/>
            <w:noWrap/>
            <w:vAlign w:val="center"/>
            <w:hideMark/>
          </w:tcPr>
          <w:p w14:paraId="08FE7FB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E6F2FF"/>
            <w:noWrap/>
            <w:vAlign w:val="center"/>
            <w:hideMark/>
          </w:tcPr>
          <w:p w14:paraId="26770EC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E6F2FF"/>
            <w:noWrap/>
            <w:vAlign w:val="center"/>
            <w:hideMark/>
          </w:tcPr>
          <w:p w14:paraId="407E2E6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E6F2FF"/>
            <w:noWrap/>
            <w:vAlign w:val="center"/>
            <w:hideMark/>
          </w:tcPr>
          <w:p w14:paraId="43C752F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E6F2FF"/>
            <w:noWrap/>
            <w:vAlign w:val="center"/>
            <w:hideMark/>
          </w:tcPr>
          <w:p w14:paraId="50C7982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E6F2FF"/>
            <w:noWrap/>
            <w:vAlign w:val="center"/>
            <w:hideMark/>
          </w:tcPr>
          <w:p w14:paraId="14255E7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single" w:sz="4" w:space="0" w:color="002A54" w:themeColor="text2"/>
              <w:left w:val="nil"/>
              <w:bottom w:val="nil"/>
              <w:right w:val="nil"/>
            </w:tcBorders>
            <w:shd w:val="clear" w:color="000000" w:fill="E6F2FF"/>
            <w:noWrap/>
            <w:vAlign w:val="center"/>
            <w:hideMark/>
          </w:tcPr>
          <w:p w14:paraId="78A5176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18D92FFB" w14:textId="77777777" w:rsidTr="00F83C90">
        <w:trPr>
          <w:trHeight w:hRule="exact" w:val="225"/>
        </w:trPr>
        <w:tc>
          <w:tcPr>
            <w:tcW w:w="1444" w:type="pct"/>
            <w:tcBorders>
              <w:top w:val="nil"/>
              <w:left w:val="nil"/>
              <w:bottom w:val="nil"/>
              <w:right w:val="nil"/>
            </w:tcBorders>
            <w:shd w:val="clear" w:color="000000" w:fill="E6F2FF"/>
            <w:noWrap/>
            <w:vAlign w:val="center"/>
            <w:hideMark/>
          </w:tcPr>
          <w:p w14:paraId="0E9C38D1"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Payments for specific</w:t>
            </w:r>
          </w:p>
        </w:tc>
        <w:tc>
          <w:tcPr>
            <w:tcW w:w="395" w:type="pct"/>
            <w:tcBorders>
              <w:top w:val="nil"/>
              <w:left w:val="nil"/>
              <w:bottom w:val="nil"/>
              <w:right w:val="nil"/>
            </w:tcBorders>
            <w:shd w:val="clear" w:color="000000" w:fill="E6F2FF"/>
            <w:noWrap/>
            <w:vAlign w:val="center"/>
            <w:hideMark/>
          </w:tcPr>
          <w:p w14:paraId="1A3C63B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19C97F3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6222AC8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6742D7A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0A57ABC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E6F2FF"/>
            <w:noWrap/>
            <w:vAlign w:val="center"/>
            <w:hideMark/>
          </w:tcPr>
          <w:p w14:paraId="6066058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E6F2FF"/>
            <w:noWrap/>
            <w:vAlign w:val="center"/>
            <w:hideMark/>
          </w:tcPr>
          <w:p w14:paraId="44EDE44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E6F2FF"/>
            <w:noWrap/>
            <w:vAlign w:val="center"/>
            <w:hideMark/>
          </w:tcPr>
          <w:p w14:paraId="755B5D65"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nil"/>
              <w:left w:val="nil"/>
              <w:bottom w:val="nil"/>
              <w:right w:val="nil"/>
            </w:tcBorders>
            <w:shd w:val="clear" w:color="000000" w:fill="E6F2FF"/>
            <w:noWrap/>
            <w:vAlign w:val="center"/>
            <w:hideMark/>
          </w:tcPr>
          <w:p w14:paraId="4D1AD13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1A71F287" w14:textId="77777777" w:rsidTr="00F83C90">
        <w:trPr>
          <w:trHeight w:hRule="exact" w:val="225"/>
        </w:trPr>
        <w:tc>
          <w:tcPr>
            <w:tcW w:w="1444" w:type="pct"/>
            <w:tcBorders>
              <w:top w:val="nil"/>
              <w:left w:val="nil"/>
              <w:bottom w:val="nil"/>
              <w:right w:val="nil"/>
            </w:tcBorders>
            <w:shd w:val="clear" w:color="000000" w:fill="E6F2FF"/>
            <w:noWrap/>
            <w:vAlign w:val="center"/>
            <w:hideMark/>
          </w:tcPr>
          <w:p w14:paraId="5F127378" w14:textId="77777777" w:rsidR="0096630A" w:rsidRPr="00C179A5" w:rsidRDefault="0096630A" w:rsidP="0096630A">
            <w:pPr>
              <w:spacing w:before="0" w:after="0" w:line="240" w:lineRule="auto"/>
              <w:ind w:left="170"/>
              <w:rPr>
                <w:rFonts w:ascii="Arial" w:hAnsi="Arial" w:cs="Arial"/>
                <w:sz w:val="16"/>
                <w:szCs w:val="16"/>
              </w:rPr>
            </w:pPr>
            <w:r w:rsidRPr="00C179A5">
              <w:rPr>
                <w:rFonts w:ascii="Arial" w:hAnsi="Arial" w:cs="Arial"/>
                <w:sz w:val="16"/>
                <w:szCs w:val="16"/>
              </w:rPr>
              <w:t>purposes(a)</w:t>
            </w:r>
          </w:p>
        </w:tc>
        <w:tc>
          <w:tcPr>
            <w:tcW w:w="395" w:type="pct"/>
            <w:tcBorders>
              <w:top w:val="nil"/>
              <w:left w:val="nil"/>
              <w:bottom w:val="nil"/>
              <w:right w:val="nil"/>
            </w:tcBorders>
            <w:shd w:val="clear" w:color="000000" w:fill="E6F2FF"/>
            <w:noWrap/>
            <w:vAlign w:val="center"/>
            <w:hideMark/>
          </w:tcPr>
          <w:p w14:paraId="61E4A0C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24,553</w:t>
            </w:r>
          </w:p>
        </w:tc>
        <w:tc>
          <w:tcPr>
            <w:tcW w:w="395" w:type="pct"/>
            <w:tcBorders>
              <w:top w:val="nil"/>
              <w:left w:val="nil"/>
              <w:bottom w:val="nil"/>
              <w:right w:val="nil"/>
            </w:tcBorders>
            <w:shd w:val="clear" w:color="000000" w:fill="E6F2FF"/>
            <w:noWrap/>
            <w:vAlign w:val="center"/>
            <w:hideMark/>
          </w:tcPr>
          <w:p w14:paraId="1AF8D87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19,894</w:t>
            </w:r>
          </w:p>
        </w:tc>
        <w:tc>
          <w:tcPr>
            <w:tcW w:w="395" w:type="pct"/>
            <w:tcBorders>
              <w:top w:val="nil"/>
              <w:left w:val="nil"/>
              <w:bottom w:val="nil"/>
              <w:right w:val="nil"/>
            </w:tcBorders>
            <w:shd w:val="clear" w:color="000000" w:fill="E6F2FF"/>
            <w:noWrap/>
            <w:vAlign w:val="center"/>
            <w:hideMark/>
          </w:tcPr>
          <w:p w14:paraId="579650A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18,603</w:t>
            </w:r>
          </w:p>
        </w:tc>
        <w:tc>
          <w:tcPr>
            <w:tcW w:w="395" w:type="pct"/>
            <w:tcBorders>
              <w:top w:val="nil"/>
              <w:left w:val="nil"/>
              <w:bottom w:val="nil"/>
              <w:right w:val="nil"/>
            </w:tcBorders>
            <w:shd w:val="clear" w:color="000000" w:fill="E6F2FF"/>
            <w:noWrap/>
            <w:vAlign w:val="center"/>
            <w:hideMark/>
          </w:tcPr>
          <w:p w14:paraId="3CA22D8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11,041</w:t>
            </w:r>
          </w:p>
        </w:tc>
        <w:tc>
          <w:tcPr>
            <w:tcW w:w="395" w:type="pct"/>
            <w:tcBorders>
              <w:top w:val="nil"/>
              <w:left w:val="nil"/>
              <w:bottom w:val="nil"/>
              <w:right w:val="nil"/>
            </w:tcBorders>
            <w:shd w:val="clear" w:color="000000" w:fill="E6F2FF"/>
            <w:noWrap/>
            <w:vAlign w:val="center"/>
            <w:hideMark/>
          </w:tcPr>
          <w:p w14:paraId="34B979B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6,103</w:t>
            </w:r>
          </w:p>
        </w:tc>
        <w:tc>
          <w:tcPr>
            <w:tcW w:w="368" w:type="pct"/>
            <w:tcBorders>
              <w:top w:val="nil"/>
              <w:left w:val="nil"/>
              <w:bottom w:val="nil"/>
              <w:right w:val="nil"/>
            </w:tcBorders>
            <w:shd w:val="clear" w:color="000000" w:fill="E6F2FF"/>
            <w:noWrap/>
            <w:vAlign w:val="center"/>
            <w:hideMark/>
          </w:tcPr>
          <w:p w14:paraId="4A7F745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2,279</w:t>
            </w:r>
          </w:p>
        </w:tc>
        <w:tc>
          <w:tcPr>
            <w:tcW w:w="368" w:type="pct"/>
            <w:tcBorders>
              <w:top w:val="nil"/>
              <w:left w:val="nil"/>
              <w:bottom w:val="nil"/>
              <w:right w:val="nil"/>
            </w:tcBorders>
            <w:shd w:val="clear" w:color="000000" w:fill="E6F2FF"/>
            <w:noWrap/>
            <w:vAlign w:val="center"/>
            <w:hideMark/>
          </w:tcPr>
          <w:p w14:paraId="169F080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1,376</w:t>
            </w:r>
          </w:p>
        </w:tc>
        <w:tc>
          <w:tcPr>
            <w:tcW w:w="368" w:type="pct"/>
            <w:tcBorders>
              <w:top w:val="nil"/>
              <w:left w:val="nil"/>
              <w:bottom w:val="nil"/>
              <w:right w:val="nil"/>
            </w:tcBorders>
            <w:shd w:val="clear" w:color="000000" w:fill="E6F2FF"/>
            <w:noWrap/>
            <w:vAlign w:val="center"/>
            <w:hideMark/>
          </w:tcPr>
          <w:p w14:paraId="6E04710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1,926</w:t>
            </w:r>
          </w:p>
        </w:tc>
        <w:tc>
          <w:tcPr>
            <w:tcW w:w="476" w:type="pct"/>
            <w:tcBorders>
              <w:top w:val="nil"/>
              <w:left w:val="nil"/>
              <w:bottom w:val="nil"/>
              <w:right w:val="nil"/>
            </w:tcBorders>
            <w:shd w:val="clear" w:color="000000" w:fill="E6F2FF"/>
            <w:noWrap/>
            <w:vAlign w:val="center"/>
            <w:hideMark/>
          </w:tcPr>
          <w:p w14:paraId="3B71DE8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87,393</w:t>
            </w:r>
          </w:p>
        </w:tc>
      </w:tr>
      <w:tr w:rsidR="00394A39" w:rsidRPr="00C179A5" w14:paraId="250C99A4" w14:textId="77777777" w:rsidTr="00F83C90">
        <w:trPr>
          <w:trHeight w:hRule="exact" w:val="225"/>
        </w:trPr>
        <w:tc>
          <w:tcPr>
            <w:tcW w:w="1444" w:type="pct"/>
            <w:tcBorders>
              <w:top w:val="nil"/>
              <w:left w:val="nil"/>
              <w:bottom w:val="nil"/>
              <w:right w:val="nil"/>
            </w:tcBorders>
            <w:shd w:val="clear" w:color="000000" w:fill="E6F2FF"/>
            <w:noWrap/>
            <w:vAlign w:val="center"/>
            <w:hideMark/>
          </w:tcPr>
          <w:p w14:paraId="2071DB98" w14:textId="2EAAC591"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GST</w:t>
            </w:r>
            <w:r w:rsidR="00B71E80" w:rsidRPr="00C179A5">
              <w:rPr>
                <w:rFonts w:ascii="Arial" w:hAnsi="Arial" w:cs="Arial"/>
                <w:sz w:val="16"/>
                <w:szCs w:val="16"/>
              </w:rPr>
              <w:noBreakHyphen/>
            </w:r>
            <w:r w:rsidRPr="00C179A5">
              <w:rPr>
                <w:rFonts w:ascii="Arial" w:hAnsi="Arial" w:cs="Arial"/>
                <w:sz w:val="16"/>
                <w:szCs w:val="16"/>
              </w:rPr>
              <w:t>related payments(b)</w:t>
            </w:r>
          </w:p>
        </w:tc>
        <w:tc>
          <w:tcPr>
            <w:tcW w:w="395" w:type="pct"/>
            <w:tcBorders>
              <w:top w:val="nil"/>
              <w:left w:val="nil"/>
              <w:bottom w:val="nil"/>
              <w:right w:val="nil"/>
            </w:tcBorders>
            <w:shd w:val="clear" w:color="000000" w:fill="E6F2FF"/>
            <w:noWrap/>
            <w:vAlign w:val="center"/>
            <w:hideMark/>
          </w:tcPr>
          <w:p w14:paraId="4B0212A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26,783</w:t>
            </w:r>
          </w:p>
        </w:tc>
        <w:tc>
          <w:tcPr>
            <w:tcW w:w="395" w:type="pct"/>
            <w:tcBorders>
              <w:top w:val="nil"/>
              <w:left w:val="nil"/>
              <w:bottom w:val="nil"/>
              <w:right w:val="nil"/>
            </w:tcBorders>
            <w:shd w:val="clear" w:color="000000" w:fill="E6F2FF"/>
            <w:noWrap/>
            <w:vAlign w:val="center"/>
            <w:hideMark/>
          </w:tcPr>
          <w:p w14:paraId="2993B3D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20,375</w:t>
            </w:r>
          </w:p>
        </w:tc>
        <w:tc>
          <w:tcPr>
            <w:tcW w:w="395" w:type="pct"/>
            <w:tcBorders>
              <w:top w:val="nil"/>
              <w:left w:val="nil"/>
              <w:bottom w:val="nil"/>
              <w:right w:val="nil"/>
            </w:tcBorders>
            <w:shd w:val="clear" w:color="000000" w:fill="E6F2FF"/>
            <w:noWrap/>
            <w:vAlign w:val="center"/>
            <w:hideMark/>
          </w:tcPr>
          <w:p w14:paraId="2266368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19,477</w:t>
            </w:r>
          </w:p>
        </w:tc>
        <w:tc>
          <w:tcPr>
            <w:tcW w:w="395" w:type="pct"/>
            <w:tcBorders>
              <w:top w:val="nil"/>
              <w:left w:val="nil"/>
              <w:bottom w:val="nil"/>
              <w:right w:val="nil"/>
            </w:tcBorders>
            <w:shd w:val="clear" w:color="000000" w:fill="E6F2FF"/>
            <w:noWrap/>
            <w:vAlign w:val="center"/>
            <w:hideMark/>
          </w:tcPr>
          <w:p w14:paraId="4646146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6,520</w:t>
            </w:r>
          </w:p>
        </w:tc>
        <w:tc>
          <w:tcPr>
            <w:tcW w:w="395" w:type="pct"/>
            <w:tcBorders>
              <w:top w:val="nil"/>
              <w:left w:val="nil"/>
              <w:bottom w:val="nil"/>
              <w:right w:val="nil"/>
            </w:tcBorders>
            <w:shd w:val="clear" w:color="000000" w:fill="E6F2FF"/>
            <w:noWrap/>
            <w:vAlign w:val="center"/>
            <w:hideMark/>
          </w:tcPr>
          <w:p w14:paraId="0989CB4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8,788</w:t>
            </w:r>
          </w:p>
        </w:tc>
        <w:tc>
          <w:tcPr>
            <w:tcW w:w="368" w:type="pct"/>
            <w:tcBorders>
              <w:top w:val="nil"/>
              <w:left w:val="nil"/>
              <w:bottom w:val="nil"/>
              <w:right w:val="nil"/>
            </w:tcBorders>
            <w:shd w:val="clear" w:color="000000" w:fill="E6F2FF"/>
            <w:noWrap/>
            <w:vAlign w:val="center"/>
            <w:hideMark/>
          </w:tcPr>
          <w:p w14:paraId="0649039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3,489</w:t>
            </w:r>
          </w:p>
        </w:tc>
        <w:tc>
          <w:tcPr>
            <w:tcW w:w="368" w:type="pct"/>
            <w:tcBorders>
              <w:top w:val="nil"/>
              <w:left w:val="nil"/>
              <w:bottom w:val="nil"/>
              <w:right w:val="nil"/>
            </w:tcBorders>
            <w:shd w:val="clear" w:color="000000" w:fill="E6F2FF"/>
            <w:noWrap/>
            <w:vAlign w:val="center"/>
            <w:hideMark/>
          </w:tcPr>
          <w:p w14:paraId="3A1AAD2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1,922</w:t>
            </w:r>
          </w:p>
        </w:tc>
        <w:tc>
          <w:tcPr>
            <w:tcW w:w="368" w:type="pct"/>
            <w:tcBorders>
              <w:top w:val="nil"/>
              <w:left w:val="nil"/>
              <w:bottom w:val="nil"/>
              <w:right w:val="nil"/>
            </w:tcBorders>
            <w:shd w:val="clear" w:color="000000" w:fill="E6F2FF"/>
            <w:noWrap/>
            <w:vAlign w:val="center"/>
            <w:hideMark/>
          </w:tcPr>
          <w:p w14:paraId="2C71F5C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4,181</w:t>
            </w:r>
          </w:p>
        </w:tc>
        <w:tc>
          <w:tcPr>
            <w:tcW w:w="476" w:type="pct"/>
            <w:tcBorders>
              <w:top w:val="nil"/>
              <w:left w:val="nil"/>
              <w:bottom w:val="nil"/>
              <w:right w:val="nil"/>
            </w:tcBorders>
            <w:shd w:val="clear" w:color="000000" w:fill="E6F2FF"/>
            <w:noWrap/>
            <w:vAlign w:val="center"/>
            <w:hideMark/>
          </w:tcPr>
          <w:p w14:paraId="2AEEC51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91,536</w:t>
            </w:r>
          </w:p>
        </w:tc>
      </w:tr>
      <w:tr w:rsidR="00394A39" w:rsidRPr="00C179A5" w14:paraId="0B480283" w14:textId="77777777" w:rsidTr="00F83C90">
        <w:trPr>
          <w:trHeight w:hRule="exact" w:val="225"/>
        </w:trPr>
        <w:tc>
          <w:tcPr>
            <w:tcW w:w="1444" w:type="pct"/>
            <w:tcBorders>
              <w:top w:val="nil"/>
              <w:left w:val="nil"/>
              <w:bottom w:val="nil"/>
              <w:right w:val="nil"/>
            </w:tcBorders>
            <w:shd w:val="clear" w:color="000000" w:fill="E6F2FF"/>
            <w:noWrap/>
            <w:vAlign w:val="center"/>
            <w:hideMark/>
          </w:tcPr>
          <w:p w14:paraId="6F6EF394"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Other general revenue</w:t>
            </w:r>
          </w:p>
        </w:tc>
        <w:tc>
          <w:tcPr>
            <w:tcW w:w="395" w:type="pct"/>
            <w:tcBorders>
              <w:top w:val="nil"/>
              <w:left w:val="nil"/>
              <w:bottom w:val="nil"/>
              <w:right w:val="nil"/>
            </w:tcBorders>
            <w:shd w:val="clear" w:color="000000" w:fill="E6F2FF"/>
            <w:noWrap/>
            <w:vAlign w:val="center"/>
            <w:hideMark/>
          </w:tcPr>
          <w:p w14:paraId="0E836E2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63258B8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3266D78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2E67C1F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5D8A069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E6F2FF"/>
            <w:noWrap/>
            <w:vAlign w:val="center"/>
            <w:hideMark/>
          </w:tcPr>
          <w:p w14:paraId="132B961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E6F2FF"/>
            <w:noWrap/>
            <w:vAlign w:val="center"/>
            <w:hideMark/>
          </w:tcPr>
          <w:p w14:paraId="0A2AA66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E6F2FF"/>
            <w:noWrap/>
            <w:vAlign w:val="center"/>
            <w:hideMark/>
          </w:tcPr>
          <w:p w14:paraId="213ED5C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nil"/>
              <w:left w:val="nil"/>
              <w:bottom w:val="nil"/>
              <w:right w:val="nil"/>
            </w:tcBorders>
            <w:shd w:val="clear" w:color="000000" w:fill="E6F2FF"/>
            <w:noWrap/>
            <w:vAlign w:val="center"/>
            <w:hideMark/>
          </w:tcPr>
          <w:p w14:paraId="029AE4C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6FE45887" w14:textId="77777777" w:rsidTr="00BB634C">
        <w:trPr>
          <w:trHeight w:hRule="exact" w:val="225"/>
        </w:trPr>
        <w:tc>
          <w:tcPr>
            <w:tcW w:w="1444" w:type="pct"/>
            <w:tcBorders>
              <w:top w:val="nil"/>
              <w:left w:val="nil"/>
              <w:bottom w:val="nil"/>
              <w:right w:val="nil"/>
            </w:tcBorders>
            <w:shd w:val="clear" w:color="000000" w:fill="E6F2FF"/>
            <w:noWrap/>
            <w:vAlign w:val="center"/>
            <w:hideMark/>
          </w:tcPr>
          <w:p w14:paraId="649508FF" w14:textId="77777777" w:rsidR="0096630A" w:rsidRPr="00C179A5" w:rsidRDefault="0096630A" w:rsidP="0096630A">
            <w:pPr>
              <w:spacing w:before="0" w:after="0" w:line="240" w:lineRule="auto"/>
              <w:ind w:left="170"/>
              <w:rPr>
                <w:rFonts w:ascii="Arial" w:hAnsi="Arial" w:cs="Arial"/>
                <w:sz w:val="16"/>
                <w:szCs w:val="16"/>
              </w:rPr>
            </w:pPr>
            <w:r w:rsidRPr="00C179A5">
              <w:rPr>
                <w:rFonts w:ascii="Arial" w:hAnsi="Arial" w:cs="Arial"/>
                <w:sz w:val="16"/>
                <w:szCs w:val="16"/>
              </w:rPr>
              <w:t>assistance</w:t>
            </w:r>
          </w:p>
        </w:tc>
        <w:tc>
          <w:tcPr>
            <w:tcW w:w="395" w:type="pct"/>
            <w:tcBorders>
              <w:top w:val="nil"/>
              <w:left w:val="nil"/>
              <w:bottom w:val="single" w:sz="4" w:space="0" w:color="002A54" w:themeColor="text2"/>
              <w:right w:val="nil"/>
            </w:tcBorders>
            <w:shd w:val="clear" w:color="000000" w:fill="E6F2FF"/>
            <w:noWrap/>
            <w:vAlign w:val="center"/>
            <w:hideMark/>
          </w:tcPr>
          <w:p w14:paraId="44871251" w14:textId="4BA6C531"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E6F2FF"/>
            <w:noWrap/>
            <w:vAlign w:val="center"/>
            <w:hideMark/>
          </w:tcPr>
          <w:p w14:paraId="0CD6895E" w14:textId="73E03FB1"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E6F2FF"/>
            <w:noWrap/>
            <w:vAlign w:val="center"/>
            <w:hideMark/>
          </w:tcPr>
          <w:p w14:paraId="1D6089C2" w14:textId="5FAC9A5A"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E6F2FF"/>
            <w:noWrap/>
            <w:vAlign w:val="center"/>
            <w:hideMark/>
          </w:tcPr>
          <w:p w14:paraId="1B918A35"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890</w:t>
            </w:r>
          </w:p>
        </w:tc>
        <w:tc>
          <w:tcPr>
            <w:tcW w:w="395" w:type="pct"/>
            <w:tcBorders>
              <w:top w:val="nil"/>
              <w:left w:val="nil"/>
              <w:bottom w:val="single" w:sz="4" w:space="0" w:color="002A54" w:themeColor="text2"/>
              <w:right w:val="nil"/>
            </w:tcBorders>
            <w:shd w:val="clear" w:color="000000" w:fill="E6F2FF"/>
            <w:noWrap/>
            <w:vAlign w:val="center"/>
            <w:hideMark/>
          </w:tcPr>
          <w:p w14:paraId="396FC59B" w14:textId="5114A5C4"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68" w:type="pct"/>
            <w:tcBorders>
              <w:top w:val="nil"/>
              <w:left w:val="nil"/>
              <w:bottom w:val="single" w:sz="4" w:space="0" w:color="002A54" w:themeColor="text2"/>
              <w:right w:val="nil"/>
            </w:tcBorders>
            <w:shd w:val="clear" w:color="000000" w:fill="E6F2FF"/>
            <w:noWrap/>
            <w:vAlign w:val="center"/>
            <w:hideMark/>
          </w:tcPr>
          <w:p w14:paraId="0FFCA78C" w14:textId="3FE1B9AB"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68" w:type="pct"/>
            <w:tcBorders>
              <w:top w:val="nil"/>
              <w:left w:val="nil"/>
              <w:bottom w:val="single" w:sz="4" w:space="0" w:color="002A54" w:themeColor="text2"/>
              <w:right w:val="nil"/>
            </w:tcBorders>
            <w:shd w:val="clear" w:color="000000" w:fill="E6F2FF"/>
            <w:noWrap/>
            <w:vAlign w:val="center"/>
            <w:hideMark/>
          </w:tcPr>
          <w:p w14:paraId="6AB4705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44</w:t>
            </w:r>
          </w:p>
        </w:tc>
        <w:tc>
          <w:tcPr>
            <w:tcW w:w="368" w:type="pct"/>
            <w:tcBorders>
              <w:top w:val="nil"/>
              <w:left w:val="nil"/>
              <w:bottom w:val="single" w:sz="4" w:space="0" w:color="002A54" w:themeColor="text2"/>
              <w:right w:val="nil"/>
            </w:tcBorders>
            <w:shd w:val="clear" w:color="000000" w:fill="E6F2FF"/>
            <w:noWrap/>
            <w:vAlign w:val="center"/>
            <w:hideMark/>
          </w:tcPr>
          <w:p w14:paraId="27468236" w14:textId="02DFA5D2"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476" w:type="pct"/>
            <w:tcBorders>
              <w:top w:val="nil"/>
              <w:left w:val="nil"/>
              <w:bottom w:val="single" w:sz="4" w:space="0" w:color="002A54" w:themeColor="text2"/>
              <w:right w:val="nil"/>
            </w:tcBorders>
            <w:shd w:val="clear" w:color="000000" w:fill="E6F2FF"/>
            <w:noWrap/>
            <w:vAlign w:val="center"/>
            <w:hideMark/>
          </w:tcPr>
          <w:p w14:paraId="56FE2BD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934</w:t>
            </w:r>
          </w:p>
        </w:tc>
      </w:tr>
      <w:tr w:rsidR="00394A39" w:rsidRPr="00C179A5" w14:paraId="250D341E" w14:textId="77777777" w:rsidTr="00BB634C">
        <w:trPr>
          <w:trHeight w:hRule="exact" w:val="225"/>
        </w:trPr>
        <w:tc>
          <w:tcPr>
            <w:tcW w:w="1444" w:type="pct"/>
            <w:tcBorders>
              <w:top w:val="nil"/>
              <w:left w:val="nil"/>
              <w:bottom w:val="nil"/>
              <w:right w:val="nil"/>
            </w:tcBorders>
            <w:shd w:val="clear" w:color="000000" w:fill="E6F2FF"/>
            <w:noWrap/>
            <w:vAlign w:val="center"/>
            <w:hideMark/>
          </w:tcPr>
          <w:p w14:paraId="26251E31"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Total payments to the states</w:t>
            </w:r>
          </w:p>
        </w:tc>
        <w:tc>
          <w:tcPr>
            <w:tcW w:w="395" w:type="pct"/>
            <w:tcBorders>
              <w:top w:val="single" w:sz="4" w:space="0" w:color="002A54" w:themeColor="text2"/>
              <w:left w:val="nil"/>
              <w:bottom w:val="single" w:sz="4" w:space="0" w:color="002A54" w:themeColor="text2"/>
              <w:right w:val="nil"/>
            </w:tcBorders>
            <w:shd w:val="clear" w:color="000000" w:fill="E6F2FF"/>
            <w:noWrap/>
            <w:vAlign w:val="center"/>
            <w:hideMark/>
          </w:tcPr>
          <w:p w14:paraId="79040E0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51,336</w:t>
            </w:r>
          </w:p>
        </w:tc>
        <w:tc>
          <w:tcPr>
            <w:tcW w:w="395" w:type="pct"/>
            <w:tcBorders>
              <w:top w:val="single" w:sz="4" w:space="0" w:color="002A54" w:themeColor="text2"/>
              <w:left w:val="nil"/>
              <w:bottom w:val="single" w:sz="4" w:space="0" w:color="002A54" w:themeColor="text2"/>
              <w:right w:val="nil"/>
            </w:tcBorders>
            <w:shd w:val="clear" w:color="000000" w:fill="E6F2FF"/>
            <w:noWrap/>
            <w:vAlign w:val="center"/>
            <w:hideMark/>
          </w:tcPr>
          <w:p w14:paraId="2B9BD0C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40,268</w:t>
            </w:r>
          </w:p>
        </w:tc>
        <w:tc>
          <w:tcPr>
            <w:tcW w:w="395" w:type="pct"/>
            <w:tcBorders>
              <w:top w:val="single" w:sz="4" w:space="0" w:color="002A54" w:themeColor="text2"/>
              <w:left w:val="nil"/>
              <w:bottom w:val="single" w:sz="4" w:space="0" w:color="002A54" w:themeColor="text2"/>
              <w:right w:val="nil"/>
            </w:tcBorders>
            <w:shd w:val="clear" w:color="000000" w:fill="E6F2FF"/>
            <w:noWrap/>
            <w:vAlign w:val="center"/>
            <w:hideMark/>
          </w:tcPr>
          <w:p w14:paraId="13A63EC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38,080</w:t>
            </w:r>
          </w:p>
        </w:tc>
        <w:tc>
          <w:tcPr>
            <w:tcW w:w="395" w:type="pct"/>
            <w:tcBorders>
              <w:top w:val="single" w:sz="4" w:space="0" w:color="002A54" w:themeColor="text2"/>
              <w:left w:val="nil"/>
              <w:bottom w:val="single" w:sz="4" w:space="0" w:color="002A54" w:themeColor="text2"/>
              <w:right w:val="nil"/>
            </w:tcBorders>
            <w:shd w:val="clear" w:color="000000" w:fill="E6F2FF"/>
            <w:noWrap/>
            <w:vAlign w:val="center"/>
            <w:hideMark/>
          </w:tcPr>
          <w:p w14:paraId="6BC3779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18,452</w:t>
            </w:r>
          </w:p>
        </w:tc>
        <w:tc>
          <w:tcPr>
            <w:tcW w:w="395" w:type="pct"/>
            <w:tcBorders>
              <w:top w:val="single" w:sz="4" w:space="0" w:color="002A54" w:themeColor="text2"/>
              <w:left w:val="nil"/>
              <w:bottom w:val="single" w:sz="4" w:space="0" w:color="002A54" w:themeColor="text2"/>
              <w:right w:val="nil"/>
            </w:tcBorders>
            <w:shd w:val="clear" w:color="000000" w:fill="E6F2FF"/>
            <w:noWrap/>
            <w:vAlign w:val="center"/>
            <w:hideMark/>
          </w:tcPr>
          <w:p w14:paraId="44CFBC2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14,891</w:t>
            </w:r>
          </w:p>
        </w:tc>
        <w:tc>
          <w:tcPr>
            <w:tcW w:w="368" w:type="pct"/>
            <w:tcBorders>
              <w:top w:val="single" w:sz="4" w:space="0" w:color="002A54" w:themeColor="text2"/>
              <w:left w:val="nil"/>
              <w:bottom w:val="single" w:sz="4" w:space="0" w:color="002A54" w:themeColor="text2"/>
              <w:right w:val="nil"/>
            </w:tcBorders>
            <w:shd w:val="clear" w:color="000000" w:fill="E6F2FF"/>
            <w:noWrap/>
            <w:vAlign w:val="center"/>
            <w:hideMark/>
          </w:tcPr>
          <w:p w14:paraId="7071744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5,768</w:t>
            </w:r>
          </w:p>
        </w:tc>
        <w:tc>
          <w:tcPr>
            <w:tcW w:w="368" w:type="pct"/>
            <w:tcBorders>
              <w:top w:val="single" w:sz="4" w:space="0" w:color="002A54" w:themeColor="text2"/>
              <w:left w:val="nil"/>
              <w:bottom w:val="single" w:sz="4" w:space="0" w:color="002A54" w:themeColor="text2"/>
              <w:right w:val="nil"/>
            </w:tcBorders>
            <w:shd w:val="clear" w:color="000000" w:fill="E6F2FF"/>
            <w:noWrap/>
            <w:vAlign w:val="center"/>
            <w:hideMark/>
          </w:tcPr>
          <w:p w14:paraId="4B87121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3,342</w:t>
            </w:r>
          </w:p>
        </w:tc>
        <w:tc>
          <w:tcPr>
            <w:tcW w:w="368" w:type="pct"/>
            <w:tcBorders>
              <w:top w:val="single" w:sz="4" w:space="0" w:color="002A54" w:themeColor="text2"/>
              <w:left w:val="nil"/>
              <w:bottom w:val="single" w:sz="4" w:space="0" w:color="002A54" w:themeColor="text2"/>
              <w:right w:val="nil"/>
            </w:tcBorders>
            <w:shd w:val="clear" w:color="000000" w:fill="E6F2FF"/>
            <w:noWrap/>
            <w:vAlign w:val="center"/>
            <w:hideMark/>
          </w:tcPr>
          <w:p w14:paraId="17CE336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6,108</w:t>
            </w:r>
          </w:p>
        </w:tc>
        <w:tc>
          <w:tcPr>
            <w:tcW w:w="476" w:type="pct"/>
            <w:tcBorders>
              <w:top w:val="single" w:sz="4" w:space="0" w:color="002A54" w:themeColor="text2"/>
              <w:left w:val="nil"/>
              <w:bottom w:val="single" w:sz="4" w:space="0" w:color="002A54" w:themeColor="text2"/>
              <w:right w:val="nil"/>
            </w:tcBorders>
            <w:shd w:val="clear" w:color="000000" w:fill="E6F2FF"/>
            <w:noWrap/>
            <w:vAlign w:val="center"/>
            <w:hideMark/>
          </w:tcPr>
          <w:p w14:paraId="5C96ECF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179,863</w:t>
            </w:r>
          </w:p>
        </w:tc>
      </w:tr>
      <w:tr w:rsidR="00394A39" w:rsidRPr="00C179A5" w14:paraId="517E8418" w14:textId="77777777" w:rsidTr="00BB634C">
        <w:trPr>
          <w:trHeight w:hRule="exact" w:val="225"/>
        </w:trPr>
        <w:tc>
          <w:tcPr>
            <w:tcW w:w="1444" w:type="pct"/>
            <w:tcBorders>
              <w:top w:val="nil"/>
              <w:left w:val="nil"/>
              <w:bottom w:val="nil"/>
              <w:right w:val="nil"/>
            </w:tcBorders>
            <w:shd w:val="clear" w:color="000000" w:fill="FFFFFF"/>
            <w:noWrap/>
            <w:vAlign w:val="center"/>
            <w:hideMark/>
          </w:tcPr>
          <w:p w14:paraId="069536D2" w14:textId="7FE4F530" w:rsidR="0096630A" w:rsidRPr="00C179A5" w:rsidRDefault="0096630A" w:rsidP="0096630A">
            <w:pPr>
              <w:spacing w:before="0" w:after="0" w:line="240" w:lineRule="auto"/>
              <w:rPr>
                <w:rFonts w:ascii="Arial" w:hAnsi="Arial" w:cs="Arial"/>
                <w:b/>
                <w:sz w:val="16"/>
                <w:szCs w:val="16"/>
              </w:rPr>
            </w:pPr>
            <w:r w:rsidRPr="00C179A5">
              <w:rPr>
                <w:rFonts w:ascii="Arial" w:hAnsi="Arial" w:cs="Arial"/>
                <w:b/>
                <w:sz w:val="16"/>
                <w:szCs w:val="16"/>
              </w:rPr>
              <w:t>2024</w:t>
            </w:r>
            <w:r w:rsidR="00B71E80" w:rsidRPr="00C179A5">
              <w:rPr>
                <w:rFonts w:ascii="Arial" w:hAnsi="Arial" w:cs="Arial"/>
                <w:b/>
                <w:sz w:val="16"/>
                <w:szCs w:val="16"/>
              </w:rPr>
              <w:noBreakHyphen/>
            </w:r>
            <w:r w:rsidRPr="00C179A5">
              <w:rPr>
                <w:rFonts w:ascii="Arial" w:hAnsi="Arial" w:cs="Arial"/>
                <w:b/>
                <w:sz w:val="16"/>
                <w:szCs w:val="16"/>
              </w:rPr>
              <w:t>25</w:t>
            </w:r>
          </w:p>
        </w:tc>
        <w:tc>
          <w:tcPr>
            <w:tcW w:w="395" w:type="pct"/>
            <w:tcBorders>
              <w:top w:val="single" w:sz="4" w:space="0" w:color="002A54" w:themeColor="text2"/>
              <w:left w:val="nil"/>
              <w:bottom w:val="nil"/>
              <w:right w:val="nil"/>
            </w:tcBorders>
            <w:shd w:val="clear" w:color="000000" w:fill="FFFFFF"/>
            <w:noWrap/>
            <w:vAlign w:val="center"/>
            <w:hideMark/>
          </w:tcPr>
          <w:p w14:paraId="2564DA8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292118E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75C55345"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2E1879D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7C07565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FFFFFF"/>
            <w:noWrap/>
            <w:vAlign w:val="center"/>
            <w:hideMark/>
          </w:tcPr>
          <w:p w14:paraId="40893A8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FFFFFF"/>
            <w:noWrap/>
            <w:vAlign w:val="center"/>
            <w:hideMark/>
          </w:tcPr>
          <w:p w14:paraId="6B961F2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FFFFFF"/>
            <w:noWrap/>
            <w:vAlign w:val="center"/>
            <w:hideMark/>
          </w:tcPr>
          <w:p w14:paraId="793544F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single" w:sz="4" w:space="0" w:color="002A54" w:themeColor="text2"/>
              <w:left w:val="nil"/>
              <w:bottom w:val="nil"/>
              <w:right w:val="nil"/>
            </w:tcBorders>
            <w:shd w:val="clear" w:color="000000" w:fill="FFFFFF"/>
            <w:noWrap/>
            <w:vAlign w:val="center"/>
            <w:hideMark/>
          </w:tcPr>
          <w:p w14:paraId="0BA4EF5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25583B54"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7D9E5BFD"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Payments for specific</w:t>
            </w:r>
          </w:p>
        </w:tc>
        <w:tc>
          <w:tcPr>
            <w:tcW w:w="395" w:type="pct"/>
            <w:tcBorders>
              <w:top w:val="nil"/>
              <w:left w:val="nil"/>
              <w:bottom w:val="nil"/>
              <w:right w:val="nil"/>
            </w:tcBorders>
            <w:shd w:val="clear" w:color="000000" w:fill="FFFFFF"/>
            <w:noWrap/>
            <w:vAlign w:val="center"/>
            <w:hideMark/>
          </w:tcPr>
          <w:p w14:paraId="3F3BFFD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7BD353A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753CA7A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32F95D4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237D61D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1C201DA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171F26C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211F6B3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nil"/>
              <w:left w:val="nil"/>
              <w:bottom w:val="nil"/>
              <w:right w:val="nil"/>
            </w:tcBorders>
            <w:shd w:val="clear" w:color="000000" w:fill="FFFFFF"/>
            <w:noWrap/>
            <w:vAlign w:val="center"/>
            <w:hideMark/>
          </w:tcPr>
          <w:p w14:paraId="4D6135C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68819CFA"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44E8D5EA" w14:textId="77777777" w:rsidR="0096630A" w:rsidRPr="00C179A5" w:rsidRDefault="0096630A" w:rsidP="0096630A">
            <w:pPr>
              <w:spacing w:before="0" w:after="0" w:line="240" w:lineRule="auto"/>
              <w:ind w:left="170"/>
              <w:rPr>
                <w:rFonts w:ascii="Arial" w:hAnsi="Arial" w:cs="Arial"/>
                <w:sz w:val="16"/>
                <w:szCs w:val="16"/>
              </w:rPr>
            </w:pPr>
            <w:r w:rsidRPr="00C179A5">
              <w:rPr>
                <w:rFonts w:ascii="Arial" w:hAnsi="Arial" w:cs="Arial"/>
                <w:sz w:val="16"/>
                <w:szCs w:val="16"/>
              </w:rPr>
              <w:t>purposes(a)</w:t>
            </w:r>
          </w:p>
        </w:tc>
        <w:tc>
          <w:tcPr>
            <w:tcW w:w="395" w:type="pct"/>
            <w:tcBorders>
              <w:top w:val="nil"/>
              <w:left w:val="nil"/>
              <w:bottom w:val="nil"/>
              <w:right w:val="nil"/>
            </w:tcBorders>
            <w:shd w:val="clear" w:color="000000" w:fill="FFFFFF"/>
            <w:noWrap/>
            <w:vAlign w:val="center"/>
            <w:hideMark/>
          </w:tcPr>
          <w:p w14:paraId="3363480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25,105</w:t>
            </w:r>
          </w:p>
        </w:tc>
        <w:tc>
          <w:tcPr>
            <w:tcW w:w="395" w:type="pct"/>
            <w:tcBorders>
              <w:top w:val="nil"/>
              <w:left w:val="nil"/>
              <w:bottom w:val="nil"/>
              <w:right w:val="nil"/>
            </w:tcBorders>
            <w:shd w:val="clear" w:color="000000" w:fill="FFFFFF"/>
            <w:noWrap/>
            <w:vAlign w:val="center"/>
            <w:hideMark/>
          </w:tcPr>
          <w:p w14:paraId="02CEFC1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20,589</w:t>
            </w:r>
          </w:p>
        </w:tc>
        <w:tc>
          <w:tcPr>
            <w:tcW w:w="395" w:type="pct"/>
            <w:tcBorders>
              <w:top w:val="nil"/>
              <w:left w:val="nil"/>
              <w:bottom w:val="nil"/>
              <w:right w:val="nil"/>
            </w:tcBorders>
            <w:shd w:val="clear" w:color="000000" w:fill="FFFFFF"/>
            <w:noWrap/>
            <w:vAlign w:val="center"/>
            <w:hideMark/>
          </w:tcPr>
          <w:p w14:paraId="59AA36D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18,960</w:t>
            </w:r>
          </w:p>
        </w:tc>
        <w:tc>
          <w:tcPr>
            <w:tcW w:w="395" w:type="pct"/>
            <w:tcBorders>
              <w:top w:val="nil"/>
              <w:left w:val="nil"/>
              <w:bottom w:val="nil"/>
              <w:right w:val="nil"/>
            </w:tcBorders>
            <w:shd w:val="clear" w:color="000000" w:fill="FFFFFF"/>
            <w:noWrap/>
            <w:vAlign w:val="center"/>
            <w:hideMark/>
          </w:tcPr>
          <w:p w14:paraId="7206447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9,679</w:t>
            </w:r>
          </w:p>
        </w:tc>
        <w:tc>
          <w:tcPr>
            <w:tcW w:w="395" w:type="pct"/>
            <w:tcBorders>
              <w:top w:val="nil"/>
              <w:left w:val="nil"/>
              <w:bottom w:val="nil"/>
              <w:right w:val="nil"/>
            </w:tcBorders>
            <w:shd w:val="clear" w:color="000000" w:fill="FFFFFF"/>
            <w:noWrap/>
            <w:vAlign w:val="center"/>
            <w:hideMark/>
          </w:tcPr>
          <w:p w14:paraId="757EB90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5,917</w:t>
            </w:r>
          </w:p>
        </w:tc>
        <w:tc>
          <w:tcPr>
            <w:tcW w:w="368" w:type="pct"/>
            <w:tcBorders>
              <w:top w:val="nil"/>
              <w:left w:val="nil"/>
              <w:bottom w:val="nil"/>
              <w:right w:val="nil"/>
            </w:tcBorders>
            <w:shd w:val="clear" w:color="000000" w:fill="FFFFFF"/>
            <w:noWrap/>
            <w:vAlign w:val="center"/>
            <w:hideMark/>
          </w:tcPr>
          <w:p w14:paraId="198DAD0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2,109</w:t>
            </w:r>
          </w:p>
        </w:tc>
        <w:tc>
          <w:tcPr>
            <w:tcW w:w="368" w:type="pct"/>
            <w:tcBorders>
              <w:top w:val="nil"/>
              <w:left w:val="nil"/>
              <w:bottom w:val="nil"/>
              <w:right w:val="nil"/>
            </w:tcBorders>
            <w:shd w:val="clear" w:color="000000" w:fill="FFFFFF"/>
            <w:noWrap/>
            <w:vAlign w:val="center"/>
            <w:hideMark/>
          </w:tcPr>
          <w:p w14:paraId="6B3454F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1,319</w:t>
            </w:r>
          </w:p>
        </w:tc>
        <w:tc>
          <w:tcPr>
            <w:tcW w:w="368" w:type="pct"/>
            <w:tcBorders>
              <w:top w:val="nil"/>
              <w:left w:val="nil"/>
              <w:bottom w:val="nil"/>
              <w:right w:val="nil"/>
            </w:tcBorders>
            <w:shd w:val="clear" w:color="000000" w:fill="FFFFFF"/>
            <w:noWrap/>
            <w:vAlign w:val="center"/>
            <w:hideMark/>
          </w:tcPr>
          <w:p w14:paraId="51AB622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1,596</w:t>
            </w:r>
          </w:p>
        </w:tc>
        <w:tc>
          <w:tcPr>
            <w:tcW w:w="476" w:type="pct"/>
            <w:tcBorders>
              <w:top w:val="nil"/>
              <w:left w:val="nil"/>
              <w:bottom w:val="nil"/>
              <w:right w:val="nil"/>
            </w:tcBorders>
            <w:shd w:val="clear" w:color="000000" w:fill="FFFFFF"/>
            <w:noWrap/>
            <w:vAlign w:val="center"/>
            <w:hideMark/>
          </w:tcPr>
          <w:p w14:paraId="36E0C8B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86,485</w:t>
            </w:r>
          </w:p>
        </w:tc>
      </w:tr>
      <w:tr w:rsidR="00394A39" w:rsidRPr="00C179A5" w14:paraId="69C21CEB"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4F700400" w14:textId="2E277D9B"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GST</w:t>
            </w:r>
            <w:r w:rsidR="00B71E80" w:rsidRPr="00C179A5">
              <w:rPr>
                <w:rFonts w:ascii="Arial" w:hAnsi="Arial" w:cs="Arial"/>
                <w:sz w:val="16"/>
                <w:szCs w:val="16"/>
              </w:rPr>
              <w:noBreakHyphen/>
            </w:r>
            <w:r w:rsidRPr="00C179A5">
              <w:rPr>
                <w:rFonts w:ascii="Arial" w:hAnsi="Arial" w:cs="Arial"/>
                <w:sz w:val="16"/>
                <w:szCs w:val="16"/>
              </w:rPr>
              <w:t>related payments(b)</w:t>
            </w:r>
          </w:p>
        </w:tc>
        <w:tc>
          <w:tcPr>
            <w:tcW w:w="395" w:type="pct"/>
            <w:tcBorders>
              <w:top w:val="nil"/>
              <w:left w:val="nil"/>
              <w:bottom w:val="nil"/>
              <w:right w:val="nil"/>
            </w:tcBorders>
            <w:shd w:val="clear" w:color="000000" w:fill="FFFFFF"/>
            <w:noWrap/>
            <w:vAlign w:val="center"/>
            <w:hideMark/>
          </w:tcPr>
          <w:p w14:paraId="17566465"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27,760</w:t>
            </w:r>
          </w:p>
        </w:tc>
        <w:tc>
          <w:tcPr>
            <w:tcW w:w="395" w:type="pct"/>
            <w:tcBorders>
              <w:top w:val="nil"/>
              <w:left w:val="nil"/>
              <w:bottom w:val="nil"/>
              <w:right w:val="nil"/>
            </w:tcBorders>
            <w:shd w:val="clear" w:color="000000" w:fill="FFFFFF"/>
            <w:noWrap/>
            <w:vAlign w:val="center"/>
            <w:hideMark/>
          </w:tcPr>
          <w:p w14:paraId="68563BD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21,254</w:t>
            </w:r>
          </w:p>
        </w:tc>
        <w:tc>
          <w:tcPr>
            <w:tcW w:w="395" w:type="pct"/>
            <w:tcBorders>
              <w:top w:val="nil"/>
              <w:left w:val="nil"/>
              <w:bottom w:val="nil"/>
              <w:right w:val="nil"/>
            </w:tcBorders>
            <w:shd w:val="clear" w:color="000000" w:fill="FFFFFF"/>
            <w:noWrap/>
            <w:vAlign w:val="center"/>
            <w:hideMark/>
          </w:tcPr>
          <w:p w14:paraId="4F42E6C5"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20,232</w:t>
            </w:r>
          </w:p>
        </w:tc>
        <w:tc>
          <w:tcPr>
            <w:tcW w:w="395" w:type="pct"/>
            <w:tcBorders>
              <w:top w:val="nil"/>
              <w:left w:val="nil"/>
              <w:bottom w:val="nil"/>
              <w:right w:val="nil"/>
            </w:tcBorders>
            <w:shd w:val="clear" w:color="000000" w:fill="FFFFFF"/>
            <w:noWrap/>
            <w:vAlign w:val="center"/>
            <w:hideMark/>
          </w:tcPr>
          <w:p w14:paraId="549C05D5"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7,267</w:t>
            </w:r>
          </w:p>
        </w:tc>
        <w:tc>
          <w:tcPr>
            <w:tcW w:w="395" w:type="pct"/>
            <w:tcBorders>
              <w:top w:val="nil"/>
              <w:left w:val="nil"/>
              <w:bottom w:val="nil"/>
              <w:right w:val="nil"/>
            </w:tcBorders>
            <w:shd w:val="clear" w:color="000000" w:fill="FFFFFF"/>
            <w:noWrap/>
            <w:vAlign w:val="center"/>
            <w:hideMark/>
          </w:tcPr>
          <w:p w14:paraId="0098964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9,085</w:t>
            </w:r>
          </w:p>
        </w:tc>
        <w:tc>
          <w:tcPr>
            <w:tcW w:w="368" w:type="pct"/>
            <w:tcBorders>
              <w:top w:val="nil"/>
              <w:left w:val="nil"/>
              <w:bottom w:val="nil"/>
              <w:right w:val="nil"/>
            </w:tcBorders>
            <w:shd w:val="clear" w:color="000000" w:fill="FFFFFF"/>
            <w:noWrap/>
            <w:vAlign w:val="center"/>
            <w:hideMark/>
          </w:tcPr>
          <w:p w14:paraId="78CA93E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3,612</w:t>
            </w:r>
          </w:p>
        </w:tc>
        <w:tc>
          <w:tcPr>
            <w:tcW w:w="368" w:type="pct"/>
            <w:tcBorders>
              <w:top w:val="nil"/>
              <w:left w:val="nil"/>
              <w:bottom w:val="nil"/>
              <w:right w:val="nil"/>
            </w:tcBorders>
            <w:shd w:val="clear" w:color="000000" w:fill="FFFFFF"/>
            <w:noWrap/>
            <w:vAlign w:val="center"/>
            <w:hideMark/>
          </w:tcPr>
          <w:p w14:paraId="0E9840B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2,005</w:t>
            </w:r>
          </w:p>
        </w:tc>
        <w:tc>
          <w:tcPr>
            <w:tcW w:w="368" w:type="pct"/>
            <w:tcBorders>
              <w:top w:val="nil"/>
              <w:left w:val="nil"/>
              <w:bottom w:val="nil"/>
              <w:right w:val="nil"/>
            </w:tcBorders>
            <w:shd w:val="clear" w:color="000000" w:fill="FFFFFF"/>
            <w:noWrap/>
            <w:vAlign w:val="center"/>
            <w:hideMark/>
          </w:tcPr>
          <w:p w14:paraId="01F84671"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4,342</w:t>
            </w:r>
          </w:p>
        </w:tc>
        <w:tc>
          <w:tcPr>
            <w:tcW w:w="476" w:type="pct"/>
            <w:tcBorders>
              <w:top w:val="nil"/>
              <w:left w:val="nil"/>
              <w:bottom w:val="nil"/>
              <w:right w:val="nil"/>
            </w:tcBorders>
            <w:shd w:val="clear" w:color="000000" w:fill="FFFFFF"/>
            <w:noWrap/>
            <w:vAlign w:val="center"/>
            <w:hideMark/>
          </w:tcPr>
          <w:p w14:paraId="2CB2FDD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95,557</w:t>
            </w:r>
          </w:p>
        </w:tc>
      </w:tr>
      <w:tr w:rsidR="00394A39" w:rsidRPr="00C179A5" w14:paraId="6430740E"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56DC4A19"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Other general revenue</w:t>
            </w:r>
          </w:p>
        </w:tc>
        <w:tc>
          <w:tcPr>
            <w:tcW w:w="395" w:type="pct"/>
            <w:tcBorders>
              <w:top w:val="nil"/>
              <w:left w:val="nil"/>
              <w:bottom w:val="nil"/>
              <w:right w:val="nil"/>
            </w:tcBorders>
            <w:shd w:val="clear" w:color="000000" w:fill="FFFFFF"/>
            <w:noWrap/>
            <w:vAlign w:val="center"/>
            <w:hideMark/>
          </w:tcPr>
          <w:p w14:paraId="5C137C0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728A9F7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4B14808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6C93B54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799D3BE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200FFD3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2072CB6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6EF2EC4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nil"/>
              <w:left w:val="nil"/>
              <w:bottom w:val="nil"/>
              <w:right w:val="nil"/>
            </w:tcBorders>
            <w:shd w:val="clear" w:color="000000" w:fill="FFFFFF"/>
            <w:noWrap/>
            <w:vAlign w:val="center"/>
            <w:hideMark/>
          </w:tcPr>
          <w:p w14:paraId="785EB41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5DD10CEC" w14:textId="77777777" w:rsidTr="00BB634C">
        <w:trPr>
          <w:trHeight w:hRule="exact" w:val="225"/>
        </w:trPr>
        <w:tc>
          <w:tcPr>
            <w:tcW w:w="1444" w:type="pct"/>
            <w:tcBorders>
              <w:top w:val="nil"/>
              <w:left w:val="nil"/>
              <w:bottom w:val="nil"/>
              <w:right w:val="nil"/>
            </w:tcBorders>
            <w:shd w:val="clear" w:color="000000" w:fill="FFFFFF"/>
            <w:noWrap/>
            <w:vAlign w:val="center"/>
            <w:hideMark/>
          </w:tcPr>
          <w:p w14:paraId="31E12DDB" w14:textId="77777777" w:rsidR="0096630A" w:rsidRPr="00C179A5" w:rsidRDefault="0096630A" w:rsidP="0096630A">
            <w:pPr>
              <w:spacing w:before="0" w:after="0" w:line="240" w:lineRule="auto"/>
              <w:ind w:left="170"/>
              <w:rPr>
                <w:rFonts w:ascii="Arial" w:hAnsi="Arial" w:cs="Arial"/>
                <w:sz w:val="16"/>
                <w:szCs w:val="16"/>
              </w:rPr>
            </w:pPr>
            <w:r w:rsidRPr="00C179A5">
              <w:rPr>
                <w:rFonts w:ascii="Arial" w:hAnsi="Arial" w:cs="Arial"/>
                <w:sz w:val="16"/>
                <w:szCs w:val="16"/>
              </w:rPr>
              <w:t>assistance</w:t>
            </w:r>
          </w:p>
        </w:tc>
        <w:tc>
          <w:tcPr>
            <w:tcW w:w="395" w:type="pct"/>
            <w:tcBorders>
              <w:top w:val="nil"/>
              <w:left w:val="nil"/>
              <w:bottom w:val="single" w:sz="4" w:space="0" w:color="002A54" w:themeColor="text2"/>
              <w:right w:val="nil"/>
            </w:tcBorders>
            <w:shd w:val="clear" w:color="000000" w:fill="FFFFFF"/>
            <w:noWrap/>
            <w:vAlign w:val="center"/>
            <w:hideMark/>
          </w:tcPr>
          <w:p w14:paraId="26A8EC33" w14:textId="78EE924B"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FFFFFF"/>
            <w:noWrap/>
            <w:vAlign w:val="center"/>
            <w:hideMark/>
          </w:tcPr>
          <w:p w14:paraId="397A1880" w14:textId="0E0F4439"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FFFFFF"/>
            <w:noWrap/>
            <w:vAlign w:val="center"/>
            <w:hideMark/>
          </w:tcPr>
          <w:p w14:paraId="1C0AB447" w14:textId="22D6D644"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FFFFFF"/>
            <w:noWrap/>
            <w:vAlign w:val="center"/>
            <w:hideMark/>
          </w:tcPr>
          <w:p w14:paraId="61B2D01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743</w:t>
            </w:r>
          </w:p>
        </w:tc>
        <w:tc>
          <w:tcPr>
            <w:tcW w:w="395" w:type="pct"/>
            <w:tcBorders>
              <w:top w:val="nil"/>
              <w:left w:val="nil"/>
              <w:bottom w:val="single" w:sz="4" w:space="0" w:color="002A54" w:themeColor="text2"/>
              <w:right w:val="nil"/>
            </w:tcBorders>
            <w:shd w:val="clear" w:color="000000" w:fill="FFFFFF"/>
            <w:noWrap/>
            <w:vAlign w:val="center"/>
            <w:hideMark/>
          </w:tcPr>
          <w:p w14:paraId="23E633CA" w14:textId="7DFBD5ED"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68" w:type="pct"/>
            <w:tcBorders>
              <w:top w:val="nil"/>
              <w:left w:val="nil"/>
              <w:bottom w:val="single" w:sz="4" w:space="0" w:color="002A54" w:themeColor="text2"/>
              <w:right w:val="nil"/>
            </w:tcBorders>
            <w:shd w:val="clear" w:color="000000" w:fill="FFFFFF"/>
            <w:noWrap/>
            <w:vAlign w:val="center"/>
            <w:hideMark/>
          </w:tcPr>
          <w:p w14:paraId="515D84A7" w14:textId="6E09F239"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68" w:type="pct"/>
            <w:tcBorders>
              <w:top w:val="nil"/>
              <w:left w:val="nil"/>
              <w:bottom w:val="single" w:sz="4" w:space="0" w:color="002A54" w:themeColor="text2"/>
              <w:right w:val="nil"/>
            </w:tcBorders>
            <w:shd w:val="clear" w:color="000000" w:fill="FFFFFF"/>
            <w:noWrap/>
            <w:vAlign w:val="center"/>
            <w:hideMark/>
          </w:tcPr>
          <w:p w14:paraId="0BB6E45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45</w:t>
            </w:r>
          </w:p>
        </w:tc>
        <w:tc>
          <w:tcPr>
            <w:tcW w:w="368" w:type="pct"/>
            <w:tcBorders>
              <w:top w:val="nil"/>
              <w:left w:val="nil"/>
              <w:bottom w:val="single" w:sz="4" w:space="0" w:color="002A54" w:themeColor="text2"/>
              <w:right w:val="nil"/>
            </w:tcBorders>
            <w:shd w:val="clear" w:color="000000" w:fill="FFFFFF"/>
            <w:noWrap/>
            <w:vAlign w:val="center"/>
            <w:hideMark/>
          </w:tcPr>
          <w:p w14:paraId="0261D59D" w14:textId="6C126D31"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476" w:type="pct"/>
            <w:tcBorders>
              <w:top w:val="nil"/>
              <w:left w:val="nil"/>
              <w:bottom w:val="single" w:sz="4" w:space="0" w:color="002A54" w:themeColor="text2"/>
              <w:right w:val="nil"/>
            </w:tcBorders>
            <w:shd w:val="clear" w:color="000000" w:fill="FFFFFF"/>
            <w:noWrap/>
            <w:vAlign w:val="center"/>
            <w:hideMark/>
          </w:tcPr>
          <w:p w14:paraId="7E4CA7D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788</w:t>
            </w:r>
          </w:p>
        </w:tc>
      </w:tr>
      <w:tr w:rsidR="00394A39" w:rsidRPr="00C179A5" w14:paraId="6577E7B6" w14:textId="77777777" w:rsidTr="00BB634C">
        <w:trPr>
          <w:trHeight w:hRule="exact" w:val="225"/>
        </w:trPr>
        <w:tc>
          <w:tcPr>
            <w:tcW w:w="1444" w:type="pct"/>
            <w:tcBorders>
              <w:top w:val="nil"/>
              <w:left w:val="nil"/>
              <w:bottom w:val="nil"/>
              <w:right w:val="nil"/>
            </w:tcBorders>
            <w:shd w:val="clear" w:color="000000" w:fill="FFFFFF"/>
            <w:noWrap/>
            <w:vAlign w:val="center"/>
            <w:hideMark/>
          </w:tcPr>
          <w:p w14:paraId="37E9B4B1"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Total payments to the states</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1BC5C6E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52,864</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0D6CC5F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41,844</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20F36F1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39,192</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35F9C7C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17,689</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4A730CB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15,001</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3ABCA5D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5,722</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7234357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3,370</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57F45E8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5,938</w:t>
            </w:r>
          </w:p>
        </w:tc>
        <w:tc>
          <w:tcPr>
            <w:tcW w:w="476" w:type="pct"/>
            <w:tcBorders>
              <w:top w:val="single" w:sz="4" w:space="0" w:color="002A54" w:themeColor="text2"/>
              <w:left w:val="nil"/>
              <w:bottom w:val="single" w:sz="4" w:space="0" w:color="002A54" w:themeColor="text2"/>
              <w:right w:val="nil"/>
            </w:tcBorders>
            <w:shd w:val="clear" w:color="000000" w:fill="FFFFFF"/>
            <w:noWrap/>
            <w:vAlign w:val="center"/>
            <w:hideMark/>
          </w:tcPr>
          <w:p w14:paraId="54DAB5A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182,830</w:t>
            </w:r>
          </w:p>
        </w:tc>
      </w:tr>
      <w:tr w:rsidR="00394A39" w:rsidRPr="00C179A5" w14:paraId="61B717B6" w14:textId="77777777" w:rsidTr="00BB634C">
        <w:trPr>
          <w:trHeight w:hRule="exact" w:val="225"/>
        </w:trPr>
        <w:tc>
          <w:tcPr>
            <w:tcW w:w="1444" w:type="pct"/>
            <w:tcBorders>
              <w:top w:val="nil"/>
              <w:left w:val="nil"/>
              <w:bottom w:val="nil"/>
              <w:right w:val="nil"/>
            </w:tcBorders>
            <w:shd w:val="clear" w:color="000000" w:fill="FFFFFF"/>
            <w:noWrap/>
            <w:vAlign w:val="center"/>
            <w:hideMark/>
          </w:tcPr>
          <w:p w14:paraId="440130B8" w14:textId="3A35D5F1" w:rsidR="0096630A" w:rsidRPr="00C179A5" w:rsidRDefault="0096630A" w:rsidP="0096630A">
            <w:pPr>
              <w:spacing w:before="0" w:after="0" w:line="240" w:lineRule="auto"/>
              <w:rPr>
                <w:rFonts w:ascii="Arial" w:hAnsi="Arial" w:cs="Arial"/>
                <w:b/>
                <w:sz w:val="16"/>
                <w:szCs w:val="16"/>
              </w:rPr>
            </w:pPr>
            <w:r w:rsidRPr="00C179A5">
              <w:rPr>
                <w:rFonts w:ascii="Arial" w:hAnsi="Arial" w:cs="Arial"/>
                <w:b/>
                <w:sz w:val="16"/>
                <w:szCs w:val="16"/>
              </w:rPr>
              <w:t>2025</w:t>
            </w:r>
            <w:r w:rsidR="00B71E80" w:rsidRPr="00C179A5">
              <w:rPr>
                <w:rFonts w:ascii="Arial" w:hAnsi="Arial" w:cs="Arial"/>
                <w:b/>
                <w:sz w:val="16"/>
                <w:szCs w:val="16"/>
              </w:rPr>
              <w:noBreakHyphen/>
            </w:r>
            <w:r w:rsidRPr="00C179A5">
              <w:rPr>
                <w:rFonts w:ascii="Arial" w:hAnsi="Arial" w:cs="Arial"/>
                <w:b/>
                <w:sz w:val="16"/>
                <w:szCs w:val="16"/>
              </w:rPr>
              <w:t>26</w:t>
            </w:r>
          </w:p>
        </w:tc>
        <w:tc>
          <w:tcPr>
            <w:tcW w:w="395" w:type="pct"/>
            <w:tcBorders>
              <w:top w:val="single" w:sz="4" w:space="0" w:color="002A54" w:themeColor="text2"/>
              <w:left w:val="nil"/>
              <w:bottom w:val="nil"/>
              <w:right w:val="nil"/>
            </w:tcBorders>
            <w:shd w:val="clear" w:color="000000" w:fill="FFFFFF"/>
            <w:noWrap/>
            <w:vAlign w:val="center"/>
            <w:hideMark/>
          </w:tcPr>
          <w:p w14:paraId="7CB6E97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1028812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7CEEC0A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6E61B58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357F288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FFFFFF"/>
            <w:noWrap/>
            <w:vAlign w:val="center"/>
            <w:hideMark/>
          </w:tcPr>
          <w:p w14:paraId="6A43C84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FFFFFF"/>
            <w:noWrap/>
            <w:vAlign w:val="center"/>
            <w:hideMark/>
          </w:tcPr>
          <w:p w14:paraId="4567D6F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FFFFFF"/>
            <w:noWrap/>
            <w:vAlign w:val="center"/>
            <w:hideMark/>
          </w:tcPr>
          <w:p w14:paraId="3BAF776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single" w:sz="4" w:space="0" w:color="002A54" w:themeColor="text2"/>
              <w:left w:val="nil"/>
              <w:bottom w:val="nil"/>
              <w:right w:val="nil"/>
            </w:tcBorders>
            <w:shd w:val="clear" w:color="000000" w:fill="FFFFFF"/>
            <w:noWrap/>
            <w:vAlign w:val="center"/>
            <w:hideMark/>
          </w:tcPr>
          <w:p w14:paraId="5584C645"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599D4494"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4815885E"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Payments for specific</w:t>
            </w:r>
          </w:p>
        </w:tc>
        <w:tc>
          <w:tcPr>
            <w:tcW w:w="395" w:type="pct"/>
            <w:tcBorders>
              <w:top w:val="nil"/>
              <w:left w:val="nil"/>
              <w:bottom w:val="nil"/>
              <w:right w:val="nil"/>
            </w:tcBorders>
            <w:shd w:val="clear" w:color="000000" w:fill="FFFFFF"/>
            <w:noWrap/>
            <w:vAlign w:val="center"/>
            <w:hideMark/>
          </w:tcPr>
          <w:p w14:paraId="7D1D638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6B8002A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28F31EA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11ECDAD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46945DF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44E4DFB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1B6717F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5D0E55A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nil"/>
              <w:left w:val="nil"/>
              <w:bottom w:val="nil"/>
              <w:right w:val="nil"/>
            </w:tcBorders>
            <w:shd w:val="clear" w:color="000000" w:fill="FFFFFF"/>
            <w:noWrap/>
            <w:vAlign w:val="center"/>
            <w:hideMark/>
          </w:tcPr>
          <w:p w14:paraId="09FA125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7330510B"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015CC07B" w14:textId="77777777" w:rsidR="0096630A" w:rsidRPr="00C179A5" w:rsidRDefault="0096630A" w:rsidP="0096630A">
            <w:pPr>
              <w:spacing w:before="0" w:after="0" w:line="240" w:lineRule="auto"/>
              <w:ind w:left="170"/>
              <w:rPr>
                <w:rFonts w:ascii="Arial" w:hAnsi="Arial" w:cs="Arial"/>
                <w:sz w:val="16"/>
                <w:szCs w:val="16"/>
              </w:rPr>
            </w:pPr>
            <w:r w:rsidRPr="00C179A5">
              <w:rPr>
                <w:rFonts w:ascii="Arial" w:hAnsi="Arial" w:cs="Arial"/>
                <w:sz w:val="16"/>
                <w:szCs w:val="16"/>
              </w:rPr>
              <w:t>purposes(a)</w:t>
            </w:r>
          </w:p>
        </w:tc>
        <w:tc>
          <w:tcPr>
            <w:tcW w:w="395" w:type="pct"/>
            <w:tcBorders>
              <w:top w:val="nil"/>
              <w:left w:val="nil"/>
              <w:bottom w:val="nil"/>
              <w:right w:val="nil"/>
            </w:tcBorders>
            <w:shd w:val="clear" w:color="000000" w:fill="FFFFFF"/>
            <w:noWrap/>
            <w:vAlign w:val="center"/>
            <w:hideMark/>
          </w:tcPr>
          <w:p w14:paraId="5E50D29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24,682</w:t>
            </w:r>
          </w:p>
        </w:tc>
        <w:tc>
          <w:tcPr>
            <w:tcW w:w="395" w:type="pct"/>
            <w:tcBorders>
              <w:top w:val="nil"/>
              <w:left w:val="nil"/>
              <w:bottom w:val="nil"/>
              <w:right w:val="nil"/>
            </w:tcBorders>
            <w:shd w:val="clear" w:color="000000" w:fill="FFFFFF"/>
            <w:noWrap/>
            <w:vAlign w:val="center"/>
            <w:hideMark/>
          </w:tcPr>
          <w:p w14:paraId="5DAB2B7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21,665</w:t>
            </w:r>
          </w:p>
        </w:tc>
        <w:tc>
          <w:tcPr>
            <w:tcW w:w="395" w:type="pct"/>
            <w:tcBorders>
              <w:top w:val="nil"/>
              <w:left w:val="nil"/>
              <w:bottom w:val="nil"/>
              <w:right w:val="nil"/>
            </w:tcBorders>
            <w:shd w:val="clear" w:color="000000" w:fill="FFFFFF"/>
            <w:noWrap/>
            <w:vAlign w:val="center"/>
            <w:hideMark/>
          </w:tcPr>
          <w:p w14:paraId="0AAF664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19,632</w:t>
            </w:r>
          </w:p>
        </w:tc>
        <w:tc>
          <w:tcPr>
            <w:tcW w:w="395" w:type="pct"/>
            <w:tcBorders>
              <w:top w:val="nil"/>
              <w:left w:val="nil"/>
              <w:bottom w:val="nil"/>
              <w:right w:val="nil"/>
            </w:tcBorders>
            <w:shd w:val="clear" w:color="000000" w:fill="FFFFFF"/>
            <w:noWrap/>
            <w:vAlign w:val="center"/>
            <w:hideMark/>
          </w:tcPr>
          <w:p w14:paraId="05F35071"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8,885</w:t>
            </w:r>
          </w:p>
        </w:tc>
        <w:tc>
          <w:tcPr>
            <w:tcW w:w="395" w:type="pct"/>
            <w:tcBorders>
              <w:top w:val="nil"/>
              <w:left w:val="nil"/>
              <w:bottom w:val="nil"/>
              <w:right w:val="nil"/>
            </w:tcBorders>
            <w:shd w:val="clear" w:color="000000" w:fill="FFFFFF"/>
            <w:noWrap/>
            <w:vAlign w:val="center"/>
            <w:hideMark/>
          </w:tcPr>
          <w:p w14:paraId="6261BDB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6,065</w:t>
            </w:r>
          </w:p>
        </w:tc>
        <w:tc>
          <w:tcPr>
            <w:tcW w:w="368" w:type="pct"/>
            <w:tcBorders>
              <w:top w:val="nil"/>
              <w:left w:val="nil"/>
              <w:bottom w:val="nil"/>
              <w:right w:val="nil"/>
            </w:tcBorders>
            <w:shd w:val="clear" w:color="000000" w:fill="FFFFFF"/>
            <w:noWrap/>
            <w:vAlign w:val="center"/>
            <w:hideMark/>
          </w:tcPr>
          <w:p w14:paraId="5AB7037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2,057</w:t>
            </w:r>
          </w:p>
        </w:tc>
        <w:tc>
          <w:tcPr>
            <w:tcW w:w="368" w:type="pct"/>
            <w:tcBorders>
              <w:top w:val="nil"/>
              <w:left w:val="nil"/>
              <w:bottom w:val="nil"/>
              <w:right w:val="nil"/>
            </w:tcBorders>
            <w:shd w:val="clear" w:color="000000" w:fill="FFFFFF"/>
            <w:noWrap/>
            <w:vAlign w:val="center"/>
            <w:hideMark/>
          </w:tcPr>
          <w:p w14:paraId="3A0C059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1,317</w:t>
            </w:r>
          </w:p>
        </w:tc>
        <w:tc>
          <w:tcPr>
            <w:tcW w:w="368" w:type="pct"/>
            <w:tcBorders>
              <w:top w:val="nil"/>
              <w:left w:val="nil"/>
              <w:bottom w:val="nil"/>
              <w:right w:val="nil"/>
            </w:tcBorders>
            <w:shd w:val="clear" w:color="000000" w:fill="FFFFFF"/>
            <w:noWrap/>
            <w:vAlign w:val="center"/>
            <w:hideMark/>
          </w:tcPr>
          <w:p w14:paraId="7A3EDE7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1,483</w:t>
            </w:r>
          </w:p>
        </w:tc>
        <w:tc>
          <w:tcPr>
            <w:tcW w:w="476" w:type="pct"/>
            <w:tcBorders>
              <w:top w:val="nil"/>
              <w:left w:val="nil"/>
              <w:bottom w:val="nil"/>
              <w:right w:val="nil"/>
            </w:tcBorders>
            <w:shd w:val="clear" w:color="000000" w:fill="FFFFFF"/>
            <w:noWrap/>
            <w:vAlign w:val="center"/>
            <w:hideMark/>
          </w:tcPr>
          <w:p w14:paraId="58E8B9E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86,357</w:t>
            </w:r>
          </w:p>
        </w:tc>
      </w:tr>
      <w:tr w:rsidR="00394A39" w:rsidRPr="00C179A5" w14:paraId="551027C4"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1FA1FE72" w14:textId="1D376FF6"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GST</w:t>
            </w:r>
            <w:r w:rsidR="00B71E80" w:rsidRPr="00C179A5">
              <w:rPr>
                <w:rFonts w:ascii="Arial" w:hAnsi="Arial" w:cs="Arial"/>
                <w:sz w:val="16"/>
                <w:szCs w:val="16"/>
              </w:rPr>
              <w:noBreakHyphen/>
            </w:r>
            <w:r w:rsidRPr="00C179A5">
              <w:rPr>
                <w:rFonts w:ascii="Arial" w:hAnsi="Arial" w:cs="Arial"/>
                <w:sz w:val="16"/>
                <w:szCs w:val="16"/>
              </w:rPr>
              <w:t>related payments(b)</w:t>
            </w:r>
          </w:p>
        </w:tc>
        <w:tc>
          <w:tcPr>
            <w:tcW w:w="395" w:type="pct"/>
            <w:tcBorders>
              <w:top w:val="nil"/>
              <w:left w:val="nil"/>
              <w:bottom w:val="nil"/>
              <w:right w:val="nil"/>
            </w:tcBorders>
            <w:shd w:val="clear" w:color="000000" w:fill="FFFFFF"/>
            <w:noWrap/>
            <w:vAlign w:val="center"/>
            <w:hideMark/>
          </w:tcPr>
          <w:p w14:paraId="24AB212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29,324</w:t>
            </w:r>
          </w:p>
        </w:tc>
        <w:tc>
          <w:tcPr>
            <w:tcW w:w="395" w:type="pct"/>
            <w:tcBorders>
              <w:top w:val="nil"/>
              <w:left w:val="nil"/>
              <w:bottom w:val="nil"/>
              <w:right w:val="nil"/>
            </w:tcBorders>
            <w:shd w:val="clear" w:color="000000" w:fill="FFFFFF"/>
            <w:noWrap/>
            <w:vAlign w:val="center"/>
            <w:hideMark/>
          </w:tcPr>
          <w:p w14:paraId="542472F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22,589</w:t>
            </w:r>
          </w:p>
        </w:tc>
        <w:tc>
          <w:tcPr>
            <w:tcW w:w="395" w:type="pct"/>
            <w:tcBorders>
              <w:top w:val="nil"/>
              <w:left w:val="nil"/>
              <w:bottom w:val="nil"/>
              <w:right w:val="nil"/>
            </w:tcBorders>
            <w:shd w:val="clear" w:color="000000" w:fill="FFFFFF"/>
            <w:noWrap/>
            <w:vAlign w:val="center"/>
            <w:hideMark/>
          </w:tcPr>
          <w:p w14:paraId="155A7F3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21,430</w:t>
            </w:r>
          </w:p>
        </w:tc>
        <w:tc>
          <w:tcPr>
            <w:tcW w:w="395" w:type="pct"/>
            <w:tcBorders>
              <w:top w:val="nil"/>
              <w:left w:val="nil"/>
              <w:bottom w:val="nil"/>
              <w:right w:val="nil"/>
            </w:tcBorders>
            <w:shd w:val="clear" w:color="000000" w:fill="FFFFFF"/>
            <w:noWrap/>
            <w:vAlign w:val="center"/>
            <w:hideMark/>
          </w:tcPr>
          <w:p w14:paraId="4BCF178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7,697</w:t>
            </w:r>
          </w:p>
        </w:tc>
        <w:tc>
          <w:tcPr>
            <w:tcW w:w="395" w:type="pct"/>
            <w:tcBorders>
              <w:top w:val="nil"/>
              <w:left w:val="nil"/>
              <w:bottom w:val="nil"/>
              <w:right w:val="nil"/>
            </w:tcBorders>
            <w:shd w:val="clear" w:color="000000" w:fill="FFFFFF"/>
            <w:noWrap/>
            <w:vAlign w:val="center"/>
            <w:hideMark/>
          </w:tcPr>
          <w:p w14:paraId="62C678D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9,573</w:t>
            </w:r>
          </w:p>
        </w:tc>
        <w:tc>
          <w:tcPr>
            <w:tcW w:w="368" w:type="pct"/>
            <w:tcBorders>
              <w:top w:val="nil"/>
              <w:left w:val="nil"/>
              <w:bottom w:val="nil"/>
              <w:right w:val="nil"/>
            </w:tcBorders>
            <w:shd w:val="clear" w:color="000000" w:fill="FFFFFF"/>
            <w:noWrap/>
            <w:vAlign w:val="center"/>
            <w:hideMark/>
          </w:tcPr>
          <w:p w14:paraId="7317F34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3,816</w:t>
            </w:r>
          </w:p>
        </w:tc>
        <w:tc>
          <w:tcPr>
            <w:tcW w:w="368" w:type="pct"/>
            <w:tcBorders>
              <w:top w:val="nil"/>
              <w:left w:val="nil"/>
              <w:bottom w:val="nil"/>
              <w:right w:val="nil"/>
            </w:tcBorders>
            <w:shd w:val="clear" w:color="000000" w:fill="FFFFFF"/>
            <w:noWrap/>
            <w:vAlign w:val="center"/>
            <w:hideMark/>
          </w:tcPr>
          <w:p w14:paraId="78DBE23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2,135</w:t>
            </w:r>
          </w:p>
        </w:tc>
        <w:tc>
          <w:tcPr>
            <w:tcW w:w="368" w:type="pct"/>
            <w:tcBorders>
              <w:top w:val="nil"/>
              <w:left w:val="nil"/>
              <w:bottom w:val="nil"/>
              <w:right w:val="nil"/>
            </w:tcBorders>
            <w:shd w:val="clear" w:color="000000" w:fill="FFFFFF"/>
            <w:noWrap/>
            <w:vAlign w:val="center"/>
            <w:hideMark/>
          </w:tcPr>
          <w:p w14:paraId="2681936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4,598</w:t>
            </w:r>
          </w:p>
        </w:tc>
        <w:tc>
          <w:tcPr>
            <w:tcW w:w="476" w:type="pct"/>
            <w:tcBorders>
              <w:top w:val="nil"/>
              <w:left w:val="nil"/>
              <w:bottom w:val="nil"/>
              <w:right w:val="nil"/>
            </w:tcBorders>
            <w:shd w:val="clear" w:color="000000" w:fill="FFFFFF"/>
            <w:noWrap/>
            <w:vAlign w:val="center"/>
            <w:hideMark/>
          </w:tcPr>
          <w:p w14:paraId="5401686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101,162</w:t>
            </w:r>
          </w:p>
        </w:tc>
      </w:tr>
      <w:tr w:rsidR="00394A39" w:rsidRPr="00C179A5" w14:paraId="20CF082E"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67D261F1"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Other general revenue</w:t>
            </w:r>
          </w:p>
        </w:tc>
        <w:tc>
          <w:tcPr>
            <w:tcW w:w="395" w:type="pct"/>
            <w:tcBorders>
              <w:top w:val="nil"/>
              <w:left w:val="nil"/>
              <w:bottom w:val="nil"/>
              <w:right w:val="nil"/>
            </w:tcBorders>
            <w:shd w:val="clear" w:color="000000" w:fill="FFFFFF"/>
            <w:noWrap/>
            <w:vAlign w:val="center"/>
            <w:hideMark/>
          </w:tcPr>
          <w:p w14:paraId="0D044F4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7962A39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582A022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5EA0DA5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5BE555C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0819B90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5DDADD7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306ED501"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nil"/>
              <w:left w:val="nil"/>
              <w:bottom w:val="nil"/>
              <w:right w:val="nil"/>
            </w:tcBorders>
            <w:shd w:val="clear" w:color="000000" w:fill="FFFFFF"/>
            <w:noWrap/>
            <w:vAlign w:val="center"/>
            <w:hideMark/>
          </w:tcPr>
          <w:p w14:paraId="26EE58B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02CF61C6" w14:textId="77777777" w:rsidTr="00BB634C">
        <w:trPr>
          <w:trHeight w:hRule="exact" w:val="225"/>
        </w:trPr>
        <w:tc>
          <w:tcPr>
            <w:tcW w:w="1444" w:type="pct"/>
            <w:tcBorders>
              <w:top w:val="nil"/>
              <w:left w:val="nil"/>
              <w:bottom w:val="nil"/>
              <w:right w:val="nil"/>
            </w:tcBorders>
            <w:shd w:val="clear" w:color="000000" w:fill="FFFFFF"/>
            <w:noWrap/>
            <w:vAlign w:val="center"/>
            <w:hideMark/>
          </w:tcPr>
          <w:p w14:paraId="4179850F" w14:textId="77777777" w:rsidR="0096630A" w:rsidRPr="00C179A5" w:rsidRDefault="0096630A" w:rsidP="0096630A">
            <w:pPr>
              <w:spacing w:before="0" w:after="0" w:line="240" w:lineRule="auto"/>
              <w:ind w:left="170"/>
              <w:rPr>
                <w:rFonts w:ascii="Arial" w:hAnsi="Arial" w:cs="Arial"/>
                <w:sz w:val="16"/>
                <w:szCs w:val="16"/>
              </w:rPr>
            </w:pPr>
            <w:r w:rsidRPr="00C179A5">
              <w:rPr>
                <w:rFonts w:ascii="Arial" w:hAnsi="Arial" w:cs="Arial"/>
                <w:sz w:val="16"/>
                <w:szCs w:val="16"/>
              </w:rPr>
              <w:t>assistance</w:t>
            </w:r>
          </w:p>
        </w:tc>
        <w:tc>
          <w:tcPr>
            <w:tcW w:w="395" w:type="pct"/>
            <w:tcBorders>
              <w:top w:val="nil"/>
              <w:left w:val="nil"/>
              <w:bottom w:val="single" w:sz="4" w:space="0" w:color="002A54" w:themeColor="text2"/>
              <w:right w:val="nil"/>
            </w:tcBorders>
            <w:shd w:val="clear" w:color="000000" w:fill="FFFFFF"/>
            <w:noWrap/>
            <w:vAlign w:val="center"/>
            <w:hideMark/>
          </w:tcPr>
          <w:p w14:paraId="6DF25AB3" w14:textId="0785F5F2"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FFFFFF"/>
            <w:noWrap/>
            <w:vAlign w:val="center"/>
            <w:hideMark/>
          </w:tcPr>
          <w:p w14:paraId="058E8575" w14:textId="57E8F9A8"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FFFFFF"/>
            <w:noWrap/>
            <w:vAlign w:val="center"/>
            <w:hideMark/>
          </w:tcPr>
          <w:p w14:paraId="47A299DE" w14:textId="6B7496BB"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FFFFFF"/>
            <w:noWrap/>
            <w:vAlign w:val="center"/>
            <w:hideMark/>
          </w:tcPr>
          <w:p w14:paraId="43F5B49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574</w:t>
            </w:r>
          </w:p>
        </w:tc>
        <w:tc>
          <w:tcPr>
            <w:tcW w:w="395" w:type="pct"/>
            <w:tcBorders>
              <w:top w:val="nil"/>
              <w:left w:val="nil"/>
              <w:bottom w:val="single" w:sz="4" w:space="0" w:color="002A54" w:themeColor="text2"/>
              <w:right w:val="nil"/>
            </w:tcBorders>
            <w:shd w:val="clear" w:color="000000" w:fill="FFFFFF"/>
            <w:noWrap/>
            <w:vAlign w:val="center"/>
            <w:hideMark/>
          </w:tcPr>
          <w:p w14:paraId="441EB224" w14:textId="68C39FE0"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68" w:type="pct"/>
            <w:tcBorders>
              <w:top w:val="nil"/>
              <w:left w:val="nil"/>
              <w:bottom w:val="single" w:sz="4" w:space="0" w:color="002A54" w:themeColor="text2"/>
              <w:right w:val="nil"/>
            </w:tcBorders>
            <w:shd w:val="clear" w:color="000000" w:fill="FFFFFF"/>
            <w:noWrap/>
            <w:vAlign w:val="center"/>
            <w:hideMark/>
          </w:tcPr>
          <w:p w14:paraId="68A4F760" w14:textId="333E070F"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68" w:type="pct"/>
            <w:tcBorders>
              <w:top w:val="nil"/>
              <w:left w:val="nil"/>
              <w:bottom w:val="single" w:sz="4" w:space="0" w:color="002A54" w:themeColor="text2"/>
              <w:right w:val="nil"/>
            </w:tcBorders>
            <w:shd w:val="clear" w:color="000000" w:fill="FFFFFF"/>
            <w:noWrap/>
            <w:vAlign w:val="center"/>
            <w:hideMark/>
          </w:tcPr>
          <w:p w14:paraId="1BB3181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46</w:t>
            </w:r>
          </w:p>
        </w:tc>
        <w:tc>
          <w:tcPr>
            <w:tcW w:w="368" w:type="pct"/>
            <w:tcBorders>
              <w:top w:val="nil"/>
              <w:left w:val="nil"/>
              <w:bottom w:val="single" w:sz="4" w:space="0" w:color="002A54" w:themeColor="text2"/>
              <w:right w:val="nil"/>
            </w:tcBorders>
            <w:shd w:val="clear" w:color="000000" w:fill="FFFFFF"/>
            <w:noWrap/>
            <w:vAlign w:val="center"/>
            <w:hideMark/>
          </w:tcPr>
          <w:p w14:paraId="40AFC149" w14:textId="6D22BCD0"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476" w:type="pct"/>
            <w:tcBorders>
              <w:top w:val="nil"/>
              <w:left w:val="nil"/>
              <w:bottom w:val="single" w:sz="4" w:space="0" w:color="002A54" w:themeColor="text2"/>
              <w:right w:val="nil"/>
            </w:tcBorders>
            <w:shd w:val="clear" w:color="000000" w:fill="FFFFFF"/>
            <w:noWrap/>
            <w:vAlign w:val="center"/>
            <w:hideMark/>
          </w:tcPr>
          <w:p w14:paraId="3196D75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621</w:t>
            </w:r>
          </w:p>
        </w:tc>
      </w:tr>
      <w:tr w:rsidR="00394A39" w:rsidRPr="00C179A5" w14:paraId="3311CDA2" w14:textId="77777777" w:rsidTr="00BB634C">
        <w:trPr>
          <w:trHeight w:hRule="exact" w:val="225"/>
        </w:trPr>
        <w:tc>
          <w:tcPr>
            <w:tcW w:w="1444" w:type="pct"/>
            <w:tcBorders>
              <w:top w:val="nil"/>
              <w:left w:val="nil"/>
              <w:bottom w:val="nil"/>
              <w:right w:val="nil"/>
            </w:tcBorders>
            <w:shd w:val="clear" w:color="000000" w:fill="FFFFFF"/>
            <w:noWrap/>
            <w:vAlign w:val="center"/>
            <w:hideMark/>
          </w:tcPr>
          <w:p w14:paraId="68E69B81"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Total payments to the states</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71E89501"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54,007</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02A942D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44,253</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32763F7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41,062</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7D6EBB9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17,156</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1C2043A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15,638</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1CD08B21"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5,873</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0776379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3,498</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5D3EB9E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6,081</w:t>
            </w:r>
          </w:p>
        </w:tc>
        <w:tc>
          <w:tcPr>
            <w:tcW w:w="476" w:type="pct"/>
            <w:tcBorders>
              <w:top w:val="single" w:sz="4" w:space="0" w:color="002A54" w:themeColor="text2"/>
              <w:left w:val="nil"/>
              <w:bottom w:val="single" w:sz="4" w:space="0" w:color="002A54" w:themeColor="text2"/>
              <w:right w:val="nil"/>
            </w:tcBorders>
            <w:shd w:val="clear" w:color="000000" w:fill="FFFFFF"/>
            <w:noWrap/>
            <w:vAlign w:val="center"/>
            <w:hideMark/>
          </w:tcPr>
          <w:p w14:paraId="4A6F836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188,139</w:t>
            </w:r>
          </w:p>
        </w:tc>
      </w:tr>
      <w:tr w:rsidR="00394A39" w:rsidRPr="00C179A5" w14:paraId="1422D5E3" w14:textId="77777777" w:rsidTr="00BB634C">
        <w:trPr>
          <w:trHeight w:hRule="exact" w:val="225"/>
        </w:trPr>
        <w:tc>
          <w:tcPr>
            <w:tcW w:w="1444" w:type="pct"/>
            <w:tcBorders>
              <w:top w:val="nil"/>
              <w:left w:val="nil"/>
              <w:bottom w:val="nil"/>
              <w:right w:val="nil"/>
            </w:tcBorders>
            <w:shd w:val="clear" w:color="000000" w:fill="FFFFFF"/>
            <w:noWrap/>
            <w:vAlign w:val="center"/>
            <w:hideMark/>
          </w:tcPr>
          <w:p w14:paraId="4D0A7BF2" w14:textId="1D14A0B8" w:rsidR="0096630A" w:rsidRPr="00C179A5" w:rsidRDefault="0096630A" w:rsidP="0096630A">
            <w:pPr>
              <w:spacing w:before="0" w:after="0" w:line="240" w:lineRule="auto"/>
              <w:rPr>
                <w:rFonts w:ascii="Arial" w:hAnsi="Arial" w:cs="Arial"/>
                <w:b/>
                <w:sz w:val="16"/>
                <w:szCs w:val="16"/>
              </w:rPr>
            </w:pPr>
            <w:r w:rsidRPr="00C179A5">
              <w:rPr>
                <w:rFonts w:ascii="Arial" w:hAnsi="Arial" w:cs="Arial"/>
                <w:b/>
                <w:sz w:val="16"/>
                <w:szCs w:val="16"/>
              </w:rPr>
              <w:t>2026</w:t>
            </w:r>
            <w:r w:rsidR="00B71E80" w:rsidRPr="00C179A5">
              <w:rPr>
                <w:rFonts w:ascii="Arial" w:hAnsi="Arial" w:cs="Arial"/>
                <w:b/>
                <w:sz w:val="16"/>
                <w:szCs w:val="16"/>
              </w:rPr>
              <w:noBreakHyphen/>
            </w:r>
            <w:r w:rsidRPr="00C179A5">
              <w:rPr>
                <w:rFonts w:ascii="Arial" w:hAnsi="Arial" w:cs="Arial"/>
                <w:b/>
                <w:sz w:val="16"/>
                <w:szCs w:val="16"/>
              </w:rPr>
              <w:t>27</w:t>
            </w:r>
          </w:p>
        </w:tc>
        <w:tc>
          <w:tcPr>
            <w:tcW w:w="395" w:type="pct"/>
            <w:tcBorders>
              <w:top w:val="single" w:sz="4" w:space="0" w:color="002A54" w:themeColor="text2"/>
              <w:left w:val="nil"/>
              <w:bottom w:val="nil"/>
              <w:right w:val="nil"/>
            </w:tcBorders>
            <w:shd w:val="clear" w:color="000000" w:fill="FFFFFF"/>
            <w:noWrap/>
            <w:vAlign w:val="center"/>
            <w:hideMark/>
          </w:tcPr>
          <w:p w14:paraId="2641C051"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437BAF41"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7AFF238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290401B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FFFFFF"/>
            <w:noWrap/>
            <w:vAlign w:val="center"/>
            <w:hideMark/>
          </w:tcPr>
          <w:p w14:paraId="19C2782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FFFFFF"/>
            <w:noWrap/>
            <w:vAlign w:val="center"/>
            <w:hideMark/>
          </w:tcPr>
          <w:p w14:paraId="54889CF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FFFFFF"/>
            <w:noWrap/>
            <w:vAlign w:val="center"/>
            <w:hideMark/>
          </w:tcPr>
          <w:p w14:paraId="17FA113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single" w:sz="4" w:space="0" w:color="002A54" w:themeColor="text2"/>
              <w:left w:val="nil"/>
              <w:bottom w:val="nil"/>
              <w:right w:val="nil"/>
            </w:tcBorders>
            <w:shd w:val="clear" w:color="000000" w:fill="FFFFFF"/>
            <w:noWrap/>
            <w:vAlign w:val="center"/>
            <w:hideMark/>
          </w:tcPr>
          <w:p w14:paraId="6F74076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single" w:sz="4" w:space="0" w:color="002A54" w:themeColor="text2"/>
              <w:left w:val="nil"/>
              <w:bottom w:val="nil"/>
              <w:right w:val="nil"/>
            </w:tcBorders>
            <w:shd w:val="clear" w:color="000000" w:fill="FFFFFF"/>
            <w:noWrap/>
            <w:vAlign w:val="center"/>
            <w:hideMark/>
          </w:tcPr>
          <w:p w14:paraId="514D0E1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19C4FC25"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17742229"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Payments for specific</w:t>
            </w:r>
          </w:p>
        </w:tc>
        <w:tc>
          <w:tcPr>
            <w:tcW w:w="395" w:type="pct"/>
            <w:tcBorders>
              <w:top w:val="nil"/>
              <w:left w:val="nil"/>
              <w:bottom w:val="nil"/>
              <w:right w:val="nil"/>
            </w:tcBorders>
            <w:shd w:val="clear" w:color="000000" w:fill="FFFFFF"/>
            <w:noWrap/>
            <w:vAlign w:val="center"/>
            <w:hideMark/>
          </w:tcPr>
          <w:p w14:paraId="5D4F375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4309EFA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6F3B893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5A0D1CD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44182DC3"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6EA05A85"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18BD8180"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391DD59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nil"/>
              <w:left w:val="nil"/>
              <w:bottom w:val="nil"/>
              <w:right w:val="nil"/>
            </w:tcBorders>
            <w:shd w:val="clear" w:color="000000" w:fill="FFFFFF"/>
            <w:noWrap/>
            <w:vAlign w:val="center"/>
            <w:hideMark/>
          </w:tcPr>
          <w:p w14:paraId="4898676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1130AB42"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3509E3B8" w14:textId="77777777" w:rsidR="0096630A" w:rsidRPr="00C179A5" w:rsidRDefault="0096630A" w:rsidP="0096630A">
            <w:pPr>
              <w:spacing w:before="0" w:after="0" w:line="240" w:lineRule="auto"/>
              <w:ind w:left="170"/>
              <w:rPr>
                <w:rFonts w:ascii="Arial" w:hAnsi="Arial" w:cs="Arial"/>
                <w:sz w:val="16"/>
                <w:szCs w:val="16"/>
              </w:rPr>
            </w:pPr>
            <w:r w:rsidRPr="00C179A5">
              <w:rPr>
                <w:rFonts w:ascii="Arial" w:hAnsi="Arial" w:cs="Arial"/>
                <w:sz w:val="16"/>
                <w:szCs w:val="16"/>
              </w:rPr>
              <w:t>purposes(a)</w:t>
            </w:r>
          </w:p>
        </w:tc>
        <w:tc>
          <w:tcPr>
            <w:tcW w:w="395" w:type="pct"/>
            <w:tcBorders>
              <w:top w:val="nil"/>
              <w:left w:val="nil"/>
              <w:bottom w:val="nil"/>
              <w:right w:val="nil"/>
            </w:tcBorders>
            <w:shd w:val="clear" w:color="000000" w:fill="FFFFFF"/>
            <w:noWrap/>
            <w:vAlign w:val="center"/>
            <w:hideMark/>
          </w:tcPr>
          <w:p w14:paraId="5771E03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25,153</w:t>
            </w:r>
          </w:p>
        </w:tc>
        <w:tc>
          <w:tcPr>
            <w:tcW w:w="395" w:type="pct"/>
            <w:tcBorders>
              <w:top w:val="nil"/>
              <w:left w:val="nil"/>
              <w:bottom w:val="nil"/>
              <w:right w:val="nil"/>
            </w:tcBorders>
            <w:shd w:val="clear" w:color="000000" w:fill="FFFFFF"/>
            <w:noWrap/>
            <w:vAlign w:val="center"/>
            <w:hideMark/>
          </w:tcPr>
          <w:p w14:paraId="46B4483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21,851</w:t>
            </w:r>
          </w:p>
        </w:tc>
        <w:tc>
          <w:tcPr>
            <w:tcW w:w="395" w:type="pct"/>
            <w:tcBorders>
              <w:top w:val="nil"/>
              <w:left w:val="nil"/>
              <w:bottom w:val="nil"/>
              <w:right w:val="nil"/>
            </w:tcBorders>
            <w:shd w:val="clear" w:color="000000" w:fill="FFFFFF"/>
            <w:noWrap/>
            <w:vAlign w:val="center"/>
            <w:hideMark/>
          </w:tcPr>
          <w:p w14:paraId="0D427D4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20,184</w:t>
            </w:r>
          </w:p>
        </w:tc>
        <w:tc>
          <w:tcPr>
            <w:tcW w:w="395" w:type="pct"/>
            <w:tcBorders>
              <w:top w:val="nil"/>
              <w:left w:val="nil"/>
              <w:bottom w:val="nil"/>
              <w:right w:val="nil"/>
            </w:tcBorders>
            <w:shd w:val="clear" w:color="000000" w:fill="FFFFFF"/>
            <w:noWrap/>
            <w:vAlign w:val="center"/>
            <w:hideMark/>
          </w:tcPr>
          <w:p w14:paraId="4ACDFCB1"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8,602</w:t>
            </w:r>
          </w:p>
        </w:tc>
        <w:tc>
          <w:tcPr>
            <w:tcW w:w="395" w:type="pct"/>
            <w:tcBorders>
              <w:top w:val="nil"/>
              <w:left w:val="nil"/>
              <w:bottom w:val="nil"/>
              <w:right w:val="nil"/>
            </w:tcBorders>
            <w:shd w:val="clear" w:color="000000" w:fill="FFFFFF"/>
            <w:noWrap/>
            <w:vAlign w:val="center"/>
            <w:hideMark/>
          </w:tcPr>
          <w:p w14:paraId="5B63E69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6,251</w:t>
            </w:r>
          </w:p>
        </w:tc>
        <w:tc>
          <w:tcPr>
            <w:tcW w:w="368" w:type="pct"/>
            <w:tcBorders>
              <w:top w:val="nil"/>
              <w:left w:val="nil"/>
              <w:bottom w:val="nil"/>
              <w:right w:val="nil"/>
            </w:tcBorders>
            <w:shd w:val="clear" w:color="000000" w:fill="FFFFFF"/>
            <w:noWrap/>
            <w:vAlign w:val="center"/>
            <w:hideMark/>
          </w:tcPr>
          <w:p w14:paraId="22923C5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1,936</w:t>
            </w:r>
          </w:p>
        </w:tc>
        <w:tc>
          <w:tcPr>
            <w:tcW w:w="368" w:type="pct"/>
            <w:tcBorders>
              <w:top w:val="nil"/>
              <w:left w:val="nil"/>
              <w:bottom w:val="nil"/>
              <w:right w:val="nil"/>
            </w:tcBorders>
            <w:shd w:val="clear" w:color="000000" w:fill="FFFFFF"/>
            <w:noWrap/>
            <w:vAlign w:val="center"/>
            <w:hideMark/>
          </w:tcPr>
          <w:p w14:paraId="5F20ED3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1,336</w:t>
            </w:r>
          </w:p>
        </w:tc>
        <w:tc>
          <w:tcPr>
            <w:tcW w:w="368" w:type="pct"/>
            <w:tcBorders>
              <w:top w:val="nil"/>
              <w:left w:val="nil"/>
              <w:bottom w:val="nil"/>
              <w:right w:val="nil"/>
            </w:tcBorders>
            <w:shd w:val="clear" w:color="000000" w:fill="FFFFFF"/>
            <w:noWrap/>
            <w:vAlign w:val="center"/>
            <w:hideMark/>
          </w:tcPr>
          <w:p w14:paraId="0D39C94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1,442</w:t>
            </w:r>
          </w:p>
        </w:tc>
        <w:tc>
          <w:tcPr>
            <w:tcW w:w="476" w:type="pct"/>
            <w:tcBorders>
              <w:top w:val="nil"/>
              <w:left w:val="nil"/>
              <w:bottom w:val="nil"/>
              <w:right w:val="nil"/>
            </w:tcBorders>
            <w:shd w:val="clear" w:color="000000" w:fill="FFFFFF"/>
            <w:noWrap/>
            <w:vAlign w:val="center"/>
            <w:hideMark/>
          </w:tcPr>
          <w:p w14:paraId="7CEC52C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87,673</w:t>
            </w:r>
          </w:p>
        </w:tc>
      </w:tr>
      <w:tr w:rsidR="00394A39" w:rsidRPr="00C179A5" w14:paraId="6E25C235"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1326CC56" w14:textId="626D499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GST</w:t>
            </w:r>
            <w:r w:rsidR="00B71E80" w:rsidRPr="00C179A5">
              <w:rPr>
                <w:rFonts w:ascii="Arial" w:hAnsi="Arial" w:cs="Arial"/>
                <w:sz w:val="16"/>
                <w:szCs w:val="16"/>
              </w:rPr>
              <w:noBreakHyphen/>
            </w:r>
            <w:r w:rsidRPr="00C179A5">
              <w:rPr>
                <w:rFonts w:ascii="Arial" w:hAnsi="Arial" w:cs="Arial"/>
                <w:sz w:val="16"/>
                <w:szCs w:val="16"/>
              </w:rPr>
              <w:t>related payments(b)</w:t>
            </w:r>
          </w:p>
        </w:tc>
        <w:tc>
          <w:tcPr>
            <w:tcW w:w="395" w:type="pct"/>
            <w:tcBorders>
              <w:top w:val="nil"/>
              <w:left w:val="nil"/>
              <w:bottom w:val="nil"/>
              <w:right w:val="nil"/>
            </w:tcBorders>
            <w:shd w:val="clear" w:color="000000" w:fill="FFFFFF"/>
            <w:noWrap/>
            <w:vAlign w:val="center"/>
            <w:hideMark/>
          </w:tcPr>
          <w:p w14:paraId="5279AC0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29,807</w:t>
            </w:r>
          </w:p>
        </w:tc>
        <w:tc>
          <w:tcPr>
            <w:tcW w:w="395" w:type="pct"/>
            <w:tcBorders>
              <w:top w:val="nil"/>
              <w:left w:val="nil"/>
              <w:bottom w:val="nil"/>
              <w:right w:val="nil"/>
            </w:tcBorders>
            <w:shd w:val="clear" w:color="000000" w:fill="FFFFFF"/>
            <w:noWrap/>
            <w:vAlign w:val="center"/>
            <w:hideMark/>
          </w:tcPr>
          <w:p w14:paraId="20CA3A0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23,014</w:t>
            </w:r>
          </w:p>
        </w:tc>
        <w:tc>
          <w:tcPr>
            <w:tcW w:w="395" w:type="pct"/>
            <w:tcBorders>
              <w:top w:val="nil"/>
              <w:left w:val="nil"/>
              <w:bottom w:val="nil"/>
              <w:right w:val="nil"/>
            </w:tcBorders>
            <w:shd w:val="clear" w:color="000000" w:fill="FFFFFF"/>
            <w:noWrap/>
            <w:vAlign w:val="center"/>
            <w:hideMark/>
          </w:tcPr>
          <w:p w14:paraId="0920E71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21,941</w:t>
            </w:r>
          </w:p>
        </w:tc>
        <w:tc>
          <w:tcPr>
            <w:tcW w:w="395" w:type="pct"/>
            <w:tcBorders>
              <w:top w:val="nil"/>
              <w:left w:val="nil"/>
              <w:bottom w:val="nil"/>
              <w:right w:val="nil"/>
            </w:tcBorders>
            <w:shd w:val="clear" w:color="000000" w:fill="FFFFFF"/>
            <w:noWrap/>
            <w:vAlign w:val="center"/>
            <w:hideMark/>
          </w:tcPr>
          <w:p w14:paraId="4E4D972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9,117</w:t>
            </w:r>
          </w:p>
        </w:tc>
        <w:tc>
          <w:tcPr>
            <w:tcW w:w="395" w:type="pct"/>
            <w:tcBorders>
              <w:top w:val="nil"/>
              <w:left w:val="nil"/>
              <w:bottom w:val="nil"/>
              <w:right w:val="nil"/>
            </w:tcBorders>
            <w:shd w:val="clear" w:color="000000" w:fill="FFFFFF"/>
            <w:noWrap/>
            <w:vAlign w:val="center"/>
            <w:hideMark/>
          </w:tcPr>
          <w:p w14:paraId="11AC5F14"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9,856</w:t>
            </w:r>
          </w:p>
        </w:tc>
        <w:tc>
          <w:tcPr>
            <w:tcW w:w="368" w:type="pct"/>
            <w:tcBorders>
              <w:top w:val="nil"/>
              <w:left w:val="nil"/>
              <w:bottom w:val="nil"/>
              <w:right w:val="nil"/>
            </w:tcBorders>
            <w:shd w:val="clear" w:color="000000" w:fill="FFFFFF"/>
            <w:noWrap/>
            <w:vAlign w:val="center"/>
            <w:hideMark/>
          </w:tcPr>
          <w:p w14:paraId="1CC846A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3,964</w:t>
            </w:r>
          </w:p>
        </w:tc>
        <w:tc>
          <w:tcPr>
            <w:tcW w:w="368" w:type="pct"/>
            <w:tcBorders>
              <w:top w:val="nil"/>
              <w:left w:val="nil"/>
              <w:bottom w:val="nil"/>
              <w:right w:val="nil"/>
            </w:tcBorders>
            <w:shd w:val="clear" w:color="000000" w:fill="FFFFFF"/>
            <w:noWrap/>
            <w:vAlign w:val="center"/>
            <w:hideMark/>
          </w:tcPr>
          <w:p w14:paraId="4A4C2E7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2,208</w:t>
            </w:r>
          </w:p>
        </w:tc>
        <w:tc>
          <w:tcPr>
            <w:tcW w:w="368" w:type="pct"/>
            <w:tcBorders>
              <w:top w:val="nil"/>
              <w:left w:val="nil"/>
              <w:bottom w:val="nil"/>
              <w:right w:val="nil"/>
            </w:tcBorders>
            <w:shd w:val="clear" w:color="000000" w:fill="FFFFFF"/>
            <w:noWrap/>
            <w:vAlign w:val="center"/>
            <w:hideMark/>
          </w:tcPr>
          <w:p w14:paraId="679F805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4,862</w:t>
            </w:r>
          </w:p>
        </w:tc>
        <w:tc>
          <w:tcPr>
            <w:tcW w:w="476" w:type="pct"/>
            <w:tcBorders>
              <w:top w:val="nil"/>
              <w:left w:val="nil"/>
              <w:bottom w:val="nil"/>
              <w:right w:val="nil"/>
            </w:tcBorders>
            <w:shd w:val="clear" w:color="000000" w:fill="FFFFFF"/>
            <w:noWrap/>
            <w:vAlign w:val="center"/>
            <w:hideMark/>
          </w:tcPr>
          <w:p w14:paraId="6D0B862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104,769</w:t>
            </w:r>
          </w:p>
        </w:tc>
      </w:tr>
      <w:tr w:rsidR="00394A39" w:rsidRPr="00C179A5" w14:paraId="3AF1291C" w14:textId="77777777" w:rsidTr="00F83C90">
        <w:trPr>
          <w:trHeight w:hRule="exact" w:val="225"/>
        </w:trPr>
        <w:tc>
          <w:tcPr>
            <w:tcW w:w="1444" w:type="pct"/>
            <w:tcBorders>
              <w:top w:val="nil"/>
              <w:left w:val="nil"/>
              <w:bottom w:val="nil"/>
              <w:right w:val="nil"/>
            </w:tcBorders>
            <w:shd w:val="clear" w:color="000000" w:fill="FFFFFF"/>
            <w:noWrap/>
            <w:vAlign w:val="center"/>
            <w:hideMark/>
          </w:tcPr>
          <w:p w14:paraId="39984ED6"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Other general revenue</w:t>
            </w:r>
          </w:p>
        </w:tc>
        <w:tc>
          <w:tcPr>
            <w:tcW w:w="395" w:type="pct"/>
            <w:tcBorders>
              <w:top w:val="nil"/>
              <w:left w:val="nil"/>
              <w:bottom w:val="nil"/>
              <w:right w:val="nil"/>
            </w:tcBorders>
            <w:shd w:val="clear" w:color="000000" w:fill="FFFFFF"/>
            <w:noWrap/>
            <w:vAlign w:val="center"/>
            <w:hideMark/>
          </w:tcPr>
          <w:p w14:paraId="23152AA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7E122A5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19F07952"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396B0D8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5AF33D4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4083887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111720BD"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368" w:type="pct"/>
            <w:tcBorders>
              <w:top w:val="nil"/>
              <w:left w:val="nil"/>
              <w:bottom w:val="nil"/>
              <w:right w:val="nil"/>
            </w:tcBorders>
            <w:shd w:val="clear" w:color="000000" w:fill="FFFFFF"/>
            <w:noWrap/>
            <w:vAlign w:val="center"/>
            <w:hideMark/>
          </w:tcPr>
          <w:p w14:paraId="3F4FAE8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c>
          <w:tcPr>
            <w:tcW w:w="476" w:type="pct"/>
            <w:tcBorders>
              <w:top w:val="nil"/>
              <w:left w:val="nil"/>
              <w:bottom w:val="nil"/>
              <w:right w:val="nil"/>
            </w:tcBorders>
            <w:shd w:val="clear" w:color="000000" w:fill="FFFFFF"/>
            <w:noWrap/>
            <w:vAlign w:val="center"/>
            <w:hideMark/>
          </w:tcPr>
          <w:p w14:paraId="6EE74FE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 </w:t>
            </w:r>
          </w:p>
        </w:tc>
      </w:tr>
      <w:tr w:rsidR="00394A39" w:rsidRPr="00C179A5" w14:paraId="0AE3236B" w14:textId="77777777" w:rsidTr="00BB634C">
        <w:trPr>
          <w:trHeight w:hRule="exact" w:val="225"/>
        </w:trPr>
        <w:tc>
          <w:tcPr>
            <w:tcW w:w="1444" w:type="pct"/>
            <w:tcBorders>
              <w:top w:val="nil"/>
              <w:left w:val="nil"/>
              <w:bottom w:val="nil"/>
              <w:right w:val="nil"/>
            </w:tcBorders>
            <w:shd w:val="clear" w:color="000000" w:fill="FFFFFF"/>
            <w:noWrap/>
            <w:vAlign w:val="center"/>
            <w:hideMark/>
          </w:tcPr>
          <w:p w14:paraId="50C2E911" w14:textId="77777777" w:rsidR="0096630A" w:rsidRPr="00C179A5" w:rsidRDefault="0096630A" w:rsidP="0096630A">
            <w:pPr>
              <w:spacing w:before="0" w:after="0" w:line="240" w:lineRule="auto"/>
              <w:ind w:left="170"/>
              <w:rPr>
                <w:rFonts w:ascii="Arial" w:hAnsi="Arial" w:cs="Arial"/>
                <w:sz w:val="16"/>
                <w:szCs w:val="16"/>
              </w:rPr>
            </w:pPr>
            <w:r w:rsidRPr="00C179A5">
              <w:rPr>
                <w:rFonts w:ascii="Arial" w:hAnsi="Arial" w:cs="Arial"/>
                <w:sz w:val="16"/>
                <w:szCs w:val="16"/>
              </w:rPr>
              <w:t>assistance</w:t>
            </w:r>
          </w:p>
        </w:tc>
        <w:tc>
          <w:tcPr>
            <w:tcW w:w="395" w:type="pct"/>
            <w:tcBorders>
              <w:top w:val="nil"/>
              <w:left w:val="nil"/>
              <w:bottom w:val="single" w:sz="4" w:space="0" w:color="002A54" w:themeColor="text2"/>
              <w:right w:val="nil"/>
            </w:tcBorders>
            <w:shd w:val="clear" w:color="000000" w:fill="FFFFFF"/>
            <w:noWrap/>
            <w:vAlign w:val="center"/>
            <w:hideMark/>
          </w:tcPr>
          <w:p w14:paraId="60741F78" w14:textId="2966FB00"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FFFFFF"/>
            <w:noWrap/>
            <w:vAlign w:val="center"/>
            <w:hideMark/>
          </w:tcPr>
          <w:p w14:paraId="61E826D1" w14:textId="23A2A404"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FFFFFF"/>
            <w:noWrap/>
            <w:vAlign w:val="center"/>
            <w:hideMark/>
          </w:tcPr>
          <w:p w14:paraId="2226132B" w14:textId="52DD1314"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95" w:type="pct"/>
            <w:tcBorders>
              <w:top w:val="nil"/>
              <w:left w:val="nil"/>
              <w:bottom w:val="single" w:sz="4" w:space="0" w:color="002A54" w:themeColor="text2"/>
              <w:right w:val="nil"/>
            </w:tcBorders>
            <w:shd w:val="clear" w:color="000000" w:fill="FFFFFF"/>
            <w:noWrap/>
            <w:vAlign w:val="center"/>
            <w:hideMark/>
          </w:tcPr>
          <w:p w14:paraId="29BA1A09"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445</w:t>
            </w:r>
          </w:p>
        </w:tc>
        <w:tc>
          <w:tcPr>
            <w:tcW w:w="395" w:type="pct"/>
            <w:tcBorders>
              <w:top w:val="nil"/>
              <w:left w:val="nil"/>
              <w:bottom w:val="single" w:sz="4" w:space="0" w:color="002A54" w:themeColor="text2"/>
              <w:right w:val="nil"/>
            </w:tcBorders>
            <w:shd w:val="clear" w:color="000000" w:fill="FFFFFF"/>
            <w:noWrap/>
            <w:vAlign w:val="center"/>
            <w:hideMark/>
          </w:tcPr>
          <w:p w14:paraId="638594B3" w14:textId="40557E71"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68" w:type="pct"/>
            <w:tcBorders>
              <w:top w:val="nil"/>
              <w:left w:val="nil"/>
              <w:bottom w:val="single" w:sz="4" w:space="0" w:color="002A54" w:themeColor="text2"/>
              <w:right w:val="nil"/>
            </w:tcBorders>
            <w:shd w:val="clear" w:color="000000" w:fill="FFFFFF"/>
            <w:noWrap/>
            <w:vAlign w:val="center"/>
            <w:hideMark/>
          </w:tcPr>
          <w:p w14:paraId="16A6712B" w14:textId="050744CC"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368" w:type="pct"/>
            <w:tcBorders>
              <w:top w:val="nil"/>
              <w:left w:val="nil"/>
              <w:bottom w:val="single" w:sz="4" w:space="0" w:color="002A54" w:themeColor="text2"/>
              <w:right w:val="nil"/>
            </w:tcBorders>
            <w:shd w:val="clear" w:color="000000" w:fill="FFFFFF"/>
            <w:noWrap/>
            <w:vAlign w:val="center"/>
            <w:hideMark/>
          </w:tcPr>
          <w:p w14:paraId="0A5045CE"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47</w:t>
            </w:r>
          </w:p>
        </w:tc>
        <w:tc>
          <w:tcPr>
            <w:tcW w:w="368" w:type="pct"/>
            <w:tcBorders>
              <w:top w:val="nil"/>
              <w:left w:val="nil"/>
              <w:bottom w:val="single" w:sz="4" w:space="0" w:color="002A54" w:themeColor="text2"/>
              <w:right w:val="nil"/>
            </w:tcBorders>
            <w:shd w:val="clear" w:color="000000" w:fill="FFFFFF"/>
            <w:noWrap/>
            <w:vAlign w:val="center"/>
            <w:hideMark/>
          </w:tcPr>
          <w:p w14:paraId="4492B8BE" w14:textId="6FB75B8B" w:rsidR="0096630A" w:rsidRPr="00C179A5" w:rsidRDefault="00B71E80" w:rsidP="0096630A">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476" w:type="pct"/>
            <w:tcBorders>
              <w:top w:val="nil"/>
              <w:left w:val="nil"/>
              <w:bottom w:val="single" w:sz="4" w:space="0" w:color="002A54" w:themeColor="text2"/>
              <w:right w:val="nil"/>
            </w:tcBorders>
            <w:shd w:val="clear" w:color="000000" w:fill="FFFFFF"/>
            <w:noWrap/>
            <w:vAlign w:val="center"/>
            <w:hideMark/>
          </w:tcPr>
          <w:p w14:paraId="4BC620B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493</w:t>
            </w:r>
          </w:p>
        </w:tc>
      </w:tr>
      <w:tr w:rsidR="00394A39" w:rsidRPr="00C179A5" w14:paraId="37A259E2" w14:textId="77777777" w:rsidTr="00BB634C">
        <w:trPr>
          <w:trHeight w:hRule="exact" w:val="225"/>
        </w:trPr>
        <w:tc>
          <w:tcPr>
            <w:tcW w:w="1444" w:type="pct"/>
            <w:tcBorders>
              <w:top w:val="nil"/>
              <w:left w:val="nil"/>
              <w:bottom w:val="single" w:sz="4" w:space="0" w:color="002A54" w:themeColor="text2"/>
              <w:right w:val="nil"/>
            </w:tcBorders>
            <w:shd w:val="clear" w:color="000000" w:fill="FFFFFF"/>
            <w:noWrap/>
            <w:vAlign w:val="center"/>
            <w:hideMark/>
          </w:tcPr>
          <w:p w14:paraId="46D28627" w14:textId="77777777" w:rsidR="0096630A" w:rsidRPr="00C179A5" w:rsidRDefault="0096630A" w:rsidP="0096630A">
            <w:pPr>
              <w:spacing w:before="0" w:after="0" w:line="240" w:lineRule="auto"/>
              <w:rPr>
                <w:rFonts w:ascii="Arial" w:hAnsi="Arial" w:cs="Arial"/>
                <w:sz w:val="16"/>
                <w:szCs w:val="16"/>
              </w:rPr>
            </w:pPr>
            <w:r w:rsidRPr="00C179A5">
              <w:rPr>
                <w:rFonts w:ascii="Arial" w:hAnsi="Arial" w:cs="Arial"/>
                <w:sz w:val="16"/>
                <w:szCs w:val="16"/>
              </w:rPr>
              <w:t>Total payments to the states</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15716E8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54,961</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3BAAA54F"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44,865</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1C94A73C"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42,125</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0DE072FB"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18,164</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76A7B3EA"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16,107</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1AAE02B5"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5,900</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20AAA668"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3,592</w:t>
            </w:r>
          </w:p>
        </w:tc>
        <w:tc>
          <w:tcPr>
            <w:tcW w:w="368" w:type="pct"/>
            <w:tcBorders>
              <w:top w:val="single" w:sz="4" w:space="0" w:color="002A54" w:themeColor="text2"/>
              <w:left w:val="nil"/>
              <w:bottom w:val="single" w:sz="4" w:space="0" w:color="002A54" w:themeColor="text2"/>
              <w:right w:val="nil"/>
            </w:tcBorders>
            <w:shd w:val="clear" w:color="000000" w:fill="FFFFFF"/>
            <w:noWrap/>
            <w:vAlign w:val="center"/>
            <w:hideMark/>
          </w:tcPr>
          <w:p w14:paraId="4DBEB6A7"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6,304</w:t>
            </w:r>
          </w:p>
        </w:tc>
        <w:tc>
          <w:tcPr>
            <w:tcW w:w="476" w:type="pct"/>
            <w:tcBorders>
              <w:top w:val="single" w:sz="4" w:space="0" w:color="002A54" w:themeColor="text2"/>
              <w:left w:val="nil"/>
              <w:bottom w:val="single" w:sz="4" w:space="0" w:color="002A54" w:themeColor="text2"/>
              <w:right w:val="nil"/>
            </w:tcBorders>
            <w:shd w:val="clear" w:color="000000" w:fill="FFFFFF"/>
            <w:noWrap/>
            <w:vAlign w:val="center"/>
            <w:hideMark/>
          </w:tcPr>
          <w:p w14:paraId="2871FA76" w14:textId="77777777" w:rsidR="0096630A" w:rsidRPr="00C179A5" w:rsidRDefault="0096630A" w:rsidP="0096630A">
            <w:pPr>
              <w:spacing w:before="0" w:after="0" w:line="240" w:lineRule="auto"/>
              <w:jc w:val="right"/>
              <w:rPr>
                <w:rFonts w:ascii="Arial" w:hAnsi="Arial" w:cs="Arial"/>
                <w:sz w:val="16"/>
                <w:szCs w:val="16"/>
              </w:rPr>
            </w:pPr>
            <w:r w:rsidRPr="00C179A5">
              <w:rPr>
                <w:rFonts w:ascii="Arial" w:hAnsi="Arial" w:cs="Arial"/>
                <w:sz w:val="16"/>
                <w:szCs w:val="16"/>
              </w:rPr>
              <w:t>192,934</w:t>
            </w:r>
          </w:p>
        </w:tc>
      </w:tr>
    </w:tbl>
    <w:p w14:paraId="09FFFA80" w14:textId="3485DB10" w:rsidR="003F2AA7" w:rsidRPr="00C179A5" w:rsidRDefault="003F2AA7" w:rsidP="00DE5D15">
      <w:pPr>
        <w:pStyle w:val="ChartandTableFootnoteAlpha"/>
        <w:rPr>
          <w:rStyle w:val="EndnoteReference"/>
          <w:color w:val="auto"/>
          <w:vertAlign w:val="baseline"/>
        </w:rPr>
      </w:pPr>
      <w:bookmarkStart w:id="3" w:name="_1744639858"/>
      <w:bookmarkEnd w:id="3"/>
      <w:r w:rsidRPr="00C179A5">
        <w:rPr>
          <w:rStyle w:val="EndnoteReference"/>
          <w:color w:val="auto"/>
          <w:vertAlign w:val="baseline"/>
        </w:rPr>
        <w:t xml:space="preserve">State allocations for a number of programs have not yet been determined. These payments are not reflected in state totals. As a result, total payments for specific purposes may not equal the sum of the state figures. </w:t>
      </w:r>
    </w:p>
    <w:p w14:paraId="3C39C3C9" w14:textId="2FFCFF93" w:rsidR="003F2AA7" w:rsidRPr="00C179A5" w:rsidRDefault="003F2AA7" w:rsidP="007A1362">
      <w:pPr>
        <w:pStyle w:val="ChartandTableFootnoteAlpha"/>
        <w:rPr>
          <w:rStyle w:val="EndnoteReference"/>
          <w:color w:val="auto"/>
          <w:vertAlign w:val="baseline"/>
        </w:rPr>
      </w:pPr>
      <w:r w:rsidRPr="00C179A5">
        <w:rPr>
          <w:rStyle w:val="EndnoteReference"/>
          <w:color w:val="auto"/>
          <w:vertAlign w:val="baseline"/>
        </w:rPr>
        <w:t xml:space="preserve">Includes GST entitlement and HFE transition payments. State allocations are dependent upon the GST revenue sharing relativities for each financial year. They are calculated using the Commonwealth Grants </w:t>
      </w:r>
      <w:r w:rsidRPr="00C179A5" w:rsidDel="000D1C32">
        <w:rPr>
          <w:rStyle w:val="EndnoteReference"/>
          <w:color w:val="auto"/>
          <w:vertAlign w:val="baseline"/>
        </w:rPr>
        <w:t>Commission</w:t>
      </w:r>
      <w:r w:rsidR="00B71E80" w:rsidRPr="00C179A5">
        <w:rPr>
          <w:rStyle w:val="EndnoteReference"/>
          <w:color w:val="auto"/>
          <w:vertAlign w:val="baseline"/>
        </w:rPr>
        <w:t>’</w:t>
      </w:r>
      <w:r w:rsidRPr="00C179A5" w:rsidDel="000D1C32">
        <w:rPr>
          <w:rStyle w:val="EndnoteReference"/>
          <w:color w:val="auto"/>
          <w:vertAlign w:val="baseline"/>
        </w:rPr>
        <w:t>s</w:t>
      </w:r>
      <w:r w:rsidRPr="00C179A5">
        <w:rPr>
          <w:rStyle w:val="EndnoteReference"/>
          <w:color w:val="auto"/>
          <w:vertAlign w:val="baseline"/>
        </w:rPr>
        <w:t xml:space="preserve"> 202</w:t>
      </w:r>
      <w:r w:rsidR="00C60142" w:rsidRPr="00C179A5">
        <w:rPr>
          <w:rStyle w:val="EndnoteReference"/>
          <w:color w:val="auto"/>
          <w:vertAlign w:val="baseline"/>
        </w:rPr>
        <w:t>3</w:t>
      </w:r>
      <w:r w:rsidRPr="00C179A5">
        <w:rPr>
          <w:rStyle w:val="EndnoteReference"/>
          <w:color w:val="auto"/>
          <w:vertAlign w:val="baseline"/>
        </w:rPr>
        <w:t>–2</w:t>
      </w:r>
      <w:r w:rsidR="00FC3473" w:rsidRPr="00C179A5">
        <w:rPr>
          <w:rStyle w:val="EndnoteReference"/>
          <w:color w:val="auto"/>
          <w:vertAlign w:val="baseline"/>
        </w:rPr>
        <w:t>4</w:t>
      </w:r>
      <w:r w:rsidRPr="00C179A5">
        <w:rPr>
          <w:rStyle w:val="EndnoteReference"/>
          <w:color w:val="auto"/>
          <w:vertAlign w:val="baseline"/>
        </w:rPr>
        <w:t xml:space="preserve"> GST relativities as the starting point. The estimates do not reflect any attempt to project future GST relativities or GST entitlements. See Part 3 for further information. </w:t>
      </w:r>
    </w:p>
    <w:p w14:paraId="0F18D435" w14:textId="77777777" w:rsidR="003F2AA7" w:rsidRPr="00C179A5" w:rsidRDefault="003F2AA7" w:rsidP="00FB0587">
      <w:pPr>
        <w:pStyle w:val="ChartLine"/>
        <w:rPr>
          <w:rStyle w:val="EndnoteReference"/>
          <w:vertAlign w:val="baseline"/>
        </w:rPr>
      </w:pPr>
    </w:p>
    <w:p w14:paraId="3B6F4BE5" w14:textId="61A3FB4D" w:rsidR="00C7143B" w:rsidRPr="00C179A5" w:rsidRDefault="003F2AA7" w:rsidP="00C7143B">
      <w:pPr>
        <w:pStyle w:val="TableHeading"/>
        <w:rPr>
          <w:rFonts w:asciiTheme="minorHAnsi" w:eastAsiaTheme="minorHAnsi" w:hAnsiTheme="minorHAnsi" w:cstheme="minorBidi"/>
          <w:sz w:val="22"/>
          <w:szCs w:val="22"/>
          <w:lang w:eastAsia="en-US"/>
        </w:rPr>
      </w:pPr>
      <w:r w:rsidRPr="00C179A5">
        <w:lastRenderedPageBreak/>
        <w:t>Table 1.2: Total Australian Government payments to the states as a proportion of GD</w:t>
      </w:r>
      <w:r w:rsidR="00D21F8A" w:rsidRPr="00C179A5">
        <w:t>P</w:t>
      </w:r>
    </w:p>
    <w:tbl>
      <w:tblPr>
        <w:tblW w:w="5000" w:type="pct"/>
        <w:tblCellMar>
          <w:left w:w="0" w:type="dxa"/>
          <w:right w:w="28" w:type="dxa"/>
        </w:tblCellMar>
        <w:tblLook w:val="04A0" w:firstRow="1" w:lastRow="0" w:firstColumn="1" w:lastColumn="0" w:noHBand="0" w:noVBand="1"/>
      </w:tblPr>
      <w:tblGrid>
        <w:gridCol w:w="3726"/>
        <w:gridCol w:w="858"/>
        <w:gridCol w:w="857"/>
        <w:gridCol w:w="797"/>
        <w:gridCol w:w="736"/>
        <w:gridCol w:w="736"/>
      </w:tblGrid>
      <w:tr w:rsidR="00C7143B" w:rsidRPr="00C179A5" w14:paraId="1053F2EE" w14:textId="77777777" w:rsidTr="00DE5D15">
        <w:trPr>
          <w:divId w:val="91902439"/>
          <w:trHeight w:hRule="exact" w:val="255"/>
        </w:trPr>
        <w:tc>
          <w:tcPr>
            <w:tcW w:w="2416" w:type="pct"/>
            <w:tcBorders>
              <w:top w:val="single" w:sz="4" w:space="0" w:color="002A54" w:themeColor="text2"/>
              <w:left w:val="nil"/>
              <w:bottom w:val="nil"/>
              <w:right w:val="nil"/>
            </w:tcBorders>
            <w:shd w:val="clear" w:color="auto" w:fill="auto"/>
            <w:noWrap/>
            <w:vAlign w:val="center"/>
            <w:hideMark/>
          </w:tcPr>
          <w:p w14:paraId="3588235C" w14:textId="6909E3A6" w:rsidR="00C7143B" w:rsidRPr="00C179A5" w:rsidRDefault="00C7143B" w:rsidP="00C7143B">
            <w:pPr>
              <w:spacing w:before="0" w:after="0" w:line="240" w:lineRule="auto"/>
              <w:rPr>
                <w:rFonts w:ascii="Arial" w:hAnsi="Arial" w:cs="Arial"/>
                <w:sz w:val="16"/>
                <w:szCs w:val="16"/>
              </w:rPr>
            </w:pPr>
            <w:r w:rsidRPr="00C179A5">
              <w:rPr>
                <w:rFonts w:ascii="Arial" w:hAnsi="Arial" w:cs="Arial"/>
                <w:sz w:val="16"/>
                <w:szCs w:val="16"/>
              </w:rPr>
              <w:t>$million</w:t>
            </w:r>
          </w:p>
        </w:tc>
        <w:tc>
          <w:tcPr>
            <w:tcW w:w="556" w:type="pct"/>
            <w:tcBorders>
              <w:top w:val="single" w:sz="4" w:space="0" w:color="002A54" w:themeColor="text2"/>
              <w:left w:val="nil"/>
              <w:bottom w:val="single" w:sz="4" w:space="0" w:color="002A54" w:themeColor="text2"/>
              <w:right w:val="nil"/>
            </w:tcBorders>
            <w:shd w:val="clear" w:color="auto" w:fill="auto"/>
            <w:noWrap/>
            <w:vAlign w:val="center"/>
            <w:hideMark/>
          </w:tcPr>
          <w:p w14:paraId="42C1625A" w14:textId="757F792A"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2022</w:t>
            </w:r>
            <w:r w:rsidR="00B71E80" w:rsidRPr="00C179A5">
              <w:rPr>
                <w:rFonts w:ascii="Arial" w:hAnsi="Arial" w:cs="Arial"/>
                <w:sz w:val="16"/>
                <w:szCs w:val="16"/>
              </w:rPr>
              <w:noBreakHyphen/>
            </w:r>
            <w:r w:rsidRPr="00C179A5">
              <w:rPr>
                <w:rFonts w:ascii="Arial" w:hAnsi="Arial" w:cs="Arial"/>
                <w:sz w:val="16"/>
                <w:szCs w:val="16"/>
              </w:rPr>
              <w:t>23</w:t>
            </w:r>
          </w:p>
        </w:tc>
        <w:tc>
          <w:tcPr>
            <w:tcW w:w="556" w:type="pct"/>
            <w:tcBorders>
              <w:top w:val="single" w:sz="4" w:space="0" w:color="002A54" w:themeColor="text2"/>
              <w:left w:val="nil"/>
              <w:bottom w:val="single" w:sz="4" w:space="0" w:color="002A54" w:themeColor="text2"/>
              <w:right w:val="nil"/>
            </w:tcBorders>
            <w:shd w:val="clear" w:color="000000" w:fill="E6F2FF"/>
            <w:noWrap/>
            <w:vAlign w:val="center"/>
            <w:hideMark/>
          </w:tcPr>
          <w:p w14:paraId="0FE7000C" w14:textId="7362D88A"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2023</w:t>
            </w:r>
            <w:r w:rsidR="00B71E80" w:rsidRPr="00C179A5">
              <w:rPr>
                <w:rFonts w:ascii="Arial" w:hAnsi="Arial" w:cs="Arial"/>
                <w:sz w:val="16"/>
                <w:szCs w:val="16"/>
              </w:rPr>
              <w:noBreakHyphen/>
            </w:r>
            <w:r w:rsidRPr="00C179A5">
              <w:rPr>
                <w:rFonts w:ascii="Arial" w:hAnsi="Arial" w:cs="Arial"/>
                <w:sz w:val="16"/>
                <w:szCs w:val="16"/>
              </w:rPr>
              <w:t>24</w:t>
            </w:r>
          </w:p>
        </w:tc>
        <w:tc>
          <w:tcPr>
            <w:tcW w:w="517" w:type="pct"/>
            <w:tcBorders>
              <w:top w:val="single" w:sz="4" w:space="0" w:color="002A54" w:themeColor="text2"/>
              <w:left w:val="nil"/>
              <w:bottom w:val="single" w:sz="4" w:space="0" w:color="002A54" w:themeColor="text2"/>
              <w:right w:val="nil"/>
            </w:tcBorders>
            <w:shd w:val="clear" w:color="000000" w:fill="FFFFFF"/>
            <w:noWrap/>
            <w:vAlign w:val="center"/>
            <w:hideMark/>
          </w:tcPr>
          <w:p w14:paraId="2BF98EAC" w14:textId="2DD93E9D"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2024</w:t>
            </w:r>
            <w:r w:rsidR="00B71E80" w:rsidRPr="00C179A5">
              <w:rPr>
                <w:rFonts w:ascii="Arial" w:hAnsi="Arial" w:cs="Arial"/>
                <w:sz w:val="16"/>
                <w:szCs w:val="16"/>
              </w:rPr>
              <w:noBreakHyphen/>
            </w:r>
            <w:r w:rsidRPr="00C179A5">
              <w:rPr>
                <w:rFonts w:ascii="Arial" w:hAnsi="Arial" w:cs="Arial"/>
                <w:sz w:val="16"/>
                <w:szCs w:val="16"/>
              </w:rPr>
              <w:t>25</w:t>
            </w:r>
          </w:p>
        </w:tc>
        <w:tc>
          <w:tcPr>
            <w:tcW w:w="477" w:type="pct"/>
            <w:tcBorders>
              <w:top w:val="single" w:sz="4" w:space="0" w:color="002A54" w:themeColor="text2"/>
              <w:left w:val="nil"/>
              <w:bottom w:val="single" w:sz="4" w:space="0" w:color="002A54" w:themeColor="text2"/>
              <w:right w:val="nil"/>
            </w:tcBorders>
            <w:shd w:val="clear" w:color="000000" w:fill="FFFFFF"/>
            <w:noWrap/>
            <w:vAlign w:val="center"/>
            <w:hideMark/>
          </w:tcPr>
          <w:p w14:paraId="1FE32CCF" w14:textId="7D9343DE"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2025</w:t>
            </w:r>
            <w:r w:rsidR="00B71E80" w:rsidRPr="00C179A5">
              <w:rPr>
                <w:rFonts w:ascii="Arial" w:hAnsi="Arial" w:cs="Arial"/>
                <w:sz w:val="16"/>
                <w:szCs w:val="16"/>
              </w:rPr>
              <w:noBreakHyphen/>
            </w:r>
            <w:r w:rsidRPr="00C179A5">
              <w:rPr>
                <w:rFonts w:ascii="Arial" w:hAnsi="Arial" w:cs="Arial"/>
                <w:sz w:val="16"/>
                <w:szCs w:val="16"/>
              </w:rPr>
              <w:t>26</w:t>
            </w:r>
          </w:p>
        </w:tc>
        <w:tc>
          <w:tcPr>
            <w:tcW w:w="477" w:type="pct"/>
            <w:tcBorders>
              <w:top w:val="single" w:sz="4" w:space="0" w:color="002A54" w:themeColor="text2"/>
              <w:left w:val="nil"/>
              <w:bottom w:val="single" w:sz="4" w:space="0" w:color="002A54" w:themeColor="text2"/>
              <w:right w:val="nil"/>
            </w:tcBorders>
            <w:shd w:val="clear" w:color="000000" w:fill="FFFFFF"/>
            <w:noWrap/>
            <w:vAlign w:val="center"/>
            <w:hideMark/>
          </w:tcPr>
          <w:p w14:paraId="693AD03F" w14:textId="2858B55E"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2026</w:t>
            </w:r>
            <w:r w:rsidR="00B71E80" w:rsidRPr="00C179A5">
              <w:rPr>
                <w:rFonts w:ascii="Arial" w:hAnsi="Arial" w:cs="Arial"/>
                <w:sz w:val="16"/>
                <w:szCs w:val="16"/>
              </w:rPr>
              <w:noBreakHyphen/>
            </w:r>
            <w:r w:rsidRPr="00C179A5">
              <w:rPr>
                <w:rFonts w:ascii="Arial" w:hAnsi="Arial" w:cs="Arial"/>
                <w:sz w:val="16"/>
                <w:szCs w:val="16"/>
              </w:rPr>
              <w:t>27</w:t>
            </w:r>
          </w:p>
        </w:tc>
      </w:tr>
      <w:tr w:rsidR="00C7143B" w:rsidRPr="00C179A5" w14:paraId="6D17B2D3" w14:textId="77777777" w:rsidTr="00DE5D15">
        <w:trPr>
          <w:divId w:val="91902439"/>
          <w:trHeight w:hRule="exact" w:val="255"/>
        </w:trPr>
        <w:tc>
          <w:tcPr>
            <w:tcW w:w="2416" w:type="pct"/>
            <w:tcBorders>
              <w:top w:val="nil"/>
              <w:left w:val="nil"/>
              <w:bottom w:val="nil"/>
              <w:right w:val="nil"/>
            </w:tcBorders>
            <w:shd w:val="clear" w:color="auto" w:fill="auto"/>
            <w:noWrap/>
            <w:vAlign w:val="center"/>
            <w:hideMark/>
          </w:tcPr>
          <w:p w14:paraId="7F9B5977" w14:textId="77777777" w:rsidR="00C7143B" w:rsidRPr="00C179A5" w:rsidRDefault="00C7143B" w:rsidP="00C7143B">
            <w:pPr>
              <w:spacing w:before="0" w:after="0" w:line="240" w:lineRule="auto"/>
              <w:rPr>
                <w:rFonts w:ascii="Arial" w:hAnsi="Arial" w:cs="Arial"/>
                <w:i/>
                <w:sz w:val="16"/>
                <w:szCs w:val="16"/>
              </w:rPr>
            </w:pPr>
            <w:r w:rsidRPr="00C179A5">
              <w:rPr>
                <w:rFonts w:ascii="Arial" w:hAnsi="Arial" w:cs="Arial"/>
                <w:i/>
                <w:sz w:val="16"/>
                <w:szCs w:val="16"/>
              </w:rPr>
              <w:t>Payments for specific purposes</w:t>
            </w:r>
          </w:p>
        </w:tc>
        <w:tc>
          <w:tcPr>
            <w:tcW w:w="556" w:type="pct"/>
            <w:tcBorders>
              <w:top w:val="single" w:sz="4" w:space="0" w:color="002A54" w:themeColor="text2"/>
              <w:left w:val="nil"/>
              <w:bottom w:val="nil"/>
              <w:right w:val="nil"/>
            </w:tcBorders>
            <w:shd w:val="clear" w:color="auto" w:fill="auto"/>
            <w:noWrap/>
            <w:vAlign w:val="center"/>
            <w:hideMark/>
          </w:tcPr>
          <w:p w14:paraId="05C4359A" w14:textId="77777777" w:rsidR="00C7143B" w:rsidRPr="00C179A5" w:rsidRDefault="00C7143B" w:rsidP="00C7143B">
            <w:pPr>
              <w:spacing w:before="0" w:after="0" w:line="240" w:lineRule="auto"/>
              <w:rPr>
                <w:rFonts w:ascii="Arial" w:hAnsi="Arial" w:cs="Arial"/>
                <w:i/>
                <w:sz w:val="16"/>
                <w:szCs w:val="16"/>
              </w:rPr>
            </w:pPr>
          </w:p>
        </w:tc>
        <w:tc>
          <w:tcPr>
            <w:tcW w:w="556" w:type="pct"/>
            <w:tcBorders>
              <w:top w:val="single" w:sz="4" w:space="0" w:color="002A54" w:themeColor="text2"/>
              <w:left w:val="nil"/>
              <w:bottom w:val="nil"/>
              <w:right w:val="nil"/>
            </w:tcBorders>
            <w:shd w:val="clear" w:color="000000" w:fill="E6F2FF"/>
            <w:noWrap/>
            <w:vAlign w:val="center"/>
            <w:hideMark/>
          </w:tcPr>
          <w:p w14:paraId="534902BA"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 </w:t>
            </w:r>
          </w:p>
        </w:tc>
        <w:tc>
          <w:tcPr>
            <w:tcW w:w="517" w:type="pct"/>
            <w:tcBorders>
              <w:top w:val="single" w:sz="4" w:space="0" w:color="002A54" w:themeColor="text2"/>
              <w:left w:val="nil"/>
              <w:bottom w:val="nil"/>
              <w:right w:val="nil"/>
            </w:tcBorders>
            <w:shd w:val="clear" w:color="000000" w:fill="FFFFFF"/>
            <w:noWrap/>
            <w:vAlign w:val="center"/>
            <w:hideMark/>
          </w:tcPr>
          <w:p w14:paraId="32FA72BC"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 </w:t>
            </w:r>
          </w:p>
        </w:tc>
        <w:tc>
          <w:tcPr>
            <w:tcW w:w="477" w:type="pct"/>
            <w:tcBorders>
              <w:top w:val="single" w:sz="4" w:space="0" w:color="002A54" w:themeColor="text2"/>
              <w:left w:val="nil"/>
              <w:bottom w:val="nil"/>
              <w:right w:val="nil"/>
            </w:tcBorders>
            <w:shd w:val="clear" w:color="000000" w:fill="FFFFFF"/>
            <w:noWrap/>
            <w:vAlign w:val="center"/>
            <w:hideMark/>
          </w:tcPr>
          <w:p w14:paraId="4D1075FB"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 </w:t>
            </w:r>
          </w:p>
        </w:tc>
        <w:tc>
          <w:tcPr>
            <w:tcW w:w="477" w:type="pct"/>
            <w:tcBorders>
              <w:top w:val="single" w:sz="4" w:space="0" w:color="002A54" w:themeColor="text2"/>
              <w:left w:val="nil"/>
              <w:bottom w:val="nil"/>
              <w:right w:val="nil"/>
            </w:tcBorders>
            <w:shd w:val="clear" w:color="000000" w:fill="FFFFFF"/>
            <w:noWrap/>
            <w:vAlign w:val="center"/>
            <w:hideMark/>
          </w:tcPr>
          <w:p w14:paraId="0B8AF64E"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 </w:t>
            </w:r>
          </w:p>
        </w:tc>
      </w:tr>
      <w:tr w:rsidR="00C7143B" w:rsidRPr="00C179A5" w14:paraId="34861A8D" w14:textId="77777777" w:rsidTr="00C7143B">
        <w:trPr>
          <w:divId w:val="91902439"/>
          <w:trHeight w:hRule="exact" w:val="255"/>
        </w:trPr>
        <w:tc>
          <w:tcPr>
            <w:tcW w:w="2416" w:type="pct"/>
            <w:tcBorders>
              <w:top w:val="nil"/>
              <w:left w:val="nil"/>
              <w:bottom w:val="nil"/>
              <w:right w:val="nil"/>
            </w:tcBorders>
            <w:shd w:val="clear" w:color="auto" w:fill="auto"/>
            <w:noWrap/>
            <w:vAlign w:val="center"/>
            <w:hideMark/>
          </w:tcPr>
          <w:p w14:paraId="4134341A"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National SPPs</w:t>
            </w:r>
          </w:p>
        </w:tc>
        <w:tc>
          <w:tcPr>
            <w:tcW w:w="556" w:type="pct"/>
            <w:tcBorders>
              <w:top w:val="nil"/>
              <w:left w:val="nil"/>
              <w:bottom w:val="nil"/>
              <w:right w:val="nil"/>
            </w:tcBorders>
            <w:shd w:val="clear" w:color="auto" w:fill="auto"/>
            <w:noWrap/>
            <w:vAlign w:val="center"/>
            <w:hideMark/>
          </w:tcPr>
          <w:p w14:paraId="0ABF8F35"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1,608</w:t>
            </w:r>
          </w:p>
        </w:tc>
        <w:tc>
          <w:tcPr>
            <w:tcW w:w="556" w:type="pct"/>
            <w:tcBorders>
              <w:top w:val="nil"/>
              <w:left w:val="nil"/>
              <w:bottom w:val="nil"/>
              <w:right w:val="nil"/>
            </w:tcBorders>
            <w:shd w:val="clear" w:color="000000" w:fill="E6F2FF"/>
            <w:noWrap/>
            <w:vAlign w:val="center"/>
            <w:hideMark/>
          </w:tcPr>
          <w:p w14:paraId="71E59BD9"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1,670</w:t>
            </w:r>
          </w:p>
        </w:tc>
        <w:tc>
          <w:tcPr>
            <w:tcW w:w="517" w:type="pct"/>
            <w:tcBorders>
              <w:top w:val="nil"/>
              <w:left w:val="nil"/>
              <w:bottom w:val="nil"/>
              <w:right w:val="nil"/>
            </w:tcBorders>
            <w:shd w:val="clear" w:color="auto" w:fill="auto"/>
            <w:noWrap/>
            <w:vAlign w:val="center"/>
            <w:hideMark/>
          </w:tcPr>
          <w:p w14:paraId="1098CB7F"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1,724</w:t>
            </w:r>
          </w:p>
        </w:tc>
        <w:tc>
          <w:tcPr>
            <w:tcW w:w="477" w:type="pct"/>
            <w:tcBorders>
              <w:top w:val="nil"/>
              <w:left w:val="nil"/>
              <w:bottom w:val="nil"/>
              <w:right w:val="nil"/>
            </w:tcBorders>
            <w:shd w:val="clear" w:color="auto" w:fill="auto"/>
            <w:noWrap/>
            <w:vAlign w:val="center"/>
            <w:hideMark/>
          </w:tcPr>
          <w:p w14:paraId="50C37DC2"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1,764</w:t>
            </w:r>
          </w:p>
        </w:tc>
        <w:tc>
          <w:tcPr>
            <w:tcW w:w="477" w:type="pct"/>
            <w:tcBorders>
              <w:top w:val="nil"/>
              <w:left w:val="nil"/>
              <w:bottom w:val="nil"/>
              <w:right w:val="nil"/>
            </w:tcBorders>
            <w:shd w:val="clear" w:color="auto" w:fill="auto"/>
            <w:noWrap/>
            <w:vAlign w:val="center"/>
            <w:hideMark/>
          </w:tcPr>
          <w:p w14:paraId="76BC6546"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1,798</w:t>
            </w:r>
          </w:p>
        </w:tc>
      </w:tr>
      <w:tr w:rsidR="00C7143B" w:rsidRPr="00C179A5" w14:paraId="3B01B775" w14:textId="77777777" w:rsidTr="00C7143B">
        <w:trPr>
          <w:divId w:val="91902439"/>
          <w:trHeight w:hRule="exact" w:val="255"/>
        </w:trPr>
        <w:tc>
          <w:tcPr>
            <w:tcW w:w="2416" w:type="pct"/>
            <w:tcBorders>
              <w:top w:val="nil"/>
              <w:left w:val="nil"/>
              <w:bottom w:val="nil"/>
              <w:right w:val="nil"/>
            </w:tcBorders>
            <w:shd w:val="clear" w:color="auto" w:fill="auto"/>
            <w:noWrap/>
            <w:vAlign w:val="center"/>
            <w:hideMark/>
          </w:tcPr>
          <w:p w14:paraId="17B57143"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National Health Reform funding</w:t>
            </w:r>
          </w:p>
        </w:tc>
        <w:tc>
          <w:tcPr>
            <w:tcW w:w="556" w:type="pct"/>
            <w:tcBorders>
              <w:top w:val="nil"/>
              <w:left w:val="nil"/>
              <w:bottom w:val="nil"/>
              <w:right w:val="nil"/>
            </w:tcBorders>
            <w:shd w:val="clear" w:color="auto" w:fill="auto"/>
            <w:noWrap/>
            <w:vAlign w:val="center"/>
            <w:hideMark/>
          </w:tcPr>
          <w:p w14:paraId="26C6C93E"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28,933</w:t>
            </w:r>
          </w:p>
        </w:tc>
        <w:tc>
          <w:tcPr>
            <w:tcW w:w="556" w:type="pct"/>
            <w:tcBorders>
              <w:top w:val="nil"/>
              <w:left w:val="nil"/>
              <w:bottom w:val="nil"/>
              <w:right w:val="nil"/>
            </w:tcBorders>
            <w:shd w:val="clear" w:color="000000" w:fill="E6F2FF"/>
            <w:noWrap/>
            <w:vAlign w:val="center"/>
            <w:hideMark/>
          </w:tcPr>
          <w:p w14:paraId="33232851"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28,535</w:t>
            </w:r>
          </w:p>
        </w:tc>
        <w:tc>
          <w:tcPr>
            <w:tcW w:w="517" w:type="pct"/>
            <w:tcBorders>
              <w:top w:val="nil"/>
              <w:left w:val="nil"/>
              <w:bottom w:val="nil"/>
              <w:right w:val="nil"/>
            </w:tcBorders>
            <w:shd w:val="clear" w:color="auto" w:fill="auto"/>
            <w:noWrap/>
            <w:vAlign w:val="center"/>
            <w:hideMark/>
          </w:tcPr>
          <w:p w14:paraId="66CE6844"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30,456</w:t>
            </w:r>
          </w:p>
        </w:tc>
        <w:tc>
          <w:tcPr>
            <w:tcW w:w="477" w:type="pct"/>
            <w:tcBorders>
              <w:top w:val="nil"/>
              <w:left w:val="nil"/>
              <w:bottom w:val="nil"/>
              <w:right w:val="nil"/>
            </w:tcBorders>
            <w:shd w:val="clear" w:color="auto" w:fill="auto"/>
            <w:noWrap/>
            <w:vAlign w:val="center"/>
            <w:hideMark/>
          </w:tcPr>
          <w:p w14:paraId="1782E56D"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32,215</w:t>
            </w:r>
          </w:p>
        </w:tc>
        <w:tc>
          <w:tcPr>
            <w:tcW w:w="477" w:type="pct"/>
            <w:tcBorders>
              <w:top w:val="nil"/>
              <w:left w:val="nil"/>
              <w:bottom w:val="nil"/>
              <w:right w:val="nil"/>
            </w:tcBorders>
            <w:shd w:val="clear" w:color="auto" w:fill="auto"/>
            <w:noWrap/>
            <w:vAlign w:val="center"/>
            <w:hideMark/>
          </w:tcPr>
          <w:p w14:paraId="13A84F95"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34,296</w:t>
            </w:r>
          </w:p>
        </w:tc>
      </w:tr>
      <w:tr w:rsidR="00C7143B" w:rsidRPr="00C179A5" w14:paraId="0997F25B" w14:textId="77777777" w:rsidTr="00C7143B">
        <w:trPr>
          <w:divId w:val="91902439"/>
          <w:trHeight w:hRule="exact" w:val="255"/>
        </w:trPr>
        <w:tc>
          <w:tcPr>
            <w:tcW w:w="2416" w:type="pct"/>
            <w:tcBorders>
              <w:top w:val="nil"/>
              <w:left w:val="nil"/>
              <w:bottom w:val="nil"/>
              <w:right w:val="nil"/>
            </w:tcBorders>
            <w:shd w:val="clear" w:color="auto" w:fill="auto"/>
            <w:noWrap/>
            <w:vAlign w:val="center"/>
            <w:hideMark/>
          </w:tcPr>
          <w:p w14:paraId="4BE7E369"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Quality Schools funding</w:t>
            </w:r>
          </w:p>
        </w:tc>
        <w:tc>
          <w:tcPr>
            <w:tcW w:w="556" w:type="pct"/>
            <w:tcBorders>
              <w:top w:val="nil"/>
              <w:left w:val="nil"/>
              <w:bottom w:val="nil"/>
              <w:right w:val="nil"/>
            </w:tcBorders>
            <w:shd w:val="clear" w:color="auto" w:fill="auto"/>
            <w:noWrap/>
            <w:vAlign w:val="center"/>
            <w:hideMark/>
          </w:tcPr>
          <w:p w14:paraId="1A0C202B"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26,911</w:t>
            </w:r>
          </w:p>
        </w:tc>
        <w:tc>
          <w:tcPr>
            <w:tcW w:w="556" w:type="pct"/>
            <w:tcBorders>
              <w:top w:val="nil"/>
              <w:left w:val="nil"/>
              <w:bottom w:val="nil"/>
              <w:right w:val="nil"/>
            </w:tcBorders>
            <w:shd w:val="clear" w:color="000000" w:fill="E6F2FF"/>
            <w:noWrap/>
            <w:vAlign w:val="center"/>
            <w:hideMark/>
          </w:tcPr>
          <w:p w14:paraId="5E3AD01C"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28,288</w:t>
            </w:r>
          </w:p>
        </w:tc>
        <w:tc>
          <w:tcPr>
            <w:tcW w:w="517" w:type="pct"/>
            <w:tcBorders>
              <w:top w:val="nil"/>
              <w:left w:val="nil"/>
              <w:bottom w:val="nil"/>
              <w:right w:val="nil"/>
            </w:tcBorders>
            <w:shd w:val="clear" w:color="auto" w:fill="auto"/>
            <w:noWrap/>
            <w:vAlign w:val="center"/>
            <w:hideMark/>
          </w:tcPr>
          <w:p w14:paraId="114EAEBF"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29,399</w:t>
            </w:r>
          </w:p>
        </w:tc>
        <w:tc>
          <w:tcPr>
            <w:tcW w:w="477" w:type="pct"/>
            <w:tcBorders>
              <w:top w:val="nil"/>
              <w:left w:val="nil"/>
              <w:bottom w:val="nil"/>
              <w:right w:val="nil"/>
            </w:tcBorders>
            <w:shd w:val="clear" w:color="auto" w:fill="auto"/>
            <w:noWrap/>
            <w:vAlign w:val="center"/>
            <w:hideMark/>
          </w:tcPr>
          <w:p w14:paraId="1292906F"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30,358</w:t>
            </w:r>
          </w:p>
        </w:tc>
        <w:tc>
          <w:tcPr>
            <w:tcW w:w="477" w:type="pct"/>
            <w:tcBorders>
              <w:top w:val="nil"/>
              <w:left w:val="nil"/>
              <w:bottom w:val="nil"/>
              <w:right w:val="nil"/>
            </w:tcBorders>
            <w:shd w:val="clear" w:color="auto" w:fill="auto"/>
            <w:noWrap/>
            <w:vAlign w:val="center"/>
            <w:hideMark/>
          </w:tcPr>
          <w:p w14:paraId="1BBBAAE6"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31,370</w:t>
            </w:r>
          </w:p>
        </w:tc>
      </w:tr>
      <w:tr w:rsidR="00C7143B" w:rsidRPr="00C179A5" w14:paraId="22E50C9B" w14:textId="77777777" w:rsidTr="00C7143B">
        <w:trPr>
          <w:divId w:val="91902439"/>
          <w:trHeight w:hRule="exact" w:val="255"/>
        </w:trPr>
        <w:tc>
          <w:tcPr>
            <w:tcW w:w="2416" w:type="pct"/>
            <w:tcBorders>
              <w:top w:val="nil"/>
              <w:left w:val="nil"/>
              <w:bottom w:val="nil"/>
              <w:right w:val="nil"/>
            </w:tcBorders>
            <w:shd w:val="clear" w:color="auto" w:fill="auto"/>
            <w:noWrap/>
            <w:vAlign w:val="center"/>
            <w:hideMark/>
          </w:tcPr>
          <w:p w14:paraId="25393466"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National Housing and Homelessness</w:t>
            </w:r>
          </w:p>
        </w:tc>
        <w:tc>
          <w:tcPr>
            <w:tcW w:w="556" w:type="pct"/>
            <w:tcBorders>
              <w:top w:val="nil"/>
              <w:left w:val="nil"/>
              <w:bottom w:val="nil"/>
              <w:right w:val="nil"/>
            </w:tcBorders>
            <w:shd w:val="clear" w:color="auto" w:fill="auto"/>
            <w:noWrap/>
            <w:vAlign w:val="center"/>
            <w:hideMark/>
          </w:tcPr>
          <w:p w14:paraId="1E9BEE65" w14:textId="77777777" w:rsidR="00C7143B" w:rsidRPr="00C179A5" w:rsidRDefault="00C7143B" w:rsidP="00C7143B">
            <w:pPr>
              <w:spacing w:before="0" w:after="0" w:line="240" w:lineRule="auto"/>
              <w:ind w:firstLineChars="100" w:firstLine="160"/>
              <w:rPr>
                <w:rFonts w:ascii="Arial" w:hAnsi="Arial" w:cs="Arial"/>
                <w:sz w:val="16"/>
                <w:szCs w:val="16"/>
              </w:rPr>
            </w:pPr>
          </w:p>
        </w:tc>
        <w:tc>
          <w:tcPr>
            <w:tcW w:w="556" w:type="pct"/>
            <w:tcBorders>
              <w:top w:val="nil"/>
              <w:left w:val="nil"/>
              <w:bottom w:val="nil"/>
              <w:right w:val="nil"/>
            </w:tcBorders>
            <w:shd w:val="clear" w:color="000000" w:fill="E6F2FF"/>
            <w:noWrap/>
            <w:vAlign w:val="center"/>
            <w:hideMark/>
          </w:tcPr>
          <w:p w14:paraId="5F155B27"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 </w:t>
            </w:r>
          </w:p>
        </w:tc>
        <w:tc>
          <w:tcPr>
            <w:tcW w:w="517" w:type="pct"/>
            <w:tcBorders>
              <w:top w:val="nil"/>
              <w:left w:val="nil"/>
              <w:bottom w:val="nil"/>
              <w:right w:val="nil"/>
            </w:tcBorders>
            <w:shd w:val="clear" w:color="auto" w:fill="auto"/>
            <w:noWrap/>
            <w:vAlign w:val="center"/>
            <w:hideMark/>
          </w:tcPr>
          <w:p w14:paraId="5156C56D" w14:textId="77777777" w:rsidR="00C7143B" w:rsidRPr="00C179A5" w:rsidRDefault="00C7143B" w:rsidP="00C7143B">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08E0D3C6" w14:textId="77777777" w:rsidR="00C7143B" w:rsidRPr="00C179A5" w:rsidRDefault="00C7143B" w:rsidP="00C7143B">
            <w:pPr>
              <w:spacing w:before="0" w:after="0" w:line="240" w:lineRule="auto"/>
              <w:jc w:val="right"/>
              <w:rPr>
                <w:rFonts w:ascii="Times New Roman" w:hAnsi="Times New Roman"/>
                <w:sz w:val="20"/>
              </w:rPr>
            </w:pPr>
          </w:p>
        </w:tc>
        <w:tc>
          <w:tcPr>
            <w:tcW w:w="477" w:type="pct"/>
            <w:tcBorders>
              <w:top w:val="nil"/>
              <w:left w:val="nil"/>
              <w:bottom w:val="nil"/>
              <w:right w:val="nil"/>
            </w:tcBorders>
            <w:shd w:val="clear" w:color="auto" w:fill="auto"/>
            <w:noWrap/>
            <w:vAlign w:val="center"/>
            <w:hideMark/>
          </w:tcPr>
          <w:p w14:paraId="3428F8FF" w14:textId="77777777" w:rsidR="00C7143B" w:rsidRPr="00C179A5" w:rsidRDefault="00C7143B" w:rsidP="00C7143B">
            <w:pPr>
              <w:spacing w:before="0" w:after="0" w:line="240" w:lineRule="auto"/>
              <w:jc w:val="right"/>
              <w:rPr>
                <w:rFonts w:ascii="Times New Roman" w:hAnsi="Times New Roman"/>
                <w:sz w:val="20"/>
              </w:rPr>
            </w:pPr>
          </w:p>
        </w:tc>
      </w:tr>
      <w:tr w:rsidR="00C7143B" w:rsidRPr="00C179A5" w14:paraId="22789DC3" w14:textId="77777777" w:rsidTr="00C7143B">
        <w:trPr>
          <w:divId w:val="91902439"/>
          <w:trHeight w:hRule="exact" w:val="255"/>
        </w:trPr>
        <w:tc>
          <w:tcPr>
            <w:tcW w:w="2416" w:type="pct"/>
            <w:tcBorders>
              <w:top w:val="nil"/>
              <w:left w:val="nil"/>
              <w:bottom w:val="nil"/>
              <w:right w:val="nil"/>
            </w:tcBorders>
            <w:shd w:val="clear" w:color="auto" w:fill="auto"/>
            <w:noWrap/>
            <w:vAlign w:val="center"/>
            <w:hideMark/>
          </w:tcPr>
          <w:p w14:paraId="4821521A" w14:textId="77777777" w:rsidR="00C7143B" w:rsidRPr="00C179A5" w:rsidRDefault="00C7143B" w:rsidP="00C7143B">
            <w:pPr>
              <w:spacing w:before="0" w:after="0" w:line="240" w:lineRule="auto"/>
              <w:ind w:left="340"/>
              <w:rPr>
                <w:rFonts w:ascii="Arial" w:hAnsi="Arial" w:cs="Arial"/>
                <w:sz w:val="16"/>
                <w:szCs w:val="16"/>
              </w:rPr>
            </w:pPr>
            <w:r w:rsidRPr="00C179A5">
              <w:rPr>
                <w:rFonts w:ascii="Arial" w:hAnsi="Arial" w:cs="Arial"/>
                <w:sz w:val="16"/>
                <w:szCs w:val="16"/>
              </w:rPr>
              <w:t>funding</w:t>
            </w:r>
          </w:p>
        </w:tc>
        <w:tc>
          <w:tcPr>
            <w:tcW w:w="556" w:type="pct"/>
            <w:tcBorders>
              <w:top w:val="nil"/>
              <w:left w:val="nil"/>
              <w:bottom w:val="nil"/>
              <w:right w:val="nil"/>
            </w:tcBorders>
            <w:shd w:val="clear" w:color="auto" w:fill="auto"/>
            <w:noWrap/>
            <w:vAlign w:val="center"/>
            <w:hideMark/>
          </w:tcPr>
          <w:p w14:paraId="41578756"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1,646</w:t>
            </w:r>
          </w:p>
        </w:tc>
        <w:tc>
          <w:tcPr>
            <w:tcW w:w="556" w:type="pct"/>
            <w:tcBorders>
              <w:top w:val="nil"/>
              <w:left w:val="nil"/>
              <w:bottom w:val="nil"/>
              <w:right w:val="nil"/>
            </w:tcBorders>
            <w:shd w:val="clear" w:color="000000" w:fill="E6F2FF"/>
            <w:noWrap/>
            <w:vAlign w:val="center"/>
            <w:hideMark/>
          </w:tcPr>
          <w:p w14:paraId="55EFCA8E"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1,707</w:t>
            </w:r>
          </w:p>
        </w:tc>
        <w:tc>
          <w:tcPr>
            <w:tcW w:w="517" w:type="pct"/>
            <w:tcBorders>
              <w:top w:val="nil"/>
              <w:left w:val="nil"/>
              <w:bottom w:val="nil"/>
              <w:right w:val="nil"/>
            </w:tcBorders>
            <w:shd w:val="clear" w:color="auto" w:fill="auto"/>
            <w:noWrap/>
            <w:vAlign w:val="center"/>
            <w:hideMark/>
          </w:tcPr>
          <w:p w14:paraId="6B3A7B08"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1,692</w:t>
            </w:r>
          </w:p>
        </w:tc>
        <w:tc>
          <w:tcPr>
            <w:tcW w:w="477" w:type="pct"/>
            <w:tcBorders>
              <w:top w:val="nil"/>
              <w:left w:val="nil"/>
              <w:bottom w:val="nil"/>
              <w:right w:val="nil"/>
            </w:tcBorders>
            <w:shd w:val="clear" w:color="auto" w:fill="auto"/>
            <w:noWrap/>
            <w:vAlign w:val="center"/>
            <w:hideMark/>
          </w:tcPr>
          <w:p w14:paraId="3D8ECCC1"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1,731</w:t>
            </w:r>
          </w:p>
        </w:tc>
        <w:tc>
          <w:tcPr>
            <w:tcW w:w="477" w:type="pct"/>
            <w:tcBorders>
              <w:top w:val="nil"/>
              <w:left w:val="nil"/>
              <w:bottom w:val="nil"/>
              <w:right w:val="nil"/>
            </w:tcBorders>
            <w:shd w:val="clear" w:color="auto" w:fill="auto"/>
            <w:noWrap/>
            <w:vAlign w:val="center"/>
            <w:hideMark/>
          </w:tcPr>
          <w:p w14:paraId="2A51E2DA"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1,764</w:t>
            </w:r>
          </w:p>
        </w:tc>
      </w:tr>
      <w:tr w:rsidR="00C7143B" w:rsidRPr="00C179A5" w14:paraId="63AAD4BA" w14:textId="77777777" w:rsidTr="00C7143B">
        <w:trPr>
          <w:divId w:val="91902439"/>
          <w:trHeight w:hRule="exact" w:val="255"/>
        </w:trPr>
        <w:tc>
          <w:tcPr>
            <w:tcW w:w="2416" w:type="pct"/>
            <w:tcBorders>
              <w:top w:val="nil"/>
              <w:left w:val="nil"/>
              <w:bottom w:val="nil"/>
              <w:right w:val="nil"/>
            </w:tcBorders>
            <w:shd w:val="clear" w:color="auto" w:fill="auto"/>
            <w:noWrap/>
            <w:vAlign w:val="center"/>
            <w:hideMark/>
          </w:tcPr>
          <w:p w14:paraId="08491025"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Energy Bill Relief</w:t>
            </w:r>
          </w:p>
        </w:tc>
        <w:tc>
          <w:tcPr>
            <w:tcW w:w="556" w:type="pct"/>
            <w:tcBorders>
              <w:top w:val="nil"/>
              <w:left w:val="nil"/>
              <w:bottom w:val="nil"/>
              <w:right w:val="nil"/>
            </w:tcBorders>
            <w:shd w:val="clear" w:color="auto" w:fill="auto"/>
            <w:noWrap/>
            <w:vAlign w:val="center"/>
            <w:hideMark/>
          </w:tcPr>
          <w:p w14:paraId="75FD07CC" w14:textId="27BFE279" w:rsidR="00C7143B" w:rsidRPr="00C179A5" w:rsidRDefault="00B71E80" w:rsidP="00C7143B">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556" w:type="pct"/>
            <w:tcBorders>
              <w:top w:val="nil"/>
              <w:left w:val="nil"/>
              <w:bottom w:val="nil"/>
              <w:right w:val="nil"/>
            </w:tcBorders>
            <w:shd w:val="clear" w:color="000000" w:fill="E6F2FF"/>
            <w:noWrap/>
            <w:vAlign w:val="center"/>
            <w:hideMark/>
          </w:tcPr>
          <w:p w14:paraId="07210B55"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1,110</w:t>
            </w:r>
          </w:p>
        </w:tc>
        <w:tc>
          <w:tcPr>
            <w:tcW w:w="517" w:type="pct"/>
            <w:tcBorders>
              <w:top w:val="nil"/>
              <w:left w:val="nil"/>
              <w:bottom w:val="nil"/>
              <w:right w:val="nil"/>
            </w:tcBorders>
            <w:shd w:val="clear" w:color="auto" w:fill="auto"/>
            <w:noWrap/>
            <w:vAlign w:val="center"/>
            <w:hideMark/>
          </w:tcPr>
          <w:p w14:paraId="19BC76DA"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385</w:t>
            </w:r>
          </w:p>
        </w:tc>
        <w:tc>
          <w:tcPr>
            <w:tcW w:w="477" w:type="pct"/>
            <w:tcBorders>
              <w:top w:val="nil"/>
              <w:left w:val="nil"/>
              <w:bottom w:val="nil"/>
              <w:right w:val="nil"/>
            </w:tcBorders>
            <w:shd w:val="clear" w:color="auto" w:fill="auto"/>
            <w:noWrap/>
            <w:vAlign w:val="center"/>
            <w:hideMark/>
          </w:tcPr>
          <w:p w14:paraId="6E283ACC" w14:textId="0C36C487" w:rsidR="00C7143B" w:rsidRPr="00C179A5" w:rsidRDefault="00B71E80" w:rsidP="00C7143B">
            <w:pPr>
              <w:spacing w:before="0" w:after="0" w:line="240" w:lineRule="auto"/>
              <w:jc w:val="right"/>
              <w:rPr>
                <w:rFonts w:ascii="Arial" w:hAnsi="Arial" w:cs="Arial"/>
                <w:sz w:val="16"/>
                <w:szCs w:val="16"/>
              </w:rPr>
            </w:pPr>
            <w:r w:rsidRPr="00C179A5">
              <w:rPr>
                <w:rFonts w:ascii="Arial" w:hAnsi="Arial" w:cs="Arial"/>
                <w:sz w:val="16"/>
                <w:szCs w:val="16"/>
              </w:rPr>
              <w:noBreakHyphen/>
            </w:r>
          </w:p>
        </w:tc>
        <w:tc>
          <w:tcPr>
            <w:tcW w:w="477" w:type="pct"/>
            <w:tcBorders>
              <w:top w:val="nil"/>
              <w:left w:val="nil"/>
              <w:bottom w:val="nil"/>
              <w:right w:val="nil"/>
            </w:tcBorders>
            <w:shd w:val="clear" w:color="auto" w:fill="auto"/>
            <w:noWrap/>
            <w:vAlign w:val="center"/>
            <w:hideMark/>
          </w:tcPr>
          <w:p w14:paraId="18648764" w14:textId="19D1A8FE" w:rsidR="00C7143B" w:rsidRPr="00C179A5" w:rsidRDefault="00B71E80" w:rsidP="00C7143B">
            <w:pPr>
              <w:spacing w:before="0" w:after="0" w:line="240" w:lineRule="auto"/>
              <w:jc w:val="right"/>
              <w:rPr>
                <w:rFonts w:ascii="Arial" w:hAnsi="Arial" w:cs="Arial"/>
                <w:sz w:val="16"/>
                <w:szCs w:val="16"/>
              </w:rPr>
            </w:pPr>
            <w:r w:rsidRPr="00C179A5">
              <w:rPr>
                <w:rFonts w:ascii="Arial" w:hAnsi="Arial" w:cs="Arial"/>
                <w:sz w:val="16"/>
                <w:szCs w:val="16"/>
              </w:rPr>
              <w:noBreakHyphen/>
            </w:r>
          </w:p>
        </w:tc>
      </w:tr>
      <w:tr w:rsidR="00C7143B" w:rsidRPr="00C179A5" w14:paraId="0EC6C9B4" w14:textId="77777777" w:rsidTr="00DE5D15">
        <w:trPr>
          <w:divId w:val="91902439"/>
          <w:trHeight w:hRule="exact" w:val="255"/>
        </w:trPr>
        <w:tc>
          <w:tcPr>
            <w:tcW w:w="2416" w:type="pct"/>
            <w:tcBorders>
              <w:top w:val="nil"/>
              <w:left w:val="nil"/>
              <w:bottom w:val="nil"/>
              <w:right w:val="nil"/>
            </w:tcBorders>
            <w:shd w:val="clear" w:color="auto" w:fill="auto"/>
            <w:noWrap/>
            <w:vAlign w:val="center"/>
            <w:hideMark/>
          </w:tcPr>
          <w:p w14:paraId="2BAFD5C3"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National Partnership payments</w:t>
            </w:r>
          </w:p>
        </w:tc>
        <w:tc>
          <w:tcPr>
            <w:tcW w:w="556" w:type="pct"/>
            <w:tcBorders>
              <w:top w:val="nil"/>
              <w:left w:val="nil"/>
              <w:bottom w:val="single" w:sz="4" w:space="0" w:color="002A54" w:themeColor="text2"/>
              <w:right w:val="nil"/>
            </w:tcBorders>
            <w:shd w:val="clear" w:color="auto" w:fill="auto"/>
            <w:noWrap/>
            <w:vAlign w:val="center"/>
            <w:hideMark/>
          </w:tcPr>
          <w:p w14:paraId="13A86CCA"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21,704</w:t>
            </w:r>
          </w:p>
        </w:tc>
        <w:tc>
          <w:tcPr>
            <w:tcW w:w="556" w:type="pct"/>
            <w:tcBorders>
              <w:top w:val="nil"/>
              <w:left w:val="nil"/>
              <w:bottom w:val="single" w:sz="4" w:space="0" w:color="002A54" w:themeColor="text2"/>
              <w:right w:val="nil"/>
            </w:tcBorders>
            <w:shd w:val="clear" w:color="000000" w:fill="E6F2FF"/>
            <w:noWrap/>
            <w:vAlign w:val="center"/>
            <w:hideMark/>
          </w:tcPr>
          <w:p w14:paraId="3F6237C8"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26,083</w:t>
            </w:r>
          </w:p>
        </w:tc>
        <w:tc>
          <w:tcPr>
            <w:tcW w:w="517" w:type="pct"/>
            <w:tcBorders>
              <w:top w:val="nil"/>
              <w:left w:val="nil"/>
              <w:bottom w:val="single" w:sz="4" w:space="0" w:color="002A54" w:themeColor="text2"/>
              <w:right w:val="nil"/>
            </w:tcBorders>
            <w:shd w:val="clear" w:color="auto" w:fill="auto"/>
            <w:noWrap/>
            <w:vAlign w:val="center"/>
            <w:hideMark/>
          </w:tcPr>
          <w:p w14:paraId="3602C88D"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22,828</w:t>
            </w:r>
          </w:p>
        </w:tc>
        <w:tc>
          <w:tcPr>
            <w:tcW w:w="477" w:type="pct"/>
            <w:tcBorders>
              <w:top w:val="nil"/>
              <w:left w:val="nil"/>
              <w:bottom w:val="single" w:sz="4" w:space="0" w:color="002A54" w:themeColor="text2"/>
              <w:right w:val="nil"/>
            </w:tcBorders>
            <w:shd w:val="clear" w:color="auto" w:fill="auto"/>
            <w:noWrap/>
            <w:vAlign w:val="center"/>
            <w:hideMark/>
          </w:tcPr>
          <w:p w14:paraId="23D49B59"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20,288</w:t>
            </w:r>
          </w:p>
        </w:tc>
        <w:tc>
          <w:tcPr>
            <w:tcW w:w="477" w:type="pct"/>
            <w:tcBorders>
              <w:top w:val="nil"/>
              <w:left w:val="nil"/>
              <w:bottom w:val="single" w:sz="4" w:space="0" w:color="002A54" w:themeColor="text2"/>
              <w:right w:val="nil"/>
            </w:tcBorders>
            <w:shd w:val="clear" w:color="auto" w:fill="auto"/>
            <w:noWrap/>
            <w:vAlign w:val="center"/>
            <w:hideMark/>
          </w:tcPr>
          <w:p w14:paraId="2E585BCE"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18,445</w:t>
            </w:r>
          </w:p>
        </w:tc>
      </w:tr>
      <w:tr w:rsidR="00C7143B" w:rsidRPr="00C179A5" w14:paraId="3A91024E" w14:textId="77777777" w:rsidTr="00DE5D15">
        <w:trPr>
          <w:divId w:val="91902439"/>
          <w:trHeight w:hRule="exact" w:val="255"/>
        </w:trPr>
        <w:tc>
          <w:tcPr>
            <w:tcW w:w="2416" w:type="pct"/>
            <w:tcBorders>
              <w:top w:val="nil"/>
              <w:left w:val="nil"/>
              <w:bottom w:val="nil"/>
              <w:right w:val="nil"/>
            </w:tcBorders>
            <w:shd w:val="clear" w:color="auto" w:fill="auto"/>
            <w:noWrap/>
            <w:vAlign w:val="center"/>
            <w:hideMark/>
          </w:tcPr>
          <w:p w14:paraId="7B34A606"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Total payments for specific purposes</w:t>
            </w:r>
          </w:p>
        </w:tc>
        <w:tc>
          <w:tcPr>
            <w:tcW w:w="556" w:type="pct"/>
            <w:tcBorders>
              <w:top w:val="single" w:sz="4" w:space="0" w:color="002A54" w:themeColor="text2"/>
              <w:left w:val="nil"/>
              <w:bottom w:val="nil"/>
              <w:right w:val="nil"/>
            </w:tcBorders>
            <w:shd w:val="clear" w:color="auto" w:fill="auto"/>
            <w:noWrap/>
            <w:vAlign w:val="center"/>
            <w:hideMark/>
          </w:tcPr>
          <w:p w14:paraId="2DD237C1"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80,803</w:t>
            </w:r>
          </w:p>
        </w:tc>
        <w:tc>
          <w:tcPr>
            <w:tcW w:w="556" w:type="pct"/>
            <w:tcBorders>
              <w:top w:val="single" w:sz="4" w:space="0" w:color="002A54" w:themeColor="text2"/>
              <w:left w:val="nil"/>
              <w:bottom w:val="nil"/>
              <w:right w:val="nil"/>
            </w:tcBorders>
            <w:shd w:val="clear" w:color="000000" w:fill="E6F2FF"/>
            <w:noWrap/>
            <w:vAlign w:val="center"/>
            <w:hideMark/>
          </w:tcPr>
          <w:p w14:paraId="74B1BF73"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87,393</w:t>
            </w:r>
          </w:p>
        </w:tc>
        <w:tc>
          <w:tcPr>
            <w:tcW w:w="517" w:type="pct"/>
            <w:tcBorders>
              <w:top w:val="single" w:sz="4" w:space="0" w:color="002A54" w:themeColor="text2"/>
              <w:left w:val="nil"/>
              <w:bottom w:val="nil"/>
              <w:right w:val="nil"/>
            </w:tcBorders>
            <w:shd w:val="clear" w:color="auto" w:fill="auto"/>
            <w:noWrap/>
            <w:vAlign w:val="center"/>
            <w:hideMark/>
          </w:tcPr>
          <w:p w14:paraId="620AA4E6"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86,485</w:t>
            </w:r>
          </w:p>
        </w:tc>
        <w:tc>
          <w:tcPr>
            <w:tcW w:w="477" w:type="pct"/>
            <w:tcBorders>
              <w:top w:val="single" w:sz="4" w:space="0" w:color="002A54" w:themeColor="text2"/>
              <w:left w:val="nil"/>
              <w:bottom w:val="nil"/>
              <w:right w:val="nil"/>
            </w:tcBorders>
            <w:shd w:val="clear" w:color="auto" w:fill="auto"/>
            <w:noWrap/>
            <w:vAlign w:val="center"/>
            <w:hideMark/>
          </w:tcPr>
          <w:p w14:paraId="4D64EACA"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86,357</w:t>
            </w:r>
          </w:p>
        </w:tc>
        <w:tc>
          <w:tcPr>
            <w:tcW w:w="477" w:type="pct"/>
            <w:tcBorders>
              <w:top w:val="single" w:sz="4" w:space="0" w:color="002A54" w:themeColor="text2"/>
              <w:left w:val="nil"/>
              <w:bottom w:val="nil"/>
              <w:right w:val="nil"/>
            </w:tcBorders>
            <w:shd w:val="clear" w:color="auto" w:fill="auto"/>
            <w:noWrap/>
            <w:vAlign w:val="center"/>
            <w:hideMark/>
          </w:tcPr>
          <w:p w14:paraId="33901C0E"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87,673</w:t>
            </w:r>
          </w:p>
        </w:tc>
      </w:tr>
      <w:tr w:rsidR="00C7143B" w:rsidRPr="00C179A5" w14:paraId="5A7ED138" w14:textId="77777777" w:rsidTr="00C7143B">
        <w:trPr>
          <w:divId w:val="91902439"/>
          <w:trHeight w:hRule="exact" w:val="255"/>
        </w:trPr>
        <w:tc>
          <w:tcPr>
            <w:tcW w:w="2416" w:type="pct"/>
            <w:tcBorders>
              <w:top w:val="nil"/>
              <w:left w:val="nil"/>
              <w:bottom w:val="nil"/>
              <w:right w:val="nil"/>
            </w:tcBorders>
            <w:shd w:val="clear" w:color="auto" w:fill="auto"/>
            <w:noWrap/>
            <w:vAlign w:val="center"/>
            <w:hideMark/>
          </w:tcPr>
          <w:p w14:paraId="68122D2B"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Per cent change from previous year</w:t>
            </w:r>
          </w:p>
        </w:tc>
        <w:tc>
          <w:tcPr>
            <w:tcW w:w="556" w:type="pct"/>
            <w:tcBorders>
              <w:top w:val="nil"/>
              <w:left w:val="nil"/>
              <w:bottom w:val="nil"/>
              <w:right w:val="nil"/>
            </w:tcBorders>
            <w:shd w:val="clear" w:color="auto" w:fill="auto"/>
            <w:noWrap/>
            <w:vAlign w:val="center"/>
            <w:hideMark/>
          </w:tcPr>
          <w:p w14:paraId="1C5BCBBA" w14:textId="6EC678AD" w:rsidR="00C7143B" w:rsidRPr="00C179A5" w:rsidRDefault="00B71E80" w:rsidP="00C7143B">
            <w:pPr>
              <w:spacing w:before="0" w:after="0" w:line="240" w:lineRule="auto"/>
              <w:jc w:val="right"/>
              <w:rPr>
                <w:rFonts w:ascii="Arial" w:hAnsi="Arial" w:cs="Arial"/>
                <w:sz w:val="16"/>
                <w:szCs w:val="16"/>
              </w:rPr>
            </w:pPr>
            <w:r w:rsidRPr="00C179A5">
              <w:rPr>
                <w:rFonts w:ascii="Arial" w:hAnsi="Arial" w:cs="Arial"/>
                <w:sz w:val="16"/>
                <w:szCs w:val="16"/>
              </w:rPr>
              <w:noBreakHyphen/>
            </w:r>
            <w:r w:rsidR="00C7143B" w:rsidRPr="00C179A5">
              <w:rPr>
                <w:rFonts w:ascii="Arial" w:hAnsi="Arial" w:cs="Arial"/>
                <w:sz w:val="16"/>
                <w:szCs w:val="16"/>
              </w:rPr>
              <w:t>6.4</w:t>
            </w:r>
          </w:p>
        </w:tc>
        <w:tc>
          <w:tcPr>
            <w:tcW w:w="556" w:type="pct"/>
            <w:tcBorders>
              <w:top w:val="nil"/>
              <w:left w:val="nil"/>
              <w:bottom w:val="nil"/>
              <w:right w:val="nil"/>
            </w:tcBorders>
            <w:shd w:val="clear" w:color="000000" w:fill="E6F2FF"/>
            <w:noWrap/>
            <w:vAlign w:val="center"/>
            <w:hideMark/>
          </w:tcPr>
          <w:p w14:paraId="08A350C7"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8.2</w:t>
            </w:r>
          </w:p>
        </w:tc>
        <w:tc>
          <w:tcPr>
            <w:tcW w:w="517" w:type="pct"/>
            <w:tcBorders>
              <w:top w:val="nil"/>
              <w:left w:val="nil"/>
              <w:bottom w:val="nil"/>
              <w:right w:val="nil"/>
            </w:tcBorders>
            <w:shd w:val="clear" w:color="auto" w:fill="auto"/>
            <w:noWrap/>
            <w:vAlign w:val="center"/>
            <w:hideMark/>
          </w:tcPr>
          <w:p w14:paraId="7C5E8A3A" w14:textId="43AB4510" w:rsidR="00C7143B" w:rsidRPr="00C179A5" w:rsidRDefault="00B71E80" w:rsidP="00C7143B">
            <w:pPr>
              <w:spacing w:before="0" w:after="0" w:line="240" w:lineRule="auto"/>
              <w:jc w:val="right"/>
              <w:rPr>
                <w:rFonts w:ascii="Arial" w:hAnsi="Arial" w:cs="Arial"/>
                <w:sz w:val="16"/>
                <w:szCs w:val="16"/>
              </w:rPr>
            </w:pPr>
            <w:r w:rsidRPr="00C179A5">
              <w:rPr>
                <w:rFonts w:ascii="Arial" w:hAnsi="Arial" w:cs="Arial"/>
                <w:sz w:val="16"/>
                <w:szCs w:val="16"/>
              </w:rPr>
              <w:noBreakHyphen/>
            </w:r>
            <w:r w:rsidR="00C7143B" w:rsidRPr="00C179A5">
              <w:rPr>
                <w:rFonts w:ascii="Arial" w:hAnsi="Arial" w:cs="Arial"/>
                <w:sz w:val="16"/>
                <w:szCs w:val="16"/>
              </w:rPr>
              <w:t>1.0</w:t>
            </w:r>
          </w:p>
        </w:tc>
        <w:tc>
          <w:tcPr>
            <w:tcW w:w="477" w:type="pct"/>
            <w:tcBorders>
              <w:top w:val="nil"/>
              <w:left w:val="nil"/>
              <w:bottom w:val="nil"/>
              <w:right w:val="nil"/>
            </w:tcBorders>
            <w:shd w:val="clear" w:color="auto" w:fill="auto"/>
            <w:noWrap/>
            <w:vAlign w:val="center"/>
            <w:hideMark/>
          </w:tcPr>
          <w:p w14:paraId="51E9CC27" w14:textId="3FBC1C21" w:rsidR="00C7143B" w:rsidRPr="00C179A5" w:rsidRDefault="00B71E80" w:rsidP="00C7143B">
            <w:pPr>
              <w:spacing w:before="0" w:after="0" w:line="240" w:lineRule="auto"/>
              <w:jc w:val="right"/>
              <w:rPr>
                <w:rFonts w:ascii="Arial" w:hAnsi="Arial" w:cs="Arial"/>
                <w:sz w:val="16"/>
                <w:szCs w:val="16"/>
              </w:rPr>
            </w:pPr>
            <w:r w:rsidRPr="00C179A5">
              <w:rPr>
                <w:rFonts w:ascii="Arial" w:hAnsi="Arial" w:cs="Arial"/>
                <w:sz w:val="16"/>
                <w:szCs w:val="16"/>
              </w:rPr>
              <w:noBreakHyphen/>
            </w:r>
            <w:r w:rsidR="00C7143B" w:rsidRPr="00C179A5">
              <w:rPr>
                <w:rFonts w:ascii="Arial" w:hAnsi="Arial" w:cs="Arial"/>
                <w:sz w:val="16"/>
                <w:szCs w:val="16"/>
              </w:rPr>
              <w:t>0.1</w:t>
            </w:r>
          </w:p>
        </w:tc>
        <w:tc>
          <w:tcPr>
            <w:tcW w:w="477" w:type="pct"/>
            <w:tcBorders>
              <w:top w:val="nil"/>
              <w:left w:val="nil"/>
              <w:bottom w:val="nil"/>
              <w:right w:val="nil"/>
            </w:tcBorders>
            <w:shd w:val="clear" w:color="auto" w:fill="auto"/>
            <w:noWrap/>
            <w:vAlign w:val="center"/>
            <w:hideMark/>
          </w:tcPr>
          <w:p w14:paraId="1149E264"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1.5</w:t>
            </w:r>
          </w:p>
        </w:tc>
      </w:tr>
      <w:tr w:rsidR="00C7143B" w:rsidRPr="00C179A5" w14:paraId="2F3A0079" w14:textId="77777777" w:rsidTr="00C7143B">
        <w:trPr>
          <w:divId w:val="91902439"/>
          <w:trHeight w:hRule="exact" w:val="255"/>
        </w:trPr>
        <w:tc>
          <w:tcPr>
            <w:tcW w:w="2416" w:type="pct"/>
            <w:tcBorders>
              <w:top w:val="nil"/>
              <w:left w:val="nil"/>
              <w:bottom w:val="nil"/>
              <w:right w:val="nil"/>
            </w:tcBorders>
            <w:shd w:val="clear" w:color="auto" w:fill="auto"/>
            <w:noWrap/>
            <w:vAlign w:val="center"/>
            <w:hideMark/>
          </w:tcPr>
          <w:p w14:paraId="4E2D48B4"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Per cent of GDP</w:t>
            </w:r>
          </w:p>
        </w:tc>
        <w:tc>
          <w:tcPr>
            <w:tcW w:w="556" w:type="pct"/>
            <w:tcBorders>
              <w:top w:val="nil"/>
              <w:left w:val="nil"/>
              <w:bottom w:val="nil"/>
              <w:right w:val="nil"/>
            </w:tcBorders>
            <w:shd w:val="clear" w:color="auto" w:fill="auto"/>
            <w:noWrap/>
            <w:vAlign w:val="center"/>
            <w:hideMark/>
          </w:tcPr>
          <w:p w14:paraId="3A4B08CB"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3.2</w:t>
            </w:r>
          </w:p>
        </w:tc>
        <w:tc>
          <w:tcPr>
            <w:tcW w:w="556" w:type="pct"/>
            <w:tcBorders>
              <w:top w:val="nil"/>
              <w:left w:val="nil"/>
              <w:bottom w:val="nil"/>
              <w:right w:val="nil"/>
            </w:tcBorders>
            <w:shd w:val="clear" w:color="000000" w:fill="E6F2FF"/>
            <w:noWrap/>
            <w:vAlign w:val="center"/>
            <w:hideMark/>
          </w:tcPr>
          <w:p w14:paraId="6B9D20B2"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3.4</w:t>
            </w:r>
          </w:p>
        </w:tc>
        <w:tc>
          <w:tcPr>
            <w:tcW w:w="517" w:type="pct"/>
            <w:tcBorders>
              <w:top w:val="nil"/>
              <w:left w:val="nil"/>
              <w:bottom w:val="nil"/>
              <w:right w:val="nil"/>
            </w:tcBorders>
            <w:shd w:val="clear" w:color="auto" w:fill="auto"/>
            <w:noWrap/>
            <w:vAlign w:val="center"/>
            <w:hideMark/>
          </w:tcPr>
          <w:p w14:paraId="05FC3B69"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3.3</w:t>
            </w:r>
          </w:p>
        </w:tc>
        <w:tc>
          <w:tcPr>
            <w:tcW w:w="477" w:type="pct"/>
            <w:tcBorders>
              <w:top w:val="nil"/>
              <w:left w:val="nil"/>
              <w:bottom w:val="nil"/>
              <w:right w:val="nil"/>
            </w:tcBorders>
            <w:shd w:val="clear" w:color="auto" w:fill="auto"/>
            <w:noWrap/>
            <w:vAlign w:val="center"/>
            <w:hideMark/>
          </w:tcPr>
          <w:p w14:paraId="387FF09B"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3.1</w:t>
            </w:r>
          </w:p>
        </w:tc>
        <w:tc>
          <w:tcPr>
            <w:tcW w:w="477" w:type="pct"/>
            <w:tcBorders>
              <w:top w:val="nil"/>
              <w:left w:val="nil"/>
              <w:bottom w:val="nil"/>
              <w:right w:val="nil"/>
            </w:tcBorders>
            <w:shd w:val="clear" w:color="auto" w:fill="auto"/>
            <w:noWrap/>
            <w:vAlign w:val="center"/>
            <w:hideMark/>
          </w:tcPr>
          <w:p w14:paraId="1F3E2C66"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3.0</w:t>
            </w:r>
          </w:p>
        </w:tc>
      </w:tr>
      <w:tr w:rsidR="00C7143B" w:rsidRPr="00C179A5" w14:paraId="4479C2D1" w14:textId="77777777" w:rsidTr="00C7143B">
        <w:trPr>
          <w:divId w:val="91902439"/>
          <w:trHeight w:hRule="exact" w:val="255"/>
        </w:trPr>
        <w:tc>
          <w:tcPr>
            <w:tcW w:w="2416" w:type="pct"/>
            <w:tcBorders>
              <w:top w:val="nil"/>
              <w:left w:val="nil"/>
              <w:bottom w:val="nil"/>
              <w:right w:val="nil"/>
            </w:tcBorders>
            <w:shd w:val="clear" w:color="auto" w:fill="auto"/>
            <w:noWrap/>
            <w:vAlign w:val="center"/>
            <w:hideMark/>
          </w:tcPr>
          <w:p w14:paraId="5F30FD5E" w14:textId="77777777" w:rsidR="00C7143B" w:rsidRPr="00C179A5" w:rsidRDefault="00C7143B" w:rsidP="00C7143B">
            <w:pPr>
              <w:spacing w:before="0" w:after="0" w:line="240" w:lineRule="auto"/>
              <w:rPr>
                <w:rFonts w:ascii="Arial" w:hAnsi="Arial" w:cs="Arial"/>
                <w:i/>
                <w:sz w:val="16"/>
                <w:szCs w:val="16"/>
              </w:rPr>
            </w:pPr>
            <w:r w:rsidRPr="00C179A5">
              <w:rPr>
                <w:rFonts w:ascii="Arial" w:hAnsi="Arial" w:cs="Arial"/>
                <w:i/>
                <w:sz w:val="16"/>
                <w:szCs w:val="16"/>
              </w:rPr>
              <w:t>General revenue assistance</w:t>
            </w:r>
          </w:p>
        </w:tc>
        <w:tc>
          <w:tcPr>
            <w:tcW w:w="556" w:type="pct"/>
            <w:tcBorders>
              <w:top w:val="nil"/>
              <w:left w:val="nil"/>
              <w:bottom w:val="nil"/>
              <w:right w:val="nil"/>
            </w:tcBorders>
            <w:shd w:val="clear" w:color="auto" w:fill="auto"/>
            <w:noWrap/>
            <w:vAlign w:val="center"/>
            <w:hideMark/>
          </w:tcPr>
          <w:p w14:paraId="7574F010" w14:textId="77777777" w:rsidR="00C7143B" w:rsidRPr="00C179A5" w:rsidRDefault="00C7143B" w:rsidP="00C7143B">
            <w:pPr>
              <w:spacing w:before="0" w:after="0" w:line="240" w:lineRule="auto"/>
              <w:rPr>
                <w:rFonts w:ascii="Arial" w:hAnsi="Arial" w:cs="Arial"/>
                <w:i/>
                <w:sz w:val="16"/>
                <w:szCs w:val="16"/>
              </w:rPr>
            </w:pPr>
          </w:p>
        </w:tc>
        <w:tc>
          <w:tcPr>
            <w:tcW w:w="556" w:type="pct"/>
            <w:tcBorders>
              <w:top w:val="nil"/>
              <w:left w:val="nil"/>
              <w:bottom w:val="nil"/>
              <w:right w:val="nil"/>
            </w:tcBorders>
            <w:shd w:val="clear" w:color="000000" w:fill="E6F2FF"/>
            <w:noWrap/>
            <w:vAlign w:val="center"/>
            <w:hideMark/>
          </w:tcPr>
          <w:p w14:paraId="222A8BC0"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 </w:t>
            </w:r>
          </w:p>
        </w:tc>
        <w:tc>
          <w:tcPr>
            <w:tcW w:w="517" w:type="pct"/>
            <w:tcBorders>
              <w:top w:val="nil"/>
              <w:left w:val="nil"/>
              <w:bottom w:val="nil"/>
              <w:right w:val="nil"/>
            </w:tcBorders>
            <w:shd w:val="clear" w:color="auto" w:fill="auto"/>
            <w:noWrap/>
            <w:vAlign w:val="center"/>
            <w:hideMark/>
          </w:tcPr>
          <w:p w14:paraId="55401AFE" w14:textId="77777777" w:rsidR="00C7143B" w:rsidRPr="00C179A5" w:rsidRDefault="00C7143B" w:rsidP="00C7143B">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17585EBD" w14:textId="77777777" w:rsidR="00C7143B" w:rsidRPr="00C179A5" w:rsidRDefault="00C7143B" w:rsidP="00C7143B">
            <w:pPr>
              <w:spacing w:before="0" w:after="0" w:line="240" w:lineRule="auto"/>
              <w:jc w:val="right"/>
              <w:rPr>
                <w:rFonts w:ascii="Times New Roman" w:hAnsi="Times New Roman"/>
                <w:sz w:val="20"/>
              </w:rPr>
            </w:pPr>
          </w:p>
        </w:tc>
        <w:tc>
          <w:tcPr>
            <w:tcW w:w="477" w:type="pct"/>
            <w:tcBorders>
              <w:top w:val="nil"/>
              <w:left w:val="nil"/>
              <w:bottom w:val="nil"/>
              <w:right w:val="nil"/>
            </w:tcBorders>
            <w:shd w:val="clear" w:color="auto" w:fill="auto"/>
            <w:noWrap/>
            <w:vAlign w:val="center"/>
            <w:hideMark/>
          </w:tcPr>
          <w:p w14:paraId="343731AE" w14:textId="77777777" w:rsidR="00C7143B" w:rsidRPr="00C179A5" w:rsidRDefault="00C7143B" w:rsidP="00C7143B">
            <w:pPr>
              <w:spacing w:before="0" w:after="0" w:line="240" w:lineRule="auto"/>
              <w:jc w:val="right"/>
              <w:rPr>
                <w:rFonts w:ascii="Times New Roman" w:hAnsi="Times New Roman"/>
                <w:sz w:val="20"/>
              </w:rPr>
            </w:pPr>
          </w:p>
        </w:tc>
      </w:tr>
      <w:tr w:rsidR="00C7143B" w:rsidRPr="00C179A5" w14:paraId="754CCBC0" w14:textId="77777777" w:rsidTr="00C7143B">
        <w:trPr>
          <w:divId w:val="91902439"/>
          <w:trHeight w:hRule="exact" w:val="255"/>
        </w:trPr>
        <w:tc>
          <w:tcPr>
            <w:tcW w:w="2416" w:type="pct"/>
            <w:tcBorders>
              <w:top w:val="nil"/>
              <w:left w:val="nil"/>
              <w:bottom w:val="nil"/>
              <w:right w:val="nil"/>
            </w:tcBorders>
            <w:shd w:val="clear" w:color="auto" w:fill="auto"/>
            <w:noWrap/>
            <w:vAlign w:val="center"/>
            <w:hideMark/>
          </w:tcPr>
          <w:p w14:paraId="0E33A744" w14:textId="60D357D6"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GST</w:t>
            </w:r>
            <w:r w:rsidR="00B71E80" w:rsidRPr="00C179A5">
              <w:rPr>
                <w:rFonts w:ascii="Arial" w:hAnsi="Arial" w:cs="Arial"/>
                <w:sz w:val="16"/>
                <w:szCs w:val="16"/>
              </w:rPr>
              <w:noBreakHyphen/>
            </w:r>
            <w:r w:rsidRPr="00C179A5">
              <w:rPr>
                <w:rFonts w:ascii="Arial" w:hAnsi="Arial" w:cs="Arial"/>
                <w:sz w:val="16"/>
                <w:szCs w:val="16"/>
              </w:rPr>
              <w:t>related payments(a)</w:t>
            </w:r>
          </w:p>
        </w:tc>
        <w:tc>
          <w:tcPr>
            <w:tcW w:w="556" w:type="pct"/>
            <w:tcBorders>
              <w:top w:val="nil"/>
              <w:left w:val="nil"/>
              <w:bottom w:val="nil"/>
              <w:right w:val="nil"/>
            </w:tcBorders>
            <w:shd w:val="clear" w:color="auto" w:fill="auto"/>
            <w:noWrap/>
            <w:vAlign w:val="center"/>
            <w:hideMark/>
          </w:tcPr>
          <w:p w14:paraId="6EA49F49"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86,458</w:t>
            </w:r>
          </w:p>
        </w:tc>
        <w:tc>
          <w:tcPr>
            <w:tcW w:w="556" w:type="pct"/>
            <w:tcBorders>
              <w:top w:val="nil"/>
              <w:left w:val="nil"/>
              <w:bottom w:val="nil"/>
              <w:right w:val="nil"/>
            </w:tcBorders>
            <w:shd w:val="clear" w:color="000000" w:fill="E6F2FF"/>
            <w:noWrap/>
            <w:vAlign w:val="center"/>
            <w:hideMark/>
          </w:tcPr>
          <w:p w14:paraId="3C7FAD94"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91,536</w:t>
            </w:r>
          </w:p>
        </w:tc>
        <w:tc>
          <w:tcPr>
            <w:tcW w:w="517" w:type="pct"/>
            <w:tcBorders>
              <w:top w:val="nil"/>
              <w:left w:val="nil"/>
              <w:bottom w:val="nil"/>
              <w:right w:val="nil"/>
            </w:tcBorders>
            <w:shd w:val="clear" w:color="auto" w:fill="auto"/>
            <w:noWrap/>
            <w:vAlign w:val="center"/>
            <w:hideMark/>
          </w:tcPr>
          <w:p w14:paraId="0932DC90"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95,557</w:t>
            </w:r>
          </w:p>
        </w:tc>
        <w:tc>
          <w:tcPr>
            <w:tcW w:w="477" w:type="pct"/>
            <w:tcBorders>
              <w:top w:val="nil"/>
              <w:left w:val="nil"/>
              <w:bottom w:val="nil"/>
              <w:right w:val="nil"/>
            </w:tcBorders>
            <w:shd w:val="clear" w:color="auto" w:fill="auto"/>
            <w:noWrap/>
            <w:vAlign w:val="center"/>
            <w:hideMark/>
          </w:tcPr>
          <w:p w14:paraId="7F4432F6"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101,162</w:t>
            </w:r>
          </w:p>
        </w:tc>
        <w:tc>
          <w:tcPr>
            <w:tcW w:w="477" w:type="pct"/>
            <w:tcBorders>
              <w:top w:val="nil"/>
              <w:left w:val="nil"/>
              <w:bottom w:val="nil"/>
              <w:right w:val="nil"/>
            </w:tcBorders>
            <w:shd w:val="clear" w:color="auto" w:fill="auto"/>
            <w:noWrap/>
            <w:vAlign w:val="center"/>
            <w:hideMark/>
          </w:tcPr>
          <w:p w14:paraId="7663FF79"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104,769</w:t>
            </w:r>
          </w:p>
        </w:tc>
      </w:tr>
      <w:tr w:rsidR="00C7143B" w:rsidRPr="00C179A5" w14:paraId="670B1577" w14:textId="77777777" w:rsidTr="00DE5D15">
        <w:trPr>
          <w:divId w:val="91902439"/>
          <w:trHeight w:hRule="exact" w:val="255"/>
        </w:trPr>
        <w:tc>
          <w:tcPr>
            <w:tcW w:w="2416" w:type="pct"/>
            <w:tcBorders>
              <w:top w:val="nil"/>
              <w:left w:val="nil"/>
              <w:bottom w:val="nil"/>
              <w:right w:val="nil"/>
            </w:tcBorders>
            <w:shd w:val="clear" w:color="auto" w:fill="auto"/>
            <w:noWrap/>
            <w:vAlign w:val="center"/>
            <w:hideMark/>
          </w:tcPr>
          <w:p w14:paraId="1E317C43"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Other general revenue assistance</w:t>
            </w:r>
          </w:p>
        </w:tc>
        <w:tc>
          <w:tcPr>
            <w:tcW w:w="556" w:type="pct"/>
            <w:tcBorders>
              <w:top w:val="nil"/>
              <w:left w:val="nil"/>
              <w:bottom w:val="single" w:sz="4" w:space="0" w:color="002A54" w:themeColor="text2"/>
              <w:right w:val="nil"/>
            </w:tcBorders>
            <w:shd w:val="clear" w:color="auto" w:fill="auto"/>
            <w:noWrap/>
            <w:vAlign w:val="center"/>
            <w:hideMark/>
          </w:tcPr>
          <w:p w14:paraId="6B78E563"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1,562</w:t>
            </w:r>
          </w:p>
        </w:tc>
        <w:tc>
          <w:tcPr>
            <w:tcW w:w="556" w:type="pct"/>
            <w:tcBorders>
              <w:top w:val="nil"/>
              <w:left w:val="nil"/>
              <w:bottom w:val="single" w:sz="4" w:space="0" w:color="002A54" w:themeColor="text2"/>
              <w:right w:val="nil"/>
            </w:tcBorders>
            <w:shd w:val="clear" w:color="000000" w:fill="E6F2FF"/>
            <w:noWrap/>
            <w:vAlign w:val="center"/>
            <w:hideMark/>
          </w:tcPr>
          <w:p w14:paraId="1804F902"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934</w:t>
            </w:r>
          </w:p>
        </w:tc>
        <w:tc>
          <w:tcPr>
            <w:tcW w:w="517" w:type="pct"/>
            <w:tcBorders>
              <w:top w:val="nil"/>
              <w:left w:val="nil"/>
              <w:bottom w:val="single" w:sz="4" w:space="0" w:color="002A54" w:themeColor="text2"/>
              <w:right w:val="nil"/>
            </w:tcBorders>
            <w:shd w:val="clear" w:color="auto" w:fill="auto"/>
            <w:noWrap/>
            <w:vAlign w:val="center"/>
            <w:hideMark/>
          </w:tcPr>
          <w:p w14:paraId="11D186E3"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788</w:t>
            </w:r>
          </w:p>
        </w:tc>
        <w:tc>
          <w:tcPr>
            <w:tcW w:w="477" w:type="pct"/>
            <w:tcBorders>
              <w:top w:val="nil"/>
              <w:left w:val="nil"/>
              <w:bottom w:val="single" w:sz="4" w:space="0" w:color="002A54" w:themeColor="text2"/>
              <w:right w:val="nil"/>
            </w:tcBorders>
            <w:shd w:val="clear" w:color="auto" w:fill="auto"/>
            <w:noWrap/>
            <w:vAlign w:val="center"/>
            <w:hideMark/>
          </w:tcPr>
          <w:p w14:paraId="2E307F0B"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621</w:t>
            </w:r>
          </w:p>
        </w:tc>
        <w:tc>
          <w:tcPr>
            <w:tcW w:w="477" w:type="pct"/>
            <w:tcBorders>
              <w:top w:val="nil"/>
              <w:left w:val="nil"/>
              <w:bottom w:val="single" w:sz="4" w:space="0" w:color="002A54" w:themeColor="text2"/>
              <w:right w:val="nil"/>
            </w:tcBorders>
            <w:shd w:val="clear" w:color="auto" w:fill="auto"/>
            <w:noWrap/>
            <w:vAlign w:val="center"/>
            <w:hideMark/>
          </w:tcPr>
          <w:p w14:paraId="158694E7"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493</w:t>
            </w:r>
          </w:p>
        </w:tc>
      </w:tr>
      <w:tr w:rsidR="00C7143B" w:rsidRPr="00C179A5" w14:paraId="6402C69D" w14:textId="77777777" w:rsidTr="00DE5D15">
        <w:trPr>
          <w:divId w:val="91902439"/>
          <w:trHeight w:hRule="exact" w:val="255"/>
        </w:trPr>
        <w:tc>
          <w:tcPr>
            <w:tcW w:w="2416" w:type="pct"/>
            <w:tcBorders>
              <w:top w:val="nil"/>
              <w:left w:val="nil"/>
              <w:bottom w:val="nil"/>
              <w:right w:val="nil"/>
            </w:tcBorders>
            <w:shd w:val="clear" w:color="auto" w:fill="auto"/>
            <w:noWrap/>
            <w:vAlign w:val="center"/>
            <w:hideMark/>
          </w:tcPr>
          <w:p w14:paraId="2F43753C"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Total general revenue assistance</w:t>
            </w:r>
          </w:p>
        </w:tc>
        <w:tc>
          <w:tcPr>
            <w:tcW w:w="556" w:type="pct"/>
            <w:tcBorders>
              <w:top w:val="single" w:sz="4" w:space="0" w:color="002A54" w:themeColor="text2"/>
              <w:left w:val="nil"/>
              <w:bottom w:val="nil"/>
              <w:right w:val="nil"/>
            </w:tcBorders>
            <w:shd w:val="clear" w:color="auto" w:fill="auto"/>
            <w:noWrap/>
            <w:vAlign w:val="center"/>
            <w:hideMark/>
          </w:tcPr>
          <w:p w14:paraId="49F55411"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88,021</w:t>
            </w:r>
          </w:p>
        </w:tc>
        <w:tc>
          <w:tcPr>
            <w:tcW w:w="556" w:type="pct"/>
            <w:tcBorders>
              <w:top w:val="single" w:sz="4" w:space="0" w:color="002A54" w:themeColor="text2"/>
              <w:left w:val="nil"/>
              <w:bottom w:val="nil"/>
              <w:right w:val="nil"/>
            </w:tcBorders>
            <w:shd w:val="clear" w:color="000000" w:fill="E6F2FF"/>
            <w:noWrap/>
            <w:vAlign w:val="center"/>
            <w:hideMark/>
          </w:tcPr>
          <w:p w14:paraId="63A6DEC6"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92,470</w:t>
            </w:r>
          </w:p>
        </w:tc>
        <w:tc>
          <w:tcPr>
            <w:tcW w:w="517" w:type="pct"/>
            <w:tcBorders>
              <w:top w:val="single" w:sz="4" w:space="0" w:color="002A54" w:themeColor="text2"/>
              <w:left w:val="nil"/>
              <w:bottom w:val="nil"/>
              <w:right w:val="nil"/>
            </w:tcBorders>
            <w:shd w:val="clear" w:color="auto" w:fill="auto"/>
            <w:noWrap/>
            <w:vAlign w:val="center"/>
            <w:hideMark/>
          </w:tcPr>
          <w:p w14:paraId="13BD4087"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96,345</w:t>
            </w:r>
          </w:p>
        </w:tc>
        <w:tc>
          <w:tcPr>
            <w:tcW w:w="477" w:type="pct"/>
            <w:tcBorders>
              <w:top w:val="single" w:sz="4" w:space="0" w:color="002A54" w:themeColor="text2"/>
              <w:left w:val="nil"/>
              <w:bottom w:val="nil"/>
              <w:right w:val="nil"/>
            </w:tcBorders>
            <w:shd w:val="clear" w:color="auto" w:fill="auto"/>
            <w:noWrap/>
            <w:vAlign w:val="center"/>
            <w:hideMark/>
          </w:tcPr>
          <w:p w14:paraId="5E61326A"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101,782</w:t>
            </w:r>
          </w:p>
        </w:tc>
        <w:tc>
          <w:tcPr>
            <w:tcW w:w="477" w:type="pct"/>
            <w:tcBorders>
              <w:top w:val="single" w:sz="4" w:space="0" w:color="002A54" w:themeColor="text2"/>
              <w:left w:val="nil"/>
              <w:bottom w:val="nil"/>
              <w:right w:val="nil"/>
            </w:tcBorders>
            <w:shd w:val="clear" w:color="auto" w:fill="auto"/>
            <w:noWrap/>
            <w:vAlign w:val="center"/>
            <w:hideMark/>
          </w:tcPr>
          <w:p w14:paraId="51D7EF43"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105,261</w:t>
            </w:r>
          </w:p>
        </w:tc>
      </w:tr>
      <w:tr w:rsidR="00C7143B" w:rsidRPr="00C179A5" w14:paraId="404D97CE" w14:textId="77777777" w:rsidTr="00C7143B">
        <w:trPr>
          <w:divId w:val="91902439"/>
          <w:trHeight w:hRule="exact" w:val="255"/>
        </w:trPr>
        <w:tc>
          <w:tcPr>
            <w:tcW w:w="2416" w:type="pct"/>
            <w:tcBorders>
              <w:top w:val="nil"/>
              <w:left w:val="nil"/>
              <w:bottom w:val="nil"/>
              <w:right w:val="nil"/>
            </w:tcBorders>
            <w:shd w:val="clear" w:color="auto" w:fill="auto"/>
            <w:noWrap/>
            <w:vAlign w:val="center"/>
            <w:hideMark/>
          </w:tcPr>
          <w:p w14:paraId="598A56BE"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Per cent change from previous year</w:t>
            </w:r>
          </w:p>
        </w:tc>
        <w:tc>
          <w:tcPr>
            <w:tcW w:w="556" w:type="pct"/>
            <w:tcBorders>
              <w:top w:val="nil"/>
              <w:left w:val="nil"/>
              <w:bottom w:val="nil"/>
              <w:right w:val="nil"/>
            </w:tcBorders>
            <w:shd w:val="clear" w:color="auto" w:fill="auto"/>
            <w:noWrap/>
            <w:vAlign w:val="center"/>
            <w:hideMark/>
          </w:tcPr>
          <w:p w14:paraId="2B2E8B78"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13.5</w:t>
            </w:r>
          </w:p>
        </w:tc>
        <w:tc>
          <w:tcPr>
            <w:tcW w:w="556" w:type="pct"/>
            <w:tcBorders>
              <w:top w:val="nil"/>
              <w:left w:val="nil"/>
              <w:bottom w:val="nil"/>
              <w:right w:val="nil"/>
            </w:tcBorders>
            <w:shd w:val="clear" w:color="000000" w:fill="E6F2FF"/>
            <w:noWrap/>
            <w:vAlign w:val="center"/>
            <w:hideMark/>
          </w:tcPr>
          <w:p w14:paraId="33A94945"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5.1</w:t>
            </w:r>
          </w:p>
        </w:tc>
        <w:tc>
          <w:tcPr>
            <w:tcW w:w="517" w:type="pct"/>
            <w:tcBorders>
              <w:top w:val="nil"/>
              <w:left w:val="nil"/>
              <w:bottom w:val="nil"/>
              <w:right w:val="nil"/>
            </w:tcBorders>
            <w:shd w:val="clear" w:color="auto" w:fill="auto"/>
            <w:noWrap/>
            <w:vAlign w:val="center"/>
            <w:hideMark/>
          </w:tcPr>
          <w:p w14:paraId="006CAB45"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4.2</w:t>
            </w:r>
          </w:p>
        </w:tc>
        <w:tc>
          <w:tcPr>
            <w:tcW w:w="477" w:type="pct"/>
            <w:tcBorders>
              <w:top w:val="nil"/>
              <w:left w:val="nil"/>
              <w:bottom w:val="nil"/>
              <w:right w:val="nil"/>
            </w:tcBorders>
            <w:shd w:val="clear" w:color="auto" w:fill="auto"/>
            <w:noWrap/>
            <w:vAlign w:val="center"/>
            <w:hideMark/>
          </w:tcPr>
          <w:p w14:paraId="63F32951"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5.6</w:t>
            </w:r>
          </w:p>
        </w:tc>
        <w:tc>
          <w:tcPr>
            <w:tcW w:w="477" w:type="pct"/>
            <w:tcBorders>
              <w:top w:val="nil"/>
              <w:left w:val="nil"/>
              <w:bottom w:val="nil"/>
              <w:right w:val="nil"/>
            </w:tcBorders>
            <w:shd w:val="clear" w:color="auto" w:fill="auto"/>
            <w:noWrap/>
            <w:vAlign w:val="center"/>
            <w:hideMark/>
          </w:tcPr>
          <w:p w14:paraId="0284EB90"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3.4</w:t>
            </w:r>
          </w:p>
        </w:tc>
      </w:tr>
      <w:tr w:rsidR="00C7143B" w:rsidRPr="00C179A5" w14:paraId="042A55A3" w14:textId="77777777" w:rsidTr="00DE5D15">
        <w:trPr>
          <w:divId w:val="91902439"/>
          <w:trHeight w:hRule="exact" w:val="255"/>
        </w:trPr>
        <w:tc>
          <w:tcPr>
            <w:tcW w:w="2416" w:type="pct"/>
            <w:tcBorders>
              <w:top w:val="nil"/>
              <w:left w:val="nil"/>
              <w:bottom w:val="nil"/>
              <w:right w:val="nil"/>
            </w:tcBorders>
            <w:shd w:val="clear" w:color="auto" w:fill="auto"/>
            <w:noWrap/>
            <w:vAlign w:val="center"/>
            <w:hideMark/>
          </w:tcPr>
          <w:p w14:paraId="7BC57EEB" w14:textId="77777777" w:rsidR="00C7143B" w:rsidRPr="00C179A5" w:rsidRDefault="00C7143B" w:rsidP="00C7143B">
            <w:pPr>
              <w:spacing w:before="0" w:after="0" w:line="240" w:lineRule="auto"/>
              <w:ind w:left="170"/>
              <w:rPr>
                <w:rFonts w:ascii="Arial" w:hAnsi="Arial" w:cs="Arial"/>
                <w:sz w:val="16"/>
                <w:szCs w:val="16"/>
              </w:rPr>
            </w:pPr>
            <w:r w:rsidRPr="00C179A5">
              <w:rPr>
                <w:rFonts w:ascii="Arial" w:hAnsi="Arial" w:cs="Arial"/>
                <w:sz w:val="16"/>
                <w:szCs w:val="16"/>
              </w:rPr>
              <w:t>Per cent of GDP</w:t>
            </w:r>
          </w:p>
        </w:tc>
        <w:tc>
          <w:tcPr>
            <w:tcW w:w="556" w:type="pct"/>
            <w:tcBorders>
              <w:top w:val="nil"/>
              <w:left w:val="nil"/>
              <w:bottom w:val="single" w:sz="4" w:space="0" w:color="002A54" w:themeColor="text2"/>
              <w:right w:val="nil"/>
            </w:tcBorders>
            <w:shd w:val="clear" w:color="auto" w:fill="auto"/>
            <w:noWrap/>
            <w:vAlign w:val="center"/>
            <w:hideMark/>
          </w:tcPr>
          <w:p w14:paraId="62A30058"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3.5</w:t>
            </w:r>
          </w:p>
        </w:tc>
        <w:tc>
          <w:tcPr>
            <w:tcW w:w="556" w:type="pct"/>
            <w:tcBorders>
              <w:top w:val="nil"/>
              <w:left w:val="nil"/>
              <w:bottom w:val="single" w:sz="4" w:space="0" w:color="002A54" w:themeColor="text2"/>
              <w:right w:val="nil"/>
            </w:tcBorders>
            <w:shd w:val="clear" w:color="000000" w:fill="E6F2FF"/>
            <w:noWrap/>
            <w:vAlign w:val="center"/>
            <w:hideMark/>
          </w:tcPr>
          <w:p w14:paraId="22511D4B"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3.6</w:t>
            </w:r>
          </w:p>
        </w:tc>
        <w:tc>
          <w:tcPr>
            <w:tcW w:w="517" w:type="pct"/>
            <w:tcBorders>
              <w:top w:val="nil"/>
              <w:left w:val="nil"/>
              <w:bottom w:val="single" w:sz="4" w:space="0" w:color="002A54" w:themeColor="text2"/>
              <w:right w:val="nil"/>
            </w:tcBorders>
            <w:shd w:val="clear" w:color="auto" w:fill="auto"/>
            <w:noWrap/>
            <w:vAlign w:val="center"/>
            <w:hideMark/>
          </w:tcPr>
          <w:p w14:paraId="1CDD7A40"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3.6</w:t>
            </w:r>
          </w:p>
        </w:tc>
        <w:tc>
          <w:tcPr>
            <w:tcW w:w="477" w:type="pct"/>
            <w:tcBorders>
              <w:top w:val="nil"/>
              <w:left w:val="nil"/>
              <w:bottom w:val="single" w:sz="4" w:space="0" w:color="002A54" w:themeColor="text2"/>
              <w:right w:val="nil"/>
            </w:tcBorders>
            <w:shd w:val="clear" w:color="auto" w:fill="auto"/>
            <w:noWrap/>
            <w:vAlign w:val="center"/>
            <w:hideMark/>
          </w:tcPr>
          <w:p w14:paraId="77A79EF8"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3.7</w:t>
            </w:r>
          </w:p>
        </w:tc>
        <w:tc>
          <w:tcPr>
            <w:tcW w:w="477" w:type="pct"/>
            <w:tcBorders>
              <w:top w:val="nil"/>
              <w:left w:val="nil"/>
              <w:bottom w:val="single" w:sz="4" w:space="0" w:color="002A54" w:themeColor="text2"/>
              <w:right w:val="nil"/>
            </w:tcBorders>
            <w:shd w:val="clear" w:color="auto" w:fill="auto"/>
            <w:noWrap/>
            <w:vAlign w:val="center"/>
            <w:hideMark/>
          </w:tcPr>
          <w:p w14:paraId="748A995C"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3.6</w:t>
            </w:r>
          </w:p>
        </w:tc>
      </w:tr>
      <w:tr w:rsidR="00C7143B" w:rsidRPr="00C179A5" w14:paraId="03A5521F" w14:textId="77777777" w:rsidTr="00DE5D15">
        <w:trPr>
          <w:divId w:val="91902439"/>
          <w:trHeight w:hRule="exact" w:val="255"/>
        </w:trPr>
        <w:tc>
          <w:tcPr>
            <w:tcW w:w="2416" w:type="pct"/>
            <w:tcBorders>
              <w:top w:val="nil"/>
              <w:left w:val="nil"/>
              <w:bottom w:val="nil"/>
              <w:right w:val="nil"/>
            </w:tcBorders>
            <w:shd w:val="clear" w:color="auto" w:fill="auto"/>
            <w:noWrap/>
            <w:vAlign w:val="center"/>
            <w:hideMark/>
          </w:tcPr>
          <w:p w14:paraId="67240164" w14:textId="77777777" w:rsidR="00C7143B" w:rsidRPr="00C179A5" w:rsidRDefault="00C7143B" w:rsidP="00C7143B">
            <w:pPr>
              <w:spacing w:before="0" w:after="0" w:line="240" w:lineRule="auto"/>
              <w:rPr>
                <w:rFonts w:ascii="Arial" w:hAnsi="Arial" w:cs="Arial"/>
                <w:b/>
                <w:sz w:val="16"/>
                <w:szCs w:val="16"/>
              </w:rPr>
            </w:pPr>
            <w:r w:rsidRPr="00C179A5">
              <w:rPr>
                <w:rFonts w:ascii="Arial" w:hAnsi="Arial" w:cs="Arial"/>
                <w:b/>
                <w:sz w:val="16"/>
                <w:szCs w:val="16"/>
              </w:rPr>
              <w:t>Total payments to the states</w:t>
            </w:r>
          </w:p>
        </w:tc>
        <w:tc>
          <w:tcPr>
            <w:tcW w:w="556" w:type="pct"/>
            <w:tcBorders>
              <w:top w:val="single" w:sz="4" w:space="0" w:color="002A54" w:themeColor="text2"/>
              <w:left w:val="nil"/>
              <w:bottom w:val="nil"/>
              <w:right w:val="nil"/>
            </w:tcBorders>
            <w:shd w:val="clear" w:color="auto" w:fill="auto"/>
            <w:noWrap/>
            <w:vAlign w:val="center"/>
            <w:hideMark/>
          </w:tcPr>
          <w:p w14:paraId="6B56357D" w14:textId="77777777" w:rsidR="00C7143B" w:rsidRPr="00C179A5" w:rsidRDefault="00C7143B" w:rsidP="00C7143B">
            <w:pPr>
              <w:spacing w:before="0" w:after="0" w:line="240" w:lineRule="auto"/>
              <w:jc w:val="right"/>
              <w:rPr>
                <w:rFonts w:ascii="Arial" w:hAnsi="Arial" w:cs="Arial"/>
                <w:b/>
                <w:sz w:val="16"/>
                <w:szCs w:val="16"/>
              </w:rPr>
            </w:pPr>
            <w:r w:rsidRPr="00C179A5">
              <w:rPr>
                <w:rFonts w:ascii="Arial" w:hAnsi="Arial" w:cs="Arial"/>
                <w:b/>
                <w:sz w:val="16"/>
                <w:szCs w:val="16"/>
              </w:rPr>
              <w:t>168,824</w:t>
            </w:r>
          </w:p>
        </w:tc>
        <w:tc>
          <w:tcPr>
            <w:tcW w:w="556" w:type="pct"/>
            <w:tcBorders>
              <w:top w:val="single" w:sz="4" w:space="0" w:color="002A54" w:themeColor="text2"/>
              <w:left w:val="nil"/>
              <w:bottom w:val="nil"/>
              <w:right w:val="nil"/>
            </w:tcBorders>
            <w:shd w:val="clear" w:color="000000" w:fill="E6F2FF"/>
            <w:noWrap/>
            <w:vAlign w:val="center"/>
            <w:hideMark/>
          </w:tcPr>
          <w:p w14:paraId="654EE648" w14:textId="77777777" w:rsidR="00C7143B" w:rsidRPr="00C179A5" w:rsidRDefault="00C7143B" w:rsidP="00C7143B">
            <w:pPr>
              <w:spacing w:before="0" w:after="0" w:line="240" w:lineRule="auto"/>
              <w:jc w:val="right"/>
              <w:rPr>
                <w:rFonts w:ascii="Arial" w:hAnsi="Arial" w:cs="Arial"/>
                <w:b/>
                <w:sz w:val="16"/>
                <w:szCs w:val="16"/>
              </w:rPr>
            </w:pPr>
            <w:r w:rsidRPr="00C179A5">
              <w:rPr>
                <w:rFonts w:ascii="Arial" w:hAnsi="Arial" w:cs="Arial"/>
                <w:b/>
                <w:sz w:val="16"/>
                <w:szCs w:val="16"/>
              </w:rPr>
              <w:t>179,863</w:t>
            </w:r>
          </w:p>
        </w:tc>
        <w:tc>
          <w:tcPr>
            <w:tcW w:w="517" w:type="pct"/>
            <w:tcBorders>
              <w:top w:val="single" w:sz="4" w:space="0" w:color="002A54" w:themeColor="text2"/>
              <w:left w:val="nil"/>
              <w:bottom w:val="nil"/>
              <w:right w:val="nil"/>
            </w:tcBorders>
            <w:shd w:val="clear" w:color="auto" w:fill="auto"/>
            <w:noWrap/>
            <w:vAlign w:val="center"/>
            <w:hideMark/>
          </w:tcPr>
          <w:p w14:paraId="1EE54B53" w14:textId="77777777" w:rsidR="00C7143B" w:rsidRPr="00C179A5" w:rsidRDefault="00C7143B" w:rsidP="00C7143B">
            <w:pPr>
              <w:spacing w:before="0" w:after="0" w:line="240" w:lineRule="auto"/>
              <w:jc w:val="right"/>
              <w:rPr>
                <w:rFonts w:ascii="Arial" w:hAnsi="Arial" w:cs="Arial"/>
                <w:b/>
                <w:sz w:val="16"/>
                <w:szCs w:val="16"/>
              </w:rPr>
            </w:pPr>
            <w:r w:rsidRPr="00C179A5">
              <w:rPr>
                <w:rFonts w:ascii="Arial" w:hAnsi="Arial" w:cs="Arial"/>
                <w:b/>
                <w:sz w:val="16"/>
                <w:szCs w:val="16"/>
              </w:rPr>
              <w:t>182,830</w:t>
            </w:r>
          </w:p>
        </w:tc>
        <w:tc>
          <w:tcPr>
            <w:tcW w:w="477" w:type="pct"/>
            <w:tcBorders>
              <w:top w:val="single" w:sz="4" w:space="0" w:color="002A54" w:themeColor="text2"/>
              <w:left w:val="nil"/>
              <w:bottom w:val="nil"/>
              <w:right w:val="nil"/>
            </w:tcBorders>
            <w:shd w:val="clear" w:color="auto" w:fill="auto"/>
            <w:noWrap/>
            <w:vAlign w:val="center"/>
            <w:hideMark/>
          </w:tcPr>
          <w:p w14:paraId="5D876998" w14:textId="77777777" w:rsidR="00C7143B" w:rsidRPr="00C179A5" w:rsidRDefault="00C7143B" w:rsidP="00C7143B">
            <w:pPr>
              <w:spacing w:before="0" w:after="0" w:line="240" w:lineRule="auto"/>
              <w:jc w:val="right"/>
              <w:rPr>
                <w:rFonts w:ascii="Arial" w:hAnsi="Arial" w:cs="Arial"/>
                <w:b/>
                <w:sz w:val="16"/>
                <w:szCs w:val="16"/>
              </w:rPr>
            </w:pPr>
            <w:r w:rsidRPr="00C179A5">
              <w:rPr>
                <w:rFonts w:ascii="Arial" w:hAnsi="Arial" w:cs="Arial"/>
                <w:b/>
                <w:sz w:val="16"/>
                <w:szCs w:val="16"/>
              </w:rPr>
              <w:t>188,139</w:t>
            </w:r>
          </w:p>
        </w:tc>
        <w:tc>
          <w:tcPr>
            <w:tcW w:w="477" w:type="pct"/>
            <w:tcBorders>
              <w:top w:val="single" w:sz="4" w:space="0" w:color="002A54" w:themeColor="text2"/>
              <w:left w:val="nil"/>
              <w:bottom w:val="nil"/>
              <w:right w:val="nil"/>
            </w:tcBorders>
            <w:shd w:val="clear" w:color="auto" w:fill="auto"/>
            <w:noWrap/>
            <w:vAlign w:val="center"/>
            <w:hideMark/>
          </w:tcPr>
          <w:p w14:paraId="2EEAE022" w14:textId="77777777" w:rsidR="00C7143B" w:rsidRPr="00C179A5" w:rsidRDefault="00C7143B" w:rsidP="00C7143B">
            <w:pPr>
              <w:spacing w:before="0" w:after="0" w:line="240" w:lineRule="auto"/>
              <w:jc w:val="right"/>
              <w:rPr>
                <w:rFonts w:ascii="Arial" w:hAnsi="Arial" w:cs="Arial"/>
                <w:b/>
                <w:sz w:val="16"/>
                <w:szCs w:val="16"/>
              </w:rPr>
            </w:pPr>
            <w:r w:rsidRPr="00C179A5">
              <w:rPr>
                <w:rFonts w:ascii="Arial" w:hAnsi="Arial" w:cs="Arial"/>
                <w:b/>
                <w:sz w:val="16"/>
                <w:szCs w:val="16"/>
              </w:rPr>
              <w:t>192,934</w:t>
            </w:r>
          </w:p>
        </w:tc>
      </w:tr>
      <w:tr w:rsidR="00C7143B" w:rsidRPr="00C179A5" w14:paraId="514D5D80" w14:textId="77777777" w:rsidTr="00C7143B">
        <w:trPr>
          <w:divId w:val="91902439"/>
          <w:trHeight w:hRule="exact" w:val="255"/>
        </w:trPr>
        <w:tc>
          <w:tcPr>
            <w:tcW w:w="2416" w:type="pct"/>
            <w:tcBorders>
              <w:top w:val="nil"/>
              <w:left w:val="nil"/>
              <w:bottom w:val="nil"/>
              <w:right w:val="nil"/>
            </w:tcBorders>
            <w:shd w:val="clear" w:color="auto" w:fill="auto"/>
            <w:noWrap/>
            <w:vAlign w:val="center"/>
            <w:hideMark/>
          </w:tcPr>
          <w:p w14:paraId="784C1399" w14:textId="77777777" w:rsidR="00C7143B" w:rsidRPr="00C179A5" w:rsidRDefault="00C7143B" w:rsidP="00C7143B">
            <w:pPr>
              <w:spacing w:before="0" w:after="0" w:line="240" w:lineRule="auto"/>
              <w:rPr>
                <w:rFonts w:ascii="Arial" w:hAnsi="Arial" w:cs="Arial"/>
                <w:sz w:val="16"/>
                <w:szCs w:val="16"/>
              </w:rPr>
            </w:pPr>
            <w:r w:rsidRPr="00C179A5">
              <w:rPr>
                <w:rFonts w:ascii="Arial" w:hAnsi="Arial" w:cs="Arial"/>
                <w:sz w:val="16"/>
                <w:szCs w:val="16"/>
              </w:rPr>
              <w:t>Per cent change from previous year</w:t>
            </w:r>
          </w:p>
        </w:tc>
        <w:tc>
          <w:tcPr>
            <w:tcW w:w="556" w:type="pct"/>
            <w:tcBorders>
              <w:top w:val="nil"/>
              <w:left w:val="nil"/>
              <w:bottom w:val="nil"/>
              <w:right w:val="nil"/>
            </w:tcBorders>
            <w:shd w:val="clear" w:color="auto" w:fill="auto"/>
            <w:noWrap/>
            <w:vAlign w:val="center"/>
            <w:hideMark/>
          </w:tcPr>
          <w:p w14:paraId="1998D875"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3.0</w:t>
            </w:r>
          </w:p>
        </w:tc>
        <w:tc>
          <w:tcPr>
            <w:tcW w:w="556" w:type="pct"/>
            <w:tcBorders>
              <w:top w:val="nil"/>
              <w:left w:val="nil"/>
              <w:bottom w:val="nil"/>
              <w:right w:val="nil"/>
            </w:tcBorders>
            <w:shd w:val="clear" w:color="000000" w:fill="E6F2FF"/>
            <w:noWrap/>
            <w:vAlign w:val="center"/>
            <w:hideMark/>
          </w:tcPr>
          <w:p w14:paraId="17B4CE5B"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6.5</w:t>
            </w:r>
          </w:p>
        </w:tc>
        <w:tc>
          <w:tcPr>
            <w:tcW w:w="517" w:type="pct"/>
            <w:tcBorders>
              <w:top w:val="nil"/>
              <w:left w:val="nil"/>
              <w:bottom w:val="nil"/>
              <w:right w:val="nil"/>
            </w:tcBorders>
            <w:shd w:val="clear" w:color="auto" w:fill="auto"/>
            <w:noWrap/>
            <w:vAlign w:val="center"/>
            <w:hideMark/>
          </w:tcPr>
          <w:p w14:paraId="0E5D4856"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1.6</w:t>
            </w:r>
          </w:p>
        </w:tc>
        <w:tc>
          <w:tcPr>
            <w:tcW w:w="477" w:type="pct"/>
            <w:tcBorders>
              <w:top w:val="nil"/>
              <w:left w:val="nil"/>
              <w:bottom w:val="nil"/>
              <w:right w:val="nil"/>
            </w:tcBorders>
            <w:shd w:val="clear" w:color="auto" w:fill="auto"/>
            <w:noWrap/>
            <w:vAlign w:val="center"/>
            <w:hideMark/>
          </w:tcPr>
          <w:p w14:paraId="2BACC577"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2.9</w:t>
            </w:r>
          </w:p>
        </w:tc>
        <w:tc>
          <w:tcPr>
            <w:tcW w:w="477" w:type="pct"/>
            <w:tcBorders>
              <w:top w:val="nil"/>
              <w:left w:val="nil"/>
              <w:bottom w:val="nil"/>
              <w:right w:val="nil"/>
            </w:tcBorders>
            <w:shd w:val="clear" w:color="auto" w:fill="auto"/>
            <w:noWrap/>
            <w:vAlign w:val="center"/>
            <w:hideMark/>
          </w:tcPr>
          <w:p w14:paraId="1E201EE1"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2.5</w:t>
            </w:r>
          </w:p>
        </w:tc>
      </w:tr>
      <w:tr w:rsidR="00C7143B" w:rsidRPr="00C179A5" w14:paraId="50290159" w14:textId="77777777" w:rsidTr="00DE5D15">
        <w:trPr>
          <w:divId w:val="91902439"/>
          <w:trHeight w:hRule="exact" w:val="255"/>
        </w:trPr>
        <w:tc>
          <w:tcPr>
            <w:tcW w:w="2416" w:type="pct"/>
            <w:tcBorders>
              <w:top w:val="nil"/>
              <w:left w:val="nil"/>
              <w:bottom w:val="single" w:sz="4" w:space="0" w:color="002A54" w:themeColor="text2"/>
              <w:right w:val="nil"/>
            </w:tcBorders>
            <w:shd w:val="clear" w:color="auto" w:fill="auto"/>
            <w:noWrap/>
            <w:vAlign w:val="center"/>
            <w:hideMark/>
          </w:tcPr>
          <w:p w14:paraId="2008E772" w14:textId="77777777" w:rsidR="00C7143B" w:rsidRPr="00C179A5" w:rsidRDefault="00C7143B" w:rsidP="00C7143B">
            <w:pPr>
              <w:spacing w:before="0" w:after="0" w:line="240" w:lineRule="auto"/>
              <w:rPr>
                <w:rFonts w:ascii="Arial" w:hAnsi="Arial" w:cs="Arial"/>
                <w:sz w:val="16"/>
                <w:szCs w:val="16"/>
              </w:rPr>
            </w:pPr>
            <w:r w:rsidRPr="00C179A5">
              <w:rPr>
                <w:rFonts w:ascii="Arial" w:hAnsi="Arial" w:cs="Arial"/>
                <w:sz w:val="16"/>
                <w:szCs w:val="16"/>
              </w:rPr>
              <w:t>Per cent of GDP</w:t>
            </w:r>
          </w:p>
        </w:tc>
        <w:tc>
          <w:tcPr>
            <w:tcW w:w="556" w:type="pct"/>
            <w:tcBorders>
              <w:top w:val="nil"/>
              <w:left w:val="nil"/>
              <w:bottom w:val="single" w:sz="4" w:space="0" w:color="002A54" w:themeColor="text2"/>
              <w:right w:val="nil"/>
            </w:tcBorders>
            <w:shd w:val="clear" w:color="auto" w:fill="auto"/>
            <w:noWrap/>
            <w:vAlign w:val="center"/>
            <w:hideMark/>
          </w:tcPr>
          <w:p w14:paraId="10A3C221"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6.6</w:t>
            </w:r>
          </w:p>
        </w:tc>
        <w:tc>
          <w:tcPr>
            <w:tcW w:w="556" w:type="pct"/>
            <w:tcBorders>
              <w:top w:val="nil"/>
              <w:left w:val="nil"/>
              <w:bottom w:val="single" w:sz="4" w:space="0" w:color="002A54" w:themeColor="text2"/>
              <w:right w:val="nil"/>
            </w:tcBorders>
            <w:shd w:val="clear" w:color="000000" w:fill="E6F2FF"/>
            <w:noWrap/>
            <w:vAlign w:val="center"/>
            <w:hideMark/>
          </w:tcPr>
          <w:p w14:paraId="755B2AED"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7.0</w:t>
            </w:r>
          </w:p>
        </w:tc>
        <w:tc>
          <w:tcPr>
            <w:tcW w:w="517" w:type="pct"/>
            <w:tcBorders>
              <w:top w:val="nil"/>
              <w:left w:val="nil"/>
              <w:bottom w:val="single" w:sz="4" w:space="0" w:color="002A54" w:themeColor="text2"/>
              <w:right w:val="nil"/>
            </w:tcBorders>
            <w:shd w:val="clear" w:color="auto" w:fill="auto"/>
            <w:noWrap/>
            <w:vAlign w:val="center"/>
            <w:hideMark/>
          </w:tcPr>
          <w:p w14:paraId="458AB61E"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6.9</w:t>
            </w:r>
          </w:p>
        </w:tc>
        <w:tc>
          <w:tcPr>
            <w:tcW w:w="477" w:type="pct"/>
            <w:tcBorders>
              <w:top w:val="nil"/>
              <w:left w:val="nil"/>
              <w:bottom w:val="single" w:sz="4" w:space="0" w:color="002A54" w:themeColor="text2"/>
              <w:right w:val="nil"/>
            </w:tcBorders>
            <w:shd w:val="clear" w:color="auto" w:fill="auto"/>
            <w:noWrap/>
            <w:vAlign w:val="center"/>
            <w:hideMark/>
          </w:tcPr>
          <w:p w14:paraId="757965A7"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6.8</w:t>
            </w:r>
          </w:p>
        </w:tc>
        <w:tc>
          <w:tcPr>
            <w:tcW w:w="477" w:type="pct"/>
            <w:tcBorders>
              <w:top w:val="nil"/>
              <w:left w:val="nil"/>
              <w:bottom w:val="single" w:sz="4" w:space="0" w:color="002A54" w:themeColor="text2"/>
              <w:right w:val="nil"/>
            </w:tcBorders>
            <w:shd w:val="clear" w:color="auto" w:fill="auto"/>
            <w:noWrap/>
            <w:vAlign w:val="center"/>
            <w:hideMark/>
          </w:tcPr>
          <w:p w14:paraId="4D3D9FD1" w14:textId="77777777" w:rsidR="00C7143B" w:rsidRPr="00C179A5" w:rsidRDefault="00C7143B" w:rsidP="00C7143B">
            <w:pPr>
              <w:spacing w:before="0" w:after="0" w:line="240" w:lineRule="auto"/>
              <w:jc w:val="right"/>
              <w:rPr>
                <w:rFonts w:ascii="Arial" w:hAnsi="Arial" w:cs="Arial"/>
                <w:sz w:val="16"/>
                <w:szCs w:val="16"/>
              </w:rPr>
            </w:pPr>
            <w:r w:rsidRPr="00C179A5">
              <w:rPr>
                <w:rFonts w:ascii="Arial" w:hAnsi="Arial" w:cs="Arial"/>
                <w:sz w:val="16"/>
                <w:szCs w:val="16"/>
              </w:rPr>
              <w:t>6.6</w:t>
            </w:r>
          </w:p>
        </w:tc>
      </w:tr>
    </w:tbl>
    <w:p w14:paraId="49EA2D3D" w14:textId="6AD0A703" w:rsidR="003F2AA7" w:rsidRPr="00C179A5" w:rsidRDefault="003F2AA7" w:rsidP="00BF7E3F">
      <w:pPr>
        <w:pStyle w:val="ChartandTableFootnoteAlpha"/>
        <w:numPr>
          <w:ilvl w:val="0"/>
          <w:numId w:val="20"/>
        </w:numPr>
        <w:rPr>
          <w:color w:val="auto"/>
        </w:rPr>
      </w:pPr>
      <w:r w:rsidRPr="00C179A5">
        <w:rPr>
          <w:color w:val="auto"/>
        </w:rPr>
        <w:t>Includes GST entitlement and HFE transition payments.</w:t>
      </w:r>
    </w:p>
    <w:p w14:paraId="37D65D85" w14:textId="77777777" w:rsidR="003F2AA7" w:rsidRPr="00C179A5" w:rsidRDefault="003F2AA7" w:rsidP="00FB0587">
      <w:pPr>
        <w:pStyle w:val="ChartLine"/>
      </w:pPr>
    </w:p>
    <w:p w14:paraId="35CE816C" w14:textId="5AE95B53" w:rsidR="003F2AA7" w:rsidRPr="00C179A5" w:rsidRDefault="003F2AA7" w:rsidP="007303FB">
      <w:pPr>
        <w:pStyle w:val="ChartMainHeading"/>
      </w:pPr>
      <w:bookmarkStart w:id="4" w:name="_Toc4765160"/>
      <w:r w:rsidRPr="00C179A5">
        <w:t>Chart 1.2: Total Australian Government payments to the states, 202</w:t>
      </w:r>
      <w:r w:rsidR="00B60596" w:rsidRPr="00C179A5">
        <w:t>3</w:t>
      </w:r>
      <w:r w:rsidRPr="00C179A5">
        <w:t>–2</w:t>
      </w:r>
      <w:r w:rsidR="00B60596" w:rsidRPr="00C179A5">
        <w:t>4</w:t>
      </w:r>
      <w:r w:rsidRPr="00C179A5">
        <w:t xml:space="preserve"> </w:t>
      </w:r>
      <w:bookmarkEnd w:id="4"/>
    </w:p>
    <w:p w14:paraId="1F0E9A44" w14:textId="1D6946DF" w:rsidR="00ED575D" w:rsidRPr="00C179A5" w:rsidRDefault="00890220" w:rsidP="00FC7505">
      <w:pPr>
        <w:pStyle w:val="ChartGraphic"/>
      </w:pPr>
      <w:r>
        <w:pict w14:anchorId="3D9522EA">
          <v:shape id="_x0000_i1026" type="#_x0000_t75" alt="Total Commonwealth payments to the States for 2022-23. Payments total $x.x billion, made up of GST and other General Revenue Assistance ($92.5 billion), National Health Reform ($28.5 billion), Quality Schools ($28.3 billion), National Housing and Homelessness ($1.7 billion), National Partnership payments ($26.1 billion) and National Specific Purpose Payments ($1.7 billion)." style="width:367pt;height:187.5pt">
            <v:imagedata r:id="rId13" o:title=""/>
          </v:shape>
        </w:pict>
      </w:r>
    </w:p>
    <w:p w14:paraId="3544303E" w14:textId="77777777" w:rsidR="003F2AA7" w:rsidRPr="00C179A5" w:rsidRDefault="003F2AA7" w:rsidP="00FB0587">
      <w:pPr>
        <w:pStyle w:val="ChartLine"/>
      </w:pPr>
    </w:p>
    <w:p w14:paraId="13FB86CE" w14:textId="07F6517C" w:rsidR="003F2AA7" w:rsidRPr="00C179A5" w:rsidRDefault="003F2AA7" w:rsidP="007A1362">
      <w:r w:rsidRPr="00C179A5">
        <w:br w:type="page"/>
      </w:r>
      <w:r w:rsidRPr="00C179A5">
        <w:lastRenderedPageBreak/>
        <w:t xml:space="preserve">Table 1.3 provides information on the Australian </w:t>
      </w:r>
      <w:r w:rsidRPr="00C179A5" w:rsidDel="000D1C32">
        <w:t>Government</w:t>
      </w:r>
      <w:r w:rsidR="00B71E80" w:rsidRPr="00C179A5">
        <w:t>’</w:t>
      </w:r>
      <w:r w:rsidRPr="00C179A5" w:rsidDel="000D1C32">
        <w:t>s</w:t>
      </w:r>
      <w:r w:rsidRPr="00C179A5">
        <w:t xml:space="preserve"> financial contributions to state expenditure in key sectors in </w:t>
      </w:r>
      <w:r w:rsidR="00F149AA" w:rsidRPr="00C179A5">
        <w:t>202</w:t>
      </w:r>
      <w:r w:rsidR="005D4081" w:rsidRPr="00C179A5">
        <w:t>1</w:t>
      </w:r>
      <w:r w:rsidR="008A63F8" w:rsidRPr="00C179A5">
        <w:t>–</w:t>
      </w:r>
      <w:r w:rsidR="00F149AA" w:rsidRPr="00C179A5">
        <w:t>2</w:t>
      </w:r>
      <w:r w:rsidR="005D4081" w:rsidRPr="00C179A5">
        <w:t>2</w:t>
      </w:r>
      <w:r w:rsidRPr="00C179A5">
        <w:t xml:space="preserve"> (the latest year for which there are data to enable this calculation). It shows that Australian Government financial assistance in </w:t>
      </w:r>
      <w:r w:rsidRPr="00C179A5">
        <w:br/>
      </w:r>
      <w:r w:rsidR="00F149AA" w:rsidRPr="00C179A5">
        <w:t>2021</w:t>
      </w:r>
      <w:r w:rsidR="008A63F8" w:rsidRPr="00C179A5">
        <w:t>–</w:t>
      </w:r>
      <w:r w:rsidR="00F149AA" w:rsidRPr="00C179A5">
        <w:t>22</w:t>
      </w:r>
      <w:r w:rsidRPr="00C179A5">
        <w:t xml:space="preserve"> effectively supported </w:t>
      </w:r>
      <w:r w:rsidR="00BA39C5" w:rsidRPr="00C179A5">
        <w:t>46.1</w:t>
      </w:r>
      <w:r w:rsidRPr="00C179A5">
        <w:t> per cent of states</w:t>
      </w:r>
      <w:r w:rsidR="00B71E80" w:rsidRPr="00C179A5">
        <w:t>’</w:t>
      </w:r>
      <w:r w:rsidRPr="00C179A5">
        <w:t xml:space="preserve"> expenditure. </w:t>
      </w:r>
    </w:p>
    <w:p w14:paraId="0483C72B" w14:textId="13338F93" w:rsidR="000B15EC" w:rsidRPr="00C179A5" w:rsidRDefault="003F2AA7" w:rsidP="000B15EC">
      <w:pPr>
        <w:pStyle w:val="TableHeading"/>
        <w:rPr>
          <w:rFonts w:asciiTheme="minorHAnsi" w:eastAsiaTheme="minorHAnsi" w:hAnsiTheme="minorHAnsi" w:cstheme="minorBidi"/>
          <w:sz w:val="22"/>
          <w:szCs w:val="22"/>
          <w:lang w:eastAsia="en-US"/>
        </w:rPr>
      </w:pPr>
      <w:r w:rsidRPr="00C179A5">
        <w:t>Table 1.3: Australian Government</w:t>
      </w:r>
      <w:r w:rsidR="00B71E80" w:rsidRPr="00C179A5">
        <w:t>’</w:t>
      </w:r>
      <w:r w:rsidRPr="00C179A5">
        <w:t xml:space="preserve">s contribution to state expenditure </w:t>
      </w:r>
      <w:bookmarkStart w:id="5" w:name="_1727764156"/>
      <w:bookmarkStart w:id="6" w:name="_1725780401"/>
      <w:bookmarkStart w:id="7" w:name="_1725790398"/>
      <w:bookmarkEnd w:id="5"/>
      <w:bookmarkEnd w:id="6"/>
      <w:bookmarkEnd w:id="7"/>
    </w:p>
    <w:tbl>
      <w:tblPr>
        <w:tblW w:w="5000" w:type="pct"/>
        <w:tblCellMar>
          <w:left w:w="0" w:type="dxa"/>
          <w:right w:w="28" w:type="dxa"/>
        </w:tblCellMar>
        <w:tblLook w:val="04A0" w:firstRow="1" w:lastRow="0" w:firstColumn="1" w:lastColumn="0" w:noHBand="0" w:noVBand="1"/>
      </w:tblPr>
      <w:tblGrid>
        <w:gridCol w:w="2474"/>
        <w:gridCol w:w="1310"/>
        <w:gridCol w:w="1308"/>
        <w:gridCol w:w="1308"/>
        <w:gridCol w:w="1310"/>
      </w:tblGrid>
      <w:tr w:rsidR="000B15EC" w:rsidRPr="00C179A5" w14:paraId="5E8ABA80" w14:textId="77777777" w:rsidTr="006B4293">
        <w:trPr>
          <w:divId w:val="948901301"/>
          <w:trHeight w:hRule="exact" w:val="1111"/>
        </w:trPr>
        <w:tc>
          <w:tcPr>
            <w:tcW w:w="1602" w:type="pct"/>
            <w:tcBorders>
              <w:top w:val="single" w:sz="4" w:space="0" w:color="002A54" w:themeColor="text2"/>
              <w:left w:val="nil"/>
              <w:bottom w:val="nil"/>
              <w:right w:val="nil"/>
            </w:tcBorders>
            <w:shd w:val="clear" w:color="auto" w:fill="auto"/>
            <w:noWrap/>
            <w:vAlign w:val="bottom"/>
            <w:hideMark/>
          </w:tcPr>
          <w:p w14:paraId="48A69EAF" w14:textId="1F6646ED" w:rsidR="000B15EC" w:rsidRPr="00C179A5" w:rsidRDefault="000B15EC" w:rsidP="000B15EC">
            <w:pPr>
              <w:spacing w:before="0" w:after="0" w:line="240" w:lineRule="auto"/>
              <w:rPr>
                <w:rFonts w:ascii="Arial" w:hAnsi="Arial" w:cs="Arial"/>
                <w:b/>
                <w:sz w:val="16"/>
                <w:szCs w:val="16"/>
              </w:rPr>
            </w:pPr>
            <w:r w:rsidRPr="00C179A5">
              <w:rPr>
                <w:rFonts w:ascii="Arial" w:hAnsi="Arial" w:cs="Arial"/>
                <w:b/>
                <w:sz w:val="16"/>
                <w:szCs w:val="16"/>
              </w:rPr>
              <w:t>2021</w:t>
            </w:r>
            <w:r w:rsidR="00B71E80" w:rsidRPr="00C179A5">
              <w:rPr>
                <w:rFonts w:ascii="Arial" w:hAnsi="Arial" w:cs="Arial"/>
                <w:b/>
                <w:sz w:val="16"/>
                <w:szCs w:val="16"/>
              </w:rPr>
              <w:noBreakHyphen/>
            </w:r>
            <w:r w:rsidRPr="00C179A5">
              <w:rPr>
                <w:rFonts w:ascii="Arial" w:hAnsi="Arial" w:cs="Arial"/>
                <w:b/>
                <w:sz w:val="16"/>
                <w:szCs w:val="16"/>
              </w:rPr>
              <w:t>22</w:t>
            </w:r>
          </w:p>
        </w:tc>
        <w:tc>
          <w:tcPr>
            <w:tcW w:w="850" w:type="pct"/>
            <w:tcBorders>
              <w:top w:val="single" w:sz="4" w:space="0" w:color="002A54" w:themeColor="text2"/>
              <w:left w:val="nil"/>
              <w:bottom w:val="single" w:sz="4" w:space="0" w:color="002A54" w:themeColor="text2"/>
              <w:right w:val="nil"/>
            </w:tcBorders>
            <w:shd w:val="clear" w:color="auto" w:fill="auto"/>
            <w:vAlign w:val="bottom"/>
            <w:hideMark/>
          </w:tcPr>
          <w:p w14:paraId="3B2272F8"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Australian Government tied payments</w:t>
            </w:r>
            <w:r w:rsidRPr="00C179A5">
              <w:rPr>
                <w:rFonts w:ascii="Arial" w:hAnsi="Arial" w:cs="Arial"/>
                <w:sz w:val="16"/>
                <w:szCs w:val="16"/>
              </w:rPr>
              <w:br/>
              <w:t>($million)</w:t>
            </w:r>
          </w:p>
        </w:tc>
        <w:tc>
          <w:tcPr>
            <w:tcW w:w="849" w:type="pct"/>
            <w:tcBorders>
              <w:top w:val="single" w:sz="4" w:space="0" w:color="002A54" w:themeColor="text2"/>
              <w:left w:val="nil"/>
              <w:bottom w:val="single" w:sz="4" w:space="0" w:color="002A54" w:themeColor="text2"/>
              <w:right w:val="nil"/>
            </w:tcBorders>
            <w:shd w:val="clear" w:color="auto" w:fill="auto"/>
            <w:vAlign w:val="bottom"/>
            <w:hideMark/>
          </w:tcPr>
          <w:p w14:paraId="33A1744E"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State spending supported by general revenue assistance (a)</w:t>
            </w:r>
            <w:r w:rsidRPr="00C179A5">
              <w:rPr>
                <w:rFonts w:ascii="Arial" w:hAnsi="Arial" w:cs="Arial"/>
                <w:sz w:val="16"/>
                <w:szCs w:val="16"/>
              </w:rPr>
              <w:br/>
              <w:t>($million)</w:t>
            </w:r>
          </w:p>
        </w:tc>
        <w:tc>
          <w:tcPr>
            <w:tcW w:w="849" w:type="pct"/>
            <w:tcBorders>
              <w:top w:val="single" w:sz="4" w:space="0" w:color="002A54" w:themeColor="text2"/>
              <w:left w:val="nil"/>
              <w:bottom w:val="single" w:sz="4" w:space="0" w:color="002A54" w:themeColor="text2"/>
              <w:right w:val="nil"/>
            </w:tcBorders>
            <w:shd w:val="clear" w:color="auto" w:fill="auto"/>
            <w:vAlign w:val="bottom"/>
            <w:hideMark/>
          </w:tcPr>
          <w:p w14:paraId="53F79081"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Total state spending</w:t>
            </w:r>
            <w:r w:rsidRPr="00C179A5">
              <w:rPr>
                <w:rFonts w:ascii="Arial" w:hAnsi="Arial" w:cs="Arial"/>
                <w:sz w:val="16"/>
                <w:szCs w:val="16"/>
              </w:rPr>
              <w:br/>
              <w:t>($million)</w:t>
            </w:r>
          </w:p>
        </w:tc>
        <w:tc>
          <w:tcPr>
            <w:tcW w:w="851" w:type="pct"/>
            <w:tcBorders>
              <w:top w:val="single" w:sz="4" w:space="0" w:color="002A54" w:themeColor="text2"/>
              <w:left w:val="nil"/>
              <w:bottom w:val="single" w:sz="4" w:space="0" w:color="002A54" w:themeColor="text2"/>
              <w:right w:val="nil"/>
            </w:tcBorders>
            <w:shd w:val="clear" w:color="auto" w:fill="auto"/>
            <w:vAlign w:val="bottom"/>
            <w:hideMark/>
          </w:tcPr>
          <w:p w14:paraId="5B6F793B"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 xml:space="preserve">State spending supported by Australian Government payments </w:t>
            </w:r>
            <w:r w:rsidRPr="00C179A5">
              <w:rPr>
                <w:rFonts w:ascii="Arial" w:hAnsi="Arial" w:cs="Arial"/>
                <w:sz w:val="16"/>
                <w:szCs w:val="16"/>
              </w:rPr>
              <w:br/>
              <w:t>(per cent)</w:t>
            </w:r>
          </w:p>
        </w:tc>
      </w:tr>
      <w:tr w:rsidR="000B15EC" w:rsidRPr="00C179A5" w14:paraId="08B6CECA" w14:textId="77777777" w:rsidTr="006B4293">
        <w:trPr>
          <w:divId w:val="948901301"/>
          <w:trHeight w:hRule="exact" w:val="300"/>
        </w:trPr>
        <w:tc>
          <w:tcPr>
            <w:tcW w:w="1602" w:type="pct"/>
            <w:tcBorders>
              <w:top w:val="nil"/>
              <w:left w:val="nil"/>
              <w:bottom w:val="nil"/>
              <w:right w:val="nil"/>
            </w:tcBorders>
            <w:shd w:val="clear" w:color="auto" w:fill="auto"/>
            <w:noWrap/>
            <w:vAlign w:val="bottom"/>
            <w:hideMark/>
          </w:tcPr>
          <w:p w14:paraId="0B21BA30"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xml:space="preserve">Health </w:t>
            </w:r>
          </w:p>
        </w:tc>
        <w:tc>
          <w:tcPr>
            <w:tcW w:w="850" w:type="pct"/>
            <w:tcBorders>
              <w:top w:val="single" w:sz="4" w:space="0" w:color="002A54" w:themeColor="text2"/>
              <w:left w:val="nil"/>
              <w:bottom w:val="nil"/>
              <w:right w:val="nil"/>
            </w:tcBorders>
            <w:shd w:val="clear" w:color="auto" w:fill="auto"/>
            <w:noWrap/>
            <w:vAlign w:val="bottom"/>
            <w:hideMark/>
          </w:tcPr>
          <w:p w14:paraId="27F07651"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30,492</w:t>
            </w:r>
          </w:p>
        </w:tc>
        <w:tc>
          <w:tcPr>
            <w:tcW w:w="849" w:type="pct"/>
            <w:tcBorders>
              <w:top w:val="single" w:sz="4" w:space="0" w:color="002A54" w:themeColor="text2"/>
              <w:left w:val="nil"/>
              <w:bottom w:val="nil"/>
              <w:right w:val="nil"/>
            </w:tcBorders>
            <w:shd w:val="clear" w:color="auto" w:fill="auto"/>
            <w:noWrap/>
            <w:vAlign w:val="bottom"/>
            <w:hideMark/>
          </w:tcPr>
          <w:p w14:paraId="4EF7C1B7"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21,687</w:t>
            </w:r>
          </w:p>
        </w:tc>
        <w:tc>
          <w:tcPr>
            <w:tcW w:w="849" w:type="pct"/>
            <w:tcBorders>
              <w:top w:val="single" w:sz="4" w:space="0" w:color="002A54" w:themeColor="text2"/>
              <w:left w:val="nil"/>
              <w:bottom w:val="nil"/>
              <w:right w:val="nil"/>
            </w:tcBorders>
            <w:shd w:val="clear" w:color="auto" w:fill="auto"/>
            <w:noWrap/>
            <w:vAlign w:val="bottom"/>
            <w:hideMark/>
          </w:tcPr>
          <w:p w14:paraId="11CF5D7A"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105,848</w:t>
            </w:r>
          </w:p>
        </w:tc>
        <w:tc>
          <w:tcPr>
            <w:tcW w:w="851" w:type="pct"/>
            <w:tcBorders>
              <w:top w:val="single" w:sz="4" w:space="0" w:color="002A54" w:themeColor="text2"/>
              <w:left w:val="nil"/>
              <w:bottom w:val="nil"/>
              <w:right w:val="nil"/>
            </w:tcBorders>
            <w:shd w:val="clear" w:color="auto" w:fill="auto"/>
            <w:noWrap/>
            <w:vAlign w:val="bottom"/>
            <w:hideMark/>
          </w:tcPr>
          <w:p w14:paraId="5B41DC8C"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49.3</w:t>
            </w:r>
          </w:p>
        </w:tc>
      </w:tr>
      <w:tr w:rsidR="000B15EC" w:rsidRPr="00C179A5" w14:paraId="267C46A3" w14:textId="77777777" w:rsidTr="000B15EC">
        <w:trPr>
          <w:divId w:val="948901301"/>
          <w:trHeight w:hRule="exact" w:val="300"/>
        </w:trPr>
        <w:tc>
          <w:tcPr>
            <w:tcW w:w="1602" w:type="pct"/>
            <w:tcBorders>
              <w:top w:val="nil"/>
              <w:left w:val="nil"/>
              <w:bottom w:val="nil"/>
              <w:right w:val="nil"/>
            </w:tcBorders>
            <w:shd w:val="clear" w:color="auto" w:fill="auto"/>
            <w:noWrap/>
            <w:vAlign w:val="bottom"/>
            <w:hideMark/>
          </w:tcPr>
          <w:p w14:paraId="6827CC62"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xml:space="preserve">Education </w:t>
            </w:r>
          </w:p>
        </w:tc>
        <w:tc>
          <w:tcPr>
            <w:tcW w:w="850" w:type="pct"/>
            <w:tcBorders>
              <w:top w:val="nil"/>
              <w:left w:val="nil"/>
              <w:bottom w:val="nil"/>
              <w:right w:val="nil"/>
            </w:tcBorders>
            <w:shd w:val="clear" w:color="auto" w:fill="auto"/>
            <w:noWrap/>
            <w:vAlign w:val="bottom"/>
            <w:hideMark/>
          </w:tcPr>
          <w:p w14:paraId="59D8C3DC"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27,672</w:t>
            </w:r>
          </w:p>
        </w:tc>
        <w:tc>
          <w:tcPr>
            <w:tcW w:w="849" w:type="pct"/>
            <w:tcBorders>
              <w:top w:val="nil"/>
              <w:left w:val="nil"/>
              <w:bottom w:val="nil"/>
              <w:right w:val="nil"/>
            </w:tcBorders>
            <w:shd w:val="clear" w:color="auto" w:fill="auto"/>
            <w:noWrap/>
            <w:vAlign w:val="bottom"/>
            <w:hideMark/>
          </w:tcPr>
          <w:p w14:paraId="6BDEBD37"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11,080</w:t>
            </w:r>
          </w:p>
        </w:tc>
        <w:tc>
          <w:tcPr>
            <w:tcW w:w="849" w:type="pct"/>
            <w:tcBorders>
              <w:top w:val="nil"/>
              <w:left w:val="nil"/>
              <w:bottom w:val="nil"/>
              <w:right w:val="nil"/>
            </w:tcBorders>
            <w:shd w:val="clear" w:color="auto" w:fill="auto"/>
            <w:noWrap/>
            <w:vAlign w:val="bottom"/>
            <w:hideMark/>
          </w:tcPr>
          <w:p w14:paraId="5B0DCF34"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66,171</w:t>
            </w:r>
          </w:p>
        </w:tc>
        <w:tc>
          <w:tcPr>
            <w:tcW w:w="851" w:type="pct"/>
            <w:tcBorders>
              <w:top w:val="nil"/>
              <w:left w:val="nil"/>
              <w:bottom w:val="nil"/>
              <w:right w:val="nil"/>
            </w:tcBorders>
            <w:shd w:val="clear" w:color="auto" w:fill="auto"/>
            <w:noWrap/>
            <w:vAlign w:val="bottom"/>
            <w:hideMark/>
          </w:tcPr>
          <w:p w14:paraId="3BD2F135"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58.6</w:t>
            </w:r>
          </w:p>
        </w:tc>
      </w:tr>
      <w:tr w:rsidR="000B15EC" w:rsidRPr="00C179A5" w14:paraId="5425FE57" w14:textId="77777777" w:rsidTr="000B15EC">
        <w:trPr>
          <w:divId w:val="948901301"/>
          <w:trHeight w:hRule="exact" w:val="300"/>
        </w:trPr>
        <w:tc>
          <w:tcPr>
            <w:tcW w:w="1602" w:type="pct"/>
            <w:tcBorders>
              <w:top w:val="nil"/>
              <w:left w:val="nil"/>
              <w:bottom w:val="nil"/>
              <w:right w:val="nil"/>
            </w:tcBorders>
            <w:shd w:val="clear" w:color="auto" w:fill="auto"/>
            <w:noWrap/>
            <w:vAlign w:val="bottom"/>
            <w:hideMark/>
          </w:tcPr>
          <w:p w14:paraId="08AEA087"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xml:space="preserve">Housing and community amenities </w:t>
            </w:r>
          </w:p>
        </w:tc>
        <w:tc>
          <w:tcPr>
            <w:tcW w:w="850" w:type="pct"/>
            <w:tcBorders>
              <w:top w:val="nil"/>
              <w:left w:val="nil"/>
              <w:bottom w:val="nil"/>
              <w:right w:val="nil"/>
            </w:tcBorders>
            <w:shd w:val="clear" w:color="auto" w:fill="auto"/>
            <w:noWrap/>
            <w:vAlign w:val="bottom"/>
            <w:hideMark/>
          </w:tcPr>
          <w:p w14:paraId="2E510F32"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3,779</w:t>
            </w:r>
          </w:p>
        </w:tc>
        <w:tc>
          <w:tcPr>
            <w:tcW w:w="849" w:type="pct"/>
            <w:tcBorders>
              <w:top w:val="nil"/>
              <w:left w:val="nil"/>
              <w:bottom w:val="nil"/>
              <w:right w:val="nil"/>
            </w:tcBorders>
            <w:shd w:val="clear" w:color="auto" w:fill="auto"/>
            <w:noWrap/>
            <w:vAlign w:val="bottom"/>
            <w:hideMark/>
          </w:tcPr>
          <w:p w14:paraId="76C0B4D2"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1,770</w:t>
            </w:r>
          </w:p>
        </w:tc>
        <w:tc>
          <w:tcPr>
            <w:tcW w:w="849" w:type="pct"/>
            <w:tcBorders>
              <w:top w:val="nil"/>
              <w:left w:val="nil"/>
              <w:bottom w:val="nil"/>
              <w:right w:val="nil"/>
            </w:tcBorders>
            <w:shd w:val="clear" w:color="auto" w:fill="auto"/>
            <w:noWrap/>
            <w:vAlign w:val="bottom"/>
            <w:hideMark/>
          </w:tcPr>
          <w:p w14:paraId="59E5DD50"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9,930</w:t>
            </w:r>
          </w:p>
        </w:tc>
        <w:tc>
          <w:tcPr>
            <w:tcW w:w="851" w:type="pct"/>
            <w:tcBorders>
              <w:top w:val="nil"/>
              <w:left w:val="nil"/>
              <w:bottom w:val="nil"/>
              <w:right w:val="nil"/>
            </w:tcBorders>
            <w:shd w:val="clear" w:color="auto" w:fill="auto"/>
            <w:noWrap/>
            <w:vAlign w:val="bottom"/>
            <w:hideMark/>
          </w:tcPr>
          <w:p w14:paraId="62683E2C"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55.9</w:t>
            </w:r>
          </w:p>
        </w:tc>
      </w:tr>
      <w:tr w:rsidR="000B15EC" w:rsidRPr="00C179A5" w14:paraId="63D6632D" w14:textId="77777777" w:rsidTr="000B15EC">
        <w:trPr>
          <w:divId w:val="948901301"/>
          <w:trHeight w:hRule="exact" w:val="300"/>
        </w:trPr>
        <w:tc>
          <w:tcPr>
            <w:tcW w:w="1602" w:type="pct"/>
            <w:tcBorders>
              <w:top w:val="nil"/>
              <w:left w:val="nil"/>
              <w:bottom w:val="nil"/>
              <w:right w:val="nil"/>
            </w:tcBorders>
            <w:shd w:val="clear" w:color="auto" w:fill="auto"/>
            <w:noWrap/>
            <w:vAlign w:val="bottom"/>
            <w:hideMark/>
          </w:tcPr>
          <w:p w14:paraId="509B4012"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xml:space="preserve">Transport </w:t>
            </w:r>
          </w:p>
        </w:tc>
        <w:tc>
          <w:tcPr>
            <w:tcW w:w="850" w:type="pct"/>
            <w:tcBorders>
              <w:top w:val="nil"/>
              <w:left w:val="nil"/>
              <w:bottom w:val="nil"/>
              <w:right w:val="nil"/>
            </w:tcBorders>
            <w:shd w:val="clear" w:color="auto" w:fill="auto"/>
            <w:noWrap/>
            <w:vAlign w:val="bottom"/>
            <w:hideMark/>
          </w:tcPr>
          <w:p w14:paraId="6EF5E507"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7,403</w:t>
            </w:r>
          </w:p>
        </w:tc>
        <w:tc>
          <w:tcPr>
            <w:tcW w:w="849" w:type="pct"/>
            <w:tcBorders>
              <w:top w:val="nil"/>
              <w:left w:val="nil"/>
              <w:bottom w:val="nil"/>
              <w:right w:val="nil"/>
            </w:tcBorders>
            <w:shd w:val="clear" w:color="auto" w:fill="auto"/>
            <w:noWrap/>
            <w:vAlign w:val="bottom"/>
            <w:hideMark/>
          </w:tcPr>
          <w:p w14:paraId="6A602C5C"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7,214</w:t>
            </w:r>
          </w:p>
        </w:tc>
        <w:tc>
          <w:tcPr>
            <w:tcW w:w="849" w:type="pct"/>
            <w:tcBorders>
              <w:top w:val="nil"/>
              <w:left w:val="nil"/>
              <w:bottom w:val="nil"/>
              <w:right w:val="nil"/>
            </w:tcBorders>
            <w:shd w:val="clear" w:color="auto" w:fill="auto"/>
            <w:noWrap/>
            <w:vAlign w:val="bottom"/>
            <w:hideMark/>
          </w:tcPr>
          <w:p w14:paraId="0692B824"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32,471</w:t>
            </w:r>
          </w:p>
        </w:tc>
        <w:tc>
          <w:tcPr>
            <w:tcW w:w="851" w:type="pct"/>
            <w:tcBorders>
              <w:top w:val="nil"/>
              <w:left w:val="nil"/>
              <w:bottom w:val="nil"/>
              <w:right w:val="nil"/>
            </w:tcBorders>
            <w:shd w:val="clear" w:color="auto" w:fill="auto"/>
            <w:noWrap/>
            <w:vAlign w:val="bottom"/>
            <w:hideMark/>
          </w:tcPr>
          <w:p w14:paraId="45AEF413"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45.0</w:t>
            </w:r>
          </w:p>
        </w:tc>
      </w:tr>
      <w:tr w:rsidR="000B15EC" w:rsidRPr="00C179A5" w14:paraId="5A667A70" w14:textId="77777777" w:rsidTr="000B15EC">
        <w:trPr>
          <w:divId w:val="948901301"/>
          <w:trHeight w:hRule="exact" w:val="300"/>
        </w:trPr>
        <w:tc>
          <w:tcPr>
            <w:tcW w:w="1602" w:type="pct"/>
            <w:tcBorders>
              <w:top w:val="nil"/>
              <w:left w:val="nil"/>
              <w:bottom w:val="nil"/>
              <w:right w:val="nil"/>
            </w:tcBorders>
            <w:shd w:val="clear" w:color="auto" w:fill="auto"/>
            <w:noWrap/>
            <w:vAlign w:val="bottom"/>
            <w:hideMark/>
          </w:tcPr>
          <w:p w14:paraId="32A7B33A"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Economic affairs (b)</w:t>
            </w:r>
          </w:p>
        </w:tc>
        <w:tc>
          <w:tcPr>
            <w:tcW w:w="850" w:type="pct"/>
            <w:tcBorders>
              <w:top w:val="nil"/>
              <w:left w:val="nil"/>
              <w:bottom w:val="nil"/>
              <w:right w:val="nil"/>
            </w:tcBorders>
            <w:shd w:val="clear" w:color="auto" w:fill="auto"/>
            <w:noWrap/>
            <w:vAlign w:val="bottom"/>
            <w:hideMark/>
          </w:tcPr>
          <w:p w14:paraId="669397E7"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7,358</w:t>
            </w:r>
          </w:p>
        </w:tc>
        <w:tc>
          <w:tcPr>
            <w:tcW w:w="849" w:type="pct"/>
            <w:tcBorders>
              <w:top w:val="nil"/>
              <w:left w:val="nil"/>
              <w:bottom w:val="nil"/>
              <w:right w:val="nil"/>
            </w:tcBorders>
            <w:shd w:val="clear" w:color="auto" w:fill="auto"/>
            <w:noWrap/>
            <w:vAlign w:val="bottom"/>
            <w:hideMark/>
          </w:tcPr>
          <w:p w14:paraId="47375EF8"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7,264</w:t>
            </w:r>
          </w:p>
        </w:tc>
        <w:tc>
          <w:tcPr>
            <w:tcW w:w="849" w:type="pct"/>
            <w:tcBorders>
              <w:top w:val="nil"/>
              <w:left w:val="nil"/>
              <w:bottom w:val="nil"/>
              <w:right w:val="nil"/>
            </w:tcBorders>
            <w:shd w:val="clear" w:color="auto" w:fill="auto"/>
            <w:noWrap/>
            <w:vAlign w:val="bottom"/>
            <w:hideMark/>
          </w:tcPr>
          <w:p w14:paraId="32433912"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32,600</w:t>
            </w:r>
          </w:p>
        </w:tc>
        <w:tc>
          <w:tcPr>
            <w:tcW w:w="851" w:type="pct"/>
            <w:tcBorders>
              <w:top w:val="nil"/>
              <w:left w:val="nil"/>
              <w:bottom w:val="nil"/>
              <w:right w:val="nil"/>
            </w:tcBorders>
            <w:shd w:val="clear" w:color="auto" w:fill="auto"/>
            <w:noWrap/>
            <w:vAlign w:val="bottom"/>
            <w:hideMark/>
          </w:tcPr>
          <w:p w14:paraId="57F12D5F"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44.9</w:t>
            </w:r>
          </w:p>
        </w:tc>
      </w:tr>
      <w:tr w:rsidR="000B15EC" w:rsidRPr="00C179A5" w14:paraId="740E1EE5" w14:textId="77777777" w:rsidTr="000B15EC">
        <w:trPr>
          <w:divId w:val="948901301"/>
          <w:trHeight w:hRule="exact" w:val="300"/>
        </w:trPr>
        <w:tc>
          <w:tcPr>
            <w:tcW w:w="1602" w:type="pct"/>
            <w:tcBorders>
              <w:top w:val="nil"/>
              <w:left w:val="nil"/>
              <w:bottom w:val="nil"/>
              <w:right w:val="nil"/>
            </w:tcBorders>
            <w:shd w:val="clear" w:color="auto" w:fill="auto"/>
            <w:noWrap/>
            <w:vAlign w:val="bottom"/>
            <w:hideMark/>
          </w:tcPr>
          <w:p w14:paraId="28740E3B"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xml:space="preserve">Social protection </w:t>
            </w:r>
          </w:p>
        </w:tc>
        <w:tc>
          <w:tcPr>
            <w:tcW w:w="850" w:type="pct"/>
            <w:tcBorders>
              <w:top w:val="nil"/>
              <w:left w:val="nil"/>
              <w:bottom w:val="nil"/>
              <w:right w:val="nil"/>
            </w:tcBorders>
            <w:shd w:val="clear" w:color="auto" w:fill="auto"/>
            <w:noWrap/>
            <w:vAlign w:val="bottom"/>
            <w:hideMark/>
          </w:tcPr>
          <w:p w14:paraId="0752A45C"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1,370</w:t>
            </w:r>
          </w:p>
        </w:tc>
        <w:tc>
          <w:tcPr>
            <w:tcW w:w="849" w:type="pct"/>
            <w:tcBorders>
              <w:top w:val="nil"/>
              <w:left w:val="nil"/>
              <w:bottom w:val="nil"/>
              <w:right w:val="nil"/>
            </w:tcBorders>
            <w:shd w:val="clear" w:color="auto" w:fill="auto"/>
            <w:noWrap/>
            <w:vAlign w:val="bottom"/>
            <w:hideMark/>
          </w:tcPr>
          <w:p w14:paraId="0878165F"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8,203</w:t>
            </w:r>
          </w:p>
        </w:tc>
        <w:tc>
          <w:tcPr>
            <w:tcW w:w="849" w:type="pct"/>
            <w:tcBorders>
              <w:top w:val="nil"/>
              <w:left w:val="nil"/>
              <w:bottom w:val="nil"/>
              <w:right w:val="nil"/>
            </w:tcBorders>
            <w:shd w:val="clear" w:color="auto" w:fill="auto"/>
            <w:noWrap/>
            <w:vAlign w:val="bottom"/>
            <w:hideMark/>
          </w:tcPr>
          <w:p w14:paraId="01FEEFCA"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29,873</w:t>
            </w:r>
          </w:p>
        </w:tc>
        <w:tc>
          <w:tcPr>
            <w:tcW w:w="851" w:type="pct"/>
            <w:tcBorders>
              <w:top w:val="nil"/>
              <w:left w:val="nil"/>
              <w:bottom w:val="nil"/>
              <w:right w:val="nil"/>
            </w:tcBorders>
            <w:shd w:val="clear" w:color="auto" w:fill="auto"/>
            <w:noWrap/>
            <w:vAlign w:val="bottom"/>
            <w:hideMark/>
          </w:tcPr>
          <w:p w14:paraId="2C41D17B"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32.0</w:t>
            </w:r>
          </w:p>
        </w:tc>
      </w:tr>
      <w:tr w:rsidR="000B15EC" w:rsidRPr="00C179A5" w14:paraId="26A93AFC" w14:textId="77777777" w:rsidTr="006B4293">
        <w:trPr>
          <w:divId w:val="948901301"/>
          <w:trHeight w:hRule="exact" w:val="300"/>
        </w:trPr>
        <w:tc>
          <w:tcPr>
            <w:tcW w:w="1602" w:type="pct"/>
            <w:tcBorders>
              <w:top w:val="nil"/>
              <w:left w:val="nil"/>
              <w:bottom w:val="nil"/>
              <w:right w:val="nil"/>
            </w:tcBorders>
            <w:shd w:val="clear" w:color="auto" w:fill="auto"/>
            <w:noWrap/>
            <w:vAlign w:val="bottom"/>
            <w:hideMark/>
          </w:tcPr>
          <w:p w14:paraId="5CC42569"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Other functions (c)</w:t>
            </w:r>
          </w:p>
        </w:tc>
        <w:tc>
          <w:tcPr>
            <w:tcW w:w="850" w:type="pct"/>
            <w:tcBorders>
              <w:top w:val="nil"/>
              <w:left w:val="nil"/>
              <w:bottom w:val="single" w:sz="4" w:space="0" w:color="002A54" w:themeColor="text2"/>
              <w:right w:val="nil"/>
            </w:tcBorders>
            <w:shd w:val="clear" w:color="auto" w:fill="auto"/>
            <w:noWrap/>
            <w:vAlign w:val="bottom"/>
            <w:hideMark/>
          </w:tcPr>
          <w:p w14:paraId="6BDC0E79"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8,282</w:t>
            </w:r>
          </w:p>
        </w:tc>
        <w:tc>
          <w:tcPr>
            <w:tcW w:w="849" w:type="pct"/>
            <w:tcBorders>
              <w:top w:val="nil"/>
              <w:left w:val="nil"/>
              <w:bottom w:val="single" w:sz="4" w:space="0" w:color="002A54" w:themeColor="text2"/>
              <w:right w:val="nil"/>
            </w:tcBorders>
            <w:shd w:val="clear" w:color="auto" w:fill="auto"/>
            <w:noWrap/>
            <w:vAlign w:val="bottom"/>
            <w:hideMark/>
          </w:tcPr>
          <w:p w14:paraId="74243649"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20,312</w:t>
            </w:r>
          </w:p>
        </w:tc>
        <w:tc>
          <w:tcPr>
            <w:tcW w:w="849" w:type="pct"/>
            <w:tcBorders>
              <w:top w:val="nil"/>
              <w:left w:val="nil"/>
              <w:bottom w:val="single" w:sz="4" w:space="0" w:color="002A54" w:themeColor="text2"/>
              <w:right w:val="nil"/>
            </w:tcBorders>
            <w:shd w:val="clear" w:color="auto" w:fill="auto"/>
            <w:noWrap/>
            <w:vAlign w:val="bottom"/>
            <w:hideMark/>
          </w:tcPr>
          <w:p w14:paraId="2C4371F3"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78,862</w:t>
            </w:r>
          </w:p>
        </w:tc>
        <w:tc>
          <w:tcPr>
            <w:tcW w:w="851" w:type="pct"/>
            <w:tcBorders>
              <w:top w:val="nil"/>
              <w:left w:val="nil"/>
              <w:bottom w:val="single" w:sz="4" w:space="0" w:color="002A54" w:themeColor="text2"/>
              <w:right w:val="nil"/>
            </w:tcBorders>
            <w:shd w:val="clear" w:color="auto" w:fill="auto"/>
            <w:noWrap/>
            <w:vAlign w:val="bottom"/>
            <w:hideMark/>
          </w:tcPr>
          <w:p w14:paraId="3277529E"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36.3</w:t>
            </w:r>
          </w:p>
        </w:tc>
      </w:tr>
      <w:tr w:rsidR="000B15EC" w:rsidRPr="00C179A5" w14:paraId="09FB9955" w14:textId="77777777" w:rsidTr="006B4293">
        <w:trPr>
          <w:divId w:val="948901301"/>
          <w:trHeight w:hRule="exact" w:val="300"/>
        </w:trPr>
        <w:tc>
          <w:tcPr>
            <w:tcW w:w="1602" w:type="pct"/>
            <w:tcBorders>
              <w:top w:val="nil"/>
              <w:left w:val="nil"/>
              <w:bottom w:val="nil"/>
              <w:right w:val="nil"/>
            </w:tcBorders>
            <w:shd w:val="clear" w:color="auto" w:fill="auto"/>
            <w:noWrap/>
            <w:vAlign w:val="bottom"/>
            <w:hideMark/>
          </w:tcPr>
          <w:p w14:paraId="4548A93E" w14:textId="77777777" w:rsidR="000B15EC" w:rsidRPr="00C179A5" w:rsidRDefault="000B15EC" w:rsidP="000B15EC">
            <w:pPr>
              <w:spacing w:before="0" w:after="0" w:line="240" w:lineRule="auto"/>
              <w:ind w:left="170"/>
              <w:rPr>
                <w:rFonts w:ascii="Arial" w:hAnsi="Arial" w:cs="Arial"/>
                <w:sz w:val="16"/>
                <w:szCs w:val="16"/>
              </w:rPr>
            </w:pPr>
            <w:r w:rsidRPr="00C179A5">
              <w:rPr>
                <w:rFonts w:ascii="Arial" w:hAnsi="Arial" w:cs="Arial"/>
                <w:sz w:val="16"/>
                <w:szCs w:val="16"/>
              </w:rPr>
              <w:t>Payments for specific purpose</w:t>
            </w:r>
          </w:p>
        </w:tc>
        <w:tc>
          <w:tcPr>
            <w:tcW w:w="850" w:type="pct"/>
            <w:tcBorders>
              <w:top w:val="single" w:sz="4" w:space="0" w:color="002A54" w:themeColor="text2"/>
              <w:left w:val="nil"/>
              <w:bottom w:val="nil"/>
              <w:right w:val="nil"/>
            </w:tcBorders>
            <w:shd w:val="clear" w:color="auto" w:fill="auto"/>
            <w:noWrap/>
            <w:vAlign w:val="bottom"/>
            <w:hideMark/>
          </w:tcPr>
          <w:p w14:paraId="0F91853F"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86,355</w:t>
            </w:r>
          </w:p>
        </w:tc>
        <w:tc>
          <w:tcPr>
            <w:tcW w:w="849" w:type="pct"/>
            <w:tcBorders>
              <w:top w:val="single" w:sz="4" w:space="0" w:color="002A54" w:themeColor="text2"/>
              <w:left w:val="nil"/>
              <w:bottom w:val="nil"/>
              <w:right w:val="nil"/>
            </w:tcBorders>
            <w:shd w:val="clear" w:color="auto" w:fill="auto"/>
            <w:noWrap/>
            <w:vAlign w:val="bottom"/>
            <w:hideMark/>
          </w:tcPr>
          <w:p w14:paraId="5CB16D92"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w:t>
            </w:r>
          </w:p>
        </w:tc>
        <w:tc>
          <w:tcPr>
            <w:tcW w:w="849" w:type="pct"/>
            <w:tcBorders>
              <w:top w:val="single" w:sz="4" w:space="0" w:color="002A54" w:themeColor="text2"/>
              <w:left w:val="nil"/>
              <w:bottom w:val="nil"/>
              <w:right w:val="nil"/>
            </w:tcBorders>
            <w:shd w:val="clear" w:color="auto" w:fill="auto"/>
            <w:noWrap/>
            <w:vAlign w:val="bottom"/>
            <w:hideMark/>
          </w:tcPr>
          <w:p w14:paraId="1DC54FE9"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w:t>
            </w:r>
          </w:p>
        </w:tc>
        <w:tc>
          <w:tcPr>
            <w:tcW w:w="851" w:type="pct"/>
            <w:tcBorders>
              <w:top w:val="single" w:sz="4" w:space="0" w:color="002A54" w:themeColor="text2"/>
              <w:left w:val="nil"/>
              <w:bottom w:val="nil"/>
              <w:right w:val="nil"/>
            </w:tcBorders>
            <w:shd w:val="clear" w:color="auto" w:fill="auto"/>
            <w:noWrap/>
            <w:vAlign w:val="bottom"/>
            <w:hideMark/>
          </w:tcPr>
          <w:p w14:paraId="35975744"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w:t>
            </w:r>
          </w:p>
        </w:tc>
      </w:tr>
      <w:tr w:rsidR="000B15EC" w:rsidRPr="00C179A5" w14:paraId="71311367" w14:textId="77777777" w:rsidTr="006B4293">
        <w:trPr>
          <w:divId w:val="948901301"/>
          <w:trHeight w:hRule="exact" w:val="300"/>
        </w:trPr>
        <w:tc>
          <w:tcPr>
            <w:tcW w:w="1602" w:type="pct"/>
            <w:tcBorders>
              <w:top w:val="nil"/>
              <w:left w:val="nil"/>
              <w:bottom w:val="nil"/>
              <w:right w:val="nil"/>
            </w:tcBorders>
            <w:shd w:val="clear" w:color="auto" w:fill="auto"/>
            <w:noWrap/>
            <w:vAlign w:val="bottom"/>
            <w:hideMark/>
          </w:tcPr>
          <w:p w14:paraId="14360C40" w14:textId="77777777" w:rsidR="000B15EC" w:rsidRPr="00C179A5" w:rsidRDefault="000B15EC" w:rsidP="000B15EC">
            <w:pPr>
              <w:spacing w:before="0" w:after="0" w:line="240" w:lineRule="auto"/>
              <w:ind w:left="170"/>
              <w:rPr>
                <w:rFonts w:ascii="Arial" w:hAnsi="Arial" w:cs="Arial"/>
                <w:sz w:val="16"/>
                <w:szCs w:val="16"/>
              </w:rPr>
            </w:pPr>
            <w:r w:rsidRPr="00C179A5">
              <w:rPr>
                <w:rFonts w:ascii="Arial" w:hAnsi="Arial" w:cs="Arial"/>
                <w:sz w:val="16"/>
                <w:szCs w:val="16"/>
              </w:rPr>
              <w:t>General revenue assistance</w:t>
            </w:r>
          </w:p>
        </w:tc>
        <w:tc>
          <w:tcPr>
            <w:tcW w:w="850" w:type="pct"/>
            <w:tcBorders>
              <w:top w:val="nil"/>
              <w:left w:val="nil"/>
              <w:bottom w:val="single" w:sz="4" w:space="0" w:color="002A54" w:themeColor="text2"/>
              <w:right w:val="nil"/>
            </w:tcBorders>
            <w:shd w:val="clear" w:color="auto" w:fill="auto"/>
            <w:noWrap/>
            <w:vAlign w:val="bottom"/>
            <w:hideMark/>
          </w:tcPr>
          <w:p w14:paraId="7880B9D4"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w:t>
            </w:r>
          </w:p>
        </w:tc>
        <w:tc>
          <w:tcPr>
            <w:tcW w:w="849" w:type="pct"/>
            <w:tcBorders>
              <w:top w:val="nil"/>
              <w:left w:val="nil"/>
              <w:bottom w:val="single" w:sz="4" w:space="0" w:color="002A54" w:themeColor="text2"/>
              <w:right w:val="nil"/>
            </w:tcBorders>
            <w:shd w:val="clear" w:color="auto" w:fill="auto"/>
            <w:noWrap/>
            <w:vAlign w:val="bottom"/>
            <w:hideMark/>
          </w:tcPr>
          <w:p w14:paraId="7D65FE43"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77,531</w:t>
            </w:r>
          </w:p>
        </w:tc>
        <w:tc>
          <w:tcPr>
            <w:tcW w:w="849" w:type="pct"/>
            <w:tcBorders>
              <w:top w:val="nil"/>
              <w:left w:val="nil"/>
              <w:bottom w:val="single" w:sz="4" w:space="0" w:color="002A54" w:themeColor="text2"/>
              <w:right w:val="nil"/>
            </w:tcBorders>
            <w:shd w:val="clear" w:color="auto" w:fill="auto"/>
            <w:noWrap/>
            <w:vAlign w:val="bottom"/>
            <w:hideMark/>
          </w:tcPr>
          <w:p w14:paraId="4CD8411B"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w:t>
            </w:r>
          </w:p>
        </w:tc>
        <w:tc>
          <w:tcPr>
            <w:tcW w:w="851" w:type="pct"/>
            <w:tcBorders>
              <w:top w:val="nil"/>
              <w:left w:val="nil"/>
              <w:bottom w:val="single" w:sz="4" w:space="0" w:color="002A54" w:themeColor="text2"/>
              <w:right w:val="nil"/>
            </w:tcBorders>
            <w:shd w:val="clear" w:color="auto" w:fill="auto"/>
            <w:noWrap/>
            <w:vAlign w:val="bottom"/>
            <w:hideMark/>
          </w:tcPr>
          <w:p w14:paraId="1F4690E3"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w:t>
            </w:r>
          </w:p>
        </w:tc>
      </w:tr>
      <w:tr w:rsidR="000B15EC" w:rsidRPr="00C179A5" w14:paraId="7F04B41A" w14:textId="77777777" w:rsidTr="006B4293">
        <w:trPr>
          <w:divId w:val="948901301"/>
          <w:trHeight w:hRule="exact" w:val="300"/>
        </w:trPr>
        <w:tc>
          <w:tcPr>
            <w:tcW w:w="1602" w:type="pct"/>
            <w:tcBorders>
              <w:top w:val="nil"/>
              <w:left w:val="nil"/>
              <w:bottom w:val="single" w:sz="4" w:space="0" w:color="002A54" w:themeColor="text2"/>
              <w:right w:val="nil"/>
            </w:tcBorders>
            <w:shd w:val="clear" w:color="auto" w:fill="auto"/>
            <w:noWrap/>
            <w:vAlign w:val="bottom"/>
            <w:hideMark/>
          </w:tcPr>
          <w:p w14:paraId="02C24671" w14:textId="77777777" w:rsidR="000B15EC" w:rsidRPr="00C179A5" w:rsidRDefault="000B15EC" w:rsidP="000B15EC">
            <w:pPr>
              <w:spacing w:before="0" w:after="0" w:line="240" w:lineRule="auto"/>
              <w:rPr>
                <w:rFonts w:ascii="Arial" w:hAnsi="Arial" w:cs="Arial"/>
                <w:b/>
                <w:sz w:val="16"/>
                <w:szCs w:val="16"/>
              </w:rPr>
            </w:pPr>
            <w:r w:rsidRPr="00C179A5">
              <w:rPr>
                <w:rFonts w:ascii="Arial" w:hAnsi="Arial" w:cs="Arial"/>
                <w:b/>
                <w:sz w:val="16"/>
                <w:szCs w:val="16"/>
              </w:rPr>
              <w:t>Total</w:t>
            </w:r>
          </w:p>
        </w:tc>
        <w:tc>
          <w:tcPr>
            <w:tcW w:w="850" w:type="pct"/>
            <w:tcBorders>
              <w:top w:val="single" w:sz="4" w:space="0" w:color="002A54" w:themeColor="text2"/>
              <w:left w:val="nil"/>
              <w:bottom w:val="single" w:sz="4" w:space="0" w:color="002A54" w:themeColor="text2"/>
              <w:right w:val="nil"/>
            </w:tcBorders>
            <w:shd w:val="clear" w:color="auto" w:fill="auto"/>
            <w:noWrap/>
            <w:vAlign w:val="bottom"/>
            <w:hideMark/>
          </w:tcPr>
          <w:p w14:paraId="7214FF71"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w:t>
            </w:r>
          </w:p>
        </w:tc>
        <w:tc>
          <w:tcPr>
            <w:tcW w:w="849" w:type="pct"/>
            <w:tcBorders>
              <w:top w:val="single" w:sz="4" w:space="0" w:color="002A54" w:themeColor="text2"/>
              <w:left w:val="nil"/>
              <w:bottom w:val="single" w:sz="4" w:space="0" w:color="002A54" w:themeColor="text2"/>
              <w:right w:val="nil"/>
            </w:tcBorders>
            <w:shd w:val="clear" w:color="auto" w:fill="auto"/>
            <w:noWrap/>
            <w:vAlign w:val="bottom"/>
            <w:hideMark/>
          </w:tcPr>
          <w:p w14:paraId="2A987A35" w14:textId="77777777" w:rsidR="000B15EC" w:rsidRPr="00C179A5" w:rsidRDefault="000B15EC" w:rsidP="000B15EC">
            <w:pPr>
              <w:spacing w:before="0" w:after="0" w:line="240" w:lineRule="auto"/>
              <w:rPr>
                <w:rFonts w:ascii="Arial" w:hAnsi="Arial" w:cs="Arial"/>
                <w:sz w:val="16"/>
                <w:szCs w:val="16"/>
              </w:rPr>
            </w:pPr>
            <w:r w:rsidRPr="00C179A5">
              <w:rPr>
                <w:rFonts w:ascii="Arial" w:hAnsi="Arial" w:cs="Arial"/>
                <w:sz w:val="16"/>
                <w:szCs w:val="16"/>
              </w:rPr>
              <w:t> </w:t>
            </w:r>
          </w:p>
        </w:tc>
        <w:tc>
          <w:tcPr>
            <w:tcW w:w="849" w:type="pct"/>
            <w:tcBorders>
              <w:top w:val="single" w:sz="4" w:space="0" w:color="002A54" w:themeColor="text2"/>
              <w:left w:val="nil"/>
              <w:bottom w:val="single" w:sz="4" w:space="0" w:color="002A54" w:themeColor="text2"/>
              <w:right w:val="nil"/>
            </w:tcBorders>
            <w:shd w:val="clear" w:color="auto" w:fill="auto"/>
            <w:noWrap/>
            <w:vAlign w:val="bottom"/>
            <w:hideMark/>
          </w:tcPr>
          <w:p w14:paraId="3694F9E1"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355,755</w:t>
            </w:r>
          </w:p>
        </w:tc>
        <w:tc>
          <w:tcPr>
            <w:tcW w:w="851" w:type="pct"/>
            <w:tcBorders>
              <w:top w:val="single" w:sz="4" w:space="0" w:color="002A54" w:themeColor="text2"/>
              <w:left w:val="nil"/>
              <w:bottom w:val="single" w:sz="4" w:space="0" w:color="002A54" w:themeColor="text2"/>
              <w:right w:val="nil"/>
            </w:tcBorders>
            <w:shd w:val="clear" w:color="auto" w:fill="auto"/>
            <w:noWrap/>
            <w:vAlign w:val="bottom"/>
            <w:hideMark/>
          </w:tcPr>
          <w:p w14:paraId="0C42F02D" w14:textId="77777777" w:rsidR="000B15EC" w:rsidRPr="00C179A5" w:rsidRDefault="000B15EC" w:rsidP="000B15EC">
            <w:pPr>
              <w:spacing w:before="0" w:after="0" w:line="240" w:lineRule="auto"/>
              <w:jc w:val="right"/>
              <w:rPr>
                <w:rFonts w:ascii="Arial" w:hAnsi="Arial" w:cs="Arial"/>
                <w:sz w:val="16"/>
                <w:szCs w:val="16"/>
              </w:rPr>
            </w:pPr>
            <w:r w:rsidRPr="00C179A5">
              <w:rPr>
                <w:rFonts w:ascii="Arial" w:hAnsi="Arial" w:cs="Arial"/>
                <w:sz w:val="16"/>
                <w:szCs w:val="16"/>
              </w:rPr>
              <w:t>46.1</w:t>
            </w:r>
          </w:p>
        </w:tc>
      </w:tr>
    </w:tbl>
    <w:p w14:paraId="46472904" w14:textId="09B22B4B" w:rsidR="003F2AA7" w:rsidRPr="00C179A5" w:rsidRDefault="003F2AA7" w:rsidP="006B4293">
      <w:pPr>
        <w:pStyle w:val="ChartandTableFootnote"/>
        <w:rPr>
          <w:color w:val="auto"/>
        </w:rPr>
      </w:pPr>
      <w:r w:rsidRPr="00C179A5">
        <w:rPr>
          <w:color w:val="auto"/>
        </w:rPr>
        <w:t>Source:</w:t>
      </w:r>
      <w:r w:rsidRPr="00C179A5">
        <w:rPr>
          <w:color w:val="auto"/>
        </w:rPr>
        <w:tab/>
        <w:t>Australian Bureau of Statistics</w:t>
      </w:r>
      <w:r w:rsidR="00714E2A">
        <w:rPr>
          <w:color w:val="auto"/>
        </w:rPr>
        <w:t xml:space="preserve"> </w:t>
      </w:r>
      <w:r w:rsidR="002453CF">
        <w:rPr>
          <w:color w:val="auto"/>
        </w:rPr>
        <w:t>(ABS)</w:t>
      </w:r>
      <w:r w:rsidRPr="00C179A5">
        <w:rPr>
          <w:color w:val="auto"/>
        </w:rPr>
        <w:t>, Government Finance Statistics 202</w:t>
      </w:r>
      <w:r w:rsidR="00F149AA" w:rsidRPr="00C179A5">
        <w:rPr>
          <w:color w:val="auto"/>
        </w:rPr>
        <w:t>1</w:t>
      </w:r>
      <w:r w:rsidRPr="00C179A5">
        <w:rPr>
          <w:color w:val="auto"/>
        </w:rPr>
        <w:t>–2</w:t>
      </w:r>
      <w:r w:rsidR="00F149AA" w:rsidRPr="00C179A5">
        <w:rPr>
          <w:color w:val="auto"/>
        </w:rPr>
        <w:t>2</w:t>
      </w:r>
      <w:r w:rsidRPr="00C179A5">
        <w:rPr>
          <w:color w:val="auto"/>
        </w:rPr>
        <w:t>; and Australian Government, Final Budget Outcome 202</w:t>
      </w:r>
      <w:r w:rsidR="00F149AA" w:rsidRPr="00C179A5">
        <w:rPr>
          <w:color w:val="auto"/>
        </w:rPr>
        <w:t>1</w:t>
      </w:r>
      <w:r w:rsidRPr="00C179A5">
        <w:rPr>
          <w:color w:val="auto"/>
        </w:rPr>
        <w:t>–2</w:t>
      </w:r>
      <w:r w:rsidR="00F149AA" w:rsidRPr="00C179A5">
        <w:rPr>
          <w:color w:val="auto"/>
        </w:rPr>
        <w:t>2</w:t>
      </w:r>
      <w:r w:rsidRPr="00C179A5">
        <w:rPr>
          <w:color w:val="auto"/>
        </w:rPr>
        <w:t>.</w:t>
      </w:r>
    </w:p>
    <w:p w14:paraId="32FD67E1" w14:textId="7829A97A" w:rsidR="003F2AA7" w:rsidRPr="00C179A5" w:rsidRDefault="003F2AA7" w:rsidP="003F2AA7">
      <w:pPr>
        <w:pStyle w:val="ChartandTableFootnote"/>
        <w:rPr>
          <w:color w:val="auto"/>
        </w:rPr>
      </w:pPr>
      <w:r w:rsidRPr="00C179A5">
        <w:rPr>
          <w:color w:val="auto"/>
        </w:rPr>
        <w:t xml:space="preserve">Note: </w:t>
      </w:r>
      <w:r w:rsidRPr="00C179A5">
        <w:rPr>
          <w:color w:val="auto"/>
        </w:rPr>
        <w:tab/>
        <w:t xml:space="preserve">Australian Government payments to the states in </w:t>
      </w:r>
      <w:r w:rsidR="007C15FD" w:rsidRPr="00C179A5">
        <w:rPr>
          <w:color w:val="auto"/>
        </w:rPr>
        <w:t>2021</w:t>
      </w:r>
      <w:r w:rsidR="008A63F8" w:rsidRPr="00C179A5">
        <w:rPr>
          <w:color w:val="auto"/>
        </w:rPr>
        <w:t>–</w:t>
      </w:r>
      <w:r w:rsidR="007C15FD" w:rsidRPr="00C179A5">
        <w:rPr>
          <w:color w:val="auto"/>
        </w:rPr>
        <w:t>22</w:t>
      </w:r>
      <w:r w:rsidRPr="00C179A5">
        <w:rPr>
          <w:color w:val="auto"/>
        </w:rPr>
        <w:t xml:space="preserve"> is unavailable on an ABS Classification of the Functions of Government (COFOG</w:t>
      </w:r>
      <w:r w:rsidR="00B71E80" w:rsidRPr="00C179A5">
        <w:rPr>
          <w:color w:val="auto"/>
        </w:rPr>
        <w:noBreakHyphen/>
      </w:r>
      <w:r w:rsidRPr="00C179A5">
        <w:rPr>
          <w:color w:val="auto"/>
        </w:rPr>
        <w:t>A) basis. These payments have been adjusted to align with COFOG</w:t>
      </w:r>
      <w:r w:rsidR="00B71E80" w:rsidRPr="00C179A5">
        <w:rPr>
          <w:color w:val="auto"/>
        </w:rPr>
        <w:noBreakHyphen/>
      </w:r>
      <w:r w:rsidRPr="00C179A5">
        <w:rPr>
          <w:color w:val="auto"/>
        </w:rPr>
        <w:t xml:space="preserve">A. </w:t>
      </w:r>
    </w:p>
    <w:p w14:paraId="66CE612E" w14:textId="07E74C96" w:rsidR="00C75DC1" w:rsidRPr="00C179A5" w:rsidRDefault="00C75DC1" w:rsidP="00C75DC1">
      <w:pPr>
        <w:pStyle w:val="ChartandTableFootnoteAlpha"/>
        <w:numPr>
          <w:ilvl w:val="0"/>
          <w:numId w:val="39"/>
        </w:numPr>
        <w:rPr>
          <w:color w:val="auto"/>
        </w:rPr>
      </w:pPr>
      <w:r w:rsidRPr="00C179A5">
        <w:rPr>
          <w:color w:val="auto"/>
        </w:rPr>
        <w:t>General Revenue Assistance (GRA) is provided to the states without conditions to spend according to their own budget priorities. For illustrative purposes, GRA is allocated to expense functions based on the ratio of discretionary spending in each function as a share of states</w:t>
      </w:r>
      <w:r w:rsidR="00B71E80" w:rsidRPr="00C179A5">
        <w:rPr>
          <w:color w:val="auto"/>
        </w:rPr>
        <w:t>’</w:t>
      </w:r>
      <w:r w:rsidRPr="00C179A5">
        <w:rPr>
          <w:color w:val="auto"/>
        </w:rPr>
        <w:t xml:space="preserve"> total discretionary spending. </w:t>
      </w:r>
    </w:p>
    <w:p w14:paraId="48405374" w14:textId="30498C45" w:rsidR="00C75DC1" w:rsidRPr="00C179A5" w:rsidRDefault="009A4177" w:rsidP="003F2AA7">
      <w:pPr>
        <w:pStyle w:val="ChartandTableFootnoteAlpha"/>
        <w:numPr>
          <w:ilvl w:val="0"/>
          <w:numId w:val="39"/>
        </w:numPr>
        <w:rPr>
          <w:color w:val="auto"/>
        </w:rPr>
      </w:pPr>
      <w:r w:rsidRPr="00C179A5">
        <w:rPr>
          <w:color w:val="auto"/>
        </w:rPr>
        <w:t xml:space="preserve">Economic affairs </w:t>
      </w:r>
      <w:r w:rsidR="006B4555" w:rsidRPr="00C179A5">
        <w:rPr>
          <w:color w:val="auto"/>
        </w:rPr>
        <w:t>include</w:t>
      </w:r>
      <w:r w:rsidRPr="00C179A5">
        <w:rPr>
          <w:color w:val="auto"/>
        </w:rPr>
        <w:t xml:space="preserve"> COVID</w:t>
      </w:r>
      <w:r w:rsidR="00B71E80" w:rsidRPr="00C179A5">
        <w:rPr>
          <w:color w:val="auto"/>
        </w:rPr>
        <w:noBreakHyphen/>
      </w:r>
      <w:r w:rsidRPr="00C179A5">
        <w:rPr>
          <w:color w:val="auto"/>
        </w:rPr>
        <w:t>19 Business Support Payments</w:t>
      </w:r>
      <w:r w:rsidR="00463E47" w:rsidRPr="00C179A5">
        <w:rPr>
          <w:color w:val="auto"/>
        </w:rPr>
        <w:t xml:space="preserve"> for 2021</w:t>
      </w:r>
      <w:r w:rsidR="00B71E80" w:rsidRPr="00C179A5">
        <w:rPr>
          <w:color w:val="auto"/>
        </w:rPr>
        <w:noBreakHyphen/>
      </w:r>
      <w:r w:rsidR="00463E47" w:rsidRPr="00C179A5">
        <w:rPr>
          <w:color w:val="auto"/>
        </w:rPr>
        <w:t>22</w:t>
      </w:r>
      <w:r w:rsidRPr="00C179A5">
        <w:rPr>
          <w:color w:val="auto"/>
        </w:rPr>
        <w:t>.</w:t>
      </w:r>
    </w:p>
    <w:p w14:paraId="3E86EC05" w14:textId="14B48C71" w:rsidR="003F2AA7" w:rsidRPr="00C179A5" w:rsidRDefault="003F2AA7" w:rsidP="00556FC4">
      <w:pPr>
        <w:pStyle w:val="ChartandTableFootnoteAlpha"/>
        <w:numPr>
          <w:ilvl w:val="0"/>
          <w:numId w:val="39"/>
        </w:numPr>
        <w:rPr>
          <w:color w:val="auto"/>
        </w:rPr>
      </w:pPr>
      <w:r w:rsidRPr="00C179A5">
        <w:rPr>
          <w:color w:val="auto"/>
        </w:rPr>
        <w:t>Other functions include additional functions not elsewhere itemised.</w:t>
      </w:r>
    </w:p>
    <w:p w14:paraId="215F8E97" w14:textId="14B48C71" w:rsidR="00556FC4" w:rsidRPr="00C179A5" w:rsidRDefault="00556FC4" w:rsidP="00FB0587">
      <w:pPr>
        <w:pStyle w:val="ChartLine"/>
      </w:pPr>
    </w:p>
    <w:p w14:paraId="39ECB73E" w14:textId="1CBBC904" w:rsidR="003F2AA7" w:rsidRPr="00C179A5" w:rsidRDefault="003F2AA7" w:rsidP="00556FC4">
      <w:pPr>
        <w:pStyle w:val="TableLine"/>
      </w:pPr>
    </w:p>
    <w:p w14:paraId="493E8DAE" w14:textId="257081E4" w:rsidR="003F2AA7" w:rsidRPr="00C179A5" w:rsidRDefault="003F2AA7" w:rsidP="007A7939">
      <w:r w:rsidRPr="00C179A5">
        <w:br w:type="page"/>
      </w:r>
    </w:p>
    <w:p w14:paraId="7FCE22F9" w14:textId="2C2AB24C" w:rsidR="003F2AA7" w:rsidRPr="00C179A5" w:rsidRDefault="003F2AA7" w:rsidP="003F2AA7">
      <w:pPr>
        <w:pStyle w:val="Heading2"/>
        <w:rPr>
          <w:rFonts w:ascii="Book Antiqua" w:hAnsi="Book Antiqua"/>
          <w:sz w:val="20"/>
        </w:rPr>
      </w:pPr>
      <w:r w:rsidRPr="00C179A5">
        <w:lastRenderedPageBreak/>
        <w:t xml:space="preserve">Measures affecting payments to the states </w:t>
      </w:r>
    </w:p>
    <w:p w14:paraId="2220B7B3" w14:textId="7EC155CC" w:rsidR="003F2AA7" w:rsidRPr="00C179A5" w:rsidRDefault="003F2AA7" w:rsidP="003F2AA7">
      <w:r w:rsidRPr="00C179A5">
        <w:t xml:space="preserve">Table 1.4 lists measures in the </w:t>
      </w:r>
      <w:r w:rsidRPr="00C179A5">
        <w:rPr>
          <w:i/>
        </w:rPr>
        <w:t>202</w:t>
      </w:r>
      <w:r w:rsidR="00937257" w:rsidRPr="00C179A5">
        <w:rPr>
          <w:i/>
        </w:rPr>
        <w:t>3</w:t>
      </w:r>
      <w:r w:rsidRPr="00C179A5">
        <w:rPr>
          <w:i/>
        </w:rPr>
        <w:t>–2</w:t>
      </w:r>
      <w:r w:rsidR="00937257" w:rsidRPr="00C179A5">
        <w:rPr>
          <w:i/>
        </w:rPr>
        <w:t>4</w:t>
      </w:r>
      <w:r w:rsidRPr="00C179A5">
        <w:rPr>
          <w:i/>
        </w:rPr>
        <w:t xml:space="preserve"> Budget</w:t>
      </w:r>
      <w:r w:rsidRPr="00C179A5">
        <w:t xml:space="preserve"> that affect payments to the states. Details of the measures are available in Budget Paper No. 2, </w:t>
      </w:r>
      <w:r w:rsidRPr="00C179A5">
        <w:rPr>
          <w:i/>
        </w:rPr>
        <w:t>Budget Measures</w:t>
      </w:r>
      <w:r w:rsidR="007022CE" w:rsidRPr="00C179A5">
        <w:rPr>
          <w:i/>
        </w:rPr>
        <w:t xml:space="preserve"> </w:t>
      </w:r>
      <w:r w:rsidRPr="00C179A5">
        <w:rPr>
          <w:i/>
        </w:rPr>
        <w:t>202</w:t>
      </w:r>
      <w:r w:rsidR="00535A94" w:rsidRPr="00C179A5">
        <w:rPr>
          <w:i/>
        </w:rPr>
        <w:t>3</w:t>
      </w:r>
      <w:r w:rsidRPr="00C179A5">
        <w:rPr>
          <w:i/>
        </w:rPr>
        <w:t>–2</w:t>
      </w:r>
      <w:r w:rsidR="00535A94" w:rsidRPr="00C179A5">
        <w:rPr>
          <w:i/>
        </w:rPr>
        <w:t>4</w:t>
      </w:r>
      <w:r w:rsidRPr="00C179A5">
        <w:t xml:space="preserve">, arranged by portfolio. Information on the payments affected is available in Parts 2 and 3 of this Budget Paper. </w:t>
      </w:r>
    </w:p>
    <w:p w14:paraId="5C3410A3" w14:textId="74A35416" w:rsidR="003F2AA7" w:rsidRPr="00F13221" w:rsidRDefault="003F2AA7" w:rsidP="003F2AA7">
      <w:pPr>
        <w:pStyle w:val="TableHeading"/>
      </w:pPr>
      <w:r w:rsidRPr="00C179A5">
        <w:t>Table 1.4: Measures affecting</w:t>
      </w:r>
      <w:r w:rsidRPr="00F13221">
        <w:t xml:space="preserve"> </w:t>
      </w:r>
      <w:r w:rsidRPr="00C179A5">
        <w:t>payments to the states</w:t>
      </w:r>
    </w:p>
    <w:tbl>
      <w:tblPr>
        <w:tblW w:w="5000" w:type="pct"/>
        <w:tblInd w:w="-3" w:type="dxa"/>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ayout w:type="fixed"/>
        <w:tblLook w:val="04A0" w:firstRow="1" w:lastRow="0" w:firstColumn="1" w:lastColumn="0" w:noHBand="0" w:noVBand="1"/>
        <w:tblCaption w:val="Table"/>
      </w:tblPr>
      <w:tblGrid>
        <w:gridCol w:w="1557"/>
        <w:gridCol w:w="1556"/>
        <w:gridCol w:w="2308"/>
        <w:gridCol w:w="2283"/>
      </w:tblGrid>
      <w:tr w:rsidR="003A7A69" w:rsidRPr="003A7A69" w14:paraId="51FAE088" w14:textId="77777777" w:rsidTr="0084677E">
        <w:trPr>
          <w:cantSplit/>
        </w:trPr>
        <w:tc>
          <w:tcPr>
            <w:tcW w:w="1557" w:type="dxa"/>
          </w:tcPr>
          <w:p w14:paraId="546F2969" w14:textId="77777777" w:rsidR="003F2AA7" w:rsidRPr="003A7A69" w:rsidRDefault="003F2AA7" w:rsidP="006056A9">
            <w:pPr>
              <w:pStyle w:val="TableColumnHeadingLeft"/>
            </w:pPr>
            <w:r w:rsidRPr="003A7A69">
              <w:t>Payment</w:t>
            </w:r>
          </w:p>
        </w:tc>
        <w:tc>
          <w:tcPr>
            <w:tcW w:w="1556" w:type="dxa"/>
          </w:tcPr>
          <w:p w14:paraId="47948613" w14:textId="77777777" w:rsidR="003F2AA7" w:rsidRPr="003A7A69" w:rsidRDefault="003F2AA7" w:rsidP="006056A9">
            <w:pPr>
              <w:pStyle w:val="TableColumnHeadingLeft"/>
            </w:pPr>
            <w:r w:rsidRPr="003A7A69">
              <w:t>Section of Budget Paper 3</w:t>
            </w:r>
          </w:p>
        </w:tc>
        <w:tc>
          <w:tcPr>
            <w:tcW w:w="2308" w:type="dxa"/>
            <w:shd w:val="clear" w:color="auto" w:fill="auto"/>
          </w:tcPr>
          <w:p w14:paraId="27E85415" w14:textId="77777777" w:rsidR="003F2AA7" w:rsidRPr="003A7A69" w:rsidRDefault="003F2AA7" w:rsidP="006056A9">
            <w:pPr>
              <w:pStyle w:val="TableColumnHeadingLeft"/>
            </w:pPr>
            <w:r w:rsidRPr="003A7A69">
              <w:t>Measure title</w:t>
            </w:r>
          </w:p>
        </w:tc>
        <w:tc>
          <w:tcPr>
            <w:tcW w:w="2283" w:type="dxa"/>
          </w:tcPr>
          <w:p w14:paraId="16EE608E" w14:textId="77777777" w:rsidR="003F2AA7" w:rsidRPr="003A7A69" w:rsidRDefault="003F2AA7" w:rsidP="006056A9">
            <w:pPr>
              <w:pStyle w:val="TableColumnHeadingLeft"/>
            </w:pPr>
            <w:r w:rsidRPr="003A7A69">
              <w:t>Section of Budget Paper 2</w:t>
            </w:r>
          </w:p>
        </w:tc>
      </w:tr>
      <w:tr w:rsidR="0084677E" w:rsidRPr="003A7A69" w14:paraId="3E868371" w14:textId="77777777" w:rsidTr="0084677E">
        <w:trPr>
          <w:cantSplit/>
          <w:trHeight w:val="20"/>
        </w:trPr>
        <w:tc>
          <w:tcPr>
            <w:tcW w:w="1557" w:type="dxa"/>
            <w:shd w:val="clear" w:color="auto" w:fill="auto"/>
          </w:tcPr>
          <w:p w14:paraId="3F8581FC" w14:textId="1A64982E" w:rsidR="0084677E" w:rsidRPr="003A7A69" w:rsidRDefault="0084677E" w:rsidP="0084677E">
            <w:pPr>
              <w:pStyle w:val="TableTextLeft"/>
              <w:rPr>
                <w:rFonts w:cs="Cambria"/>
                <w:szCs w:val="16"/>
              </w:rPr>
            </w:pPr>
            <w:r w:rsidRPr="00AA6591">
              <w:t>National Health Reform funding</w:t>
            </w:r>
          </w:p>
        </w:tc>
        <w:tc>
          <w:tcPr>
            <w:tcW w:w="1556" w:type="dxa"/>
            <w:shd w:val="clear" w:color="auto" w:fill="auto"/>
          </w:tcPr>
          <w:p w14:paraId="7FD87EE1" w14:textId="202EE219" w:rsidR="0084677E" w:rsidRPr="003A7A69" w:rsidRDefault="0084677E" w:rsidP="0084677E">
            <w:pPr>
              <w:pStyle w:val="TableTextLeft"/>
              <w:rPr>
                <w:rFonts w:cs="Cambria"/>
                <w:szCs w:val="16"/>
              </w:rPr>
            </w:pPr>
            <w:r w:rsidRPr="00AA6591">
              <w:t>Part 2 – Health</w:t>
            </w:r>
          </w:p>
        </w:tc>
        <w:tc>
          <w:tcPr>
            <w:tcW w:w="2308" w:type="dxa"/>
            <w:shd w:val="clear" w:color="auto" w:fill="auto"/>
          </w:tcPr>
          <w:p w14:paraId="2F8871E1" w14:textId="348ABEDE" w:rsidR="0084677E" w:rsidRPr="003A7A69" w:rsidRDefault="0084677E" w:rsidP="0084677E">
            <w:pPr>
              <w:pStyle w:val="TableTextLeft"/>
            </w:pPr>
            <w:r w:rsidRPr="00AA6591">
              <w:t>COVID</w:t>
            </w:r>
            <w:r w:rsidR="00323E45">
              <w:t>-</w:t>
            </w:r>
            <w:r w:rsidRPr="00AA6591">
              <w:t>19 Response</w:t>
            </w:r>
          </w:p>
        </w:tc>
        <w:tc>
          <w:tcPr>
            <w:tcW w:w="2283" w:type="dxa"/>
            <w:shd w:val="clear" w:color="auto" w:fill="auto"/>
          </w:tcPr>
          <w:p w14:paraId="20858D32" w14:textId="61D64E6E" w:rsidR="0084677E" w:rsidRPr="003A7A69" w:rsidRDefault="0084677E" w:rsidP="0084677E">
            <w:pPr>
              <w:pStyle w:val="TableTextLeft"/>
              <w:rPr>
                <w:rFonts w:cs="Cambria"/>
                <w:szCs w:val="16"/>
              </w:rPr>
            </w:pPr>
            <w:r w:rsidRPr="00AA6591">
              <w:t xml:space="preserve">Payments – Health and Aged Care </w:t>
            </w:r>
          </w:p>
        </w:tc>
      </w:tr>
      <w:tr w:rsidR="0084677E" w:rsidRPr="003A7A69" w14:paraId="499BB5D9" w14:textId="77777777" w:rsidTr="0084677E">
        <w:trPr>
          <w:cantSplit/>
          <w:trHeight w:val="20"/>
        </w:trPr>
        <w:tc>
          <w:tcPr>
            <w:tcW w:w="1557" w:type="dxa"/>
            <w:shd w:val="clear" w:color="auto" w:fill="auto"/>
          </w:tcPr>
          <w:p w14:paraId="278A3816" w14:textId="758BACFF" w:rsidR="0084677E" w:rsidRPr="003A7A69" w:rsidRDefault="0084677E" w:rsidP="0084677E">
            <w:pPr>
              <w:pStyle w:val="TableTextLeft"/>
            </w:pPr>
            <w:r w:rsidRPr="00AA6591">
              <w:t>Access to HIV treatment</w:t>
            </w:r>
          </w:p>
        </w:tc>
        <w:tc>
          <w:tcPr>
            <w:tcW w:w="1556" w:type="dxa"/>
            <w:shd w:val="clear" w:color="auto" w:fill="auto"/>
          </w:tcPr>
          <w:p w14:paraId="7C96651A" w14:textId="0A78A714" w:rsidR="0084677E" w:rsidRPr="003A7A69" w:rsidRDefault="0084677E" w:rsidP="0084677E">
            <w:pPr>
              <w:pStyle w:val="TableTextLeft"/>
            </w:pPr>
            <w:r w:rsidRPr="00AA6591">
              <w:t>Part 2 – Health</w:t>
            </w:r>
          </w:p>
        </w:tc>
        <w:tc>
          <w:tcPr>
            <w:tcW w:w="2308" w:type="dxa"/>
            <w:shd w:val="clear" w:color="auto" w:fill="auto"/>
          </w:tcPr>
          <w:p w14:paraId="30B190BB" w14:textId="51AE683B" w:rsidR="0084677E" w:rsidRPr="003A7A69" w:rsidRDefault="0084677E" w:rsidP="0084677E">
            <w:pPr>
              <w:pStyle w:val="TableTextLeft"/>
            </w:pPr>
            <w:r w:rsidRPr="00AA6591">
              <w:t xml:space="preserve">Enhancing National Strategies for Bloodborne Viruses and Sexually Transmissible Infections </w:t>
            </w:r>
          </w:p>
        </w:tc>
        <w:tc>
          <w:tcPr>
            <w:tcW w:w="2283" w:type="dxa"/>
            <w:shd w:val="clear" w:color="auto" w:fill="auto"/>
          </w:tcPr>
          <w:p w14:paraId="270A1A32" w14:textId="2AE18197" w:rsidR="0084677E" w:rsidRPr="003A7A69" w:rsidRDefault="0084677E" w:rsidP="0084677E">
            <w:pPr>
              <w:pStyle w:val="TableTextLeft"/>
            </w:pPr>
            <w:r w:rsidRPr="00AA6591">
              <w:t>Payments – Health and Aged Care</w:t>
            </w:r>
          </w:p>
        </w:tc>
      </w:tr>
      <w:tr w:rsidR="006E66AF" w:rsidRPr="003A7A69" w14:paraId="65287199" w14:textId="77777777" w:rsidTr="0084677E">
        <w:trPr>
          <w:cantSplit/>
          <w:trHeight w:val="20"/>
        </w:trPr>
        <w:tc>
          <w:tcPr>
            <w:tcW w:w="1557" w:type="dxa"/>
            <w:shd w:val="clear" w:color="auto" w:fill="auto"/>
          </w:tcPr>
          <w:p w14:paraId="759C1CD2" w14:textId="07AF46A2" w:rsidR="006E66AF" w:rsidRPr="003A7A69" w:rsidDel="00987D8C" w:rsidRDefault="006E66AF" w:rsidP="006E66AF">
            <w:pPr>
              <w:pStyle w:val="TableTextLeft"/>
            </w:pPr>
            <w:r w:rsidRPr="00CA046C">
              <w:t>Medicare Urgent Care Clinic</w:t>
            </w:r>
          </w:p>
        </w:tc>
        <w:tc>
          <w:tcPr>
            <w:tcW w:w="1556" w:type="dxa"/>
            <w:shd w:val="clear" w:color="auto" w:fill="auto"/>
          </w:tcPr>
          <w:p w14:paraId="010AA013" w14:textId="6A356C72" w:rsidR="006E66AF" w:rsidRPr="003A7A69" w:rsidRDefault="006E66AF" w:rsidP="006E66AF">
            <w:pPr>
              <w:pStyle w:val="TableTextLeft"/>
            </w:pPr>
            <w:r w:rsidRPr="00CA046C">
              <w:t>Part 2 – Health</w:t>
            </w:r>
          </w:p>
        </w:tc>
        <w:tc>
          <w:tcPr>
            <w:tcW w:w="2308" w:type="dxa"/>
            <w:shd w:val="clear" w:color="auto" w:fill="auto"/>
          </w:tcPr>
          <w:p w14:paraId="0FABAF14" w14:textId="1E8E4914" w:rsidR="006E66AF" w:rsidRPr="003A7A69" w:rsidRDefault="006E66AF" w:rsidP="006E66AF">
            <w:pPr>
              <w:pStyle w:val="TableTextLeft"/>
            </w:pPr>
            <w:r w:rsidRPr="00CA046C">
              <w:t>Medicare Urgent Care Clinics – additional funding</w:t>
            </w:r>
          </w:p>
        </w:tc>
        <w:tc>
          <w:tcPr>
            <w:tcW w:w="2283" w:type="dxa"/>
            <w:shd w:val="clear" w:color="auto" w:fill="auto"/>
          </w:tcPr>
          <w:p w14:paraId="48685241" w14:textId="53963AD0" w:rsidR="006E66AF" w:rsidRPr="003A7A69" w:rsidRDefault="006E66AF" w:rsidP="006E66AF">
            <w:pPr>
              <w:pStyle w:val="TableTextLeft"/>
            </w:pPr>
            <w:r w:rsidRPr="00CA046C">
              <w:t>Payments – Health and Aged Care</w:t>
            </w:r>
          </w:p>
        </w:tc>
      </w:tr>
      <w:tr w:rsidR="006E66AF" w:rsidRPr="003A7A69" w14:paraId="518D1B6B" w14:textId="77777777" w:rsidTr="0084677E">
        <w:trPr>
          <w:cantSplit/>
          <w:trHeight w:val="20"/>
        </w:trPr>
        <w:tc>
          <w:tcPr>
            <w:tcW w:w="1557" w:type="dxa"/>
            <w:shd w:val="clear" w:color="auto" w:fill="auto"/>
          </w:tcPr>
          <w:p w14:paraId="5B9AE4FB" w14:textId="455B2065" w:rsidR="006E66AF" w:rsidRPr="003A7A69" w:rsidRDefault="006E66AF" w:rsidP="006E66AF">
            <w:pPr>
              <w:pStyle w:val="TableTextLeft"/>
            </w:pPr>
            <w:r w:rsidRPr="00CA046C">
              <w:t>Mosquito control in Tennant Creek</w:t>
            </w:r>
          </w:p>
        </w:tc>
        <w:tc>
          <w:tcPr>
            <w:tcW w:w="1556" w:type="dxa"/>
            <w:shd w:val="clear" w:color="auto" w:fill="auto"/>
          </w:tcPr>
          <w:p w14:paraId="604F4853" w14:textId="53F68C92" w:rsidR="006E66AF" w:rsidRPr="003A7A69" w:rsidRDefault="006E66AF" w:rsidP="006E66AF">
            <w:pPr>
              <w:pStyle w:val="TableTextLeft"/>
            </w:pPr>
            <w:r w:rsidRPr="00CA046C">
              <w:t>Part 2 – Health</w:t>
            </w:r>
          </w:p>
        </w:tc>
        <w:tc>
          <w:tcPr>
            <w:tcW w:w="2308" w:type="dxa"/>
            <w:shd w:val="clear" w:color="auto" w:fill="auto"/>
          </w:tcPr>
          <w:p w14:paraId="5C967B81" w14:textId="347B9AA0" w:rsidR="006E66AF" w:rsidRPr="003A7A69" w:rsidRDefault="006E66AF" w:rsidP="006E66AF">
            <w:pPr>
              <w:pStyle w:val="TableTextLeft"/>
            </w:pPr>
            <w:r w:rsidRPr="00CA046C">
              <w:t xml:space="preserve">Dengue and Other Disease Mitigation Through Mosquito Control in Tennant Creek </w:t>
            </w:r>
          </w:p>
        </w:tc>
        <w:tc>
          <w:tcPr>
            <w:tcW w:w="2283" w:type="dxa"/>
            <w:shd w:val="clear" w:color="auto" w:fill="auto"/>
          </w:tcPr>
          <w:p w14:paraId="140CFE86" w14:textId="04E7C0F3" w:rsidR="006E66AF" w:rsidRPr="003A7A69" w:rsidRDefault="006E66AF" w:rsidP="006E66AF">
            <w:pPr>
              <w:pStyle w:val="TableTextLeft"/>
            </w:pPr>
            <w:r w:rsidRPr="00CA046C">
              <w:t>Payments – Health and Aged Care</w:t>
            </w:r>
          </w:p>
        </w:tc>
      </w:tr>
      <w:tr w:rsidR="00B60645" w:rsidRPr="003A7A69" w14:paraId="493BB27A" w14:textId="77777777" w:rsidTr="0084677E">
        <w:trPr>
          <w:cantSplit/>
          <w:trHeight w:val="20"/>
        </w:trPr>
        <w:tc>
          <w:tcPr>
            <w:tcW w:w="1557" w:type="dxa"/>
            <w:shd w:val="clear" w:color="auto" w:fill="auto"/>
          </w:tcPr>
          <w:p w14:paraId="2D61AF50" w14:textId="7E48AFE3" w:rsidR="00B60645" w:rsidRPr="003A7A69" w:rsidRDefault="00B60645" w:rsidP="00B60645">
            <w:pPr>
              <w:pStyle w:val="TableTextLeft"/>
            </w:pPr>
            <w:r w:rsidRPr="002C4411">
              <w:t>Smoking and vaping cessation activities</w:t>
            </w:r>
          </w:p>
        </w:tc>
        <w:tc>
          <w:tcPr>
            <w:tcW w:w="1556" w:type="dxa"/>
            <w:shd w:val="clear" w:color="auto" w:fill="auto"/>
          </w:tcPr>
          <w:p w14:paraId="178F68EE" w14:textId="459081A3" w:rsidR="00B60645" w:rsidRPr="003A7A69" w:rsidRDefault="00B60645" w:rsidP="00B60645">
            <w:pPr>
              <w:pStyle w:val="TableTextLeft"/>
            </w:pPr>
            <w:r w:rsidRPr="002C4411">
              <w:t>Part 2 – Health</w:t>
            </w:r>
          </w:p>
        </w:tc>
        <w:tc>
          <w:tcPr>
            <w:tcW w:w="2308" w:type="dxa"/>
            <w:shd w:val="clear" w:color="auto" w:fill="auto"/>
          </w:tcPr>
          <w:p w14:paraId="73B93645" w14:textId="53CA32E4" w:rsidR="00B60645" w:rsidRPr="003A7A69" w:rsidRDefault="00B60645" w:rsidP="00B60645">
            <w:pPr>
              <w:pStyle w:val="TableTextLeft"/>
            </w:pPr>
            <w:r w:rsidRPr="002C4411">
              <w:t>Vaping Regulation Reform and Smoking Cessation Package</w:t>
            </w:r>
          </w:p>
        </w:tc>
        <w:tc>
          <w:tcPr>
            <w:tcW w:w="2283" w:type="dxa"/>
            <w:shd w:val="clear" w:color="auto" w:fill="auto"/>
          </w:tcPr>
          <w:p w14:paraId="2363DDAB" w14:textId="0F0F2528" w:rsidR="00B60645" w:rsidRPr="003A7A69" w:rsidRDefault="00B60645" w:rsidP="00B60645">
            <w:pPr>
              <w:pStyle w:val="TableTextLeft"/>
            </w:pPr>
            <w:r w:rsidRPr="002C4411">
              <w:t>Payments – Health and Aged Care</w:t>
            </w:r>
          </w:p>
        </w:tc>
      </w:tr>
      <w:tr w:rsidR="00B60645" w:rsidRPr="003A7A69" w14:paraId="4E2E9B54" w14:textId="77777777" w:rsidTr="0084677E">
        <w:trPr>
          <w:cantSplit/>
          <w:trHeight w:val="20"/>
        </w:trPr>
        <w:tc>
          <w:tcPr>
            <w:tcW w:w="1557" w:type="dxa"/>
            <w:shd w:val="clear" w:color="auto" w:fill="auto"/>
          </w:tcPr>
          <w:p w14:paraId="123AC57E" w14:textId="53111837" w:rsidR="00B60645" w:rsidRPr="003A7A69" w:rsidRDefault="00B60645" w:rsidP="00B60645">
            <w:pPr>
              <w:pStyle w:val="TableTextLeft"/>
            </w:pPr>
            <w:r w:rsidRPr="002C4411">
              <w:t>Essential vaccines</w:t>
            </w:r>
          </w:p>
        </w:tc>
        <w:tc>
          <w:tcPr>
            <w:tcW w:w="1556" w:type="dxa"/>
            <w:shd w:val="clear" w:color="auto" w:fill="auto"/>
          </w:tcPr>
          <w:p w14:paraId="73B73E13" w14:textId="51DAE805" w:rsidR="00B60645" w:rsidRPr="003A7A69" w:rsidRDefault="00B60645" w:rsidP="00B60645">
            <w:pPr>
              <w:pStyle w:val="TableTextLeft"/>
            </w:pPr>
            <w:r w:rsidRPr="002C4411">
              <w:t>Part 2 – Health</w:t>
            </w:r>
          </w:p>
        </w:tc>
        <w:tc>
          <w:tcPr>
            <w:tcW w:w="2308" w:type="dxa"/>
            <w:shd w:val="clear" w:color="auto" w:fill="auto"/>
          </w:tcPr>
          <w:p w14:paraId="57D54DCC" w14:textId="5603F330" w:rsidR="00B60645" w:rsidRPr="003A7A69" w:rsidRDefault="00B60645" w:rsidP="00B60645">
            <w:pPr>
              <w:pStyle w:val="TableTextLeft"/>
            </w:pPr>
            <w:r w:rsidRPr="002C4411">
              <w:t>National Immunisation Program</w:t>
            </w:r>
          </w:p>
        </w:tc>
        <w:tc>
          <w:tcPr>
            <w:tcW w:w="2283" w:type="dxa"/>
            <w:shd w:val="clear" w:color="auto" w:fill="auto"/>
          </w:tcPr>
          <w:p w14:paraId="2D165E5B" w14:textId="70955D70" w:rsidR="00B60645" w:rsidRPr="003A7A69" w:rsidRDefault="00B60645" w:rsidP="00B60645">
            <w:pPr>
              <w:pStyle w:val="TableTextLeft"/>
            </w:pPr>
            <w:r w:rsidRPr="002C4411">
              <w:t>Payments – Health and Aged Care</w:t>
            </w:r>
          </w:p>
        </w:tc>
      </w:tr>
      <w:tr w:rsidR="001D723C" w:rsidRPr="003A7A69" w14:paraId="0C254663" w14:textId="77777777" w:rsidTr="0084677E">
        <w:trPr>
          <w:cantSplit/>
          <w:trHeight w:val="20"/>
        </w:trPr>
        <w:tc>
          <w:tcPr>
            <w:tcW w:w="1557" w:type="dxa"/>
            <w:shd w:val="clear" w:color="auto" w:fill="auto"/>
          </w:tcPr>
          <w:p w14:paraId="6D09D049" w14:textId="7F870ABB" w:rsidR="001D723C" w:rsidRPr="003A7A69" w:rsidRDefault="001D723C" w:rsidP="001D723C">
            <w:pPr>
              <w:pStyle w:val="TableTextLeft"/>
            </w:pPr>
            <w:r w:rsidRPr="00DC436C">
              <w:t>Public dental services for adults</w:t>
            </w:r>
          </w:p>
        </w:tc>
        <w:tc>
          <w:tcPr>
            <w:tcW w:w="1556" w:type="dxa"/>
            <w:shd w:val="clear" w:color="auto" w:fill="auto"/>
          </w:tcPr>
          <w:p w14:paraId="2C887A81" w14:textId="7AB39AA5" w:rsidR="001D723C" w:rsidRPr="003A7A69" w:rsidRDefault="001D723C" w:rsidP="001D723C">
            <w:pPr>
              <w:pStyle w:val="TableTextLeft"/>
            </w:pPr>
            <w:r w:rsidRPr="00DC436C">
              <w:t>Part 2 – Health</w:t>
            </w:r>
          </w:p>
        </w:tc>
        <w:tc>
          <w:tcPr>
            <w:tcW w:w="2308" w:type="dxa"/>
            <w:shd w:val="clear" w:color="auto" w:fill="auto"/>
          </w:tcPr>
          <w:p w14:paraId="0AD0759E" w14:textId="5740AFBD" w:rsidR="001D723C" w:rsidRPr="003A7A69" w:rsidRDefault="001D723C" w:rsidP="001D723C">
            <w:pPr>
              <w:pStyle w:val="TableTextLeft"/>
            </w:pPr>
            <w:r w:rsidRPr="00DC436C">
              <w:t xml:space="preserve">Long Term Dental Funding Reform Developmental Work and Interim Funding </w:t>
            </w:r>
          </w:p>
        </w:tc>
        <w:tc>
          <w:tcPr>
            <w:tcW w:w="2283" w:type="dxa"/>
            <w:shd w:val="clear" w:color="auto" w:fill="auto"/>
          </w:tcPr>
          <w:p w14:paraId="7A3CDE33" w14:textId="67A2D2FA" w:rsidR="001D723C" w:rsidRPr="003A7A69" w:rsidRDefault="001D723C" w:rsidP="001D723C">
            <w:pPr>
              <w:pStyle w:val="TableTextLeft"/>
            </w:pPr>
            <w:r w:rsidRPr="00DC436C">
              <w:t>Payments – Health and Aged Care</w:t>
            </w:r>
          </w:p>
        </w:tc>
      </w:tr>
      <w:tr w:rsidR="001D723C" w:rsidRPr="003A7A69" w14:paraId="645326EB" w14:textId="77777777" w:rsidTr="0084677E">
        <w:trPr>
          <w:cantSplit/>
          <w:trHeight w:val="20"/>
        </w:trPr>
        <w:tc>
          <w:tcPr>
            <w:tcW w:w="1557" w:type="dxa"/>
            <w:shd w:val="clear" w:color="auto" w:fill="auto"/>
          </w:tcPr>
          <w:p w14:paraId="0D0A012F" w14:textId="6C84C18B" w:rsidR="001D723C" w:rsidRPr="003A7A69" w:rsidRDefault="001D723C" w:rsidP="001D723C">
            <w:pPr>
              <w:pStyle w:val="TableTextLeft"/>
            </w:pPr>
            <w:r w:rsidRPr="00DC436C">
              <w:t>On–Country Learning</w:t>
            </w:r>
          </w:p>
        </w:tc>
        <w:tc>
          <w:tcPr>
            <w:tcW w:w="1556" w:type="dxa"/>
            <w:shd w:val="clear" w:color="auto" w:fill="auto"/>
          </w:tcPr>
          <w:p w14:paraId="53DC2AE9" w14:textId="3C01F3F2" w:rsidR="001D723C" w:rsidRPr="003A7A69" w:rsidRDefault="001D723C" w:rsidP="001D723C">
            <w:pPr>
              <w:pStyle w:val="TableTextLeft"/>
            </w:pPr>
            <w:r w:rsidRPr="00DC436C">
              <w:t xml:space="preserve">Part 2 – Education </w:t>
            </w:r>
          </w:p>
        </w:tc>
        <w:tc>
          <w:tcPr>
            <w:tcW w:w="2308" w:type="dxa"/>
            <w:shd w:val="clear" w:color="auto" w:fill="auto"/>
          </w:tcPr>
          <w:p w14:paraId="40670762" w14:textId="31F86DE5" w:rsidR="001D723C" w:rsidRPr="003A7A69" w:rsidRDefault="001D723C" w:rsidP="001D723C">
            <w:pPr>
              <w:pStyle w:val="TableTextLeft"/>
            </w:pPr>
            <w:r w:rsidRPr="00DC436C">
              <w:t xml:space="preserve">Better, Safer Future for Central Australia Plan </w:t>
            </w:r>
          </w:p>
        </w:tc>
        <w:tc>
          <w:tcPr>
            <w:tcW w:w="2283" w:type="dxa"/>
            <w:shd w:val="clear" w:color="auto" w:fill="auto"/>
          </w:tcPr>
          <w:p w14:paraId="4B93132B" w14:textId="229CC202" w:rsidR="001D723C" w:rsidRPr="003A7A69" w:rsidRDefault="001D723C" w:rsidP="001D723C">
            <w:pPr>
              <w:pStyle w:val="TableTextLeft"/>
            </w:pPr>
            <w:r w:rsidRPr="00DC436C">
              <w:t>Payments – Cross Portfolio</w:t>
            </w:r>
          </w:p>
        </w:tc>
      </w:tr>
      <w:tr w:rsidR="00644F39" w:rsidRPr="003A7A69" w14:paraId="0C2014BC" w14:textId="77777777" w:rsidTr="0084677E">
        <w:trPr>
          <w:cantSplit/>
          <w:trHeight w:val="20"/>
        </w:trPr>
        <w:tc>
          <w:tcPr>
            <w:tcW w:w="1557" w:type="dxa"/>
            <w:shd w:val="clear" w:color="auto" w:fill="auto"/>
          </w:tcPr>
          <w:p w14:paraId="6508FE74" w14:textId="1D05935D" w:rsidR="00644F39" w:rsidRPr="003A7A69" w:rsidRDefault="00644F39" w:rsidP="00644F39">
            <w:pPr>
              <w:pStyle w:val="TableTextLeft"/>
            </w:pPr>
            <w:r w:rsidRPr="00C956F3">
              <w:t>Workload Reduction Fund</w:t>
            </w:r>
          </w:p>
        </w:tc>
        <w:tc>
          <w:tcPr>
            <w:tcW w:w="1556" w:type="dxa"/>
            <w:shd w:val="clear" w:color="auto" w:fill="auto"/>
          </w:tcPr>
          <w:p w14:paraId="2516965D" w14:textId="79F310C7" w:rsidR="00644F39" w:rsidRPr="003A7A69" w:rsidRDefault="00644F39" w:rsidP="00644F39">
            <w:pPr>
              <w:pStyle w:val="TableTextLeft"/>
            </w:pPr>
            <w:r w:rsidRPr="00C956F3">
              <w:t xml:space="preserve">Part 2 – Education </w:t>
            </w:r>
          </w:p>
        </w:tc>
        <w:tc>
          <w:tcPr>
            <w:tcW w:w="2308" w:type="dxa"/>
            <w:shd w:val="clear" w:color="auto" w:fill="auto"/>
          </w:tcPr>
          <w:p w14:paraId="6E9328AD" w14:textId="7CD792C2" w:rsidR="00644F39" w:rsidRPr="003A7A69" w:rsidRDefault="00644F39" w:rsidP="00644F39">
            <w:pPr>
              <w:pStyle w:val="TableTextLeft"/>
            </w:pPr>
            <w:r w:rsidRPr="00C956F3">
              <w:t>Teacher Workforce Action Plan</w:t>
            </w:r>
          </w:p>
        </w:tc>
        <w:tc>
          <w:tcPr>
            <w:tcW w:w="2283" w:type="dxa"/>
            <w:shd w:val="clear" w:color="auto" w:fill="auto"/>
          </w:tcPr>
          <w:p w14:paraId="1E8C6C36" w14:textId="75260F0A" w:rsidR="00644F39" w:rsidRPr="003A7A69" w:rsidRDefault="00644F39" w:rsidP="00644F39">
            <w:pPr>
              <w:pStyle w:val="TableTextLeft"/>
            </w:pPr>
            <w:r w:rsidRPr="00C956F3">
              <w:t xml:space="preserve">Payments – Education </w:t>
            </w:r>
          </w:p>
        </w:tc>
      </w:tr>
      <w:tr w:rsidR="00644F39" w:rsidRPr="003A7A69" w14:paraId="7F3BB731" w14:textId="77777777" w:rsidTr="0084677E">
        <w:trPr>
          <w:cantSplit/>
          <w:trHeight w:val="20"/>
        </w:trPr>
        <w:tc>
          <w:tcPr>
            <w:tcW w:w="1557" w:type="dxa"/>
            <w:shd w:val="clear" w:color="auto" w:fill="auto"/>
          </w:tcPr>
          <w:p w14:paraId="45C81DDA" w14:textId="501BE87F" w:rsidR="00644F39" w:rsidRPr="003A7A69" w:rsidRDefault="00644F39" w:rsidP="00644F39">
            <w:pPr>
              <w:pStyle w:val="TableTextLeft"/>
            </w:pPr>
            <w:r w:rsidRPr="00C956F3">
              <w:t>Alcohol and drug treatment services in the NT</w:t>
            </w:r>
          </w:p>
        </w:tc>
        <w:tc>
          <w:tcPr>
            <w:tcW w:w="1556" w:type="dxa"/>
            <w:shd w:val="clear" w:color="auto" w:fill="auto"/>
          </w:tcPr>
          <w:p w14:paraId="292E1ED2" w14:textId="59B31F56" w:rsidR="00644F39" w:rsidRPr="003A7A69" w:rsidRDefault="00644F39" w:rsidP="00644F39">
            <w:pPr>
              <w:pStyle w:val="TableTextLeft"/>
            </w:pPr>
            <w:r w:rsidRPr="00C956F3">
              <w:t>Part 2 – Community Services</w:t>
            </w:r>
          </w:p>
        </w:tc>
        <w:tc>
          <w:tcPr>
            <w:tcW w:w="2308" w:type="dxa"/>
            <w:shd w:val="clear" w:color="auto" w:fill="auto"/>
          </w:tcPr>
          <w:p w14:paraId="696123F8" w14:textId="47C5FFDB" w:rsidR="00644F39" w:rsidRPr="003A7A69" w:rsidRDefault="00644F39" w:rsidP="00644F39">
            <w:pPr>
              <w:pStyle w:val="TableTextLeft"/>
            </w:pPr>
            <w:r w:rsidRPr="00C956F3">
              <w:t xml:space="preserve">Closing the Gap – further investment </w:t>
            </w:r>
          </w:p>
        </w:tc>
        <w:tc>
          <w:tcPr>
            <w:tcW w:w="2283" w:type="dxa"/>
            <w:shd w:val="clear" w:color="auto" w:fill="auto"/>
          </w:tcPr>
          <w:p w14:paraId="4EADDE73" w14:textId="11F557B1" w:rsidR="00644F39" w:rsidRPr="003A7A69" w:rsidRDefault="00644F39" w:rsidP="00644F39">
            <w:pPr>
              <w:pStyle w:val="TableTextLeft"/>
            </w:pPr>
            <w:r w:rsidRPr="00C956F3">
              <w:t>Payments – Prime Minister and Cabinet</w:t>
            </w:r>
          </w:p>
        </w:tc>
      </w:tr>
      <w:tr w:rsidR="005C74EF" w:rsidRPr="003A7A69" w14:paraId="7C9552BD" w14:textId="77777777" w:rsidTr="0084677E">
        <w:trPr>
          <w:cantSplit/>
          <w:trHeight w:val="20"/>
        </w:trPr>
        <w:tc>
          <w:tcPr>
            <w:tcW w:w="1557" w:type="dxa"/>
            <w:shd w:val="clear" w:color="auto" w:fill="auto"/>
          </w:tcPr>
          <w:p w14:paraId="30EFD5B4" w14:textId="6F2EC5EA" w:rsidR="005C74EF" w:rsidRPr="003A7A69" w:rsidRDefault="005C74EF" w:rsidP="005C74EF">
            <w:pPr>
              <w:pStyle w:val="TableTextLeft"/>
            </w:pPr>
            <w:r w:rsidRPr="006A01F9">
              <w:t>Extra high visibility police and law enforcement operations</w:t>
            </w:r>
          </w:p>
        </w:tc>
        <w:tc>
          <w:tcPr>
            <w:tcW w:w="1556" w:type="dxa"/>
            <w:shd w:val="clear" w:color="auto" w:fill="auto"/>
          </w:tcPr>
          <w:p w14:paraId="7BE61A73" w14:textId="706BA55B" w:rsidR="005C74EF" w:rsidRPr="003A7A69" w:rsidRDefault="005C74EF" w:rsidP="005C74EF">
            <w:pPr>
              <w:pStyle w:val="TableTextLeft"/>
            </w:pPr>
            <w:r w:rsidRPr="006A01F9">
              <w:t>Part 2 – Community Services</w:t>
            </w:r>
          </w:p>
        </w:tc>
        <w:tc>
          <w:tcPr>
            <w:tcW w:w="2308" w:type="dxa"/>
            <w:shd w:val="clear" w:color="auto" w:fill="auto"/>
          </w:tcPr>
          <w:p w14:paraId="4591B998" w14:textId="6CB37DEE" w:rsidR="005C74EF" w:rsidRPr="003A7A69" w:rsidRDefault="005C74EF" w:rsidP="005C74EF">
            <w:pPr>
              <w:pStyle w:val="TableTextLeft"/>
            </w:pPr>
            <w:r w:rsidRPr="006A01F9">
              <w:t>Better, Safer Future for Central Australia Plan</w:t>
            </w:r>
          </w:p>
        </w:tc>
        <w:tc>
          <w:tcPr>
            <w:tcW w:w="2283" w:type="dxa"/>
            <w:shd w:val="clear" w:color="auto" w:fill="auto"/>
          </w:tcPr>
          <w:p w14:paraId="0289D3F7" w14:textId="3CF306A0" w:rsidR="005C74EF" w:rsidRPr="003A7A69" w:rsidRDefault="005C74EF" w:rsidP="005C74EF">
            <w:pPr>
              <w:pStyle w:val="TableTextLeft"/>
            </w:pPr>
            <w:r w:rsidRPr="006A01F9">
              <w:t xml:space="preserve">Payments – Cross Portfolio </w:t>
            </w:r>
          </w:p>
        </w:tc>
      </w:tr>
      <w:tr w:rsidR="005C74EF" w:rsidRPr="003A7A69" w14:paraId="113F49A3" w14:textId="77777777" w:rsidTr="0084677E">
        <w:trPr>
          <w:cantSplit/>
          <w:trHeight w:val="20"/>
        </w:trPr>
        <w:tc>
          <w:tcPr>
            <w:tcW w:w="1557" w:type="dxa"/>
            <w:shd w:val="clear" w:color="auto" w:fill="auto"/>
          </w:tcPr>
          <w:p w14:paraId="07941CB8" w14:textId="52520902" w:rsidR="005C74EF" w:rsidRPr="003A7A69" w:rsidRDefault="005C74EF" w:rsidP="005C74EF">
            <w:pPr>
              <w:pStyle w:val="TableTextLeft"/>
            </w:pPr>
            <w:r w:rsidRPr="006A01F9">
              <w:t xml:space="preserve">Family, </w:t>
            </w:r>
            <w:proofErr w:type="gramStart"/>
            <w:r w:rsidRPr="006A01F9">
              <w:t>domestic</w:t>
            </w:r>
            <w:proofErr w:type="gramEnd"/>
            <w:r w:rsidRPr="006A01F9">
              <w:t xml:space="preserve"> and sexual violence responses</w:t>
            </w:r>
          </w:p>
        </w:tc>
        <w:tc>
          <w:tcPr>
            <w:tcW w:w="1556" w:type="dxa"/>
            <w:shd w:val="clear" w:color="auto" w:fill="auto"/>
          </w:tcPr>
          <w:p w14:paraId="581E7338" w14:textId="3030663F" w:rsidR="005C74EF" w:rsidRPr="003A7A69" w:rsidRDefault="005C74EF" w:rsidP="005C74EF">
            <w:pPr>
              <w:pStyle w:val="TableTextLeft"/>
            </w:pPr>
            <w:r w:rsidRPr="006A01F9">
              <w:t>Part 2 – Community Services</w:t>
            </w:r>
          </w:p>
        </w:tc>
        <w:tc>
          <w:tcPr>
            <w:tcW w:w="2308" w:type="dxa"/>
            <w:shd w:val="clear" w:color="auto" w:fill="auto"/>
          </w:tcPr>
          <w:p w14:paraId="233703E9" w14:textId="4BCF5488" w:rsidR="005C74EF" w:rsidRPr="003A7A69" w:rsidRDefault="005C74EF" w:rsidP="005C74EF">
            <w:pPr>
              <w:pStyle w:val="TableTextLeft"/>
            </w:pPr>
            <w:r w:rsidRPr="006A01F9">
              <w:t>Women’s Safety</w:t>
            </w:r>
          </w:p>
        </w:tc>
        <w:tc>
          <w:tcPr>
            <w:tcW w:w="2283" w:type="dxa"/>
            <w:shd w:val="clear" w:color="auto" w:fill="auto"/>
          </w:tcPr>
          <w:p w14:paraId="109DCFF3" w14:textId="6BEAB07B" w:rsidR="005C74EF" w:rsidRPr="003A7A69" w:rsidRDefault="005C74EF" w:rsidP="005C74EF">
            <w:pPr>
              <w:pStyle w:val="TableTextLeft"/>
            </w:pPr>
            <w:r w:rsidRPr="006A01F9">
              <w:t>Payments – Cross Portfolio</w:t>
            </w:r>
          </w:p>
        </w:tc>
      </w:tr>
      <w:tr w:rsidR="00465BE2" w:rsidRPr="003A7A69" w14:paraId="5A829F91" w14:textId="77777777" w:rsidTr="0084677E">
        <w:trPr>
          <w:cantSplit/>
          <w:trHeight w:val="20"/>
        </w:trPr>
        <w:tc>
          <w:tcPr>
            <w:tcW w:w="1557" w:type="dxa"/>
            <w:shd w:val="clear" w:color="auto" w:fill="auto"/>
          </w:tcPr>
          <w:p w14:paraId="43F8BA12" w14:textId="62036625" w:rsidR="00465BE2" w:rsidRPr="003A7A69" w:rsidRDefault="00465BE2" w:rsidP="00465BE2">
            <w:pPr>
              <w:pStyle w:val="TableTextLeft"/>
            </w:pPr>
            <w:r w:rsidRPr="009D73E8">
              <w:t>National Housing and Homelessness Agreement</w:t>
            </w:r>
          </w:p>
        </w:tc>
        <w:tc>
          <w:tcPr>
            <w:tcW w:w="1556" w:type="dxa"/>
            <w:shd w:val="clear" w:color="auto" w:fill="auto"/>
          </w:tcPr>
          <w:p w14:paraId="380725CC" w14:textId="37727B13" w:rsidR="00465BE2" w:rsidRPr="003A7A69" w:rsidRDefault="00465BE2" w:rsidP="00465BE2">
            <w:pPr>
              <w:pStyle w:val="TableTextLeft"/>
            </w:pPr>
            <w:r w:rsidRPr="009D73E8">
              <w:t>Part 2 – Affordable Housing</w:t>
            </w:r>
          </w:p>
        </w:tc>
        <w:tc>
          <w:tcPr>
            <w:tcW w:w="2308" w:type="dxa"/>
            <w:shd w:val="clear" w:color="auto" w:fill="auto"/>
          </w:tcPr>
          <w:p w14:paraId="0541D41C" w14:textId="3DE85561" w:rsidR="00465BE2" w:rsidRPr="003A7A69" w:rsidRDefault="00465BE2" w:rsidP="00465BE2">
            <w:pPr>
              <w:pStyle w:val="TableTextLeft"/>
            </w:pPr>
            <w:r w:rsidRPr="009D73E8">
              <w:t>National Housing and Homelessness Agreement Transitional Funding</w:t>
            </w:r>
          </w:p>
        </w:tc>
        <w:tc>
          <w:tcPr>
            <w:tcW w:w="2283" w:type="dxa"/>
            <w:shd w:val="clear" w:color="auto" w:fill="auto"/>
          </w:tcPr>
          <w:p w14:paraId="4972F736" w14:textId="15203D09" w:rsidR="00465BE2" w:rsidRPr="003A7A69" w:rsidRDefault="00465BE2" w:rsidP="00465BE2">
            <w:pPr>
              <w:pStyle w:val="TableTextLeft"/>
            </w:pPr>
            <w:r w:rsidRPr="009D73E8">
              <w:t>Payments – Social Services</w:t>
            </w:r>
          </w:p>
        </w:tc>
      </w:tr>
      <w:tr w:rsidR="00935672" w:rsidRPr="003A7A69" w14:paraId="3BE4919A" w14:textId="77777777" w:rsidTr="0084677E">
        <w:trPr>
          <w:cantSplit/>
          <w:trHeight w:val="20"/>
        </w:trPr>
        <w:tc>
          <w:tcPr>
            <w:tcW w:w="1557" w:type="dxa"/>
            <w:shd w:val="clear" w:color="auto" w:fill="auto"/>
          </w:tcPr>
          <w:p w14:paraId="309A456A" w14:textId="26712718" w:rsidR="00935672" w:rsidRPr="003A7A69" w:rsidRDefault="00935672" w:rsidP="00935672">
            <w:pPr>
              <w:pStyle w:val="TableTextLeft"/>
            </w:pPr>
            <w:r w:rsidRPr="005D2AA0">
              <w:t>Infrastructure Investment Program</w:t>
            </w:r>
          </w:p>
        </w:tc>
        <w:tc>
          <w:tcPr>
            <w:tcW w:w="1556" w:type="dxa"/>
            <w:shd w:val="clear" w:color="auto" w:fill="auto"/>
          </w:tcPr>
          <w:p w14:paraId="2965B3F3" w14:textId="5DF596D0" w:rsidR="00935672" w:rsidRPr="003A7A69" w:rsidRDefault="00935672" w:rsidP="00935672">
            <w:pPr>
              <w:pStyle w:val="TableTextLeft"/>
            </w:pPr>
            <w:r w:rsidRPr="005D2AA0">
              <w:t>Part 2 – Infrastructure</w:t>
            </w:r>
          </w:p>
        </w:tc>
        <w:tc>
          <w:tcPr>
            <w:tcW w:w="2308" w:type="dxa"/>
            <w:shd w:val="clear" w:color="auto" w:fill="auto"/>
          </w:tcPr>
          <w:p w14:paraId="3DB52CD9" w14:textId="31A79443" w:rsidR="00935672" w:rsidRPr="003A7A69" w:rsidRDefault="00935672" w:rsidP="00935672">
            <w:pPr>
              <w:pStyle w:val="TableTextLeft"/>
            </w:pPr>
            <w:r w:rsidRPr="005D2AA0">
              <w:t>Better, Safer Future for Central Australia Plan</w:t>
            </w:r>
          </w:p>
        </w:tc>
        <w:tc>
          <w:tcPr>
            <w:tcW w:w="2283" w:type="dxa"/>
            <w:shd w:val="clear" w:color="auto" w:fill="auto"/>
          </w:tcPr>
          <w:p w14:paraId="6A8643D1" w14:textId="04EF9AFF" w:rsidR="00935672" w:rsidRPr="003A7A69" w:rsidRDefault="00935672" w:rsidP="00935672">
            <w:pPr>
              <w:pStyle w:val="TableTextLeft"/>
            </w:pPr>
            <w:r w:rsidRPr="005D2AA0">
              <w:t>Payments – Cross Portfolio</w:t>
            </w:r>
          </w:p>
        </w:tc>
      </w:tr>
    </w:tbl>
    <w:p w14:paraId="10AC48E6" w14:textId="64D70E3A" w:rsidR="003655D5" w:rsidRDefault="003655D5" w:rsidP="003F2AA7">
      <w:pPr>
        <w:pStyle w:val="TableHeadingcontinued"/>
      </w:pPr>
    </w:p>
    <w:p w14:paraId="7E85EE7A" w14:textId="77777777" w:rsidR="003655D5" w:rsidRDefault="003655D5">
      <w:pPr>
        <w:spacing w:before="0" w:after="160" w:line="259" w:lineRule="auto"/>
        <w:rPr>
          <w:rFonts w:ascii="Arial Bold" w:hAnsi="Arial Bold"/>
          <w:b/>
          <w:sz w:val="20"/>
        </w:rPr>
      </w:pPr>
      <w:r>
        <w:br w:type="page"/>
      </w:r>
    </w:p>
    <w:p w14:paraId="60306C6B" w14:textId="3C7563E4" w:rsidR="003F2AA7" w:rsidRPr="00F13221" w:rsidRDefault="003F2AA7" w:rsidP="003F2AA7">
      <w:pPr>
        <w:pStyle w:val="TableHeadingcontinued"/>
      </w:pPr>
      <w:r w:rsidRPr="00F13221">
        <w:lastRenderedPageBreak/>
        <w:t>Table 1.4: Measures affecting payments to the states (continued)</w:t>
      </w:r>
    </w:p>
    <w:tbl>
      <w:tblPr>
        <w:tblW w:w="4990" w:type="pct"/>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ayout w:type="fixed"/>
        <w:tblLook w:val="04A0" w:firstRow="1" w:lastRow="0" w:firstColumn="1" w:lastColumn="0" w:noHBand="0" w:noVBand="1"/>
        <w:tblCaption w:val="Table"/>
      </w:tblPr>
      <w:tblGrid>
        <w:gridCol w:w="1560"/>
        <w:gridCol w:w="1559"/>
        <w:gridCol w:w="2285"/>
        <w:gridCol w:w="2285"/>
      </w:tblGrid>
      <w:tr w:rsidR="003A7A69" w:rsidRPr="003A7A69" w14:paraId="518CD51B" w14:textId="77777777" w:rsidTr="005464C0">
        <w:trPr>
          <w:cantSplit/>
        </w:trPr>
        <w:tc>
          <w:tcPr>
            <w:tcW w:w="1560" w:type="dxa"/>
          </w:tcPr>
          <w:p w14:paraId="3CBC308B" w14:textId="77777777" w:rsidR="003F2AA7" w:rsidRPr="003A7A69" w:rsidRDefault="003F2AA7" w:rsidP="006056A9">
            <w:pPr>
              <w:pStyle w:val="TableColumnHeadingLeft"/>
            </w:pPr>
            <w:r w:rsidRPr="003A7A69">
              <w:t>Payment</w:t>
            </w:r>
          </w:p>
        </w:tc>
        <w:tc>
          <w:tcPr>
            <w:tcW w:w="1559" w:type="dxa"/>
          </w:tcPr>
          <w:p w14:paraId="1A9F1F03" w14:textId="77777777" w:rsidR="003F2AA7" w:rsidRPr="003A7A69" w:rsidRDefault="003F2AA7" w:rsidP="006056A9">
            <w:pPr>
              <w:pStyle w:val="TableColumnHeadingLeft"/>
            </w:pPr>
            <w:r w:rsidRPr="003A7A69">
              <w:t>Section of Budget Paper 3</w:t>
            </w:r>
          </w:p>
        </w:tc>
        <w:tc>
          <w:tcPr>
            <w:tcW w:w="2285" w:type="dxa"/>
            <w:shd w:val="clear" w:color="auto" w:fill="auto"/>
          </w:tcPr>
          <w:p w14:paraId="657579C0" w14:textId="77777777" w:rsidR="003F2AA7" w:rsidRPr="003A7A69" w:rsidRDefault="003F2AA7" w:rsidP="006056A9">
            <w:pPr>
              <w:pStyle w:val="TableColumnHeadingLeft"/>
            </w:pPr>
            <w:r w:rsidRPr="003A7A69">
              <w:t>Measure title</w:t>
            </w:r>
          </w:p>
        </w:tc>
        <w:tc>
          <w:tcPr>
            <w:tcW w:w="2285" w:type="dxa"/>
          </w:tcPr>
          <w:p w14:paraId="66CC9569" w14:textId="77777777" w:rsidR="003F2AA7" w:rsidRPr="003A7A69" w:rsidRDefault="003F2AA7" w:rsidP="006056A9">
            <w:pPr>
              <w:pStyle w:val="TableColumnHeadingLeft"/>
            </w:pPr>
            <w:r w:rsidRPr="003A7A69">
              <w:t>Section of Budget Paper 2</w:t>
            </w:r>
          </w:p>
        </w:tc>
      </w:tr>
      <w:tr w:rsidR="005464C0" w:rsidRPr="003A7A69" w14:paraId="3C84FD51" w14:textId="77777777" w:rsidTr="005464C0">
        <w:trPr>
          <w:cantSplit/>
        </w:trPr>
        <w:tc>
          <w:tcPr>
            <w:tcW w:w="1560" w:type="dxa"/>
            <w:shd w:val="clear" w:color="auto" w:fill="auto"/>
          </w:tcPr>
          <w:p w14:paraId="139E33B9" w14:textId="044F776E" w:rsidR="005464C0" w:rsidRPr="003A7A69" w:rsidRDefault="005464C0" w:rsidP="005464C0">
            <w:pPr>
              <w:pStyle w:val="TableTextLeft"/>
            </w:pPr>
            <w:r w:rsidRPr="001B3B5A">
              <w:t>Infrastructure Investment Program</w:t>
            </w:r>
          </w:p>
        </w:tc>
        <w:tc>
          <w:tcPr>
            <w:tcW w:w="1559" w:type="dxa"/>
            <w:shd w:val="clear" w:color="auto" w:fill="auto"/>
          </w:tcPr>
          <w:p w14:paraId="3732F662" w14:textId="77A55B26" w:rsidR="005464C0" w:rsidRPr="003A7A69" w:rsidRDefault="005464C0" w:rsidP="005464C0">
            <w:pPr>
              <w:pStyle w:val="TableTextLeft"/>
            </w:pPr>
            <w:r w:rsidRPr="001B3B5A">
              <w:t>Part 2 – Infrastructure</w:t>
            </w:r>
          </w:p>
        </w:tc>
        <w:tc>
          <w:tcPr>
            <w:tcW w:w="2285" w:type="dxa"/>
            <w:shd w:val="clear" w:color="auto" w:fill="auto"/>
          </w:tcPr>
          <w:p w14:paraId="3922CD97" w14:textId="1DA6B6BF" w:rsidR="005464C0" w:rsidRPr="003A7A69" w:rsidRDefault="005464C0" w:rsidP="005464C0">
            <w:pPr>
              <w:pStyle w:val="TableTextLeft"/>
            </w:pPr>
            <w:r w:rsidRPr="001B3B5A">
              <w:t>Building a Better Future Through Considered Infrastructure Investment</w:t>
            </w:r>
          </w:p>
        </w:tc>
        <w:tc>
          <w:tcPr>
            <w:tcW w:w="2285" w:type="dxa"/>
            <w:shd w:val="clear" w:color="auto" w:fill="auto"/>
          </w:tcPr>
          <w:p w14:paraId="0735F858" w14:textId="1FBD6D45" w:rsidR="005464C0" w:rsidRPr="003A7A69" w:rsidRDefault="005464C0" w:rsidP="005464C0">
            <w:pPr>
              <w:pStyle w:val="TableTextLeft"/>
            </w:pPr>
            <w:r w:rsidRPr="001B3B5A">
              <w:t xml:space="preserve">Payments – Infrastructure, Transport, Regional Development, </w:t>
            </w:r>
            <w:proofErr w:type="gramStart"/>
            <w:r w:rsidRPr="001B3B5A">
              <w:t>Communications</w:t>
            </w:r>
            <w:proofErr w:type="gramEnd"/>
            <w:r w:rsidRPr="001B3B5A">
              <w:t xml:space="preserve"> and the Arts</w:t>
            </w:r>
          </w:p>
        </w:tc>
      </w:tr>
      <w:tr w:rsidR="005464C0" w:rsidRPr="003A7A69" w14:paraId="18B7789A" w14:textId="77777777" w:rsidTr="005464C0">
        <w:trPr>
          <w:cantSplit/>
        </w:trPr>
        <w:tc>
          <w:tcPr>
            <w:tcW w:w="1560" w:type="dxa"/>
            <w:shd w:val="clear" w:color="auto" w:fill="auto"/>
          </w:tcPr>
          <w:p w14:paraId="38137C01" w14:textId="4115A62A" w:rsidR="005464C0" w:rsidRPr="003A7A69" w:rsidRDefault="005464C0" w:rsidP="005464C0">
            <w:pPr>
              <w:pStyle w:val="TableTextLeft"/>
            </w:pPr>
            <w:r w:rsidRPr="001B3B5A">
              <w:t>Infrastructure Investment Program(a)</w:t>
            </w:r>
          </w:p>
        </w:tc>
        <w:tc>
          <w:tcPr>
            <w:tcW w:w="1559" w:type="dxa"/>
            <w:shd w:val="clear" w:color="auto" w:fill="auto"/>
          </w:tcPr>
          <w:p w14:paraId="5E891498" w14:textId="769478A3" w:rsidR="005464C0" w:rsidRPr="003A7A69" w:rsidRDefault="005464C0" w:rsidP="005464C0">
            <w:pPr>
              <w:pStyle w:val="TableTextLeft"/>
            </w:pPr>
            <w:r w:rsidRPr="001B3B5A">
              <w:t>Part 2 – Infrastructure</w:t>
            </w:r>
          </w:p>
        </w:tc>
        <w:tc>
          <w:tcPr>
            <w:tcW w:w="2285" w:type="dxa"/>
            <w:shd w:val="clear" w:color="auto" w:fill="auto"/>
          </w:tcPr>
          <w:p w14:paraId="4BE7F58B" w14:textId="38E50E2F" w:rsidR="005464C0" w:rsidRPr="003A7A69" w:rsidRDefault="005464C0" w:rsidP="005464C0">
            <w:pPr>
              <w:pStyle w:val="TableTextLeft"/>
            </w:pPr>
            <w:r w:rsidRPr="001B3B5A">
              <w:t>Supporting Transport Priorities</w:t>
            </w:r>
          </w:p>
        </w:tc>
        <w:tc>
          <w:tcPr>
            <w:tcW w:w="2285" w:type="dxa"/>
            <w:shd w:val="clear" w:color="auto" w:fill="auto"/>
          </w:tcPr>
          <w:p w14:paraId="1CC3A5AC" w14:textId="465DFC69" w:rsidR="005464C0" w:rsidRPr="003A7A69" w:rsidRDefault="005464C0" w:rsidP="005464C0">
            <w:pPr>
              <w:pStyle w:val="TableTextLeft"/>
            </w:pPr>
            <w:r w:rsidRPr="001B3B5A">
              <w:t xml:space="preserve">Payments – Infrastructure, Transport, Regional Development, </w:t>
            </w:r>
            <w:proofErr w:type="gramStart"/>
            <w:r w:rsidRPr="001B3B5A">
              <w:t>Communications</w:t>
            </w:r>
            <w:proofErr w:type="gramEnd"/>
            <w:r w:rsidRPr="001B3B5A">
              <w:t xml:space="preserve"> and the Arts</w:t>
            </w:r>
          </w:p>
        </w:tc>
      </w:tr>
      <w:tr w:rsidR="00C46488" w:rsidRPr="003A7A69" w14:paraId="6C8EDE29" w14:textId="77777777" w:rsidTr="005464C0">
        <w:trPr>
          <w:cantSplit/>
        </w:trPr>
        <w:tc>
          <w:tcPr>
            <w:tcW w:w="1560" w:type="dxa"/>
            <w:shd w:val="clear" w:color="auto" w:fill="auto"/>
          </w:tcPr>
          <w:p w14:paraId="523DEA70" w14:textId="0561C6B3" w:rsidR="00C46488" w:rsidRPr="003A7A69" w:rsidRDefault="00C46488" w:rsidP="00C46488">
            <w:pPr>
              <w:pStyle w:val="TableTextLeft"/>
            </w:pPr>
            <w:r w:rsidRPr="003F0DDF">
              <w:t>Brisbane 2032 Olympic and Paralympic Games</w:t>
            </w:r>
          </w:p>
        </w:tc>
        <w:tc>
          <w:tcPr>
            <w:tcW w:w="1559" w:type="dxa"/>
            <w:shd w:val="clear" w:color="auto" w:fill="auto"/>
          </w:tcPr>
          <w:p w14:paraId="2C57BDA1" w14:textId="13106AD8" w:rsidR="00C46488" w:rsidRPr="003A7A69" w:rsidRDefault="00C46488" w:rsidP="00C46488">
            <w:pPr>
              <w:pStyle w:val="TableTextLeft"/>
            </w:pPr>
            <w:r w:rsidRPr="003F0DDF">
              <w:t>Part 2 – Infrastructure</w:t>
            </w:r>
          </w:p>
        </w:tc>
        <w:tc>
          <w:tcPr>
            <w:tcW w:w="2285" w:type="dxa"/>
            <w:shd w:val="clear" w:color="auto" w:fill="auto"/>
          </w:tcPr>
          <w:p w14:paraId="3D129564" w14:textId="77DF9235" w:rsidR="00C46488" w:rsidRPr="003A7A69" w:rsidRDefault="00C46488" w:rsidP="00C46488">
            <w:pPr>
              <w:pStyle w:val="TableTextLeft"/>
            </w:pPr>
            <w:r w:rsidRPr="003F0DDF">
              <w:t>2032 Brisbane Olympic and Paralympic Games – venue infrastructure</w:t>
            </w:r>
          </w:p>
        </w:tc>
        <w:tc>
          <w:tcPr>
            <w:tcW w:w="2285" w:type="dxa"/>
            <w:shd w:val="clear" w:color="auto" w:fill="auto"/>
          </w:tcPr>
          <w:p w14:paraId="0CF9F73F" w14:textId="56F90396" w:rsidR="00C46488" w:rsidRPr="003A7A69" w:rsidRDefault="00C46488" w:rsidP="00C46488">
            <w:pPr>
              <w:pStyle w:val="TableTextLeft"/>
            </w:pPr>
            <w:r w:rsidRPr="003F0DDF">
              <w:t xml:space="preserve">Payments – Infrastructure, Transport, Regional Development, </w:t>
            </w:r>
            <w:proofErr w:type="gramStart"/>
            <w:r w:rsidRPr="003F0DDF">
              <w:t>Communications</w:t>
            </w:r>
            <w:proofErr w:type="gramEnd"/>
            <w:r w:rsidRPr="003F0DDF">
              <w:t xml:space="preserve"> and the Arts</w:t>
            </w:r>
          </w:p>
        </w:tc>
      </w:tr>
      <w:tr w:rsidR="00C46488" w:rsidRPr="003A7A69" w14:paraId="31C894B6" w14:textId="77777777" w:rsidTr="005464C0">
        <w:trPr>
          <w:cantSplit/>
        </w:trPr>
        <w:tc>
          <w:tcPr>
            <w:tcW w:w="1560" w:type="dxa"/>
          </w:tcPr>
          <w:p w14:paraId="50DCB931" w14:textId="2A0B6B2F" w:rsidR="00C46488" w:rsidRPr="003A7A69" w:rsidRDefault="00C46488" w:rsidP="00C46488">
            <w:pPr>
              <w:pStyle w:val="TableTextLeft"/>
            </w:pPr>
            <w:r w:rsidRPr="003F0DDF">
              <w:t>Cairns Regional Development</w:t>
            </w:r>
          </w:p>
        </w:tc>
        <w:tc>
          <w:tcPr>
            <w:tcW w:w="1559" w:type="dxa"/>
          </w:tcPr>
          <w:p w14:paraId="3EB96990" w14:textId="131BADD0" w:rsidR="00C46488" w:rsidRPr="003A7A69" w:rsidRDefault="00C46488" w:rsidP="00C46488">
            <w:pPr>
              <w:pStyle w:val="TableTextLeft"/>
            </w:pPr>
            <w:r w:rsidRPr="003F0DDF">
              <w:t>Part 2 – Infrastructure</w:t>
            </w:r>
          </w:p>
        </w:tc>
        <w:tc>
          <w:tcPr>
            <w:tcW w:w="2285" w:type="dxa"/>
            <w:shd w:val="clear" w:color="auto" w:fill="auto"/>
          </w:tcPr>
          <w:p w14:paraId="6A138E34" w14:textId="27E7BFD5" w:rsidR="00C46488" w:rsidRPr="003A7A69" w:rsidRDefault="00C46488" w:rsidP="00C46488">
            <w:pPr>
              <w:pStyle w:val="TableTextLeft"/>
            </w:pPr>
            <w:r w:rsidRPr="003F0DDF">
              <w:t>Supporting Transport Priorities</w:t>
            </w:r>
          </w:p>
        </w:tc>
        <w:tc>
          <w:tcPr>
            <w:tcW w:w="2285" w:type="dxa"/>
          </w:tcPr>
          <w:p w14:paraId="0B435961" w14:textId="00B71BDC" w:rsidR="00C46488" w:rsidRPr="003A7A69" w:rsidRDefault="00C46488" w:rsidP="00C46488">
            <w:pPr>
              <w:pStyle w:val="TableTextLeft"/>
            </w:pPr>
            <w:r w:rsidRPr="003F0DDF">
              <w:t xml:space="preserve">Payments – Infrastructure, Transport, Regional Development, </w:t>
            </w:r>
            <w:proofErr w:type="gramStart"/>
            <w:r w:rsidRPr="003F0DDF">
              <w:t>Communications</w:t>
            </w:r>
            <w:proofErr w:type="gramEnd"/>
            <w:r w:rsidRPr="003F0DDF">
              <w:t xml:space="preserve"> and the Arts</w:t>
            </w:r>
          </w:p>
        </w:tc>
      </w:tr>
      <w:tr w:rsidR="003B55F4" w:rsidRPr="003A7A69" w14:paraId="3EDF7CB1" w14:textId="77777777" w:rsidTr="005464C0">
        <w:trPr>
          <w:cantSplit/>
        </w:trPr>
        <w:tc>
          <w:tcPr>
            <w:tcW w:w="1560" w:type="dxa"/>
          </w:tcPr>
          <w:p w14:paraId="22D83F3B" w14:textId="448E9574" w:rsidR="003B55F4" w:rsidRPr="003A7A69" w:rsidRDefault="003B55F4" w:rsidP="003B55F4">
            <w:pPr>
              <w:pStyle w:val="TableTextLeft"/>
            </w:pPr>
            <w:r w:rsidRPr="0094799D">
              <w:t xml:space="preserve">Hobart and Launceston – place based </w:t>
            </w:r>
            <w:r w:rsidR="00323E45">
              <w:br/>
            </w:r>
            <w:r w:rsidRPr="0094799D">
              <w:t>co</w:t>
            </w:r>
            <w:r w:rsidR="00323E45">
              <w:t>-</w:t>
            </w:r>
            <w:r w:rsidRPr="0094799D">
              <w:t>investments</w:t>
            </w:r>
          </w:p>
        </w:tc>
        <w:tc>
          <w:tcPr>
            <w:tcW w:w="1559" w:type="dxa"/>
          </w:tcPr>
          <w:p w14:paraId="5CFE8CC7" w14:textId="30BD94AE" w:rsidR="003B55F4" w:rsidRPr="003A7A69" w:rsidRDefault="003B55F4" w:rsidP="003B55F4">
            <w:pPr>
              <w:pStyle w:val="TableTextLeft"/>
            </w:pPr>
            <w:r w:rsidRPr="0094799D">
              <w:t>Part 2 – Infrastructure</w:t>
            </w:r>
          </w:p>
        </w:tc>
        <w:tc>
          <w:tcPr>
            <w:tcW w:w="2285" w:type="dxa"/>
            <w:shd w:val="clear" w:color="auto" w:fill="auto"/>
          </w:tcPr>
          <w:p w14:paraId="2C6BA009" w14:textId="73FDA13D" w:rsidR="003B55F4" w:rsidRPr="003A7A69" w:rsidRDefault="003B55F4" w:rsidP="003B55F4">
            <w:pPr>
              <w:pStyle w:val="TableTextLeft"/>
            </w:pPr>
            <w:r w:rsidRPr="0094799D">
              <w:t xml:space="preserve">National Approach for Sustainable Urban Development </w:t>
            </w:r>
          </w:p>
        </w:tc>
        <w:tc>
          <w:tcPr>
            <w:tcW w:w="2285" w:type="dxa"/>
          </w:tcPr>
          <w:p w14:paraId="37E748C5" w14:textId="641F8CAE" w:rsidR="003B55F4" w:rsidRPr="003A7A69" w:rsidRDefault="003B55F4" w:rsidP="003B55F4">
            <w:pPr>
              <w:pStyle w:val="TableTextLeft"/>
            </w:pPr>
            <w:r w:rsidRPr="0094799D">
              <w:t xml:space="preserve">Payments – Infrastructure, Transport, Regional Development, </w:t>
            </w:r>
            <w:proofErr w:type="gramStart"/>
            <w:r w:rsidRPr="0094799D">
              <w:t>Communications</w:t>
            </w:r>
            <w:proofErr w:type="gramEnd"/>
            <w:r w:rsidRPr="0094799D">
              <w:t xml:space="preserve"> and the Arts</w:t>
            </w:r>
          </w:p>
        </w:tc>
      </w:tr>
      <w:tr w:rsidR="003B55F4" w:rsidRPr="003A7A69" w14:paraId="2BEAD49E" w14:textId="77777777" w:rsidTr="005464C0">
        <w:trPr>
          <w:cantSplit/>
          <w:trHeight w:val="20"/>
        </w:trPr>
        <w:tc>
          <w:tcPr>
            <w:tcW w:w="1560" w:type="dxa"/>
            <w:shd w:val="clear" w:color="auto" w:fill="auto"/>
          </w:tcPr>
          <w:p w14:paraId="661C6B50" w14:textId="2964E23A" w:rsidR="003B55F4" w:rsidRPr="003A7A69" w:rsidRDefault="003B55F4" w:rsidP="003B55F4">
            <w:pPr>
              <w:pStyle w:val="TableTextLeft"/>
            </w:pPr>
            <w:r w:rsidRPr="0094799D">
              <w:t>National Water Grid Fund(a)</w:t>
            </w:r>
          </w:p>
        </w:tc>
        <w:tc>
          <w:tcPr>
            <w:tcW w:w="1559" w:type="dxa"/>
            <w:shd w:val="clear" w:color="auto" w:fill="auto"/>
          </w:tcPr>
          <w:p w14:paraId="6B4DC8EE" w14:textId="1E479DF2" w:rsidR="003B55F4" w:rsidRPr="003A7A69" w:rsidRDefault="003B55F4" w:rsidP="003B55F4">
            <w:pPr>
              <w:pStyle w:val="TableTextLeft"/>
            </w:pPr>
            <w:r w:rsidRPr="0094799D">
              <w:t>Part 2 – Infrastructure</w:t>
            </w:r>
          </w:p>
        </w:tc>
        <w:tc>
          <w:tcPr>
            <w:tcW w:w="2285" w:type="dxa"/>
            <w:shd w:val="clear" w:color="auto" w:fill="auto"/>
          </w:tcPr>
          <w:p w14:paraId="22224FBE" w14:textId="3C82FC58" w:rsidR="003B55F4" w:rsidRPr="003A7A69" w:rsidRDefault="003B55F4" w:rsidP="003B55F4">
            <w:pPr>
              <w:pStyle w:val="TableTextLeft"/>
            </w:pPr>
            <w:r w:rsidRPr="0094799D">
              <w:t>National Water Grid Fund – addressing legacy projects</w:t>
            </w:r>
          </w:p>
        </w:tc>
        <w:tc>
          <w:tcPr>
            <w:tcW w:w="2285" w:type="dxa"/>
            <w:shd w:val="clear" w:color="auto" w:fill="auto"/>
          </w:tcPr>
          <w:p w14:paraId="1959FA7A" w14:textId="081794FD" w:rsidR="003B55F4" w:rsidRPr="003A7A69" w:rsidRDefault="003B55F4" w:rsidP="003B55F4">
            <w:pPr>
              <w:pStyle w:val="TableTextLeft"/>
            </w:pPr>
            <w:r w:rsidRPr="0094799D">
              <w:t>Payments – Climate Change, Energy, the Environment and Water</w:t>
            </w:r>
          </w:p>
        </w:tc>
      </w:tr>
      <w:tr w:rsidR="00BE5513" w:rsidRPr="003A7A69" w14:paraId="5DE01380" w14:textId="77777777" w:rsidTr="005464C0">
        <w:trPr>
          <w:cantSplit/>
          <w:trHeight w:val="20"/>
        </w:trPr>
        <w:tc>
          <w:tcPr>
            <w:tcW w:w="1560" w:type="dxa"/>
            <w:shd w:val="clear" w:color="auto" w:fill="auto"/>
          </w:tcPr>
          <w:p w14:paraId="6AEB7103" w14:textId="5C4C8E7E" w:rsidR="00BE5513" w:rsidRPr="003A7A69" w:rsidRDefault="00BE5513" w:rsidP="00BE5513">
            <w:pPr>
              <w:pStyle w:val="TableTextLeft"/>
            </w:pPr>
            <w:r w:rsidRPr="00CF585C">
              <w:t>National Water Grid Fund</w:t>
            </w:r>
          </w:p>
        </w:tc>
        <w:tc>
          <w:tcPr>
            <w:tcW w:w="1559" w:type="dxa"/>
            <w:shd w:val="clear" w:color="auto" w:fill="auto"/>
          </w:tcPr>
          <w:p w14:paraId="655B6218" w14:textId="00035C7B" w:rsidR="00BE5513" w:rsidRPr="003A7A69" w:rsidRDefault="00BE5513" w:rsidP="00BE5513">
            <w:pPr>
              <w:pStyle w:val="TableTextLeft"/>
            </w:pPr>
            <w:r w:rsidRPr="00CF585C">
              <w:t>Part 2 – Infrastructure</w:t>
            </w:r>
          </w:p>
        </w:tc>
        <w:tc>
          <w:tcPr>
            <w:tcW w:w="2285" w:type="dxa"/>
            <w:shd w:val="clear" w:color="auto" w:fill="auto"/>
          </w:tcPr>
          <w:p w14:paraId="7DCF2308" w14:textId="1BFF92F5" w:rsidR="00BE5513" w:rsidRPr="003A7A69" w:rsidRDefault="00BE5513" w:rsidP="00BE5513">
            <w:pPr>
              <w:pStyle w:val="TableTextLeft"/>
            </w:pPr>
            <w:r w:rsidRPr="00CF585C">
              <w:t xml:space="preserve">National Water Grid Fund – delivering commitments </w:t>
            </w:r>
          </w:p>
        </w:tc>
        <w:tc>
          <w:tcPr>
            <w:tcW w:w="2285" w:type="dxa"/>
            <w:shd w:val="clear" w:color="auto" w:fill="auto"/>
          </w:tcPr>
          <w:p w14:paraId="0E7FF4D4" w14:textId="36B5844B" w:rsidR="00BE5513" w:rsidRPr="003A7A69" w:rsidRDefault="00BE5513" w:rsidP="00BE5513">
            <w:pPr>
              <w:pStyle w:val="TableTextLeft"/>
            </w:pPr>
            <w:r w:rsidRPr="00CF585C">
              <w:t>Payments – Climate Change, Energy, the Environment and Water</w:t>
            </w:r>
          </w:p>
        </w:tc>
      </w:tr>
      <w:tr w:rsidR="00BE5513" w:rsidRPr="003A7A69" w14:paraId="34BDEAC6" w14:textId="77777777" w:rsidTr="005464C0">
        <w:trPr>
          <w:cantSplit/>
          <w:trHeight w:val="20"/>
        </w:trPr>
        <w:tc>
          <w:tcPr>
            <w:tcW w:w="1560" w:type="dxa"/>
            <w:shd w:val="clear" w:color="auto" w:fill="auto"/>
          </w:tcPr>
          <w:p w14:paraId="7858EEF6" w14:textId="6CA0F6E4" w:rsidR="00BE5513" w:rsidRPr="003A7A69" w:rsidRDefault="00BE5513" w:rsidP="00BE5513">
            <w:pPr>
              <w:pStyle w:val="TableTextLeft"/>
            </w:pPr>
            <w:r w:rsidRPr="00CF585C">
              <w:t>Energy Bill Relief</w:t>
            </w:r>
          </w:p>
        </w:tc>
        <w:tc>
          <w:tcPr>
            <w:tcW w:w="1559" w:type="dxa"/>
            <w:shd w:val="clear" w:color="auto" w:fill="auto"/>
          </w:tcPr>
          <w:p w14:paraId="06D44EEE" w14:textId="762C6F7A" w:rsidR="00BE5513" w:rsidRPr="003A7A69" w:rsidRDefault="00BE5513" w:rsidP="00BE5513">
            <w:pPr>
              <w:pStyle w:val="TableTextLeft"/>
            </w:pPr>
            <w:r w:rsidRPr="00CF585C">
              <w:t xml:space="preserve">Part 2 – Environment, </w:t>
            </w:r>
            <w:proofErr w:type="gramStart"/>
            <w:r w:rsidRPr="00CF585C">
              <w:t>energy</w:t>
            </w:r>
            <w:proofErr w:type="gramEnd"/>
            <w:r w:rsidRPr="00CF585C">
              <w:t xml:space="preserve"> and water</w:t>
            </w:r>
          </w:p>
        </w:tc>
        <w:tc>
          <w:tcPr>
            <w:tcW w:w="2285" w:type="dxa"/>
            <w:shd w:val="clear" w:color="auto" w:fill="auto"/>
          </w:tcPr>
          <w:p w14:paraId="19E4A1CF" w14:textId="21BD95D5" w:rsidR="00BE5513" w:rsidRPr="003A7A69" w:rsidRDefault="00BE5513" w:rsidP="00BE5513">
            <w:pPr>
              <w:pStyle w:val="TableTextLeft"/>
            </w:pPr>
            <w:r w:rsidRPr="00CF585C">
              <w:t xml:space="preserve">Energy Price Relief Plan </w:t>
            </w:r>
          </w:p>
        </w:tc>
        <w:tc>
          <w:tcPr>
            <w:tcW w:w="2285" w:type="dxa"/>
            <w:shd w:val="clear" w:color="auto" w:fill="auto"/>
          </w:tcPr>
          <w:p w14:paraId="73202F27" w14:textId="0129BF42" w:rsidR="00BE5513" w:rsidRPr="003A7A69" w:rsidRDefault="00BE5513" w:rsidP="00BE5513">
            <w:pPr>
              <w:pStyle w:val="TableTextLeft"/>
            </w:pPr>
            <w:r w:rsidRPr="00CF585C">
              <w:t>Payments – Cross Portfolio</w:t>
            </w:r>
          </w:p>
        </w:tc>
      </w:tr>
      <w:tr w:rsidR="00186F40" w:rsidRPr="003A7A69" w14:paraId="639913B9" w14:textId="77777777" w:rsidTr="005464C0">
        <w:trPr>
          <w:cantSplit/>
          <w:trHeight w:val="20"/>
        </w:trPr>
        <w:tc>
          <w:tcPr>
            <w:tcW w:w="1560" w:type="dxa"/>
            <w:shd w:val="clear" w:color="auto" w:fill="auto"/>
          </w:tcPr>
          <w:p w14:paraId="74E46E4A" w14:textId="3115AE37" w:rsidR="00186F40" w:rsidRPr="003A7A69" w:rsidRDefault="00186F40" w:rsidP="00186F40">
            <w:pPr>
              <w:pStyle w:val="TableTextLeft"/>
            </w:pPr>
            <w:r w:rsidRPr="00420BF2">
              <w:t>ACT Sustainable Household Scheme</w:t>
            </w:r>
          </w:p>
        </w:tc>
        <w:tc>
          <w:tcPr>
            <w:tcW w:w="1559" w:type="dxa"/>
            <w:shd w:val="clear" w:color="auto" w:fill="auto"/>
          </w:tcPr>
          <w:p w14:paraId="7A680E35" w14:textId="27C94129" w:rsidR="00186F40" w:rsidRPr="003A7A69" w:rsidRDefault="00186F40" w:rsidP="00186F40">
            <w:pPr>
              <w:pStyle w:val="TableTextLeft"/>
            </w:pPr>
            <w:r w:rsidRPr="00420BF2">
              <w:t xml:space="preserve">Part 2 – Environment, </w:t>
            </w:r>
            <w:proofErr w:type="gramStart"/>
            <w:r w:rsidRPr="00420BF2">
              <w:t>energy</w:t>
            </w:r>
            <w:proofErr w:type="gramEnd"/>
            <w:r w:rsidRPr="00420BF2">
              <w:t xml:space="preserve"> and water</w:t>
            </w:r>
          </w:p>
        </w:tc>
        <w:tc>
          <w:tcPr>
            <w:tcW w:w="2285" w:type="dxa"/>
            <w:shd w:val="clear" w:color="auto" w:fill="auto"/>
          </w:tcPr>
          <w:p w14:paraId="04F5F4E1" w14:textId="6ED578D0" w:rsidR="00186F40" w:rsidRPr="003A7A69" w:rsidRDefault="00186F40" w:rsidP="00186F40">
            <w:pPr>
              <w:pStyle w:val="TableTextLeft"/>
            </w:pPr>
            <w:r w:rsidRPr="00420BF2">
              <w:t>ACT Sustainable Household Scheme</w:t>
            </w:r>
          </w:p>
        </w:tc>
        <w:tc>
          <w:tcPr>
            <w:tcW w:w="2285" w:type="dxa"/>
            <w:shd w:val="clear" w:color="auto" w:fill="auto"/>
          </w:tcPr>
          <w:p w14:paraId="6AC00552" w14:textId="0E88C93D" w:rsidR="00186F40" w:rsidRPr="003A7A69" w:rsidRDefault="00186F40" w:rsidP="00186F40">
            <w:pPr>
              <w:pStyle w:val="TableTextLeft"/>
            </w:pPr>
            <w:r w:rsidRPr="00420BF2">
              <w:t xml:space="preserve">Payments – Climate Change, Energy, the Environment and Water </w:t>
            </w:r>
          </w:p>
        </w:tc>
      </w:tr>
      <w:tr w:rsidR="006B2E2E" w:rsidRPr="003A7A69" w14:paraId="6D439886" w14:textId="77777777" w:rsidTr="005464C0">
        <w:trPr>
          <w:cantSplit/>
          <w:trHeight w:val="20"/>
        </w:trPr>
        <w:tc>
          <w:tcPr>
            <w:tcW w:w="1560" w:type="dxa"/>
            <w:shd w:val="clear" w:color="auto" w:fill="auto"/>
          </w:tcPr>
          <w:p w14:paraId="0296807E" w14:textId="5367CEE0" w:rsidR="006B2E2E" w:rsidRPr="003A7A69" w:rsidRDefault="006B2E2E" w:rsidP="006B2E2E">
            <w:pPr>
              <w:pStyle w:val="TableTextLeft"/>
            </w:pPr>
            <w:proofErr w:type="spellStart"/>
            <w:r w:rsidRPr="0015740E">
              <w:t>Borumba</w:t>
            </w:r>
            <w:proofErr w:type="spellEnd"/>
            <w:r w:rsidRPr="0015740E">
              <w:t xml:space="preserve"> Pumped Hydro Project</w:t>
            </w:r>
          </w:p>
        </w:tc>
        <w:tc>
          <w:tcPr>
            <w:tcW w:w="1559" w:type="dxa"/>
            <w:shd w:val="clear" w:color="auto" w:fill="auto"/>
          </w:tcPr>
          <w:p w14:paraId="62CC24E8" w14:textId="50785239" w:rsidR="006B2E2E" w:rsidRPr="003A7A69" w:rsidRDefault="006B2E2E" w:rsidP="006B2E2E">
            <w:pPr>
              <w:pStyle w:val="TableTextLeft"/>
            </w:pPr>
            <w:r w:rsidRPr="0015740E">
              <w:t xml:space="preserve">Part 2 – Environment, </w:t>
            </w:r>
            <w:proofErr w:type="gramStart"/>
            <w:r w:rsidRPr="0015740E">
              <w:t>energy</w:t>
            </w:r>
            <w:proofErr w:type="gramEnd"/>
            <w:r w:rsidRPr="0015740E">
              <w:t xml:space="preserve"> and water</w:t>
            </w:r>
          </w:p>
        </w:tc>
        <w:tc>
          <w:tcPr>
            <w:tcW w:w="2285" w:type="dxa"/>
            <w:shd w:val="clear" w:color="auto" w:fill="auto"/>
          </w:tcPr>
          <w:p w14:paraId="4CB0CEE5" w14:textId="32F72F4C" w:rsidR="006B2E2E" w:rsidRPr="003A7A69" w:rsidRDefault="006B2E2E" w:rsidP="006B2E2E">
            <w:pPr>
              <w:pStyle w:val="TableTextLeft"/>
            </w:pPr>
            <w:r w:rsidRPr="0015740E">
              <w:t xml:space="preserve">Energy Price Relief Plan </w:t>
            </w:r>
          </w:p>
        </w:tc>
        <w:tc>
          <w:tcPr>
            <w:tcW w:w="2285" w:type="dxa"/>
            <w:shd w:val="clear" w:color="auto" w:fill="auto"/>
          </w:tcPr>
          <w:p w14:paraId="35FE0647" w14:textId="4FDE413D" w:rsidR="006B2E2E" w:rsidRPr="003A7A69" w:rsidRDefault="006B2E2E" w:rsidP="006B2E2E">
            <w:pPr>
              <w:pStyle w:val="TableTextLeft"/>
            </w:pPr>
            <w:r w:rsidRPr="0015740E">
              <w:t xml:space="preserve">Payments – Cross Portfolio </w:t>
            </w:r>
          </w:p>
        </w:tc>
      </w:tr>
      <w:tr w:rsidR="006B2E2E" w:rsidRPr="003A7A69" w14:paraId="5E4B0D92" w14:textId="77777777" w:rsidTr="005464C0">
        <w:trPr>
          <w:cantSplit/>
          <w:trHeight w:val="20"/>
        </w:trPr>
        <w:tc>
          <w:tcPr>
            <w:tcW w:w="1560" w:type="dxa"/>
            <w:shd w:val="clear" w:color="auto" w:fill="auto"/>
          </w:tcPr>
          <w:p w14:paraId="3ED1A607" w14:textId="1C7997B4" w:rsidR="006B2E2E" w:rsidRPr="003A7A69" w:rsidRDefault="006B2E2E" w:rsidP="006B2E2E">
            <w:pPr>
              <w:pStyle w:val="TableTextLeft"/>
            </w:pPr>
            <w:r w:rsidRPr="0015740E">
              <w:t>Disaster Ready Fund – Round 1</w:t>
            </w:r>
          </w:p>
        </w:tc>
        <w:tc>
          <w:tcPr>
            <w:tcW w:w="1559" w:type="dxa"/>
            <w:shd w:val="clear" w:color="auto" w:fill="auto"/>
          </w:tcPr>
          <w:p w14:paraId="0BDB3EBA" w14:textId="7FBDA65C" w:rsidR="006B2E2E" w:rsidRPr="003A7A69" w:rsidRDefault="006B2E2E" w:rsidP="006B2E2E">
            <w:pPr>
              <w:pStyle w:val="TableTextLeft"/>
            </w:pPr>
            <w:r w:rsidRPr="0015740E">
              <w:t xml:space="preserve">Part 2 – Environment, </w:t>
            </w:r>
            <w:proofErr w:type="gramStart"/>
            <w:r w:rsidRPr="0015740E">
              <w:t>energy</w:t>
            </w:r>
            <w:proofErr w:type="gramEnd"/>
            <w:r w:rsidRPr="0015740E">
              <w:t xml:space="preserve"> and water</w:t>
            </w:r>
          </w:p>
        </w:tc>
        <w:tc>
          <w:tcPr>
            <w:tcW w:w="2285" w:type="dxa"/>
            <w:shd w:val="clear" w:color="auto" w:fill="auto"/>
          </w:tcPr>
          <w:p w14:paraId="7502136C" w14:textId="29A40CB0" w:rsidR="006B2E2E" w:rsidRPr="003A7A69" w:rsidRDefault="006B2E2E" w:rsidP="006B2E2E">
            <w:pPr>
              <w:pStyle w:val="TableTextLeft"/>
            </w:pPr>
            <w:r w:rsidRPr="0015740E">
              <w:t>Disaster Support</w:t>
            </w:r>
          </w:p>
        </w:tc>
        <w:tc>
          <w:tcPr>
            <w:tcW w:w="2285" w:type="dxa"/>
            <w:shd w:val="clear" w:color="auto" w:fill="auto"/>
          </w:tcPr>
          <w:p w14:paraId="6BB01CBA" w14:textId="158779C2" w:rsidR="006B2E2E" w:rsidRPr="003A7A69" w:rsidRDefault="006B2E2E" w:rsidP="006B2E2E">
            <w:pPr>
              <w:pStyle w:val="TableTextLeft"/>
            </w:pPr>
            <w:r w:rsidRPr="0015740E">
              <w:t xml:space="preserve">Payments – Home Affairs </w:t>
            </w:r>
          </w:p>
        </w:tc>
      </w:tr>
      <w:tr w:rsidR="006C506A" w:rsidRPr="003A7A69" w14:paraId="669E3CC8" w14:textId="77777777" w:rsidTr="005464C0">
        <w:trPr>
          <w:cantSplit/>
          <w:trHeight w:val="20"/>
        </w:trPr>
        <w:tc>
          <w:tcPr>
            <w:tcW w:w="1560" w:type="dxa"/>
            <w:shd w:val="clear" w:color="auto" w:fill="auto"/>
          </w:tcPr>
          <w:p w14:paraId="553F3880" w14:textId="02D1F717" w:rsidR="006C506A" w:rsidRPr="003A7A69" w:rsidRDefault="006C506A" w:rsidP="006C506A">
            <w:pPr>
              <w:pStyle w:val="TableTextLeft"/>
            </w:pPr>
            <w:r w:rsidRPr="003C3F3A">
              <w:t>Enhance the National Soil Resources Information System</w:t>
            </w:r>
          </w:p>
        </w:tc>
        <w:tc>
          <w:tcPr>
            <w:tcW w:w="1559" w:type="dxa"/>
            <w:shd w:val="clear" w:color="auto" w:fill="auto"/>
          </w:tcPr>
          <w:p w14:paraId="75676F06" w14:textId="4C00CCC0" w:rsidR="006C506A" w:rsidRPr="003A7A69" w:rsidRDefault="006C506A" w:rsidP="006C506A">
            <w:pPr>
              <w:pStyle w:val="TableTextLeft"/>
            </w:pPr>
            <w:r w:rsidRPr="003C3F3A">
              <w:t xml:space="preserve">Part 2 – Environment, </w:t>
            </w:r>
            <w:proofErr w:type="gramStart"/>
            <w:r w:rsidRPr="003C3F3A">
              <w:t>energy</w:t>
            </w:r>
            <w:proofErr w:type="gramEnd"/>
            <w:r w:rsidRPr="003C3F3A">
              <w:t xml:space="preserve"> and water</w:t>
            </w:r>
          </w:p>
        </w:tc>
        <w:tc>
          <w:tcPr>
            <w:tcW w:w="2285" w:type="dxa"/>
            <w:shd w:val="clear" w:color="auto" w:fill="auto"/>
          </w:tcPr>
          <w:p w14:paraId="1C1B21EF" w14:textId="55BBBFB6" w:rsidR="006C506A" w:rsidRPr="003A7A69" w:rsidRDefault="006C506A" w:rsidP="006C506A">
            <w:pPr>
              <w:pStyle w:val="TableTextLeft"/>
            </w:pPr>
            <w:r w:rsidRPr="003C3F3A">
              <w:t>Partnering to Implement the National Soil Action Plan</w:t>
            </w:r>
          </w:p>
        </w:tc>
        <w:tc>
          <w:tcPr>
            <w:tcW w:w="2285" w:type="dxa"/>
            <w:shd w:val="clear" w:color="auto" w:fill="auto"/>
          </w:tcPr>
          <w:p w14:paraId="57F17EE7" w14:textId="1EB6916B" w:rsidR="006C506A" w:rsidRPr="003A7A69" w:rsidRDefault="006C506A" w:rsidP="006C506A">
            <w:pPr>
              <w:pStyle w:val="TableTextLeft"/>
            </w:pPr>
            <w:r w:rsidRPr="003C3F3A">
              <w:t>Payments – Agriculture, Fisheries and Forestry</w:t>
            </w:r>
          </w:p>
        </w:tc>
      </w:tr>
      <w:tr w:rsidR="00C76516" w:rsidRPr="003A7A69" w14:paraId="77B93F95" w14:textId="77777777" w:rsidTr="005464C0">
        <w:trPr>
          <w:cantSplit/>
          <w:trHeight w:val="20"/>
        </w:trPr>
        <w:tc>
          <w:tcPr>
            <w:tcW w:w="1560" w:type="dxa"/>
            <w:shd w:val="clear" w:color="auto" w:fill="auto"/>
          </w:tcPr>
          <w:p w14:paraId="6998168B" w14:textId="2F65508E" w:rsidR="00C76516" w:rsidRPr="003C3F3A" w:rsidRDefault="00C76516" w:rsidP="00C76516">
            <w:pPr>
              <w:pStyle w:val="TableTextLeft"/>
            </w:pPr>
            <w:r w:rsidRPr="00FF138B">
              <w:t>Food Waste for Healthy Soils Fund(a)</w:t>
            </w:r>
          </w:p>
        </w:tc>
        <w:tc>
          <w:tcPr>
            <w:tcW w:w="1559" w:type="dxa"/>
            <w:shd w:val="clear" w:color="auto" w:fill="auto"/>
          </w:tcPr>
          <w:p w14:paraId="0AA5B495" w14:textId="5CD0298E" w:rsidR="00C76516" w:rsidRPr="003C3F3A" w:rsidRDefault="00C76516" w:rsidP="00C76516">
            <w:pPr>
              <w:pStyle w:val="TableTextLeft"/>
            </w:pPr>
            <w:r w:rsidRPr="00FF138B">
              <w:t xml:space="preserve">Part 2 – Environment, </w:t>
            </w:r>
            <w:proofErr w:type="gramStart"/>
            <w:r w:rsidRPr="00FF138B">
              <w:t>energy</w:t>
            </w:r>
            <w:proofErr w:type="gramEnd"/>
            <w:r w:rsidRPr="00FF138B">
              <w:t xml:space="preserve"> and water</w:t>
            </w:r>
          </w:p>
        </w:tc>
        <w:tc>
          <w:tcPr>
            <w:tcW w:w="2285" w:type="dxa"/>
            <w:shd w:val="clear" w:color="auto" w:fill="auto"/>
          </w:tcPr>
          <w:p w14:paraId="120D62B1" w14:textId="38D721D9" w:rsidR="00C76516" w:rsidRPr="003C3F3A" w:rsidRDefault="00C76516" w:rsidP="00C76516">
            <w:pPr>
              <w:pStyle w:val="TableTextLeft"/>
            </w:pPr>
            <w:r w:rsidRPr="00FF138B">
              <w:t>Climate Change, Energy, the Environment and Water – reprioritisation</w:t>
            </w:r>
          </w:p>
        </w:tc>
        <w:tc>
          <w:tcPr>
            <w:tcW w:w="2285" w:type="dxa"/>
            <w:shd w:val="clear" w:color="auto" w:fill="auto"/>
          </w:tcPr>
          <w:p w14:paraId="268FDA5F" w14:textId="303A65F0" w:rsidR="00C76516" w:rsidRPr="003C3F3A" w:rsidRDefault="00C76516" w:rsidP="00C76516">
            <w:pPr>
              <w:pStyle w:val="TableTextLeft"/>
            </w:pPr>
            <w:r w:rsidRPr="00FF138B">
              <w:t>Payments – Climate Change, Energy, the Environment and Water</w:t>
            </w:r>
          </w:p>
        </w:tc>
      </w:tr>
      <w:tr w:rsidR="001A28F0" w:rsidRPr="003A7A69" w14:paraId="287CE40F" w14:textId="77777777" w:rsidTr="005464C0">
        <w:trPr>
          <w:cantSplit/>
          <w:trHeight w:val="20"/>
        </w:trPr>
        <w:tc>
          <w:tcPr>
            <w:tcW w:w="1560" w:type="dxa"/>
            <w:shd w:val="clear" w:color="auto" w:fill="auto"/>
          </w:tcPr>
          <w:p w14:paraId="4148EE9B" w14:textId="39A3B364" w:rsidR="001A28F0" w:rsidRPr="00FF138B" w:rsidRDefault="001A28F0" w:rsidP="001A28F0">
            <w:pPr>
              <w:pStyle w:val="TableTextLeft"/>
            </w:pPr>
            <w:r w:rsidRPr="00716620">
              <w:t>Food Waste for Healthy Soils Fund(a)</w:t>
            </w:r>
          </w:p>
        </w:tc>
        <w:tc>
          <w:tcPr>
            <w:tcW w:w="1559" w:type="dxa"/>
            <w:shd w:val="clear" w:color="auto" w:fill="auto"/>
          </w:tcPr>
          <w:p w14:paraId="25F68069" w14:textId="5825D479" w:rsidR="001A28F0" w:rsidRPr="00FF138B" w:rsidRDefault="001A28F0" w:rsidP="001A28F0">
            <w:pPr>
              <w:pStyle w:val="TableTextLeft"/>
            </w:pPr>
            <w:r w:rsidRPr="00716620">
              <w:t xml:space="preserve">Part 2 – Environment, </w:t>
            </w:r>
            <w:proofErr w:type="gramStart"/>
            <w:r w:rsidRPr="00716620">
              <w:t>energy</w:t>
            </w:r>
            <w:proofErr w:type="gramEnd"/>
            <w:r w:rsidRPr="00716620">
              <w:t xml:space="preserve"> and water</w:t>
            </w:r>
          </w:p>
        </w:tc>
        <w:tc>
          <w:tcPr>
            <w:tcW w:w="2285" w:type="dxa"/>
            <w:shd w:val="clear" w:color="auto" w:fill="auto"/>
          </w:tcPr>
          <w:p w14:paraId="7CA8F649" w14:textId="3E551B4C" w:rsidR="001A28F0" w:rsidRPr="00FF138B" w:rsidRDefault="001A28F0" w:rsidP="001A28F0">
            <w:pPr>
              <w:pStyle w:val="TableTextLeft"/>
            </w:pPr>
            <w:r w:rsidRPr="00716620">
              <w:t>National Waste Education Campaign</w:t>
            </w:r>
          </w:p>
        </w:tc>
        <w:tc>
          <w:tcPr>
            <w:tcW w:w="2285" w:type="dxa"/>
            <w:shd w:val="clear" w:color="auto" w:fill="auto"/>
          </w:tcPr>
          <w:p w14:paraId="78FD4CEC" w14:textId="6204F751" w:rsidR="001A28F0" w:rsidRPr="00FF138B" w:rsidRDefault="001A28F0" w:rsidP="001A28F0">
            <w:pPr>
              <w:pStyle w:val="TableTextLeft"/>
            </w:pPr>
            <w:r w:rsidRPr="00716620">
              <w:t xml:space="preserve">Payments – Climate Change, Energy, the Environment and Water </w:t>
            </w:r>
          </w:p>
        </w:tc>
      </w:tr>
    </w:tbl>
    <w:p w14:paraId="72826C98" w14:textId="2949B55E" w:rsidR="008D1F84" w:rsidRDefault="008D1F84">
      <w:pPr>
        <w:spacing w:before="0" w:after="160" w:line="259" w:lineRule="auto"/>
        <w:rPr>
          <w:rFonts w:ascii="Arial Bold" w:hAnsi="Arial Bold"/>
          <w:b/>
          <w:sz w:val="20"/>
        </w:rPr>
      </w:pPr>
      <w:r>
        <w:br w:type="page"/>
      </w:r>
    </w:p>
    <w:p w14:paraId="0060E26C" w14:textId="41624874" w:rsidR="002E3A08" w:rsidRPr="00F13221" w:rsidRDefault="002E3A08" w:rsidP="002E3A08">
      <w:pPr>
        <w:pStyle w:val="TableHeadingcontinued"/>
      </w:pPr>
      <w:r w:rsidRPr="00F13221">
        <w:lastRenderedPageBreak/>
        <w:t>Table 1.4: Measures affecting payments to the states (continued)</w:t>
      </w:r>
    </w:p>
    <w:tbl>
      <w:tblPr>
        <w:tblW w:w="5000" w:type="pct"/>
        <w:tblInd w:w="-3" w:type="dxa"/>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ayout w:type="fixed"/>
        <w:tblLook w:val="04A0" w:firstRow="1" w:lastRow="0" w:firstColumn="1" w:lastColumn="0" w:noHBand="0" w:noVBand="1"/>
        <w:tblCaption w:val="Table"/>
      </w:tblPr>
      <w:tblGrid>
        <w:gridCol w:w="1557"/>
        <w:gridCol w:w="1555"/>
        <w:gridCol w:w="2310"/>
        <w:gridCol w:w="2282"/>
      </w:tblGrid>
      <w:tr w:rsidR="003A7A69" w:rsidRPr="003A7A69" w14:paraId="4C93FC08" w14:textId="77777777" w:rsidTr="006C164D">
        <w:trPr>
          <w:cantSplit/>
        </w:trPr>
        <w:tc>
          <w:tcPr>
            <w:tcW w:w="1557" w:type="dxa"/>
          </w:tcPr>
          <w:p w14:paraId="1784AD99" w14:textId="77777777" w:rsidR="002E3A08" w:rsidRPr="003A7A69" w:rsidRDefault="002E3A08">
            <w:pPr>
              <w:pStyle w:val="TableColumnHeadingLeft"/>
            </w:pPr>
            <w:r w:rsidRPr="003A7A69">
              <w:t>Payment</w:t>
            </w:r>
          </w:p>
        </w:tc>
        <w:tc>
          <w:tcPr>
            <w:tcW w:w="1555" w:type="dxa"/>
          </w:tcPr>
          <w:p w14:paraId="58048E10" w14:textId="77777777" w:rsidR="002E3A08" w:rsidRPr="003A7A69" w:rsidRDefault="002E3A08">
            <w:pPr>
              <w:pStyle w:val="TableColumnHeadingLeft"/>
            </w:pPr>
            <w:r w:rsidRPr="003A7A69">
              <w:t>Section of Budget Paper 3</w:t>
            </w:r>
          </w:p>
        </w:tc>
        <w:tc>
          <w:tcPr>
            <w:tcW w:w="2310" w:type="dxa"/>
            <w:shd w:val="clear" w:color="auto" w:fill="auto"/>
          </w:tcPr>
          <w:p w14:paraId="41CAE097" w14:textId="77777777" w:rsidR="002E3A08" w:rsidRPr="003A7A69" w:rsidRDefault="002E3A08">
            <w:pPr>
              <w:pStyle w:val="TableColumnHeadingLeft"/>
            </w:pPr>
            <w:r w:rsidRPr="003A7A69">
              <w:t>Measure title</w:t>
            </w:r>
          </w:p>
        </w:tc>
        <w:tc>
          <w:tcPr>
            <w:tcW w:w="2282" w:type="dxa"/>
          </w:tcPr>
          <w:p w14:paraId="1F16E676" w14:textId="77777777" w:rsidR="002E3A08" w:rsidRPr="003A7A69" w:rsidRDefault="002E3A08">
            <w:pPr>
              <w:pStyle w:val="TableColumnHeadingLeft"/>
            </w:pPr>
            <w:r w:rsidRPr="003A7A69">
              <w:t>Section of Budget Paper 2</w:t>
            </w:r>
          </w:p>
        </w:tc>
      </w:tr>
      <w:tr w:rsidR="006C164D" w:rsidRPr="003A7A69" w14:paraId="377E8BC2" w14:textId="77777777" w:rsidTr="006C164D">
        <w:trPr>
          <w:cantSplit/>
        </w:trPr>
        <w:tc>
          <w:tcPr>
            <w:tcW w:w="1557" w:type="dxa"/>
            <w:shd w:val="clear" w:color="auto" w:fill="auto"/>
          </w:tcPr>
          <w:p w14:paraId="5CAE6886" w14:textId="796D6D42" w:rsidR="006C164D" w:rsidRPr="003A7A69" w:rsidRDefault="006C164D" w:rsidP="006C164D">
            <w:pPr>
              <w:pStyle w:val="TableTextLeft"/>
            </w:pPr>
            <w:r w:rsidRPr="003A4ECC">
              <w:t>Supporting Emissions Reduction in Queensland’s Energy Resources Sector</w:t>
            </w:r>
          </w:p>
        </w:tc>
        <w:tc>
          <w:tcPr>
            <w:tcW w:w="1555" w:type="dxa"/>
            <w:shd w:val="clear" w:color="auto" w:fill="auto"/>
          </w:tcPr>
          <w:p w14:paraId="29ECB360" w14:textId="7605729C" w:rsidR="006C164D" w:rsidRPr="003A7A69" w:rsidRDefault="006C164D" w:rsidP="006C164D">
            <w:pPr>
              <w:pStyle w:val="TableTextLeft"/>
            </w:pPr>
            <w:r w:rsidRPr="003A4ECC">
              <w:t xml:space="preserve">Part 2 – Environment, </w:t>
            </w:r>
            <w:proofErr w:type="gramStart"/>
            <w:r w:rsidRPr="003A4ECC">
              <w:t>energy</w:t>
            </w:r>
            <w:proofErr w:type="gramEnd"/>
            <w:r w:rsidRPr="003A4ECC">
              <w:t xml:space="preserve"> and water</w:t>
            </w:r>
          </w:p>
        </w:tc>
        <w:tc>
          <w:tcPr>
            <w:tcW w:w="2310" w:type="dxa"/>
            <w:shd w:val="clear" w:color="auto" w:fill="auto"/>
          </w:tcPr>
          <w:p w14:paraId="78AA236B" w14:textId="4A0AD1C4" w:rsidR="006C164D" w:rsidRPr="003A7A69" w:rsidRDefault="006C164D" w:rsidP="006C164D">
            <w:pPr>
              <w:pStyle w:val="TableTextLeft"/>
            </w:pPr>
            <w:r w:rsidRPr="003A4ECC">
              <w:t>Working with the Australian Resources Industry on the Pathway to Net Zero</w:t>
            </w:r>
          </w:p>
        </w:tc>
        <w:tc>
          <w:tcPr>
            <w:tcW w:w="2282" w:type="dxa"/>
            <w:shd w:val="clear" w:color="auto" w:fill="auto"/>
          </w:tcPr>
          <w:p w14:paraId="321DACE5" w14:textId="1C1E393A" w:rsidR="006C164D" w:rsidRPr="003A7A69" w:rsidRDefault="006C164D" w:rsidP="006C164D">
            <w:pPr>
              <w:pStyle w:val="TableTextLeft"/>
            </w:pPr>
            <w:r w:rsidRPr="003A4ECC">
              <w:t>Payments – Industry, Science and Resources</w:t>
            </w:r>
          </w:p>
        </w:tc>
      </w:tr>
      <w:tr w:rsidR="006C164D" w:rsidRPr="003A7A69" w14:paraId="18F2BA26" w14:textId="77777777" w:rsidTr="006C164D">
        <w:trPr>
          <w:cantSplit/>
        </w:trPr>
        <w:tc>
          <w:tcPr>
            <w:tcW w:w="1557" w:type="dxa"/>
            <w:shd w:val="clear" w:color="auto" w:fill="auto"/>
          </w:tcPr>
          <w:p w14:paraId="26296F09" w14:textId="4E86248F" w:rsidR="006C164D" w:rsidRPr="003A7A69" w:rsidRDefault="006C164D" w:rsidP="006C164D">
            <w:pPr>
              <w:pStyle w:val="TableTextLeft"/>
            </w:pPr>
            <w:r w:rsidRPr="003A4ECC">
              <w:t>Temporary cap on the price of coal</w:t>
            </w:r>
          </w:p>
        </w:tc>
        <w:tc>
          <w:tcPr>
            <w:tcW w:w="1555" w:type="dxa"/>
            <w:shd w:val="clear" w:color="auto" w:fill="auto"/>
          </w:tcPr>
          <w:p w14:paraId="1E95861C" w14:textId="0B356E86" w:rsidR="006C164D" w:rsidRPr="003A7A69" w:rsidRDefault="006C164D" w:rsidP="006C164D">
            <w:pPr>
              <w:pStyle w:val="TableTextLeft"/>
            </w:pPr>
            <w:r w:rsidRPr="003A4ECC">
              <w:t xml:space="preserve">Part 2 – Environment, </w:t>
            </w:r>
            <w:proofErr w:type="gramStart"/>
            <w:r w:rsidRPr="003A4ECC">
              <w:t>energy</w:t>
            </w:r>
            <w:proofErr w:type="gramEnd"/>
            <w:r w:rsidRPr="003A4ECC">
              <w:t xml:space="preserve"> and water</w:t>
            </w:r>
          </w:p>
        </w:tc>
        <w:tc>
          <w:tcPr>
            <w:tcW w:w="2310" w:type="dxa"/>
            <w:shd w:val="clear" w:color="auto" w:fill="auto"/>
          </w:tcPr>
          <w:p w14:paraId="6946B1D7" w14:textId="1BDDC5BA" w:rsidR="006C164D" w:rsidRPr="003A7A69" w:rsidRDefault="006C164D" w:rsidP="006C164D">
            <w:pPr>
              <w:pStyle w:val="TableTextLeft"/>
            </w:pPr>
            <w:r w:rsidRPr="003A4ECC">
              <w:t>Energy Price Relief Plan</w:t>
            </w:r>
          </w:p>
        </w:tc>
        <w:tc>
          <w:tcPr>
            <w:tcW w:w="2282" w:type="dxa"/>
            <w:shd w:val="clear" w:color="auto" w:fill="auto"/>
          </w:tcPr>
          <w:p w14:paraId="582184DB" w14:textId="25F72925" w:rsidR="006C164D" w:rsidRPr="003A7A69" w:rsidRDefault="006C164D" w:rsidP="006C164D">
            <w:pPr>
              <w:pStyle w:val="TableTextLeft"/>
            </w:pPr>
            <w:r w:rsidRPr="003A4ECC">
              <w:t>Payments – Cross Portfolio</w:t>
            </w:r>
          </w:p>
        </w:tc>
      </w:tr>
      <w:tr w:rsidR="00181E66" w:rsidRPr="003A7A69" w14:paraId="2930637E" w14:textId="77777777" w:rsidTr="006C164D">
        <w:trPr>
          <w:cantSplit/>
        </w:trPr>
        <w:tc>
          <w:tcPr>
            <w:tcW w:w="1557" w:type="dxa"/>
            <w:shd w:val="clear" w:color="auto" w:fill="auto"/>
          </w:tcPr>
          <w:p w14:paraId="323C939B" w14:textId="65E95CC9" w:rsidR="00181E66" w:rsidRPr="003A7A69" w:rsidRDefault="00181E66" w:rsidP="00181E66">
            <w:pPr>
              <w:pStyle w:val="TableTextLeft"/>
            </w:pPr>
            <w:r w:rsidRPr="001505F4">
              <w:t>World Heritage Sites</w:t>
            </w:r>
          </w:p>
        </w:tc>
        <w:tc>
          <w:tcPr>
            <w:tcW w:w="1555" w:type="dxa"/>
            <w:shd w:val="clear" w:color="auto" w:fill="auto"/>
          </w:tcPr>
          <w:p w14:paraId="58F76977" w14:textId="449970FF" w:rsidR="00181E66" w:rsidRPr="003A7A69" w:rsidRDefault="00181E66" w:rsidP="00181E66">
            <w:pPr>
              <w:pStyle w:val="TableTextLeft"/>
            </w:pPr>
            <w:r w:rsidRPr="001505F4">
              <w:t xml:space="preserve">Part 2 – Environment, </w:t>
            </w:r>
            <w:proofErr w:type="gramStart"/>
            <w:r w:rsidRPr="001505F4">
              <w:t>energy</w:t>
            </w:r>
            <w:proofErr w:type="gramEnd"/>
            <w:r w:rsidRPr="001505F4">
              <w:t xml:space="preserve"> and water</w:t>
            </w:r>
          </w:p>
        </w:tc>
        <w:tc>
          <w:tcPr>
            <w:tcW w:w="2310" w:type="dxa"/>
            <w:shd w:val="clear" w:color="auto" w:fill="auto"/>
          </w:tcPr>
          <w:p w14:paraId="2695D100" w14:textId="4D90C8A4" w:rsidR="00181E66" w:rsidRPr="003A7A69" w:rsidRDefault="00181E66" w:rsidP="00181E66">
            <w:pPr>
              <w:pStyle w:val="TableTextLeft"/>
            </w:pPr>
            <w:r w:rsidRPr="001505F4">
              <w:t>Natural Heritage Trust – project funding</w:t>
            </w:r>
          </w:p>
        </w:tc>
        <w:tc>
          <w:tcPr>
            <w:tcW w:w="2282" w:type="dxa"/>
            <w:shd w:val="clear" w:color="auto" w:fill="auto"/>
          </w:tcPr>
          <w:p w14:paraId="5C7FAD83" w14:textId="466E2BE5" w:rsidR="00181E66" w:rsidRPr="003A7A69" w:rsidRDefault="00181E66" w:rsidP="00181E66">
            <w:pPr>
              <w:pStyle w:val="TableTextLeft"/>
            </w:pPr>
            <w:r w:rsidRPr="001505F4">
              <w:t>Payments – Climate Change, Energy, the Environment and Water</w:t>
            </w:r>
          </w:p>
        </w:tc>
      </w:tr>
      <w:tr w:rsidR="00181E66" w:rsidRPr="003A7A69" w14:paraId="7BF5162D" w14:textId="77777777" w:rsidTr="006C164D">
        <w:trPr>
          <w:cantSplit/>
        </w:trPr>
        <w:tc>
          <w:tcPr>
            <w:tcW w:w="1557" w:type="dxa"/>
            <w:shd w:val="clear" w:color="auto" w:fill="auto"/>
          </w:tcPr>
          <w:p w14:paraId="41F5CC60" w14:textId="0B96D4C0" w:rsidR="00181E66" w:rsidRPr="003A7A69" w:rsidRDefault="00181E66" w:rsidP="00181E66">
            <w:pPr>
              <w:pStyle w:val="TableTextLeft"/>
            </w:pPr>
            <w:r w:rsidRPr="001505F4">
              <w:t>Disaster Recovery Funding Arrangements</w:t>
            </w:r>
          </w:p>
        </w:tc>
        <w:tc>
          <w:tcPr>
            <w:tcW w:w="1555" w:type="dxa"/>
            <w:shd w:val="clear" w:color="auto" w:fill="auto"/>
          </w:tcPr>
          <w:p w14:paraId="0DAE671B" w14:textId="346C7416" w:rsidR="00181E66" w:rsidRPr="003A7A69" w:rsidRDefault="00181E66" w:rsidP="00181E66">
            <w:pPr>
              <w:pStyle w:val="TableTextLeft"/>
            </w:pPr>
            <w:r w:rsidRPr="001505F4">
              <w:t>Part 2 – Contingent payments</w:t>
            </w:r>
          </w:p>
        </w:tc>
        <w:tc>
          <w:tcPr>
            <w:tcW w:w="2310" w:type="dxa"/>
            <w:shd w:val="clear" w:color="auto" w:fill="auto"/>
          </w:tcPr>
          <w:p w14:paraId="76B61D52" w14:textId="3FAE3B85" w:rsidR="00181E66" w:rsidRPr="003A7A69" w:rsidRDefault="00181E66" w:rsidP="00181E66">
            <w:pPr>
              <w:pStyle w:val="TableTextLeft"/>
            </w:pPr>
            <w:r w:rsidRPr="001505F4">
              <w:t>Disaster Support</w:t>
            </w:r>
          </w:p>
        </w:tc>
        <w:tc>
          <w:tcPr>
            <w:tcW w:w="2282" w:type="dxa"/>
            <w:shd w:val="clear" w:color="auto" w:fill="auto"/>
          </w:tcPr>
          <w:p w14:paraId="438FBA91" w14:textId="1A2E3AC1" w:rsidR="00181E66" w:rsidRPr="003A7A69" w:rsidRDefault="00181E66" w:rsidP="00181E66">
            <w:pPr>
              <w:pStyle w:val="TableTextLeft"/>
            </w:pPr>
            <w:r w:rsidRPr="001505F4">
              <w:t xml:space="preserve">Payments – Home Affairs </w:t>
            </w:r>
          </w:p>
        </w:tc>
      </w:tr>
      <w:tr w:rsidR="0039507B" w:rsidRPr="003A7A69" w14:paraId="7CCEA736" w14:textId="77777777" w:rsidTr="006C164D">
        <w:trPr>
          <w:cantSplit/>
        </w:trPr>
        <w:tc>
          <w:tcPr>
            <w:tcW w:w="1557" w:type="dxa"/>
            <w:shd w:val="clear" w:color="auto" w:fill="auto"/>
          </w:tcPr>
          <w:p w14:paraId="4694907D" w14:textId="66F4C79B" w:rsidR="0039507B" w:rsidRPr="003A7A69" w:rsidRDefault="0039507B" w:rsidP="0039507B">
            <w:pPr>
              <w:pStyle w:val="TableTextLeft"/>
            </w:pPr>
            <w:r w:rsidRPr="00AE59FC">
              <w:t>Gas Well Trials(a)</w:t>
            </w:r>
          </w:p>
        </w:tc>
        <w:tc>
          <w:tcPr>
            <w:tcW w:w="1555" w:type="dxa"/>
            <w:shd w:val="clear" w:color="auto" w:fill="auto"/>
          </w:tcPr>
          <w:p w14:paraId="4C77D404" w14:textId="579A7720" w:rsidR="0039507B" w:rsidRPr="003A7A69" w:rsidRDefault="0039507B" w:rsidP="0039507B">
            <w:pPr>
              <w:pStyle w:val="TableTextLeft"/>
            </w:pPr>
            <w:r w:rsidRPr="00AE59FC">
              <w:t>Part 2 – Other</w:t>
            </w:r>
          </w:p>
        </w:tc>
        <w:tc>
          <w:tcPr>
            <w:tcW w:w="2310" w:type="dxa"/>
            <w:shd w:val="clear" w:color="auto" w:fill="auto"/>
          </w:tcPr>
          <w:p w14:paraId="2C0D77AB" w14:textId="5BD8DD17" w:rsidR="0039507B" w:rsidRPr="003A7A69" w:rsidRDefault="0039507B" w:rsidP="0039507B">
            <w:pPr>
              <w:pStyle w:val="TableTextLeft"/>
            </w:pPr>
            <w:r w:rsidRPr="00AE59FC">
              <w:t>Working with the Australian Resources Industry on the Pathway to Net Zero</w:t>
            </w:r>
          </w:p>
        </w:tc>
        <w:tc>
          <w:tcPr>
            <w:tcW w:w="2282" w:type="dxa"/>
            <w:shd w:val="clear" w:color="auto" w:fill="auto"/>
          </w:tcPr>
          <w:p w14:paraId="1BB4A946" w14:textId="29A6ACB9" w:rsidR="0039507B" w:rsidRPr="003A7A69" w:rsidRDefault="0039507B" w:rsidP="0039507B">
            <w:pPr>
              <w:pStyle w:val="TableTextLeft"/>
            </w:pPr>
            <w:r w:rsidRPr="00AE59FC">
              <w:t>Payments – Industry, Science and Resources</w:t>
            </w:r>
          </w:p>
        </w:tc>
      </w:tr>
      <w:tr w:rsidR="00DE060D" w:rsidRPr="003A7A69" w14:paraId="3F563CFD" w14:textId="77777777" w:rsidTr="006C164D">
        <w:trPr>
          <w:cantSplit/>
        </w:trPr>
        <w:tc>
          <w:tcPr>
            <w:tcW w:w="1557" w:type="dxa"/>
            <w:shd w:val="clear" w:color="auto" w:fill="auto"/>
          </w:tcPr>
          <w:p w14:paraId="4A54E432" w14:textId="77777777" w:rsidR="00DE060D" w:rsidRDefault="00DE060D" w:rsidP="00DE060D">
            <w:pPr>
              <w:pStyle w:val="TableTextLeft"/>
            </w:pPr>
            <w:r>
              <w:t xml:space="preserve">National Legal Assistance Partnership </w:t>
            </w:r>
          </w:p>
          <w:p w14:paraId="28B76F72" w14:textId="35C33179" w:rsidR="00DE060D" w:rsidRPr="003A7A69" w:rsidRDefault="00DE060D" w:rsidP="00DE060D">
            <w:pPr>
              <w:pStyle w:val="TableTextLeft"/>
            </w:pPr>
            <w:r>
              <w:t>2020–25</w:t>
            </w:r>
          </w:p>
        </w:tc>
        <w:tc>
          <w:tcPr>
            <w:tcW w:w="1555" w:type="dxa"/>
            <w:shd w:val="clear" w:color="auto" w:fill="auto"/>
          </w:tcPr>
          <w:p w14:paraId="203B2FD3" w14:textId="1D0126F1" w:rsidR="00DE060D" w:rsidRPr="003A7A69" w:rsidRDefault="00DE060D" w:rsidP="00DE060D">
            <w:pPr>
              <w:pStyle w:val="TableTextLeft"/>
            </w:pPr>
            <w:r w:rsidRPr="000D0F30">
              <w:t xml:space="preserve">Part 2 – Other </w:t>
            </w:r>
          </w:p>
        </w:tc>
        <w:tc>
          <w:tcPr>
            <w:tcW w:w="2310" w:type="dxa"/>
            <w:shd w:val="clear" w:color="auto" w:fill="auto"/>
          </w:tcPr>
          <w:p w14:paraId="19A6691A" w14:textId="503F9A75" w:rsidR="00DE060D" w:rsidRPr="003A7A69" w:rsidRDefault="00DE060D" w:rsidP="00DE060D">
            <w:pPr>
              <w:pStyle w:val="TableTextLeft"/>
            </w:pPr>
            <w:r w:rsidRPr="000D0F30">
              <w:t xml:space="preserve">Women’s Safety </w:t>
            </w:r>
          </w:p>
        </w:tc>
        <w:tc>
          <w:tcPr>
            <w:tcW w:w="2282" w:type="dxa"/>
            <w:shd w:val="clear" w:color="auto" w:fill="auto"/>
          </w:tcPr>
          <w:p w14:paraId="201ACDCF" w14:textId="3315491B" w:rsidR="00DE060D" w:rsidRPr="003A7A69" w:rsidRDefault="00DE060D" w:rsidP="00DE060D">
            <w:pPr>
              <w:pStyle w:val="TableTextLeft"/>
            </w:pPr>
            <w:r w:rsidRPr="000D0F30">
              <w:t xml:space="preserve">Payments – Cross Portfolio </w:t>
            </w:r>
          </w:p>
        </w:tc>
      </w:tr>
      <w:tr w:rsidR="00B8228B" w:rsidRPr="003A7A69" w14:paraId="60F14B5A" w14:textId="77777777" w:rsidTr="006C164D">
        <w:trPr>
          <w:cantSplit/>
        </w:trPr>
        <w:tc>
          <w:tcPr>
            <w:tcW w:w="1557" w:type="dxa"/>
            <w:shd w:val="clear" w:color="auto" w:fill="auto"/>
          </w:tcPr>
          <w:p w14:paraId="04324B30" w14:textId="1260A738" w:rsidR="00B8228B" w:rsidRPr="003A7A69" w:rsidRDefault="00B8228B" w:rsidP="00B8228B">
            <w:pPr>
              <w:pStyle w:val="TableTextLeft"/>
            </w:pPr>
            <w:r w:rsidRPr="007416AF">
              <w:t>Commonwealth High Risk Terrorist Offender Regime</w:t>
            </w:r>
          </w:p>
        </w:tc>
        <w:tc>
          <w:tcPr>
            <w:tcW w:w="1555" w:type="dxa"/>
            <w:shd w:val="clear" w:color="auto" w:fill="auto"/>
          </w:tcPr>
          <w:p w14:paraId="187B2E55" w14:textId="20FBC7D8" w:rsidR="00B8228B" w:rsidRPr="003A7A69" w:rsidRDefault="00B8228B" w:rsidP="00B8228B">
            <w:pPr>
              <w:pStyle w:val="TableTextLeft"/>
            </w:pPr>
            <w:r w:rsidRPr="007416AF">
              <w:t>Part 2 – Other</w:t>
            </w:r>
          </w:p>
        </w:tc>
        <w:tc>
          <w:tcPr>
            <w:tcW w:w="2310" w:type="dxa"/>
            <w:shd w:val="clear" w:color="auto" w:fill="auto"/>
          </w:tcPr>
          <w:p w14:paraId="48AD27B4" w14:textId="762E5B4B" w:rsidR="00B8228B" w:rsidRPr="003A7A69" w:rsidRDefault="00B8228B" w:rsidP="00B8228B">
            <w:pPr>
              <w:pStyle w:val="TableTextLeft"/>
            </w:pPr>
            <w:r w:rsidRPr="007416AF">
              <w:t xml:space="preserve">Strengthening Australia's Arrangements for </w:t>
            </w:r>
            <w:proofErr w:type="gramStart"/>
            <w:r w:rsidRPr="007416AF">
              <w:t>High Risk</w:t>
            </w:r>
            <w:proofErr w:type="gramEnd"/>
            <w:r w:rsidRPr="007416AF">
              <w:t xml:space="preserve"> Terrorist Offenders</w:t>
            </w:r>
          </w:p>
        </w:tc>
        <w:tc>
          <w:tcPr>
            <w:tcW w:w="2282" w:type="dxa"/>
            <w:shd w:val="clear" w:color="auto" w:fill="auto"/>
          </w:tcPr>
          <w:p w14:paraId="35D90067" w14:textId="6B71446E" w:rsidR="00B8228B" w:rsidRPr="003A7A69" w:rsidRDefault="00B8228B" w:rsidP="00B8228B">
            <w:pPr>
              <w:pStyle w:val="TableTextLeft"/>
            </w:pPr>
            <w:r w:rsidRPr="007416AF">
              <w:t>Payments – Attorney General's</w:t>
            </w:r>
          </w:p>
        </w:tc>
      </w:tr>
      <w:tr w:rsidR="00953F70" w:rsidRPr="003A7A69" w14:paraId="434A8FBA" w14:textId="77777777" w:rsidTr="006C164D">
        <w:trPr>
          <w:cantSplit/>
        </w:trPr>
        <w:tc>
          <w:tcPr>
            <w:tcW w:w="1557" w:type="dxa"/>
            <w:shd w:val="clear" w:color="auto" w:fill="auto"/>
          </w:tcPr>
          <w:p w14:paraId="28921333" w14:textId="61290311" w:rsidR="00953F70" w:rsidRPr="003A7A69" w:rsidRDefault="00953F70" w:rsidP="00953F70">
            <w:pPr>
              <w:pStyle w:val="TableTextLeft"/>
            </w:pPr>
            <w:r w:rsidRPr="00B442F2">
              <w:t>Supplementary funding to South Australia for local roads</w:t>
            </w:r>
          </w:p>
        </w:tc>
        <w:tc>
          <w:tcPr>
            <w:tcW w:w="1555" w:type="dxa"/>
            <w:shd w:val="clear" w:color="auto" w:fill="auto"/>
          </w:tcPr>
          <w:p w14:paraId="06F75CFA" w14:textId="7D6792AA" w:rsidR="00953F70" w:rsidRPr="003A7A69" w:rsidRDefault="00953F70" w:rsidP="00953F70">
            <w:pPr>
              <w:pStyle w:val="TableTextLeft"/>
            </w:pPr>
            <w:r w:rsidRPr="00B442F2">
              <w:t>Part 2 – Other</w:t>
            </w:r>
          </w:p>
        </w:tc>
        <w:tc>
          <w:tcPr>
            <w:tcW w:w="2310" w:type="dxa"/>
            <w:shd w:val="clear" w:color="auto" w:fill="auto"/>
          </w:tcPr>
          <w:p w14:paraId="5AB6A74E" w14:textId="09728EC1" w:rsidR="00953F70" w:rsidRPr="003A7A69" w:rsidRDefault="00953F70" w:rsidP="00953F70">
            <w:pPr>
              <w:pStyle w:val="TableTextLeft"/>
            </w:pPr>
            <w:r w:rsidRPr="00B442F2">
              <w:t>Building a Better Future Through Considered Infrastructure Investment</w:t>
            </w:r>
          </w:p>
        </w:tc>
        <w:tc>
          <w:tcPr>
            <w:tcW w:w="2282" w:type="dxa"/>
            <w:shd w:val="clear" w:color="auto" w:fill="auto"/>
          </w:tcPr>
          <w:p w14:paraId="2C3D35ED" w14:textId="0ADB337F" w:rsidR="00953F70" w:rsidRPr="003A7A69" w:rsidRDefault="00953F70" w:rsidP="00953F70">
            <w:pPr>
              <w:pStyle w:val="TableTextLeft"/>
            </w:pPr>
            <w:r w:rsidRPr="00B442F2">
              <w:t xml:space="preserve">Payments – Infrastructure, Transport, Regional Development, </w:t>
            </w:r>
            <w:proofErr w:type="gramStart"/>
            <w:r w:rsidRPr="00B442F2">
              <w:t>Communications</w:t>
            </w:r>
            <w:proofErr w:type="gramEnd"/>
            <w:r w:rsidRPr="00B442F2">
              <w:t xml:space="preserve"> and the Arts </w:t>
            </w:r>
          </w:p>
        </w:tc>
      </w:tr>
      <w:tr w:rsidR="00F51388" w:rsidRPr="00816A67" w14:paraId="76D4CF5D" w14:textId="77777777" w:rsidTr="006C164D">
        <w:trPr>
          <w:cantSplit/>
        </w:trPr>
        <w:tc>
          <w:tcPr>
            <w:tcW w:w="1557" w:type="dxa"/>
            <w:shd w:val="clear" w:color="auto" w:fill="auto"/>
          </w:tcPr>
          <w:p w14:paraId="6F52C5AE" w14:textId="13167E57" w:rsidR="00F51388" w:rsidRPr="00816A67" w:rsidRDefault="00F51388" w:rsidP="00F51388">
            <w:pPr>
              <w:pStyle w:val="TableTextLeft"/>
              <w:rPr>
                <w:highlight w:val="yellow"/>
              </w:rPr>
            </w:pPr>
            <w:r w:rsidRPr="00C179A5">
              <w:t>GST entitlement</w:t>
            </w:r>
          </w:p>
        </w:tc>
        <w:tc>
          <w:tcPr>
            <w:tcW w:w="1555" w:type="dxa"/>
            <w:shd w:val="clear" w:color="auto" w:fill="auto"/>
          </w:tcPr>
          <w:p w14:paraId="55768BE9" w14:textId="7BC5FAFD" w:rsidR="00F51388" w:rsidRPr="00816A67" w:rsidRDefault="00F51388" w:rsidP="00F51388">
            <w:pPr>
              <w:pStyle w:val="TableTextLeft"/>
              <w:rPr>
                <w:highlight w:val="yellow"/>
              </w:rPr>
            </w:pPr>
            <w:r w:rsidRPr="00C179A5">
              <w:t>Part 3 – GST payments</w:t>
            </w:r>
          </w:p>
        </w:tc>
        <w:tc>
          <w:tcPr>
            <w:tcW w:w="2310" w:type="dxa"/>
            <w:shd w:val="clear" w:color="auto" w:fill="auto"/>
          </w:tcPr>
          <w:p w14:paraId="3FE25278" w14:textId="58F925EF" w:rsidR="00F51388" w:rsidRPr="00816A67" w:rsidRDefault="00F51388" w:rsidP="00F51388">
            <w:pPr>
              <w:pStyle w:val="TableTextLeft"/>
              <w:rPr>
                <w:highlight w:val="yellow"/>
              </w:rPr>
            </w:pPr>
            <w:r w:rsidRPr="00C179A5">
              <w:t>Reform of the Product Stewardship for Oil Scheme</w:t>
            </w:r>
          </w:p>
        </w:tc>
        <w:tc>
          <w:tcPr>
            <w:tcW w:w="2282" w:type="dxa"/>
            <w:shd w:val="clear" w:color="auto" w:fill="auto"/>
          </w:tcPr>
          <w:p w14:paraId="6882A3DA" w14:textId="678F0A74" w:rsidR="00F51388" w:rsidRPr="00C179A5" w:rsidRDefault="00F51388" w:rsidP="00F51388">
            <w:pPr>
              <w:pStyle w:val="TableTextLeft"/>
            </w:pPr>
            <w:r w:rsidRPr="00C179A5">
              <w:t>Receipts – Treasury</w:t>
            </w:r>
          </w:p>
        </w:tc>
      </w:tr>
      <w:tr w:rsidR="00176616" w:rsidRPr="00816A67" w14:paraId="1856C66A" w14:textId="77777777" w:rsidTr="006C164D">
        <w:trPr>
          <w:cantSplit/>
        </w:trPr>
        <w:tc>
          <w:tcPr>
            <w:tcW w:w="1557" w:type="dxa"/>
            <w:shd w:val="clear" w:color="auto" w:fill="auto"/>
          </w:tcPr>
          <w:p w14:paraId="3BD7D151" w14:textId="6EA10F08" w:rsidR="00176616" w:rsidRPr="00816A67" w:rsidRDefault="00176616" w:rsidP="00176616">
            <w:pPr>
              <w:pStyle w:val="TableTextLeft"/>
              <w:rPr>
                <w:highlight w:val="yellow"/>
              </w:rPr>
            </w:pPr>
            <w:r w:rsidRPr="00C179A5">
              <w:t>GST entitlement</w:t>
            </w:r>
          </w:p>
        </w:tc>
        <w:tc>
          <w:tcPr>
            <w:tcW w:w="1555" w:type="dxa"/>
            <w:shd w:val="clear" w:color="auto" w:fill="auto"/>
          </w:tcPr>
          <w:p w14:paraId="6185E71E" w14:textId="33CA9EB1" w:rsidR="00176616" w:rsidRPr="00816A67" w:rsidRDefault="00176616" w:rsidP="00176616">
            <w:pPr>
              <w:pStyle w:val="TableTextLeft"/>
              <w:rPr>
                <w:highlight w:val="yellow"/>
              </w:rPr>
            </w:pPr>
            <w:r w:rsidRPr="00C179A5">
              <w:t>Part 3 – GST payments</w:t>
            </w:r>
          </w:p>
        </w:tc>
        <w:tc>
          <w:tcPr>
            <w:tcW w:w="2310" w:type="dxa"/>
            <w:shd w:val="clear" w:color="auto" w:fill="auto"/>
          </w:tcPr>
          <w:p w14:paraId="690049CE" w14:textId="7F36BEA5" w:rsidR="00176616" w:rsidRPr="00816A67" w:rsidRDefault="00176616" w:rsidP="00176616">
            <w:pPr>
              <w:pStyle w:val="TableTextLeft"/>
              <w:rPr>
                <w:highlight w:val="yellow"/>
              </w:rPr>
            </w:pPr>
            <w:r w:rsidRPr="00C179A5">
              <w:t>Powering Australia – amendment to the Electric Car Discount</w:t>
            </w:r>
          </w:p>
        </w:tc>
        <w:tc>
          <w:tcPr>
            <w:tcW w:w="2282" w:type="dxa"/>
            <w:shd w:val="clear" w:color="auto" w:fill="auto"/>
          </w:tcPr>
          <w:p w14:paraId="4B1C50DB" w14:textId="723CB1AE" w:rsidR="00176616" w:rsidRPr="00C179A5" w:rsidRDefault="00176616" w:rsidP="00176616">
            <w:pPr>
              <w:pStyle w:val="TableTextLeft"/>
            </w:pPr>
            <w:r w:rsidRPr="00C179A5">
              <w:t>Receipts – Treasury</w:t>
            </w:r>
          </w:p>
        </w:tc>
      </w:tr>
      <w:tr w:rsidR="00176616" w:rsidRPr="00816A67" w14:paraId="1730EE1D" w14:textId="77777777" w:rsidTr="006C164D">
        <w:trPr>
          <w:cantSplit/>
        </w:trPr>
        <w:tc>
          <w:tcPr>
            <w:tcW w:w="1557" w:type="dxa"/>
            <w:shd w:val="clear" w:color="auto" w:fill="auto"/>
          </w:tcPr>
          <w:p w14:paraId="2F34E275" w14:textId="1D79563A" w:rsidR="00176616" w:rsidRPr="00816A67" w:rsidRDefault="00176616" w:rsidP="00176616">
            <w:pPr>
              <w:pStyle w:val="TableTextLeft"/>
              <w:rPr>
                <w:highlight w:val="yellow"/>
              </w:rPr>
            </w:pPr>
            <w:r w:rsidRPr="00C179A5">
              <w:t>GST entitlement</w:t>
            </w:r>
          </w:p>
        </w:tc>
        <w:tc>
          <w:tcPr>
            <w:tcW w:w="1555" w:type="dxa"/>
            <w:shd w:val="clear" w:color="auto" w:fill="auto"/>
          </w:tcPr>
          <w:p w14:paraId="1AE06677" w14:textId="52EDA5D8" w:rsidR="00176616" w:rsidRPr="00816A67" w:rsidRDefault="00176616" w:rsidP="00176616">
            <w:pPr>
              <w:pStyle w:val="TableTextLeft"/>
              <w:rPr>
                <w:highlight w:val="yellow"/>
              </w:rPr>
            </w:pPr>
            <w:r w:rsidRPr="00C179A5">
              <w:t>Part 3 – GST payments</w:t>
            </w:r>
          </w:p>
        </w:tc>
        <w:tc>
          <w:tcPr>
            <w:tcW w:w="2310" w:type="dxa"/>
            <w:shd w:val="clear" w:color="auto" w:fill="auto"/>
          </w:tcPr>
          <w:p w14:paraId="2DC7B368" w14:textId="020020D8" w:rsidR="00176616" w:rsidRPr="00816A67" w:rsidRDefault="00176616" w:rsidP="00176616">
            <w:pPr>
              <w:pStyle w:val="TableTextLeft"/>
              <w:rPr>
                <w:highlight w:val="yellow"/>
              </w:rPr>
            </w:pPr>
            <w:r w:rsidRPr="00C179A5">
              <w:t>Extending and merging the Serious Financial Crime Taskforce and Serious Organised Crime program</w:t>
            </w:r>
          </w:p>
        </w:tc>
        <w:tc>
          <w:tcPr>
            <w:tcW w:w="2282" w:type="dxa"/>
            <w:shd w:val="clear" w:color="auto" w:fill="auto"/>
          </w:tcPr>
          <w:p w14:paraId="613A5DE4" w14:textId="59F8BBFC" w:rsidR="00176616" w:rsidRPr="00C179A5" w:rsidRDefault="00176616" w:rsidP="00176616">
            <w:pPr>
              <w:pStyle w:val="TableTextLeft"/>
            </w:pPr>
            <w:r w:rsidRPr="00C179A5">
              <w:t>Receipts – Treasury</w:t>
            </w:r>
          </w:p>
        </w:tc>
      </w:tr>
      <w:tr w:rsidR="00806539" w:rsidRPr="00816A67" w14:paraId="07AC6B27" w14:textId="77777777" w:rsidTr="006C164D">
        <w:trPr>
          <w:cantSplit/>
        </w:trPr>
        <w:tc>
          <w:tcPr>
            <w:tcW w:w="1557" w:type="dxa"/>
          </w:tcPr>
          <w:p w14:paraId="5C382743" w14:textId="74D5DFD5" w:rsidR="00806539" w:rsidRPr="00816A67" w:rsidRDefault="00806539" w:rsidP="00806539">
            <w:pPr>
              <w:pStyle w:val="TableTextLeft"/>
              <w:rPr>
                <w:highlight w:val="yellow"/>
              </w:rPr>
            </w:pPr>
            <w:r w:rsidRPr="00C179A5">
              <w:t>GST entitlement</w:t>
            </w:r>
          </w:p>
        </w:tc>
        <w:tc>
          <w:tcPr>
            <w:tcW w:w="1555" w:type="dxa"/>
          </w:tcPr>
          <w:p w14:paraId="7147225C" w14:textId="4BF8E6CA" w:rsidR="00806539" w:rsidRPr="00816A67" w:rsidRDefault="00806539" w:rsidP="00806539">
            <w:pPr>
              <w:pStyle w:val="TableTextLeft"/>
              <w:rPr>
                <w:highlight w:val="yellow"/>
              </w:rPr>
            </w:pPr>
            <w:r w:rsidRPr="00C179A5">
              <w:t>Part 3 – GST payments</w:t>
            </w:r>
          </w:p>
        </w:tc>
        <w:tc>
          <w:tcPr>
            <w:tcW w:w="2310" w:type="dxa"/>
            <w:shd w:val="clear" w:color="auto" w:fill="auto"/>
          </w:tcPr>
          <w:p w14:paraId="50FE0846" w14:textId="16212EFE" w:rsidR="00806539" w:rsidRPr="00816A67" w:rsidRDefault="00806539" w:rsidP="00806539">
            <w:pPr>
              <w:pStyle w:val="TableTextLeft"/>
              <w:rPr>
                <w:highlight w:val="yellow"/>
              </w:rPr>
            </w:pPr>
            <w:r w:rsidRPr="00C179A5">
              <w:t>GST compliance program — four–year extension</w:t>
            </w:r>
          </w:p>
        </w:tc>
        <w:tc>
          <w:tcPr>
            <w:tcW w:w="2282" w:type="dxa"/>
          </w:tcPr>
          <w:p w14:paraId="3C905227" w14:textId="61FEBC1A" w:rsidR="00806539" w:rsidRPr="00C179A5" w:rsidRDefault="00806539" w:rsidP="00806539">
            <w:pPr>
              <w:pStyle w:val="TableTextLeft"/>
            </w:pPr>
            <w:r w:rsidRPr="00C179A5">
              <w:t>Receipts – Treasury</w:t>
            </w:r>
          </w:p>
        </w:tc>
      </w:tr>
      <w:tr w:rsidR="00806539" w:rsidRPr="00816A67" w14:paraId="38F2DBE1" w14:textId="77777777" w:rsidTr="006C164D">
        <w:trPr>
          <w:cantSplit/>
        </w:trPr>
        <w:tc>
          <w:tcPr>
            <w:tcW w:w="1557" w:type="dxa"/>
          </w:tcPr>
          <w:p w14:paraId="64389D77" w14:textId="04832151" w:rsidR="00806539" w:rsidRPr="00816A67" w:rsidRDefault="00806539" w:rsidP="00806539">
            <w:pPr>
              <w:pStyle w:val="TableTextLeft"/>
              <w:rPr>
                <w:highlight w:val="yellow"/>
              </w:rPr>
            </w:pPr>
            <w:r w:rsidRPr="00C179A5">
              <w:t>GST entitlement</w:t>
            </w:r>
          </w:p>
        </w:tc>
        <w:tc>
          <w:tcPr>
            <w:tcW w:w="1555" w:type="dxa"/>
          </w:tcPr>
          <w:p w14:paraId="6AFDC0E9" w14:textId="35A1DB2C" w:rsidR="00806539" w:rsidRPr="00816A67" w:rsidRDefault="00806539" w:rsidP="00806539">
            <w:pPr>
              <w:pStyle w:val="TableTextLeft"/>
              <w:rPr>
                <w:highlight w:val="yellow"/>
              </w:rPr>
            </w:pPr>
            <w:r w:rsidRPr="00C179A5">
              <w:t>Part 3 – GST payments</w:t>
            </w:r>
          </w:p>
        </w:tc>
        <w:tc>
          <w:tcPr>
            <w:tcW w:w="2310" w:type="dxa"/>
            <w:shd w:val="clear" w:color="auto" w:fill="auto"/>
          </w:tcPr>
          <w:p w14:paraId="23DE8CF4" w14:textId="6931398F" w:rsidR="00806539" w:rsidRPr="00816A67" w:rsidRDefault="00806539" w:rsidP="00806539">
            <w:pPr>
              <w:pStyle w:val="TableTextLeft"/>
              <w:rPr>
                <w:highlight w:val="yellow"/>
              </w:rPr>
            </w:pPr>
            <w:r w:rsidRPr="00C179A5">
              <w:t xml:space="preserve">Migration – </w:t>
            </w:r>
            <w:r w:rsidR="00FC375D" w:rsidRPr="00C179A5">
              <w:t xml:space="preserve">raising </w:t>
            </w:r>
            <w:r w:rsidRPr="00C179A5">
              <w:t>the Temporary Skilled Migration Income Threshold (TSMIT)</w:t>
            </w:r>
          </w:p>
        </w:tc>
        <w:tc>
          <w:tcPr>
            <w:tcW w:w="2282" w:type="dxa"/>
          </w:tcPr>
          <w:p w14:paraId="2BD22C1B" w14:textId="505C97A3" w:rsidR="00806539" w:rsidRPr="00C179A5" w:rsidRDefault="00806539" w:rsidP="00806539">
            <w:pPr>
              <w:pStyle w:val="TableTextLeft"/>
            </w:pPr>
            <w:r w:rsidRPr="00C179A5">
              <w:t>Receipts – Home Affairs</w:t>
            </w:r>
          </w:p>
        </w:tc>
      </w:tr>
      <w:tr w:rsidR="001F53A3" w:rsidRPr="00816A67" w14:paraId="31FEA40A" w14:textId="77777777" w:rsidTr="006C164D">
        <w:trPr>
          <w:cantSplit/>
          <w:trHeight w:val="20"/>
        </w:trPr>
        <w:tc>
          <w:tcPr>
            <w:tcW w:w="1557" w:type="dxa"/>
            <w:shd w:val="clear" w:color="auto" w:fill="auto"/>
          </w:tcPr>
          <w:p w14:paraId="57EA18EF" w14:textId="07F30ED2" w:rsidR="001F53A3" w:rsidRPr="00816A67" w:rsidRDefault="001F53A3" w:rsidP="001F53A3">
            <w:pPr>
              <w:pStyle w:val="TableTextLeft"/>
              <w:rPr>
                <w:highlight w:val="yellow"/>
              </w:rPr>
            </w:pPr>
            <w:r w:rsidRPr="00C179A5">
              <w:t>GST entitlement</w:t>
            </w:r>
          </w:p>
        </w:tc>
        <w:tc>
          <w:tcPr>
            <w:tcW w:w="1555" w:type="dxa"/>
            <w:shd w:val="clear" w:color="auto" w:fill="auto"/>
          </w:tcPr>
          <w:p w14:paraId="4ACB6CA1" w14:textId="128C38ED" w:rsidR="001F53A3" w:rsidRPr="00816A67" w:rsidRDefault="001F53A3" w:rsidP="001F53A3">
            <w:pPr>
              <w:pStyle w:val="TableTextLeft"/>
              <w:rPr>
                <w:highlight w:val="yellow"/>
              </w:rPr>
            </w:pPr>
            <w:r w:rsidRPr="00C179A5">
              <w:t>Part 3 – GST payments</w:t>
            </w:r>
          </w:p>
        </w:tc>
        <w:tc>
          <w:tcPr>
            <w:tcW w:w="2310" w:type="dxa"/>
            <w:shd w:val="clear" w:color="auto" w:fill="auto"/>
          </w:tcPr>
          <w:p w14:paraId="7913343A" w14:textId="28709D23" w:rsidR="001F53A3" w:rsidRPr="00816A67" w:rsidRDefault="001F53A3" w:rsidP="001F53A3">
            <w:pPr>
              <w:pStyle w:val="TableTextLeft"/>
              <w:rPr>
                <w:highlight w:val="yellow"/>
              </w:rPr>
            </w:pPr>
            <w:r w:rsidRPr="00C179A5">
              <w:t>Tax Integrity – improving engagement with taxpayers to ensure timely payment of tax and superannuation liabilities</w:t>
            </w:r>
          </w:p>
        </w:tc>
        <w:tc>
          <w:tcPr>
            <w:tcW w:w="2282" w:type="dxa"/>
            <w:shd w:val="clear" w:color="auto" w:fill="auto"/>
          </w:tcPr>
          <w:p w14:paraId="70C789CE" w14:textId="034914AC" w:rsidR="001F53A3" w:rsidRPr="00C179A5" w:rsidRDefault="001F53A3" w:rsidP="001F53A3">
            <w:pPr>
              <w:pStyle w:val="TableTextLeft"/>
            </w:pPr>
            <w:r w:rsidRPr="00C179A5">
              <w:t>Receipts – Treasury</w:t>
            </w:r>
          </w:p>
        </w:tc>
      </w:tr>
      <w:tr w:rsidR="003A616B" w:rsidRPr="00816A67" w14:paraId="66765982" w14:textId="77777777" w:rsidTr="006C164D">
        <w:trPr>
          <w:cantSplit/>
          <w:trHeight w:val="20"/>
        </w:trPr>
        <w:tc>
          <w:tcPr>
            <w:tcW w:w="1557" w:type="dxa"/>
            <w:shd w:val="clear" w:color="auto" w:fill="auto"/>
          </w:tcPr>
          <w:p w14:paraId="59A2991F" w14:textId="53614525" w:rsidR="003A616B" w:rsidRPr="00816A67" w:rsidRDefault="003A616B" w:rsidP="003A616B">
            <w:pPr>
              <w:pStyle w:val="TableTextLeft"/>
              <w:rPr>
                <w:highlight w:val="yellow"/>
              </w:rPr>
            </w:pPr>
            <w:r w:rsidRPr="00C179A5">
              <w:t>GST entitlement</w:t>
            </w:r>
          </w:p>
        </w:tc>
        <w:tc>
          <w:tcPr>
            <w:tcW w:w="1555" w:type="dxa"/>
            <w:shd w:val="clear" w:color="auto" w:fill="auto"/>
          </w:tcPr>
          <w:p w14:paraId="4DD92F39" w14:textId="55A690A7" w:rsidR="003A616B" w:rsidRPr="00816A67" w:rsidRDefault="003A616B" w:rsidP="003A616B">
            <w:pPr>
              <w:pStyle w:val="TableTextLeft"/>
              <w:rPr>
                <w:highlight w:val="yellow"/>
              </w:rPr>
            </w:pPr>
            <w:r w:rsidRPr="00C179A5">
              <w:t>Part 3 – GST payments</w:t>
            </w:r>
          </w:p>
        </w:tc>
        <w:tc>
          <w:tcPr>
            <w:tcW w:w="2310" w:type="dxa"/>
            <w:shd w:val="clear" w:color="auto" w:fill="auto"/>
          </w:tcPr>
          <w:p w14:paraId="1FF58C4E" w14:textId="72084C4D" w:rsidR="003A616B" w:rsidRPr="00816A67" w:rsidRDefault="003A616B" w:rsidP="003A616B">
            <w:pPr>
              <w:pStyle w:val="TableTextLeft"/>
              <w:rPr>
                <w:highlight w:val="yellow"/>
              </w:rPr>
            </w:pPr>
            <w:r w:rsidRPr="00C179A5">
              <w:t>Small Business Support – Helping small business manage their tax instalments and improving cashflow</w:t>
            </w:r>
          </w:p>
        </w:tc>
        <w:tc>
          <w:tcPr>
            <w:tcW w:w="2282" w:type="dxa"/>
            <w:shd w:val="clear" w:color="auto" w:fill="auto"/>
          </w:tcPr>
          <w:p w14:paraId="2A1443B6" w14:textId="43642CEB" w:rsidR="003A616B" w:rsidRPr="00C179A5" w:rsidRDefault="003A616B" w:rsidP="003A616B">
            <w:pPr>
              <w:pStyle w:val="TableTextLeft"/>
            </w:pPr>
            <w:r w:rsidRPr="00C179A5">
              <w:t>Receipts – Treasury</w:t>
            </w:r>
          </w:p>
        </w:tc>
      </w:tr>
    </w:tbl>
    <w:p w14:paraId="46AB0356" w14:textId="77777777" w:rsidR="003A616B" w:rsidRPr="00C179A5" w:rsidRDefault="003A616B" w:rsidP="003A616B">
      <w:pPr>
        <w:pStyle w:val="TableHeadingcontinued"/>
      </w:pPr>
      <w:r w:rsidRPr="00C179A5">
        <w:lastRenderedPageBreak/>
        <w:t>Table 1.4: Measures affecting payments to the states (continued)</w:t>
      </w:r>
    </w:p>
    <w:tbl>
      <w:tblPr>
        <w:tblW w:w="5000" w:type="pct"/>
        <w:tblInd w:w="-3" w:type="dxa"/>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ayout w:type="fixed"/>
        <w:tblLook w:val="04A0" w:firstRow="1" w:lastRow="0" w:firstColumn="1" w:lastColumn="0" w:noHBand="0" w:noVBand="1"/>
        <w:tblCaption w:val="Table"/>
      </w:tblPr>
      <w:tblGrid>
        <w:gridCol w:w="1557"/>
        <w:gridCol w:w="1555"/>
        <w:gridCol w:w="2310"/>
        <w:gridCol w:w="2282"/>
      </w:tblGrid>
      <w:tr w:rsidR="003A616B" w:rsidRPr="00816A67" w14:paraId="0217A1CD" w14:textId="77777777">
        <w:trPr>
          <w:cantSplit/>
        </w:trPr>
        <w:tc>
          <w:tcPr>
            <w:tcW w:w="1557" w:type="dxa"/>
          </w:tcPr>
          <w:p w14:paraId="29ABD4AF" w14:textId="77777777" w:rsidR="003A616B" w:rsidRPr="00816A67" w:rsidRDefault="003A616B" w:rsidP="003345DB">
            <w:pPr>
              <w:pStyle w:val="TableColumnHeadingLeft"/>
              <w:rPr>
                <w:highlight w:val="yellow"/>
              </w:rPr>
            </w:pPr>
            <w:r w:rsidRPr="00C179A5">
              <w:t>Payment</w:t>
            </w:r>
          </w:p>
        </w:tc>
        <w:tc>
          <w:tcPr>
            <w:tcW w:w="1555" w:type="dxa"/>
          </w:tcPr>
          <w:p w14:paraId="400AFA44" w14:textId="77777777" w:rsidR="003A616B" w:rsidRPr="00816A67" w:rsidRDefault="003A616B" w:rsidP="003345DB">
            <w:pPr>
              <w:pStyle w:val="TableColumnHeadingLeft"/>
              <w:rPr>
                <w:highlight w:val="yellow"/>
              </w:rPr>
            </w:pPr>
            <w:r w:rsidRPr="00C179A5">
              <w:t>Section of Budget Paper 3</w:t>
            </w:r>
          </w:p>
        </w:tc>
        <w:tc>
          <w:tcPr>
            <w:tcW w:w="2310" w:type="dxa"/>
            <w:shd w:val="clear" w:color="auto" w:fill="auto"/>
          </w:tcPr>
          <w:p w14:paraId="002FE17E" w14:textId="77777777" w:rsidR="003A616B" w:rsidRPr="00816A67" w:rsidRDefault="003A616B" w:rsidP="003345DB">
            <w:pPr>
              <w:pStyle w:val="TableColumnHeadingLeft"/>
              <w:rPr>
                <w:highlight w:val="yellow"/>
              </w:rPr>
            </w:pPr>
            <w:r w:rsidRPr="00C179A5">
              <w:t>Measure title</w:t>
            </w:r>
          </w:p>
        </w:tc>
        <w:tc>
          <w:tcPr>
            <w:tcW w:w="2282" w:type="dxa"/>
          </w:tcPr>
          <w:p w14:paraId="47EA49A2" w14:textId="77777777" w:rsidR="003A616B" w:rsidRPr="00C179A5" w:rsidRDefault="003A616B" w:rsidP="003345DB">
            <w:pPr>
              <w:pStyle w:val="TableColumnHeadingLeft"/>
            </w:pPr>
            <w:r w:rsidRPr="00C179A5">
              <w:t>Section of Budget Paper 2</w:t>
            </w:r>
          </w:p>
        </w:tc>
      </w:tr>
      <w:tr w:rsidR="00C35EA6" w:rsidRPr="00816A67" w14:paraId="3C894204" w14:textId="77777777">
        <w:trPr>
          <w:cantSplit/>
        </w:trPr>
        <w:tc>
          <w:tcPr>
            <w:tcW w:w="1557" w:type="dxa"/>
            <w:shd w:val="clear" w:color="auto" w:fill="auto"/>
          </w:tcPr>
          <w:p w14:paraId="5FA6DE15" w14:textId="434DB4E6" w:rsidR="00C35EA6" w:rsidRPr="00816A67" w:rsidRDefault="00C35EA6" w:rsidP="00C35EA6">
            <w:pPr>
              <w:pStyle w:val="TableTextLeft"/>
              <w:rPr>
                <w:highlight w:val="yellow"/>
              </w:rPr>
            </w:pPr>
            <w:r w:rsidRPr="00C179A5">
              <w:t>GST entitlement</w:t>
            </w:r>
          </w:p>
        </w:tc>
        <w:tc>
          <w:tcPr>
            <w:tcW w:w="1555" w:type="dxa"/>
            <w:shd w:val="clear" w:color="auto" w:fill="auto"/>
          </w:tcPr>
          <w:p w14:paraId="1FA2B6B5" w14:textId="1721C548" w:rsidR="00C35EA6" w:rsidRPr="00816A67" w:rsidRDefault="00C35EA6" w:rsidP="00C35EA6">
            <w:pPr>
              <w:pStyle w:val="TableTextLeft"/>
              <w:rPr>
                <w:highlight w:val="yellow"/>
              </w:rPr>
            </w:pPr>
            <w:r w:rsidRPr="00C179A5">
              <w:t>Part 3 – GST payments</w:t>
            </w:r>
          </w:p>
        </w:tc>
        <w:tc>
          <w:tcPr>
            <w:tcW w:w="2310" w:type="dxa"/>
            <w:shd w:val="clear" w:color="auto" w:fill="auto"/>
          </w:tcPr>
          <w:p w14:paraId="4047F786" w14:textId="059A19F3" w:rsidR="00C35EA6" w:rsidRPr="00816A67" w:rsidRDefault="00C35EA6" w:rsidP="00C35EA6">
            <w:pPr>
              <w:pStyle w:val="TableTextLeft"/>
              <w:rPr>
                <w:highlight w:val="yellow"/>
              </w:rPr>
            </w:pPr>
            <w:r w:rsidRPr="00C179A5">
              <w:t>Indirect Tax Concession Scheme – diplomatic and consular concessions</w:t>
            </w:r>
          </w:p>
        </w:tc>
        <w:tc>
          <w:tcPr>
            <w:tcW w:w="2282" w:type="dxa"/>
            <w:shd w:val="clear" w:color="auto" w:fill="auto"/>
          </w:tcPr>
          <w:p w14:paraId="23EFAB3E" w14:textId="03E23B00" w:rsidR="00C35EA6" w:rsidRPr="00C179A5" w:rsidRDefault="00C35EA6" w:rsidP="00C35EA6">
            <w:pPr>
              <w:pStyle w:val="TableTextLeft"/>
            </w:pPr>
            <w:r w:rsidRPr="00C179A5">
              <w:t>Receipts – Treasury</w:t>
            </w:r>
          </w:p>
        </w:tc>
      </w:tr>
      <w:tr w:rsidR="00C35EA6" w:rsidRPr="00816A67" w14:paraId="733353AD" w14:textId="77777777">
        <w:trPr>
          <w:cantSplit/>
        </w:trPr>
        <w:tc>
          <w:tcPr>
            <w:tcW w:w="1557" w:type="dxa"/>
            <w:shd w:val="clear" w:color="auto" w:fill="auto"/>
          </w:tcPr>
          <w:p w14:paraId="78B65AC8" w14:textId="18FE1990" w:rsidR="00C35EA6" w:rsidRPr="00816A67" w:rsidRDefault="00C35EA6" w:rsidP="00C35EA6">
            <w:pPr>
              <w:pStyle w:val="TableTextLeft"/>
              <w:rPr>
                <w:highlight w:val="yellow"/>
              </w:rPr>
            </w:pPr>
            <w:r w:rsidRPr="00C179A5">
              <w:t>GST entitlement</w:t>
            </w:r>
          </w:p>
        </w:tc>
        <w:tc>
          <w:tcPr>
            <w:tcW w:w="1555" w:type="dxa"/>
            <w:shd w:val="clear" w:color="auto" w:fill="auto"/>
          </w:tcPr>
          <w:p w14:paraId="06C5A7DE" w14:textId="67276361" w:rsidR="00C35EA6" w:rsidRPr="00816A67" w:rsidRDefault="00C35EA6" w:rsidP="00C35EA6">
            <w:pPr>
              <w:pStyle w:val="TableTextLeft"/>
              <w:rPr>
                <w:highlight w:val="yellow"/>
              </w:rPr>
            </w:pPr>
            <w:r w:rsidRPr="00C179A5">
              <w:t>Part 3 – GST payments</w:t>
            </w:r>
          </w:p>
        </w:tc>
        <w:tc>
          <w:tcPr>
            <w:tcW w:w="2310" w:type="dxa"/>
            <w:shd w:val="clear" w:color="auto" w:fill="auto"/>
          </w:tcPr>
          <w:p w14:paraId="67C590D7" w14:textId="7F48BD15" w:rsidR="00C35EA6" w:rsidRPr="00816A67" w:rsidRDefault="00C35EA6" w:rsidP="00C35EA6">
            <w:pPr>
              <w:pStyle w:val="TableTextLeft"/>
              <w:rPr>
                <w:highlight w:val="yellow"/>
              </w:rPr>
            </w:pPr>
            <w:r w:rsidRPr="00C179A5">
              <w:t>Tobacco Excise – measures to improve health outcomes and aligning the treatment of stick and non</w:t>
            </w:r>
            <w:r w:rsidR="007B46FE" w:rsidRPr="00C179A5">
              <w:t>-</w:t>
            </w:r>
            <w:r w:rsidRPr="00C179A5">
              <w:t>stick tobacco tax</w:t>
            </w:r>
          </w:p>
        </w:tc>
        <w:tc>
          <w:tcPr>
            <w:tcW w:w="2282" w:type="dxa"/>
            <w:shd w:val="clear" w:color="auto" w:fill="auto"/>
          </w:tcPr>
          <w:p w14:paraId="215273DB" w14:textId="7827EFDA" w:rsidR="00C35EA6" w:rsidRPr="00C179A5" w:rsidRDefault="00C35EA6" w:rsidP="00C35EA6">
            <w:pPr>
              <w:pStyle w:val="TableTextLeft"/>
            </w:pPr>
            <w:r w:rsidRPr="00C179A5">
              <w:t>Receipts – Home Affairs</w:t>
            </w:r>
          </w:p>
        </w:tc>
      </w:tr>
      <w:tr w:rsidR="006025FE" w:rsidRPr="00816A67" w14:paraId="7F8CAB9D" w14:textId="77777777">
        <w:trPr>
          <w:cantSplit/>
        </w:trPr>
        <w:tc>
          <w:tcPr>
            <w:tcW w:w="1557" w:type="dxa"/>
            <w:shd w:val="clear" w:color="auto" w:fill="auto"/>
          </w:tcPr>
          <w:p w14:paraId="131DF9C1" w14:textId="56ED7240" w:rsidR="006025FE" w:rsidRPr="00816A67" w:rsidRDefault="006025FE" w:rsidP="006025FE">
            <w:pPr>
              <w:pStyle w:val="TableTextLeft"/>
              <w:rPr>
                <w:highlight w:val="yellow"/>
              </w:rPr>
            </w:pPr>
            <w:r w:rsidRPr="00C179A5">
              <w:t>GST entitlement</w:t>
            </w:r>
          </w:p>
        </w:tc>
        <w:tc>
          <w:tcPr>
            <w:tcW w:w="1555" w:type="dxa"/>
            <w:shd w:val="clear" w:color="auto" w:fill="auto"/>
          </w:tcPr>
          <w:p w14:paraId="000315CB" w14:textId="6E44E3EE" w:rsidR="006025FE" w:rsidRPr="00816A67" w:rsidRDefault="006025FE" w:rsidP="006025FE">
            <w:pPr>
              <w:pStyle w:val="TableTextLeft"/>
              <w:rPr>
                <w:highlight w:val="yellow"/>
              </w:rPr>
            </w:pPr>
            <w:r w:rsidRPr="00C179A5">
              <w:t>Part 3 – GST payments</w:t>
            </w:r>
          </w:p>
        </w:tc>
        <w:tc>
          <w:tcPr>
            <w:tcW w:w="2310" w:type="dxa"/>
            <w:shd w:val="clear" w:color="auto" w:fill="auto"/>
          </w:tcPr>
          <w:p w14:paraId="317B9F5F" w14:textId="77777777" w:rsidR="006025FE" w:rsidRPr="00C179A5" w:rsidRDefault="006025FE" w:rsidP="006025FE">
            <w:pPr>
              <w:pStyle w:val="TableTextLeft"/>
            </w:pPr>
            <w:r w:rsidRPr="00C179A5">
              <w:t xml:space="preserve">Migration Program – </w:t>
            </w:r>
          </w:p>
          <w:p w14:paraId="1167B476" w14:textId="6E9DD1DB" w:rsidR="006025FE" w:rsidRPr="00816A67" w:rsidRDefault="006025FE" w:rsidP="006025FE">
            <w:pPr>
              <w:pStyle w:val="TableTextLeft"/>
              <w:rPr>
                <w:highlight w:val="yellow"/>
              </w:rPr>
            </w:pPr>
            <w:r w:rsidRPr="00C179A5">
              <w:t>2023–24 planning levels</w:t>
            </w:r>
          </w:p>
        </w:tc>
        <w:tc>
          <w:tcPr>
            <w:tcW w:w="2282" w:type="dxa"/>
            <w:shd w:val="clear" w:color="auto" w:fill="auto"/>
          </w:tcPr>
          <w:p w14:paraId="5282D0AF" w14:textId="27397A95" w:rsidR="006025FE" w:rsidRPr="00C179A5" w:rsidRDefault="006025FE" w:rsidP="006025FE">
            <w:pPr>
              <w:pStyle w:val="TableTextLeft"/>
            </w:pPr>
            <w:r w:rsidRPr="00C179A5">
              <w:t>Receipts – Home Affairs</w:t>
            </w:r>
          </w:p>
        </w:tc>
      </w:tr>
      <w:tr w:rsidR="00A25065" w:rsidRPr="00816A67" w14:paraId="3849803A" w14:textId="77777777">
        <w:trPr>
          <w:cantSplit/>
        </w:trPr>
        <w:tc>
          <w:tcPr>
            <w:tcW w:w="1557" w:type="dxa"/>
            <w:shd w:val="clear" w:color="auto" w:fill="auto"/>
          </w:tcPr>
          <w:p w14:paraId="52A0AD0E" w14:textId="51034A1B" w:rsidR="00A25065" w:rsidRPr="00816A67" w:rsidRDefault="00A25065" w:rsidP="00A25065">
            <w:pPr>
              <w:pStyle w:val="TableTextLeft"/>
              <w:rPr>
                <w:highlight w:val="yellow"/>
              </w:rPr>
            </w:pPr>
            <w:r w:rsidRPr="00C179A5">
              <w:t>GST entitlement</w:t>
            </w:r>
          </w:p>
        </w:tc>
        <w:tc>
          <w:tcPr>
            <w:tcW w:w="1555" w:type="dxa"/>
            <w:shd w:val="clear" w:color="auto" w:fill="auto"/>
          </w:tcPr>
          <w:p w14:paraId="791BD836" w14:textId="063ED750" w:rsidR="00A25065" w:rsidRPr="00816A67" w:rsidRDefault="00A25065" w:rsidP="00A25065">
            <w:pPr>
              <w:pStyle w:val="TableTextLeft"/>
              <w:rPr>
                <w:highlight w:val="yellow"/>
              </w:rPr>
            </w:pPr>
            <w:r w:rsidRPr="00C179A5">
              <w:t>Part 3 – GST payments</w:t>
            </w:r>
          </w:p>
        </w:tc>
        <w:tc>
          <w:tcPr>
            <w:tcW w:w="2310" w:type="dxa"/>
            <w:shd w:val="clear" w:color="auto" w:fill="auto"/>
          </w:tcPr>
          <w:p w14:paraId="3C427F90" w14:textId="33D6C1F3" w:rsidR="00A25065" w:rsidRPr="00816A67" w:rsidRDefault="00A25065" w:rsidP="00A25065">
            <w:pPr>
              <w:pStyle w:val="TableTextLeft"/>
              <w:rPr>
                <w:highlight w:val="yellow"/>
              </w:rPr>
            </w:pPr>
            <w:r w:rsidRPr="00C179A5">
              <w:t>Visa changes for Graduates and Students – increasing visa duration and work hours</w:t>
            </w:r>
          </w:p>
        </w:tc>
        <w:tc>
          <w:tcPr>
            <w:tcW w:w="2282" w:type="dxa"/>
            <w:shd w:val="clear" w:color="auto" w:fill="auto"/>
          </w:tcPr>
          <w:p w14:paraId="5E24792C" w14:textId="50DB4F5C" w:rsidR="00A25065" w:rsidRPr="00C179A5" w:rsidRDefault="00A25065" w:rsidP="00A25065">
            <w:pPr>
              <w:pStyle w:val="TableTextLeft"/>
            </w:pPr>
            <w:r w:rsidRPr="00C179A5">
              <w:t>Receipts – Home Affairs</w:t>
            </w:r>
          </w:p>
        </w:tc>
      </w:tr>
      <w:tr w:rsidR="00A25065" w:rsidRPr="00816A67" w14:paraId="36A7B3A1" w14:textId="77777777">
        <w:trPr>
          <w:cantSplit/>
        </w:trPr>
        <w:tc>
          <w:tcPr>
            <w:tcW w:w="1557" w:type="dxa"/>
            <w:shd w:val="clear" w:color="auto" w:fill="auto"/>
          </w:tcPr>
          <w:p w14:paraId="76C8F27B" w14:textId="08804C39" w:rsidR="00A25065" w:rsidRPr="00816A67" w:rsidRDefault="00A25065" w:rsidP="00A25065">
            <w:pPr>
              <w:pStyle w:val="TableTextLeft"/>
              <w:rPr>
                <w:highlight w:val="yellow"/>
              </w:rPr>
            </w:pPr>
            <w:r w:rsidRPr="00C179A5">
              <w:t>GST entitlement</w:t>
            </w:r>
          </w:p>
        </w:tc>
        <w:tc>
          <w:tcPr>
            <w:tcW w:w="1555" w:type="dxa"/>
            <w:shd w:val="clear" w:color="auto" w:fill="auto"/>
          </w:tcPr>
          <w:p w14:paraId="160B487B" w14:textId="3CF8EB58" w:rsidR="00A25065" w:rsidRPr="00816A67" w:rsidRDefault="00A25065" w:rsidP="00A25065">
            <w:pPr>
              <w:pStyle w:val="TableTextLeft"/>
              <w:rPr>
                <w:highlight w:val="yellow"/>
              </w:rPr>
            </w:pPr>
            <w:r w:rsidRPr="00C179A5">
              <w:t>Part 3 – GST payments</w:t>
            </w:r>
          </w:p>
        </w:tc>
        <w:tc>
          <w:tcPr>
            <w:tcW w:w="2310" w:type="dxa"/>
            <w:shd w:val="clear" w:color="auto" w:fill="auto"/>
          </w:tcPr>
          <w:p w14:paraId="49E84A75" w14:textId="34695122" w:rsidR="00A25065" w:rsidRPr="00816A67" w:rsidRDefault="00A25065" w:rsidP="00A25065">
            <w:pPr>
              <w:pStyle w:val="TableTextLeft"/>
              <w:rPr>
                <w:highlight w:val="yellow"/>
              </w:rPr>
            </w:pPr>
            <w:r w:rsidRPr="00C179A5">
              <w:t>Enhancing Pacific Engagement</w:t>
            </w:r>
          </w:p>
        </w:tc>
        <w:tc>
          <w:tcPr>
            <w:tcW w:w="2282" w:type="dxa"/>
            <w:shd w:val="clear" w:color="auto" w:fill="auto"/>
          </w:tcPr>
          <w:p w14:paraId="6F7D580C" w14:textId="475A47BD" w:rsidR="00A25065" w:rsidRPr="00C179A5" w:rsidRDefault="00A25065" w:rsidP="00A25065">
            <w:pPr>
              <w:pStyle w:val="TableTextLeft"/>
            </w:pPr>
            <w:r w:rsidRPr="00C179A5">
              <w:t>Payments – Foreign Affairs and Trade</w:t>
            </w:r>
          </w:p>
        </w:tc>
      </w:tr>
      <w:tr w:rsidR="00A25065" w:rsidRPr="00816A67" w14:paraId="50CEDA4E" w14:textId="77777777">
        <w:trPr>
          <w:cantSplit/>
        </w:trPr>
        <w:tc>
          <w:tcPr>
            <w:tcW w:w="1557" w:type="dxa"/>
            <w:shd w:val="clear" w:color="auto" w:fill="auto"/>
          </w:tcPr>
          <w:p w14:paraId="38F59685" w14:textId="6D7EF4F3" w:rsidR="00A25065" w:rsidRPr="00816A67" w:rsidRDefault="00A25065" w:rsidP="00A25065">
            <w:pPr>
              <w:pStyle w:val="TableTextLeft"/>
              <w:rPr>
                <w:highlight w:val="yellow"/>
              </w:rPr>
            </w:pPr>
            <w:r w:rsidRPr="00C179A5">
              <w:t>GST entitlement</w:t>
            </w:r>
          </w:p>
        </w:tc>
        <w:tc>
          <w:tcPr>
            <w:tcW w:w="1555" w:type="dxa"/>
            <w:shd w:val="clear" w:color="auto" w:fill="auto"/>
          </w:tcPr>
          <w:p w14:paraId="409C2E7A" w14:textId="3A87FF92" w:rsidR="00A25065" w:rsidRPr="00816A67" w:rsidRDefault="00A25065" w:rsidP="00A25065">
            <w:pPr>
              <w:pStyle w:val="TableTextLeft"/>
              <w:rPr>
                <w:highlight w:val="yellow"/>
              </w:rPr>
            </w:pPr>
            <w:r w:rsidRPr="00C179A5">
              <w:t>Part 3 – GST payments</w:t>
            </w:r>
          </w:p>
        </w:tc>
        <w:tc>
          <w:tcPr>
            <w:tcW w:w="2310" w:type="dxa"/>
            <w:shd w:val="clear" w:color="auto" w:fill="auto"/>
          </w:tcPr>
          <w:p w14:paraId="42AFE712" w14:textId="0E645018" w:rsidR="00A25065" w:rsidRPr="00816A67" w:rsidRDefault="00A25065" w:rsidP="00A25065">
            <w:pPr>
              <w:pStyle w:val="TableTextLeft"/>
              <w:rPr>
                <w:highlight w:val="yellow"/>
              </w:rPr>
            </w:pPr>
            <w:r w:rsidRPr="00C179A5">
              <w:t>Visa and Migration System</w:t>
            </w:r>
          </w:p>
        </w:tc>
        <w:tc>
          <w:tcPr>
            <w:tcW w:w="2282" w:type="dxa"/>
            <w:shd w:val="clear" w:color="auto" w:fill="auto"/>
          </w:tcPr>
          <w:p w14:paraId="714074D4" w14:textId="39616A35" w:rsidR="00A25065" w:rsidRPr="00C179A5" w:rsidRDefault="00A25065" w:rsidP="00A25065">
            <w:pPr>
              <w:pStyle w:val="TableTextLeft"/>
            </w:pPr>
            <w:r w:rsidRPr="00C179A5">
              <w:t>Payments – Home Affairs</w:t>
            </w:r>
          </w:p>
        </w:tc>
      </w:tr>
    </w:tbl>
    <w:p w14:paraId="17B54D77" w14:textId="7E6F68DA" w:rsidR="008C56E1" w:rsidRPr="00C179A5" w:rsidRDefault="00A25065" w:rsidP="00736F4C">
      <w:pPr>
        <w:pStyle w:val="ChartandTableFootnoteAlpha"/>
        <w:numPr>
          <w:ilvl w:val="0"/>
          <w:numId w:val="51"/>
        </w:numPr>
        <w:rPr>
          <w:color w:val="auto"/>
        </w:rPr>
      </w:pPr>
      <w:r w:rsidRPr="00C179A5">
        <w:rPr>
          <w:color w:val="auto"/>
        </w:rPr>
        <w:t xml:space="preserve">Measure redirects </w:t>
      </w:r>
      <w:r w:rsidR="003A457C" w:rsidRPr="00C179A5">
        <w:rPr>
          <w:color w:val="auto"/>
        </w:rPr>
        <w:t>funding allocated to states in the October Budget to fund other Australian Government policy priorities.</w:t>
      </w:r>
    </w:p>
    <w:p w14:paraId="23BE24DE" w14:textId="1588B1A9" w:rsidR="003345DB" w:rsidRPr="003345DB" w:rsidRDefault="003345DB" w:rsidP="00FB0587">
      <w:pPr>
        <w:pStyle w:val="ChartLine"/>
      </w:pPr>
    </w:p>
    <w:sectPr w:rsidR="003345DB" w:rsidRPr="003345DB" w:rsidSect="003E0BC7">
      <w:headerReference w:type="even" r:id="rId14"/>
      <w:headerReference w:type="default" r:id="rId15"/>
      <w:footerReference w:type="even" r:id="rId16"/>
      <w:footerReference w:type="default" r:id="rId17"/>
      <w:headerReference w:type="first" r:id="rId18"/>
      <w:footerReference w:type="first" r:id="rId19"/>
      <w:type w:val="oddPage"/>
      <w:pgSz w:w="11906" w:h="16838" w:code="9"/>
      <w:pgMar w:top="2835" w:right="2098" w:bottom="2466" w:left="2098" w:header="1814" w:footer="181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D7344" w14:textId="77777777" w:rsidR="00EA17D9" w:rsidRDefault="00EA17D9" w:rsidP="00E40261">
      <w:pPr>
        <w:spacing w:after="0" w:line="240" w:lineRule="auto"/>
      </w:pPr>
      <w:r>
        <w:separator/>
      </w:r>
    </w:p>
  </w:endnote>
  <w:endnote w:type="continuationSeparator" w:id="0">
    <w:p w14:paraId="6EF5F9D1" w14:textId="77777777" w:rsidR="00EA17D9" w:rsidRDefault="00EA17D9" w:rsidP="00E40261">
      <w:pPr>
        <w:spacing w:after="0" w:line="240" w:lineRule="auto"/>
      </w:pPr>
      <w:r>
        <w:continuationSeparator/>
      </w:r>
    </w:p>
  </w:endnote>
  <w:endnote w:type="continuationNotice" w:id="1">
    <w:p w14:paraId="0CEB5323" w14:textId="77777777" w:rsidR="00EA17D9" w:rsidRDefault="00EA17D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1B5C" w14:textId="5DF61F98"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E1592F">
        <w:t>Part 1: Australia’s Federal Relations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60F7" w14:textId="5EF08F22" w:rsidR="004C3F27" w:rsidRDefault="00000000" w:rsidP="002A6A16">
    <w:pPr>
      <w:pStyle w:val="FooterOdd"/>
    </w:pPr>
    <w:fldSimple w:instr="SUBJECT   \* MERGEFORMAT">
      <w:r w:rsidR="00E1592F">
        <w:t>Part 1: Australia’s Federal Relations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70DEF" w14:textId="7425AA5C" w:rsidR="00551E91" w:rsidRDefault="00000000" w:rsidP="00360947">
    <w:pPr>
      <w:pStyle w:val="FooterOdd"/>
    </w:pPr>
    <w:fldSimple w:instr="SUBJECT   \* MERGEFORMAT">
      <w:r w:rsidR="00E1592F">
        <w:t>Part 1: Australia’s Federal Relations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4CEE5" w14:textId="77777777" w:rsidR="00EA17D9" w:rsidRPr="003C1CA4" w:rsidRDefault="00EA17D9"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EC5D8AB" w14:textId="77777777" w:rsidR="00EA17D9" w:rsidRDefault="00EA17D9" w:rsidP="00E40261">
      <w:pPr>
        <w:spacing w:after="0" w:line="240" w:lineRule="auto"/>
      </w:pPr>
      <w:r>
        <w:continuationSeparator/>
      </w:r>
    </w:p>
  </w:footnote>
  <w:footnote w:type="continuationNotice" w:id="1">
    <w:p w14:paraId="54400A61" w14:textId="77777777" w:rsidR="00EA17D9" w:rsidRDefault="00EA17D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24A6" w14:textId="1839596B"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B7AB6CA" w14:textId="77777777" w:rsidTr="008C56E1">
      <w:trPr>
        <w:trHeight w:hRule="exact" w:val="340"/>
      </w:trPr>
      <w:tc>
        <w:tcPr>
          <w:tcW w:w="7797" w:type="dxa"/>
        </w:tcPr>
        <w:p w14:paraId="3224DE8E" w14:textId="62859B15" w:rsidR="008C56E1" w:rsidRPr="008C56E1" w:rsidRDefault="008C56E1" w:rsidP="008C56E1">
          <w:pPr>
            <w:pStyle w:val="HeaderEven"/>
          </w:pPr>
          <w:r w:rsidRPr="008C56E1">
            <w:rPr>
              <w:noProof/>
              <w:position w:val="-8"/>
            </w:rPr>
            <w:drawing>
              <wp:inline distT="0" distB="0" distL="0" distR="0" wp14:anchorId="5083DBB6" wp14:editId="7023755F">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TITLE   \* MERGEFORMAT">
            <w:r w:rsidR="00E1592F">
              <w:t>Budget Paper No. 3</w:t>
            </w:r>
          </w:fldSimple>
        </w:p>
      </w:tc>
    </w:tr>
  </w:tbl>
  <w:p w14:paraId="3DC34EFB" w14:textId="77777777" w:rsidR="004C3F27" w:rsidRPr="00AA5439" w:rsidRDefault="004C3F27" w:rsidP="00AA5439">
    <w:pPr>
      <w:pStyle w:val="HeaderEven"/>
      <w:rPr>
        <w:sz w:val="2"/>
        <w:szCs w:val="4"/>
      </w:rPr>
    </w:pPr>
  </w:p>
  <w:p w14:paraId="08B9C6BB"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35C5" w14:textId="393BA572"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2D7E36" w14:paraId="53A5D652" w14:textId="77777777" w:rsidTr="008C56E1">
      <w:trPr>
        <w:trHeight w:hRule="exact" w:val="340"/>
      </w:trPr>
      <w:tc>
        <w:tcPr>
          <w:tcW w:w="7797" w:type="dxa"/>
        </w:tcPr>
        <w:p w14:paraId="29D10B28" w14:textId="74A511AD" w:rsidR="002D7E36" w:rsidRPr="00D13BF9" w:rsidRDefault="00000000" w:rsidP="00D13BF9">
          <w:pPr>
            <w:pStyle w:val="HeaderOdd"/>
          </w:pPr>
          <w:fldSimple w:instr="TITLE   \* MERGEFORMAT">
            <w:r w:rsidR="00E1592F">
              <w:t>Budget Paper No. 3</w:t>
            </w:r>
          </w:fldSimple>
          <w:r w:rsidR="002D7E36" w:rsidRPr="00D13BF9">
            <w:t xml:space="preserve">  |  </w:t>
          </w:r>
          <w:r w:rsidR="002D7E36" w:rsidRPr="00C9389A">
            <w:rPr>
              <w:noProof/>
              <w:position w:val="-8"/>
            </w:rPr>
            <w:drawing>
              <wp:inline distT="0" distB="0" distL="0" distR="0" wp14:anchorId="1C1BEAFF" wp14:editId="402F761C">
                <wp:extent cx="878400" cy="1980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275376C"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906D1" w14:textId="2E1DB271" w:rsidR="004C3F27" w:rsidRDefault="004C3F27">
    <w:pPr>
      <w:pStyle w:val="Header"/>
      <w:rPr>
        <w:sz w:val="2"/>
        <w:szCs w:val="2"/>
      </w:rPr>
    </w:pPr>
  </w:p>
  <w:p w14:paraId="1E475BCA" w14:textId="77777777" w:rsidR="004C3F27" w:rsidRDefault="004C3F27">
    <w:pPr>
      <w:pStyle w:val="Header"/>
      <w:rPr>
        <w:sz w:val="2"/>
        <w:szCs w:val="2"/>
      </w:rPr>
    </w:pPr>
  </w:p>
  <w:p w14:paraId="314B91E7" w14:textId="30756309" w:rsidR="004C3F27" w:rsidRPr="005B2F30" w:rsidRDefault="004C3F27">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08C00959" wp14:editId="79ACCC08">
              <wp:simplePos x="0" y="0"/>
              <wp:positionH relativeFrom="column">
                <wp:posOffset>7560945</wp:posOffset>
              </wp:positionH>
              <wp:positionV relativeFrom="margin">
                <wp:align>bottom</wp:align>
              </wp:positionV>
              <wp:extent cx="399600" cy="4896000"/>
              <wp:effectExtent l="0" t="0" r="635" b="0"/>
              <wp:wrapNone/>
              <wp:docPr id="28" name="Text Box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E82E64" w14:textId="43F28910" w:rsidR="004C3F27" w:rsidRPr="00137C7E" w:rsidRDefault="00000000" w:rsidP="001D33D6">
                          <w:pPr>
                            <w:pStyle w:val="HeaderOdd"/>
                          </w:pPr>
                          <w:fldSimple w:instr="TITLE   \* MERGEFORMAT">
                            <w:r w:rsidR="00E1592F">
                              <w:t>Budget Paper No. 3</w:t>
                            </w:r>
                          </w:fldSimple>
                          <w:r w:rsidR="004C3F27">
                            <w:t xml:space="preserve">  |  </w:t>
                          </w:r>
                          <w:r w:rsidR="004C3F27" w:rsidRPr="000635BE">
                            <w:rPr>
                              <w:rFonts w:ascii="Arial Bold" w:hAnsi="Arial Bold"/>
                              <w:b/>
                              <w:noProof/>
                              <w:position w:val="-10"/>
                            </w:rPr>
                            <w:drawing>
                              <wp:inline distT="0" distB="0" distL="0" distR="0" wp14:anchorId="000F6863" wp14:editId="77D2E18A">
                                <wp:extent cx="1000760" cy="228609"/>
                                <wp:effectExtent l="508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00959" id="_x0000_t202" coordsize="21600,21600" o:spt="202" path="m,l,21600r21600,l21600,xe">
              <v:stroke joinstyle="miter"/>
              <v:path gradientshapeok="t" o:connecttype="rect"/>
            </v:shapetype>
            <v:shape id="Text Box 28" o:spid="_x0000_s1026" type="#_x0000_t202" alt="&quot;&quot;"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7EE82E64" w14:textId="43F28910" w:rsidR="004C3F27" w:rsidRPr="00137C7E" w:rsidRDefault="00000000" w:rsidP="001D33D6">
                    <w:pPr>
                      <w:pStyle w:val="HeaderOdd"/>
                    </w:pPr>
                    <w:fldSimple w:instr="TITLE   \* MERGEFORMAT">
                      <w:r w:rsidR="00E1592F">
                        <w:t>Budget Paper No. 3</w:t>
                      </w:r>
                    </w:fldSimple>
                    <w:r w:rsidR="004C3F27">
                      <w:t xml:space="preserve">  |  </w:t>
                    </w:r>
                    <w:r w:rsidR="004C3F27" w:rsidRPr="000635BE">
                      <w:rPr>
                        <w:rFonts w:ascii="Arial Bold" w:hAnsi="Arial Bold"/>
                        <w:b/>
                        <w:noProof/>
                        <w:position w:val="-10"/>
                      </w:rPr>
                      <w:drawing>
                        <wp:inline distT="0" distB="0" distL="0" distR="0" wp14:anchorId="000F6863" wp14:editId="77D2E18A">
                          <wp:extent cx="1000760" cy="228609"/>
                          <wp:effectExtent l="508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5BD30A6"/>
    <w:multiLevelType w:val="multilevel"/>
    <w:tmpl w:val="1EC4A49A"/>
    <w:lvl w:ilvl="0">
      <w:start w:val="1"/>
      <w:numFmt w:val="lowerLetter"/>
      <w:lvlRestart w:val="0"/>
      <w:lvlText w:val="%1)"/>
      <w:lvlJc w:val="left"/>
      <w:pPr>
        <w:tabs>
          <w:tab w:val="num" w:pos="283"/>
        </w:tabs>
        <w:ind w:left="283" w:hanging="283"/>
      </w:pPr>
      <w:rPr>
        <w:rFonts w:hint="default"/>
        <w:b w:val="0"/>
        <w:i w:val="0"/>
      </w:rPr>
    </w:lvl>
    <w:lvl w:ilvl="1">
      <w:start w:val="1"/>
      <w:numFmt w:val="bullet"/>
      <w:lvlText w:val="–"/>
      <w:lvlJc w:val="left"/>
      <w:pPr>
        <w:tabs>
          <w:tab w:val="num" w:pos="567"/>
        </w:tabs>
        <w:ind w:left="567" w:hanging="284"/>
      </w:pPr>
      <w:rPr>
        <w:rFonts w:ascii="Times New Roman" w:hAnsi="Times New Roman" w:cs="Times New Roman" w:hint="default"/>
        <w:b w:val="0"/>
        <w:i w:val="0"/>
      </w:rPr>
    </w:lvl>
    <w:lvl w:ilvl="2">
      <w:start w:val="1"/>
      <w:numFmt w:val="bulle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3" w15:restartNumberingAfterBreak="0">
    <w:nsid w:val="1647577F"/>
    <w:multiLevelType w:val="multilevel"/>
    <w:tmpl w:val="3D265706"/>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24AC13C0"/>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368B63DA"/>
    <w:multiLevelType w:val="hybridMultilevel"/>
    <w:tmpl w:val="FFFFFFFF"/>
    <w:lvl w:ilvl="0" w:tplc="485EBD1C">
      <w:start w:val="1"/>
      <w:numFmt w:val="bullet"/>
      <w:lvlText w:val=""/>
      <w:lvlJc w:val="left"/>
      <w:pPr>
        <w:ind w:left="720" w:hanging="360"/>
      </w:pPr>
      <w:rPr>
        <w:rFonts w:ascii="Symbol" w:hAnsi="Symbol" w:hint="default"/>
      </w:rPr>
    </w:lvl>
    <w:lvl w:ilvl="1" w:tplc="7890BB2A">
      <w:start w:val="1"/>
      <w:numFmt w:val="bullet"/>
      <w:lvlText w:val="–"/>
      <w:lvlJc w:val="left"/>
      <w:pPr>
        <w:ind w:left="1134" w:hanging="567"/>
      </w:pPr>
      <w:rPr>
        <w:rFonts w:ascii="Times New Roman" w:hAnsi="Times New Roman" w:hint="default"/>
      </w:rPr>
    </w:lvl>
    <w:lvl w:ilvl="2" w:tplc="D87A538A">
      <w:start w:val="1"/>
      <w:numFmt w:val="bullet"/>
      <w:lvlText w:val=""/>
      <w:lvlJc w:val="left"/>
      <w:pPr>
        <w:ind w:left="2160" w:hanging="360"/>
      </w:pPr>
      <w:rPr>
        <w:rFonts w:ascii="Wingdings" w:hAnsi="Wingdings" w:hint="default"/>
      </w:rPr>
    </w:lvl>
    <w:lvl w:ilvl="3" w:tplc="5C0EED92">
      <w:start w:val="1"/>
      <w:numFmt w:val="bullet"/>
      <w:lvlText w:val=""/>
      <w:lvlJc w:val="left"/>
      <w:pPr>
        <w:ind w:left="2880" w:hanging="360"/>
      </w:pPr>
      <w:rPr>
        <w:rFonts w:ascii="Symbol" w:hAnsi="Symbol" w:hint="default"/>
      </w:rPr>
    </w:lvl>
    <w:lvl w:ilvl="4" w:tplc="A7A6163A">
      <w:start w:val="1"/>
      <w:numFmt w:val="bullet"/>
      <w:lvlText w:val="o"/>
      <w:lvlJc w:val="left"/>
      <w:pPr>
        <w:ind w:left="3600" w:hanging="360"/>
      </w:pPr>
      <w:rPr>
        <w:rFonts w:ascii="Courier New" w:hAnsi="Courier New" w:hint="default"/>
      </w:rPr>
    </w:lvl>
    <w:lvl w:ilvl="5" w:tplc="0438375A">
      <w:start w:val="1"/>
      <w:numFmt w:val="bullet"/>
      <w:lvlText w:val=""/>
      <w:lvlJc w:val="left"/>
      <w:pPr>
        <w:ind w:left="4320" w:hanging="360"/>
      </w:pPr>
      <w:rPr>
        <w:rFonts w:ascii="Wingdings" w:hAnsi="Wingdings" w:hint="default"/>
      </w:rPr>
    </w:lvl>
    <w:lvl w:ilvl="6" w:tplc="F79CA94A">
      <w:start w:val="1"/>
      <w:numFmt w:val="bullet"/>
      <w:lvlText w:val=""/>
      <w:lvlJc w:val="left"/>
      <w:pPr>
        <w:ind w:left="5040" w:hanging="360"/>
      </w:pPr>
      <w:rPr>
        <w:rFonts w:ascii="Symbol" w:hAnsi="Symbol" w:hint="default"/>
      </w:rPr>
    </w:lvl>
    <w:lvl w:ilvl="7" w:tplc="30F6D2A0">
      <w:start w:val="1"/>
      <w:numFmt w:val="bullet"/>
      <w:lvlText w:val="o"/>
      <w:lvlJc w:val="left"/>
      <w:pPr>
        <w:ind w:left="5760" w:hanging="360"/>
      </w:pPr>
      <w:rPr>
        <w:rFonts w:ascii="Courier New" w:hAnsi="Courier New" w:hint="default"/>
      </w:rPr>
    </w:lvl>
    <w:lvl w:ilvl="8" w:tplc="D89A2818">
      <w:start w:val="1"/>
      <w:numFmt w:val="bullet"/>
      <w:lvlText w:val=""/>
      <w:lvlJc w:val="left"/>
      <w:pPr>
        <w:ind w:left="6480" w:hanging="360"/>
      </w:pPr>
      <w:rPr>
        <w:rFonts w:ascii="Wingdings" w:hAnsi="Wingdings" w:hint="default"/>
      </w:rPr>
    </w:lvl>
  </w:abstractNum>
  <w:abstractNum w:abstractNumId="16" w15:restartNumberingAfterBreak="0">
    <w:nsid w:val="3B2E19AC"/>
    <w:multiLevelType w:val="singleLevel"/>
    <w:tmpl w:val="5E88FC0A"/>
    <w:lvl w:ilvl="0">
      <w:start w:val="1"/>
      <w:numFmt w:val="lowerLetter"/>
      <w:lvlText w:val="%1)"/>
      <w:lvlJc w:val="left"/>
      <w:pPr>
        <w:ind w:left="360" w:hanging="360"/>
      </w:pPr>
      <w:rPr>
        <w:rFonts w:asciiTheme="minorHAnsi" w:eastAsia="Times New Roman" w:hAnsiTheme="minorHAnsi" w:cs="Times New Roman"/>
        <w:b w:val="0"/>
        <w:i w:val="0"/>
        <w:color w:val="000000"/>
        <w:sz w:val="16"/>
      </w:rPr>
    </w:lvl>
  </w:abstractNum>
  <w:abstractNum w:abstractNumId="17" w15:restartNumberingAfterBreak="0">
    <w:nsid w:val="3E515A71"/>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9" w15:restartNumberingAfterBreak="0">
    <w:nsid w:val="4B084398"/>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52537E46"/>
    <w:multiLevelType w:val="hybridMultilevel"/>
    <w:tmpl w:val="9C8AC726"/>
    <w:lvl w:ilvl="0" w:tplc="FCDC518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2" w15:restartNumberingAfterBreak="0">
    <w:nsid w:val="6E726CF9"/>
    <w:multiLevelType w:val="hybridMultilevel"/>
    <w:tmpl w:val="25FC9192"/>
    <w:lvl w:ilvl="0" w:tplc="CC0ECAF8">
      <w:start w:val="36"/>
      <w:numFmt w:val="bullet"/>
      <w:lvlText w:val="-"/>
      <w:lvlJc w:val="left"/>
      <w:pPr>
        <w:ind w:left="720" w:hanging="360"/>
      </w:pPr>
      <w:rPr>
        <w:rFonts w:ascii="Book Antiqua" w:eastAsia="Times New Roman" w:hAnsi="Book Antiqua" w:cs="Times New Roman" w:hint="default"/>
      </w:rPr>
    </w:lvl>
    <w:lvl w:ilvl="1" w:tplc="24ECC98A" w:tentative="1">
      <w:start w:val="1"/>
      <w:numFmt w:val="bullet"/>
      <w:lvlText w:val="o"/>
      <w:lvlJc w:val="left"/>
      <w:pPr>
        <w:ind w:left="1440" w:hanging="360"/>
      </w:pPr>
      <w:rPr>
        <w:rFonts w:ascii="Courier New" w:hAnsi="Courier New" w:cs="Courier New" w:hint="default"/>
      </w:rPr>
    </w:lvl>
    <w:lvl w:ilvl="2" w:tplc="28AA70CA" w:tentative="1">
      <w:start w:val="1"/>
      <w:numFmt w:val="bullet"/>
      <w:lvlText w:val=""/>
      <w:lvlJc w:val="left"/>
      <w:pPr>
        <w:ind w:left="2160" w:hanging="360"/>
      </w:pPr>
      <w:rPr>
        <w:rFonts w:ascii="Wingdings" w:hAnsi="Wingdings" w:hint="default"/>
      </w:rPr>
    </w:lvl>
    <w:lvl w:ilvl="3" w:tplc="7FF66726" w:tentative="1">
      <w:start w:val="1"/>
      <w:numFmt w:val="bullet"/>
      <w:lvlText w:val=""/>
      <w:lvlJc w:val="left"/>
      <w:pPr>
        <w:ind w:left="2880" w:hanging="360"/>
      </w:pPr>
      <w:rPr>
        <w:rFonts w:ascii="Symbol" w:hAnsi="Symbol" w:hint="default"/>
      </w:rPr>
    </w:lvl>
    <w:lvl w:ilvl="4" w:tplc="AF606DA2" w:tentative="1">
      <w:start w:val="1"/>
      <w:numFmt w:val="bullet"/>
      <w:lvlText w:val="o"/>
      <w:lvlJc w:val="left"/>
      <w:pPr>
        <w:ind w:left="3600" w:hanging="360"/>
      </w:pPr>
      <w:rPr>
        <w:rFonts w:ascii="Courier New" w:hAnsi="Courier New" w:cs="Courier New" w:hint="default"/>
      </w:rPr>
    </w:lvl>
    <w:lvl w:ilvl="5" w:tplc="597C4C92" w:tentative="1">
      <w:start w:val="1"/>
      <w:numFmt w:val="bullet"/>
      <w:lvlText w:val=""/>
      <w:lvlJc w:val="left"/>
      <w:pPr>
        <w:ind w:left="4320" w:hanging="360"/>
      </w:pPr>
      <w:rPr>
        <w:rFonts w:ascii="Wingdings" w:hAnsi="Wingdings" w:hint="default"/>
      </w:rPr>
    </w:lvl>
    <w:lvl w:ilvl="6" w:tplc="D8583F3C" w:tentative="1">
      <w:start w:val="1"/>
      <w:numFmt w:val="bullet"/>
      <w:lvlText w:val=""/>
      <w:lvlJc w:val="left"/>
      <w:pPr>
        <w:ind w:left="5040" w:hanging="360"/>
      </w:pPr>
      <w:rPr>
        <w:rFonts w:ascii="Symbol" w:hAnsi="Symbol" w:hint="default"/>
      </w:rPr>
    </w:lvl>
    <w:lvl w:ilvl="7" w:tplc="32B25C18" w:tentative="1">
      <w:start w:val="1"/>
      <w:numFmt w:val="bullet"/>
      <w:lvlText w:val="o"/>
      <w:lvlJc w:val="left"/>
      <w:pPr>
        <w:ind w:left="5760" w:hanging="360"/>
      </w:pPr>
      <w:rPr>
        <w:rFonts w:ascii="Courier New" w:hAnsi="Courier New" w:cs="Courier New" w:hint="default"/>
      </w:rPr>
    </w:lvl>
    <w:lvl w:ilvl="8" w:tplc="602E18CE" w:tentative="1">
      <w:start w:val="1"/>
      <w:numFmt w:val="bullet"/>
      <w:lvlText w:val=""/>
      <w:lvlJc w:val="left"/>
      <w:pPr>
        <w:ind w:left="6480" w:hanging="360"/>
      </w:pPr>
      <w:rPr>
        <w:rFonts w:ascii="Wingdings" w:hAnsi="Wingdings" w:hint="default"/>
      </w:rPr>
    </w:lvl>
  </w:abstractNum>
  <w:abstractNum w:abstractNumId="23" w15:restartNumberingAfterBreak="0">
    <w:nsid w:val="7E2C3C2E"/>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403410866">
    <w:abstractNumId w:val="18"/>
  </w:num>
  <w:num w:numId="2" w16cid:durableId="70975900">
    <w:abstractNumId w:val="11"/>
  </w:num>
  <w:num w:numId="3" w16cid:durableId="1903564601">
    <w:abstractNumId w:val="10"/>
  </w:num>
  <w:num w:numId="4" w16cid:durableId="778522229">
    <w:abstractNumId w:val="13"/>
  </w:num>
  <w:num w:numId="5" w16cid:durableId="308556280">
    <w:abstractNumId w:val="21"/>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3"/>
  </w:num>
  <w:num w:numId="19" w16cid:durableId="521162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36428862">
    <w:abstractNumId w:val="19"/>
  </w:num>
  <w:num w:numId="22" w16cid:durableId="1194227891">
    <w:abstractNumId w:val="19"/>
    <w:lvlOverride w:ilvl="0">
      <w:startOverride w:val="1"/>
    </w:lvlOverride>
  </w:num>
  <w:num w:numId="23" w16cid:durableId="88700392">
    <w:abstractNumId w:val="19"/>
    <w:lvlOverride w:ilvl="0">
      <w:startOverride w:val="1"/>
    </w:lvlOverride>
  </w:num>
  <w:num w:numId="24" w16cid:durableId="40790730">
    <w:abstractNumId w:val="12"/>
  </w:num>
  <w:num w:numId="25" w16cid:durableId="276371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3508748">
    <w:abstractNumId w:val="19"/>
    <w:lvlOverride w:ilvl="0">
      <w:startOverride w:val="1"/>
    </w:lvlOverride>
  </w:num>
  <w:num w:numId="27" w16cid:durableId="440493131">
    <w:abstractNumId w:val="22"/>
  </w:num>
  <w:num w:numId="28" w16cid:durableId="5715048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33193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59999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347669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46295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87213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49239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462139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29387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59088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928763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072384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839307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9784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8397006">
    <w:abstractNumId w:val="16"/>
  </w:num>
  <w:num w:numId="43" w16cid:durableId="1934120384">
    <w:abstractNumId w:val="16"/>
    <w:lvlOverride w:ilvl="0">
      <w:startOverride w:val="1"/>
    </w:lvlOverride>
  </w:num>
  <w:num w:numId="44" w16cid:durableId="298730120">
    <w:abstractNumId w:val="16"/>
    <w:lvlOverride w:ilvl="0">
      <w:startOverride w:val="1"/>
    </w:lvlOverride>
  </w:num>
  <w:num w:numId="45" w16cid:durableId="314722436">
    <w:abstractNumId w:val="16"/>
    <w:lvlOverride w:ilvl="0">
      <w:startOverride w:val="1"/>
    </w:lvlOverride>
  </w:num>
  <w:num w:numId="46" w16cid:durableId="1652712063">
    <w:abstractNumId w:val="17"/>
  </w:num>
  <w:num w:numId="47" w16cid:durableId="1585915387">
    <w:abstractNumId w:val="14"/>
  </w:num>
  <w:num w:numId="48" w16cid:durableId="1244072772">
    <w:abstractNumId w:val="23"/>
  </w:num>
  <w:num w:numId="49" w16cid:durableId="1294403249">
    <w:abstractNumId w:val="15"/>
  </w:num>
  <w:num w:numId="50" w16cid:durableId="8819865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46397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85757650">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3F2AA7"/>
    <w:rsid w:val="000002A3"/>
    <w:rsid w:val="000004EA"/>
    <w:rsid w:val="0000085C"/>
    <w:rsid w:val="000008DE"/>
    <w:rsid w:val="00001539"/>
    <w:rsid w:val="00001D03"/>
    <w:rsid w:val="000020C0"/>
    <w:rsid w:val="000025A7"/>
    <w:rsid w:val="000025DB"/>
    <w:rsid w:val="0000301F"/>
    <w:rsid w:val="000035B6"/>
    <w:rsid w:val="000038AC"/>
    <w:rsid w:val="00003DF7"/>
    <w:rsid w:val="0000453D"/>
    <w:rsid w:val="00004E09"/>
    <w:rsid w:val="00005451"/>
    <w:rsid w:val="000059FF"/>
    <w:rsid w:val="00005A8E"/>
    <w:rsid w:val="00005CA8"/>
    <w:rsid w:val="000061F1"/>
    <w:rsid w:val="00007CE6"/>
    <w:rsid w:val="00010357"/>
    <w:rsid w:val="0001149E"/>
    <w:rsid w:val="00011DBB"/>
    <w:rsid w:val="00012D2B"/>
    <w:rsid w:val="00012FAB"/>
    <w:rsid w:val="000136A4"/>
    <w:rsid w:val="00013C35"/>
    <w:rsid w:val="00013EA8"/>
    <w:rsid w:val="00014763"/>
    <w:rsid w:val="00014854"/>
    <w:rsid w:val="00014924"/>
    <w:rsid w:val="00014945"/>
    <w:rsid w:val="00014BC6"/>
    <w:rsid w:val="000155D7"/>
    <w:rsid w:val="00015F2A"/>
    <w:rsid w:val="000161FC"/>
    <w:rsid w:val="000164B7"/>
    <w:rsid w:val="000167FE"/>
    <w:rsid w:val="00016E54"/>
    <w:rsid w:val="000179E4"/>
    <w:rsid w:val="000209F5"/>
    <w:rsid w:val="0002106B"/>
    <w:rsid w:val="00021285"/>
    <w:rsid w:val="0002260F"/>
    <w:rsid w:val="00022EB0"/>
    <w:rsid w:val="000231AC"/>
    <w:rsid w:val="000241EB"/>
    <w:rsid w:val="00024A15"/>
    <w:rsid w:val="00024BA4"/>
    <w:rsid w:val="0002533E"/>
    <w:rsid w:val="0002542F"/>
    <w:rsid w:val="00025518"/>
    <w:rsid w:val="00025A0E"/>
    <w:rsid w:val="00025E6A"/>
    <w:rsid w:val="000267B3"/>
    <w:rsid w:val="00026A2B"/>
    <w:rsid w:val="00026A9F"/>
    <w:rsid w:val="00030DF2"/>
    <w:rsid w:val="0003117F"/>
    <w:rsid w:val="000312CB"/>
    <w:rsid w:val="0003248D"/>
    <w:rsid w:val="0003279A"/>
    <w:rsid w:val="00032F7B"/>
    <w:rsid w:val="00033711"/>
    <w:rsid w:val="000344CE"/>
    <w:rsid w:val="00034D5E"/>
    <w:rsid w:val="00035050"/>
    <w:rsid w:val="000350F6"/>
    <w:rsid w:val="00035236"/>
    <w:rsid w:val="00035655"/>
    <w:rsid w:val="00035D72"/>
    <w:rsid w:val="00035D8D"/>
    <w:rsid w:val="0003665C"/>
    <w:rsid w:val="00037F8D"/>
    <w:rsid w:val="00041095"/>
    <w:rsid w:val="0004195A"/>
    <w:rsid w:val="00041CEF"/>
    <w:rsid w:val="0004229B"/>
    <w:rsid w:val="00044A09"/>
    <w:rsid w:val="00046585"/>
    <w:rsid w:val="00046F12"/>
    <w:rsid w:val="00047204"/>
    <w:rsid w:val="0004724F"/>
    <w:rsid w:val="0004774E"/>
    <w:rsid w:val="00047CC9"/>
    <w:rsid w:val="00050F24"/>
    <w:rsid w:val="000510E7"/>
    <w:rsid w:val="00051735"/>
    <w:rsid w:val="000518C2"/>
    <w:rsid w:val="000523AA"/>
    <w:rsid w:val="000536D8"/>
    <w:rsid w:val="0005384F"/>
    <w:rsid w:val="000538FF"/>
    <w:rsid w:val="000546EB"/>
    <w:rsid w:val="00054D1B"/>
    <w:rsid w:val="00055868"/>
    <w:rsid w:val="00055FC3"/>
    <w:rsid w:val="0005658C"/>
    <w:rsid w:val="00056AF4"/>
    <w:rsid w:val="00056E2F"/>
    <w:rsid w:val="000574B2"/>
    <w:rsid w:val="00057CD3"/>
    <w:rsid w:val="000604B5"/>
    <w:rsid w:val="000609E7"/>
    <w:rsid w:val="00061456"/>
    <w:rsid w:val="0006189D"/>
    <w:rsid w:val="00061C80"/>
    <w:rsid w:val="00061DF8"/>
    <w:rsid w:val="000621D8"/>
    <w:rsid w:val="000622DA"/>
    <w:rsid w:val="000624CB"/>
    <w:rsid w:val="000624D2"/>
    <w:rsid w:val="00063532"/>
    <w:rsid w:val="000635BE"/>
    <w:rsid w:val="00064854"/>
    <w:rsid w:val="00067EC0"/>
    <w:rsid w:val="000708D2"/>
    <w:rsid w:val="00070B85"/>
    <w:rsid w:val="00071448"/>
    <w:rsid w:val="00071457"/>
    <w:rsid w:val="00071D98"/>
    <w:rsid w:val="0007221E"/>
    <w:rsid w:val="00072A27"/>
    <w:rsid w:val="00073158"/>
    <w:rsid w:val="00073C54"/>
    <w:rsid w:val="000740F6"/>
    <w:rsid w:val="00074571"/>
    <w:rsid w:val="000745AD"/>
    <w:rsid w:val="000753F1"/>
    <w:rsid w:val="00076E3F"/>
    <w:rsid w:val="00076F13"/>
    <w:rsid w:val="000770AE"/>
    <w:rsid w:val="00080A49"/>
    <w:rsid w:val="00080A7B"/>
    <w:rsid w:val="00080C27"/>
    <w:rsid w:val="00080F7A"/>
    <w:rsid w:val="0008109B"/>
    <w:rsid w:val="000819A5"/>
    <w:rsid w:val="00081C17"/>
    <w:rsid w:val="00082BA2"/>
    <w:rsid w:val="00082BE1"/>
    <w:rsid w:val="00082C90"/>
    <w:rsid w:val="00083178"/>
    <w:rsid w:val="00083372"/>
    <w:rsid w:val="00083884"/>
    <w:rsid w:val="0008399A"/>
    <w:rsid w:val="00083B69"/>
    <w:rsid w:val="00083BA0"/>
    <w:rsid w:val="00084CE5"/>
    <w:rsid w:val="00084DC7"/>
    <w:rsid w:val="0008597F"/>
    <w:rsid w:val="00086532"/>
    <w:rsid w:val="00086F30"/>
    <w:rsid w:val="00087B0F"/>
    <w:rsid w:val="00087F07"/>
    <w:rsid w:val="00090859"/>
    <w:rsid w:val="00090CBA"/>
    <w:rsid w:val="0009165F"/>
    <w:rsid w:val="00091BB5"/>
    <w:rsid w:val="00092040"/>
    <w:rsid w:val="0009267B"/>
    <w:rsid w:val="000928A8"/>
    <w:rsid w:val="000933C0"/>
    <w:rsid w:val="0009420F"/>
    <w:rsid w:val="00094C5D"/>
    <w:rsid w:val="0009533C"/>
    <w:rsid w:val="000958EB"/>
    <w:rsid w:val="00095F92"/>
    <w:rsid w:val="00096108"/>
    <w:rsid w:val="00096290"/>
    <w:rsid w:val="000968CF"/>
    <w:rsid w:val="00096916"/>
    <w:rsid w:val="000A086F"/>
    <w:rsid w:val="000A0AAC"/>
    <w:rsid w:val="000A1537"/>
    <w:rsid w:val="000A1701"/>
    <w:rsid w:val="000A246B"/>
    <w:rsid w:val="000A294A"/>
    <w:rsid w:val="000A2C90"/>
    <w:rsid w:val="000A3330"/>
    <w:rsid w:val="000A34FA"/>
    <w:rsid w:val="000A5233"/>
    <w:rsid w:val="000A5623"/>
    <w:rsid w:val="000A664D"/>
    <w:rsid w:val="000A7446"/>
    <w:rsid w:val="000B04AA"/>
    <w:rsid w:val="000B0C23"/>
    <w:rsid w:val="000B15EC"/>
    <w:rsid w:val="000B1E85"/>
    <w:rsid w:val="000B23CF"/>
    <w:rsid w:val="000B2F73"/>
    <w:rsid w:val="000B3206"/>
    <w:rsid w:val="000B38A8"/>
    <w:rsid w:val="000B488C"/>
    <w:rsid w:val="000B4D40"/>
    <w:rsid w:val="000B56B9"/>
    <w:rsid w:val="000B635F"/>
    <w:rsid w:val="000B6803"/>
    <w:rsid w:val="000B737E"/>
    <w:rsid w:val="000B77B6"/>
    <w:rsid w:val="000C0EE8"/>
    <w:rsid w:val="000C135F"/>
    <w:rsid w:val="000C2182"/>
    <w:rsid w:val="000C22C3"/>
    <w:rsid w:val="000C2384"/>
    <w:rsid w:val="000C2599"/>
    <w:rsid w:val="000C265B"/>
    <w:rsid w:val="000C2B4D"/>
    <w:rsid w:val="000C321A"/>
    <w:rsid w:val="000C330C"/>
    <w:rsid w:val="000C36BF"/>
    <w:rsid w:val="000C36EC"/>
    <w:rsid w:val="000C3826"/>
    <w:rsid w:val="000C3DB1"/>
    <w:rsid w:val="000C40CE"/>
    <w:rsid w:val="000C4886"/>
    <w:rsid w:val="000C61C0"/>
    <w:rsid w:val="000C6EEE"/>
    <w:rsid w:val="000C7A17"/>
    <w:rsid w:val="000C7C13"/>
    <w:rsid w:val="000D037F"/>
    <w:rsid w:val="000D215C"/>
    <w:rsid w:val="000D31A9"/>
    <w:rsid w:val="000D36A8"/>
    <w:rsid w:val="000D3EA5"/>
    <w:rsid w:val="000D4F7D"/>
    <w:rsid w:val="000D6455"/>
    <w:rsid w:val="000D78F4"/>
    <w:rsid w:val="000D79A4"/>
    <w:rsid w:val="000D7E8A"/>
    <w:rsid w:val="000E02B0"/>
    <w:rsid w:val="000E0DA6"/>
    <w:rsid w:val="000E105B"/>
    <w:rsid w:val="000E149B"/>
    <w:rsid w:val="000E1E1C"/>
    <w:rsid w:val="000E3291"/>
    <w:rsid w:val="000E35A8"/>
    <w:rsid w:val="000E39A5"/>
    <w:rsid w:val="000E3FD2"/>
    <w:rsid w:val="000E4511"/>
    <w:rsid w:val="000E492C"/>
    <w:rsid w:val="000E4A23"/>
    <w:rsid w:val="000E5C6E"/>
    <w:rsid w:val="000E5DDF"/>
    <w:rsid w:val="000E725B"/>
    <w:rsid w:val="000F0D50"/>
    <w:rsid w:val="000F1786"/>
    <w:rsid w:val="000F1FD3"/>
    <w:rsid w:val="000F28D9"/>
    <w:rsid w:val="000F2A0A"/>
    <w:rsid w:val="000F2E30"/>
    <w:rsid w:val="000F4DF4"/>
    <w:rsid w:val="000F591E"/>
    <w:rsid w:val="000F5C15"/>
    <w:rsid w:val="000F6036"/>
    <w:rsid w:val="000F6140"/>
    <w:rsid w:val="000F6A11"/>
    <w:rsid w:val="000F6E0C"/>
    <w:rsid w:val="000F74D0"/>
    <w:rsid w:val="000F7A04"/>
    <w:rsid w:val="000F7CBC"/>
    <w:rsid w:val="00100673"/>
    <w:rsid w:val="00101BFD"/>
    <w:rsid w:val="00102C92"/>
    <w:rsid w:val="00102DDE"/>
    <w:rsid w:val="00103F65"/>
    <w:rsid w:val="00104A23"/>
    <w:rsid w:val="00106D3F"/>
    <w:rsid w:val="00106E76"/>
    <w:rsid w:val="00106EDF"/>
    <w:rsid w:val="00107859"/>
    <w:rsid w:val="001078CD"/>
    <w:rsid w:val="00110542"/>
    <w:rsid w:val="00110546"/>
    <w:rsid w:val="001112D0"/>
    <w:rsid w:val="00111422"/>
    <w:rsid w:val="0011175D"/>
    <w:rsid w:val="00111C4A"/>
    <w:rsid w:val="0011373D"/>
    <w:rsid w:val="00113B2F"/>
    <w:rsid w:val="00113FA0"/>
    <w:rsid w:val="001143C0"/>
    <w:rsid w:val="00114719"/>
    <w:rsid w:val="00114891"/>
    <w:rsid w:val="00114A8C"/>
    <w:rsid w:val="00114E15"/>
    <w:rsid w:val="00115266"/>
    <w:rsid w:val="00115DE0"/>
    <w:rsid w:val="00116A96"/>
    <w:rsid w:val="00116DBC"/>
    <w:rsid w:val="00116E0D"/>
    <w:rsid w:val="00116F45"/>
    <w:rsid w:val="00117127"/>
    <w:rsid w:val="00120AC5"/>
    <w:rsid w:val="001212AC"/>
    <w:rsid w:val="0012186D"/>
    <w:rsid w:val="00121F1C"/>
    <w:rsid w:val="00122F06"/>
    <w:rsid w:val="00123814"/>
    <w:rsid w:val="00124A74"/>
    <w:rsid w:val="001252DB"/>
    <w:rsid w:val="001258E1"/>
    <w:rsid w:val="00126931"/>
    <w:rsid w:val="001276AF"/>
    <w:rsid w:val="00127992"/>
    <w:rsid w:val="00127BE6"/>
    <w:rsid w:val="0013022E"/>
    <w:rsid w:val="001306E9"/>
    <w:rsid w:val="001309E7"/>
    <w:rsid w:val="00131A4C"/>
    <w:rsid w:val="00131B6C"/>
    <w:rsid w:val="00131CB1"/>
    <w:rsid w:val="001321FA"/>
    <w:rsid w:val="00132239"/>
    <w:rsid w:val="0013291C"/>
    <w:rsid w:val="00133FED"/>
    <w:rsid w:val="001342BF"/>
    <w:rsid w:val="001350BB"/>
    <w:rsid w:val="001353A4"/>
    <w:rsid w:val="00135976"/>
    <w:rsid w:val="00135DA4"/>
    <w:rsid w:val="00135E79"/>
    <w:rsid w:val="00135F3A"/>
    <w:rsid w:val="00135FE9"/>
    <w:rsid w:val="001361AB"/>
    <w:rsid w:val="00136C09"/>
    <w:rsid w:val="001373B3"/>
    <w:rsid w:val="00140127"/>
    <w:rsid w:val="001402F5"/>
    <w:rsid w:val="00140C2E"/>
    <w:rsid w:val="00141725"/>
    <w:rsid w:val="00141D55"/>
    <w:rsid w:val="00141FB7"/>
    <w:rsid w:val="001426B6"/>
    <w:rsid w:val="00142EB1"/>
    <w:rsid w:val="0014304D"/>
    <w:rsid w:val="00143683"/>
    <w:rsid w:val="001438F4"/>
    <w:rsid w:val="0014449E"/>
    <w:rsid w:val="001444AA"/>
    <w:rsid w:val="0014476E"/>
    <w:rsid w:val="00145472"/>
    <w:rsid w:val="00145478"/>
    <w:rsid w:val="0014692F"/>
    <w:rsid w:val="00146E54"/>
    <w:rsid w:val="001472CA"/>
    <w:rsid w:val="00147A40"/>
    <w:rsid w:val="00147BCF"/>
    <w:rsid w:val="00150EB1"/>
    <w:rsid w:val="001521AD"/>
    <w:rsid w:val="0015267A"/>
    <w:rsid w:val="0015282A"/>
    <w:rsid w:val="00153C66"/>
    <w:rsid w:val="001549A2"/>
    <w:rsid w:val="00154AF9"/>
    <w:rsid w:val="00154BF7"/>
    <w:rsid w:val="00156405"/>
    <w:rsid w:val="001576FE"/>
    <w:rsid w:val="00157A4A"/>
    <w:rsid w:val="0016023D"/>
    <w:rsid w:val="001604DF"/>
    <w:rsid w:val="001605D3"/>
    <w:rsid w:val="00160928"/>
    <w:rsid w:val="00160991"/>
    <w:rsid w:val="00161531"/>
    <w:rsid w:val="001618A6"/>
    <w:rsid w:val="001618DD"/>
    <w:rsid w:val="00162777"/>
    <w:rsid w:val="001639B0"/>
    <w:rsid w:val="00163D0F"/>
    <w:rsid w:val="001647D8"/>
    <w:rsid w:val="00165641"/>
    <w:rsid w:val="00165C8F"/>
    <w:rsid w:val="001666CE"/>
    <w:rsid w:val="00166C8E"/>
    <w:rsid w:val="00166F09"/>
    <w:rsid w:val="001707C3"/>
    <w:rsid w:val="00170D1C"/>
    <w:rsid w:val="00171048"/>
    <w:rsid w:val="001711AC"/>
    <w:rsid w:val="001713A9"/>
    <w:rsid w:val="00171527"/>
    <w:rsid w:val="00172658"/>
    <w:rsid w:val="00172CFE"/>
    <w:rsid w:val="001730A9"/>
    <w:rsid w:val="00173448"/>
    <w:rsid w:val="00173962"/>
    <w:rsid w:val="00173CB6"/>
    <w:rsid w:val="00174389"/>
    <w:rsid w:val="00174DB9"/>
    <w:rsid w:val="00174F0E"/>
    <w:rsid w:val="00175143"/>
    <w:rsid w:val="0017597D"/>
    <w:rsid w:val="00175D82"/>
    <w:rsid w:val="00175FA4"/>
    <w:rsid w:val="00176616"/>
    <w:rsid w:val="0017698D"/>
    <w:rsid w:val="0017733C"/>
    <w:rsid w:val="00180439"/>
    <w:rsid w:val="0018133D"/>
    <w:rsid w:val="00181E66"/>
    <w:rsid w:val="00183149"/>
    <w:rsid w:val="00184A51"/>
    <w:rsid w:val="0018525D"/>
    <w:rsid w:val="001854EC"/>
    <w:rsid w:val="0018570B"/>
    <w:rsid w:val="00185B07"/>
    <w:rsid w:val="0018610A"/>
    <w:rsid w:val="001863B2"/>
    <w:rsid w:val="00186453"/>
    <w:rsid w:val="00186F40"/>
    <w:rsid w:val="00187271"/>
    <w:rsid w:val="00187360"/>
    <w:rsid w:val="0018760D"/>
    <w:rsid w:val="00187BD6"/>
    <w:rsid w:val="00187D6C"/>
    <w:rsid w:val="001910C4"/>
    <w:rsid w:val="0019115B"/>
    <w:rsid w:val="00191244"/>
    <w:rsid w:val="00193FD4"/>
    <w:rsid w:val="0019428F"/>
    <w:rsid w:val="00194867"/>
    <w:rsid w:val="00194C67"/>
    <w:rsid w:val="001954DC"/>
    <w:rsid w:val="0019554D"/>
    <w:rsid w:val="0019681D"/>
    <w:rsid w:val="001970E6"/>
    <w:rsid w:val="00197613"/>
    <w:rsid w:val="001A1259"/>
    <w:rsid w:val="001A1897"/>
    <w:rsid w:val="001A1B29"/>
    <w:rsid w:val="001A217B"/>
    <w:rsid w:val="001A28F0"/>
    <w:rsid w:val="001A3380"/>
    <w:rsid w:val="001A4B08"/>
    <w:rsid w:val="001A538A"/>
    <w:rsid w:val="001A5A92"/>
    <w:rsid w:val="001A6136"/>
    <w:rsid w:val="001A6644"/>
    <w:rsid w:val="001A7712"/>
    <w:rsid w:val="001A7ED6"/>
    <w:rsid w:val="001A7F92"/>
    <w:rsid w:val="001B02A6"/>
    <w:rsid w:val="001B089D"/>
    <w:rsid w:val="001B0BD3"/>
    <w:rsid w:val="001B0E3F"/>
    <w:rsid w:val="001B1142"/>
    <w:rsid w:val="001B1234"/>
    <w:rsid w:val="001B14BC"/>
    <w:rsid w:val="001B309F"/>
    <w:rsid w:val="001B313E"/>
    <w:rsid w:val="001B436B"/>
    <w:rsid w:val="001B44E4"/>
    <w:rsid w:val="001B4D6D"/>
    <w:rsid w:val="001B5C3A"/>
    <w:rsid w:val="001B5FA4"/>
    <w:rsid w:val="001B6711"/>
    <w:rsid w:val="001B6AE4"/>
    <w:rsid w:val="001B72CE"/>
    <w:rsid w:val="001C0285"/>
    <w:rsid w:val="001C0711"/>
    <w:rsid w:val="001C0A44"/>
    <w:rsid w:val="001C0E2B"/>
    <w:rsid w:val="001C15F1"/>
    <w:rsid w:val="001C29BA"/>
    <w:rsid w:val="001C2CFF"/>
    <w:rsid w:val="001C2EBA"/>
    <w:rsid w:val="001C43B8"/>
    <w:rsid w:val="001C536D"/>
    <w:rsid w:val="001C5529"/>
    <w:rsid w:val="001C5D11"/>
    <w:rsid w:val="001C5E21"/>
    <w:rsid w:val="001C5E55"/>
    <w:rsid w:val="001C6029"/>
    <w:rsid w:val="001C6738"/>
    <w:rsid w:val="001C704F"/>
    <w:rsid w:val="001C7760"/>
    <w:rsid w:val="001C7782"/>
    <w:rsid w:val="001C7ADD"/>
    <w:rsid w:val="001C7FCF"/>
    <w:rsid w:val="001D03DD"/>
    <w:rsid w:val="001D050C"/>
    <w:rsid w:val="001D11D5"/>
    <w:rsid w:val="001D128D"/>
    <w:rsid w:val="001D142F"/>
    <w:rsid w:val="001D2144"/>
    <w:rsid w:val="001D33D6"/>
    <w:rsid w:val="001D34DD"/>
    <w:rsid w:val="001D35D7"/>
    <w:rsid w:val="001D4811"/>
    <w:rsid w:val="001D4BFF"/>
    <w:rsid w:val="001D4C93"/>
    <w:rsid w:val="001D503F"/>
    <w:rsid w:val="001D5B66"/>
    <w:rsid w:val="001D6999"/>
    <w:rsid w:val="001D723C"/>
    <w:rsid w:val="001E00A0"/>
    <w:rsid w:val="001E0ACE"/>
    <w:rsid w:val="001E1944"/>
    <w:rsid w:val="001E1C27"/>
    <w:rsid w:val="001E2445"/>
    <w:rsid w:val="001E291D"/>
    <w:rsid w:val="001E2E35"/>
    <w:rsid w:val="001E382C"/>
    <w:rsid w:val="001E41AC"/>
    <w:rsid w:val="001E421F"/>
    <w:rsid w:val="001E443C"/>
    <w:rsid w:val="001E5429"/>
    <w:rsid w:val="001E585D"/>
    <w:rsid w:val="001E5BF8"/>
    <w:rsid w:val="001E6FD3"/>
    <w:rsid w:val="001E7625"/>
    <w:rsid w:val="001F000E"/>
    <w:rsid w:val="001F02D5"/>
    <w:rsid w:val="001F03C8"/>
    <w:rsid w:val="001F08E1"/>
    <w:rsid w:val="001F159E"/>
    <w:rsid w:val="001F19E4"/>
    <w:rsid w:val="001F1B3E"/>
    <w:rsid w:val="001F1D68"/>
    <w:rsid w:val="001F23A7"/>
    <w:rsid w:val="001F24CE"/>
    <w:rsid w:val="001F2920"/>
    <w:rsid w:val="001F33AE"/>
    <w:rsid w:val="001F4004"/>
    <w:rsid w:val="001F53A3"/>
    <w:rsid w:val="001F54A1"/>
    <w:rsid w:val="001F615D"/>
    <w:rsid w:val="001F648E"/>
    <w:rsid w:val="001F6564"/>
    <w:rsid w:val="001F75C7"/>
    <w:rsid w:val="00200F28"/>
    <w:rsid w:val="002011CD"/>
    <w:rsid w:val="00201697"/>
    <w:rsid w:val="002020D1"/>
    <w:rsid w:val="002021CA"/>
    <w:rsid w:val="002030EC"/>
    <w:rsid w:val="00203ACF"/>
    <w:rsid w:val="0020427C"/>
    <w:rsid w:val="00205944"/>
    <w:rsid w:val="00206A05"/>
    <w:rsid w:val="002103DF"/>
    <w:rsid w:val="002109F3"/>
    <w:rsid w:val="002110D6"/>
    <w:rsid w:val="0021148F"/>
    <w:rsid w:val="00211C3C"/>
    <w:rsid w:val="002123A6"/>
    <w:rsid w:val="0021260A"/>
    <w:rsid w:val="00212881"/>
    <w:rsid w:val="00214337"/>
    <w:rsid w:val="00214378"/>
    <w:rsid w:val="002143A8"/>
    <w:rsid w:val="00214807"/>
    <w:rsid w:val="00215B2D"/>
    <w:rsid w:val="00216101"/>
    <w:rsid w:val="00216130"/>
    <w:rsid w:val="00216BBC"/>
    <w:rsid w:val="00217195"/>
    <w:rsid w:val="00217500"/>
    <w:rsid w:val="002176BE"/>
    <w:rsid w:val="0022176B"/>
    <w:rsid w:val="00221DAF"/>
    <w:rsid w:val="0022315F"/>
    <w:rsid w:val="00223276"/>
    <w:rsid w:val="00223543"/>
    <w:rsid w:val="002236C3"/>
    <w:rsid w:val="002236DB"/>
    <w:rsid w:val="00224551"/>
    <w:rsid w:val="00224F80"/>
    <w:rsid w:val="00225167"/>
    <w:rsid w:val="00226A00"/>
    <w:rsid w:val="002271F5"/>
    <w:rsid w:val="00227CC2"/>
    <w:rsid w:val="0023027A"/>
    <w:rsid w:val="0023067A"/>
    <w:rsid w:val="0023075C"/>
    <w:rsid w:val="00230FDA"/>
    <w:rsid w:val="002313AA"/>
    <w:rsid w:val="0023203A"/>
    <w:rsid w:val="00232BB1"/>
    <w:rsid w:val="002330BB"/>
    <w:rsid w:val="002337C2"/>
    <w:rsid w:val="00233BA8"/>
    <w:rsid w:val="002349A1"/>
    <w:rsid w:val="00234DFC"/>
    <w:rsid w:val="00235C8C"/>
    <w:rsid w:val="00235E91"/>
    <w:rsid w:val="0023653A"/>
    <w:rsid w:val="002369DB"/>
    <w:rsid w:val="002371AA"/>
    <w:rsid w:val="00237F04"/>
    <w:rsid w:val="002417BE"/>
    <w:rsid w:val="002418AD"/>
    <w:rsid w:val="00241ED8"/>
    <w:rsid w:val="00242462"/>
    <w:rsid w:val="00242479"/>
    <w:rsid w:val="00242A0F"/>
    <w:rsid w:val="00242E63"/>
    <w:rsid w:val="0024300C"/>
    <w:rsid w:val="00243A8E"/>
    <w:rsid w:val="0024417B"/>
    <w:rsid w:val="00244ABE"/>
    <w:rsid w:val="00244BDA"/>
    <w:rsid w:val="002451D5"/>
    <w:rsid w:val="0024521A"/>
    <w:rsid w:val="002453CF"/>
    <w:rsid w:val="00245A97"/>
    <w:rsid w:val="00246112"/>
    <w:rsid w:val="00246700"/>
    <w:rsid w:val="00246C46"/>
    <w:rsid w:val="0024723C"/>
    <w:rsid w:val="0024733C"/>
    <w:rsid w:val="00247351"/>
    <w:rsid w:val="002479A7"/>
    <w:rsid w:val="00247FDB"/>
    <w:rsid w:val="00250208"/>
    <w:rsid w:val="0025059B"/>
    <w:rsid w:val="00251C4F"/>
    <w:rsid w:val="002526CF"/>
    <w:rsid w:val="002527C1"/>
    <w:rsid w:val="00252BDA"/>
    <w:rsid w:val="00252C02"/>
    <w:rsid w:val="0025306B"/>
    <w:rsid w:val="00253104"/>
    <w:rsid w:val="00253589"/>
    <w:rsid w:val="00254857"/>
    <w:rsid w:val="002551FE"/>
    <w:rsid w:val="00255B0E"/>
    <w:rsid w:val="00256895"/>
    <w:rsid w:val="0025691F"/>
    <w:rsid w:val="00256BD8"/>
    <w:rsid w:val="0025733F"/>
    <w:rsid w:val="00257598"/>
    <w:rsid w:val="0025763F"/>
    <w:rsid w:val="00257868"/>
    <w:rsid w:val="002602DE"/>
    <w:rsid w:val="00260C69"/>
    <w:rsid w:val="00260E2E"/>
    <w:rsid w:val="00261291"/>
    <w:rsid w:val="00262AB8"/>
    <w:rsid w:val="00262DD3"/>
    <w:rsid w:val="00263BD6"/>
    <w:rsid w:val="0026451E"/>
    <w:rsid w:val="00264DF7"/>
    <w:rsid w:val="00265E7B"/>
    <w:rsid w:val="0026601B"/>
    <w:rsid w:val="002662A6"/>
    <w:rsid w:val="002662FE"/>
    <w:rsid w:val="0026654B"/>
    <w:rsid w:val="0026689F"/>
    <w:rsid w:val="00266C0C"/>
    <w:rsid w:val="00267200"/>
    <w:rsid w:val="002702A0"/>
    <w:rsid w:val="00270454"/>
    <w:rsid w:val="00271BB2"/>
    <w:rsid w:val="0027214E"/>
    <w:rsid w:val="00272886"/>
    <w:rsid w:val="0027567E"/>
    <w:rsid w:val="00275DAB"/>
    <w:rsid w:val="00276B24"/>
    <w:rsid w:val="00277924"/>
    <w:rsid w:val="00280281"/>
    <w:rsid w:val="00281716"/>
    <w:rsid w:val="0028176F"/>
    <w:rsid w:val="00281CB7"/>
    <w:rsid w:val="00281F6D"/>
    <w:rsid w:val="002827E3"/>
    <w:rsid w:val="00282E79"/>
    <w:rsid w:val="002830AD"/>
    <w:rsid w:val="00283241"/>
    <w:rsid w:val="00283FF9"/>
    <w:rsid w:val="002856D7"/>
    <w:rsid w:val="0028614F"/>
    <w:rsid w:val="0028650E"/>
    <w:rsid w:val="00286B04"/>
    <w:rsid w:val="00286D41"/>
    <w:rsid w:val="0028762A"/>
    <w:rsid w:val="0028795B"/>
    <w:rsid w:val="0029005B"/>
    <w:rsid w:val="002903C3"/>
    <w:rsid w:val="0029173D"/>
    <w:rsid w:val="00291AEE"/>
    <w:rsid w:val="0029500B"/>
    <w:rsid w:val="00295FFC"/>
    <w:rsid w:val="0029603A"/>
    <w:rsid w:val="00296A88"/>
    <w:rsid w:val="00296D48"/>
    <w:rsid w:val="00296FAD"/>
    <w:rsid w:val="002A08B0"/>
    <w:rsid w:val="002A0B47"/>
    <w:rsid w:val="002A0BF2"/>
    <w:rsid w:val="002A146C"/>
    <w:rsid w:val="002A15E3"/>
    <w:rsid w:val="002A239C"/>
    <w:rsid w:val="002A2C0A"/>
    <w:rsid w:val="002A32F2"/>
    <w:rsid w:val="002A39C0"/>
    <w:rsid w:val="002A3DB0"/>
    <w:rsid w:val="002A4DE7"/>
    <w:rsid w:val="002A6A16"/>
    <w:rsid w:val="002A6D7D"/>
    <w:rsid w:val="002A716B"/>
    <w:rsid w:val="002A74D5"/>
    <w:rsid w:val="002A7D54"/>
    <w:rsid w:val="002B14B8"/>
    <w:rsid w:val="002B1778"/>
    <w:rsid w:val="002B29B9"/>
    <w:rsid w:val="002B2EB5"/>
    <w:rsid w:val="002B3F3C"/>
    <w:rsid w:val="002B3F5F"/>
    <w:rsid w:val="002B4AB5"/>
    <w:rsid w:val="002B4E4F"/>
    <w:rsid w:val="002B6106"/>
    <w:rsid w:val="002B6A73"/>
    <w:rsid w:val="002B7156"/>
    <w:rsid w:val="002B76A2"/>
    <w:rsid w:val="002B7DE4"/>
    <w:rsid w:val="002B7EE0"/>
    <w:rsid w:val="002C03B9"/>
    <w:rsid w:val="002C1D6C"/>
    <w:rsid w:val="002C2097"/>
    <w:rsid w:val="002C2A2D"/>
    <w:rsid w:val="002C3162"/>
    <w:rsid w:val="002C3ABC"/>
    <w:rsid w:val="002C3D49"/>
    <w:rsid w:val="002C3DEB"/>
    <w:rsid w:val="002C41D1"/>
    <w:rsid w:val="002C43D5"/>
    <w:rsid w:val="002C45D4"/>
    <w:rsid w:val="002C49C7"/>
    <w:rsid w:val="002C4E33"/>
    <w:rsid w:val="002C5720"/>
    <w:rsid w:val="002C596C"/>
    <w:rsid w:val="002C63F1"/>
    <w:rsid w:val="002C676A"/>
    <w:rsid w:val="002C739C"/>
    <w:rsid w:val="002D108C"/>
    <w:rsid w:val="002D205C"/>
    <w:rsid w:val="002D2B11"/>
    <w:rsid w:val="002D2D33"/>
    <w:rsid w:val="002D3BE7"/>
    <w:rsid w:val="002D3C71"/>
    <w:rsid w:val="002D41F2"/>
    <w:rsid w:val="002D6C7F"/>
    <w:rsid w:val="002D7353"/>
    <w:rsid w:val="002D7572"/>
    <w:rsid w:val="002D789E"/>
    <w:rsid w:val="002D78CC"/>
    <w:rsid w:val="002D7E36"/>
    <w:rsid w:val="002E03F5"/>
    <w:rsid w:val="002E11EF"/>
    <w:rsid w:val="002E18A2"/>
    <w:rsid w:val="002E1A24"/>
    <w:rsid w:val="002E1E08"/>
    <w:rsid w:val="002E1E09"/>
    <w:rsid w:val="002E2438"/>
    <w:rsid w:val="002E2628"/>
    <w:rsid w:val="002E2DBB"/>
    <w:rsid w:val="002E3093"/>
    <w:rsid w:val="002E356A"/>
    <w:rsid w:val="002E3A08"/>
    <w:rsid w:val="002E4A44"/>
    <w:rsid w:val="002E55B5"/>
    <w:rsid w:val="002E5B40"/>
    <w:rsid w:val="002E5CCE"/>
    <w:rsid w:val="002E5E88"/>
    <w:rsid w:val="002E638A"/>
    <w:rsid w:val="002E6B38"/>
    <w:rsid w:val="002E6B3B"/>
    <w:rsid w:val="002E7B71"/>
    <w:rsid w:val="002E7C72"/>
    <w:rsid w:val="002F10AA"/>
    <w:rsid w:val="002F18C5"/>
    <w:rsid w:val="002F19EF"/>
    <w:rsid w:val="002F1CB4"/>
    <w:rsid w:val="002F2F7B"/>
    <w:rsid w:val="002F324F"/>
    <w:rsid w:val="002F3E6E"/>
    <w:rsid w:val="002F40F3"/>
    <w:rsid w:val="002F477F"/>
    <w:rsid w:val="002F492B"/>
    <w:rsid w:val="002F5125"/>
    <w:rsid w:val="002F5306"/>
    <w:rsid w:val="002F5356"/>
    <w:rsid w:val="002F6468"/>
    <w:rsid w:val="002F66D3"/>
    <w:rsid w:val="002F6B4C"/>
    <w:rsid w:val="002F704B"/>
    <w:rsid w:val="002F76EC"/>
    <w:rsid w:val="003004FC"/>
    <w:rsid w:val="003005FC"/>
    <w:rsid w:val="00300648"/>
    <w:rsid w:val="0030097A"/>
    <w:rsid w:val="00300D24"/>
    <w:rsid w:val="003011D7"/>
    <w:rsid w:val="003012A2"/>
    <w:rsid w:val="003022DD"/>
    <w:rsid w:val="00302785"/>
    <w:rsid w:val="00302867"/>
    <w:rsid w:val="00302E46"/>
    <w:rsid w:val="003041C4"/>
    <w:rsid w:val="00304535"/>
    <w:rsid w:val="00304B08"/>
    <w:rsid w:val="003050E4"/>
    <w:rsid w:val="00305105"/>
    <w:rsid w:val="00305249"/>
    <w:rsid w:val="003058C6"/>
    <w:rsid w:val="00305DFA"/>
    <w:rsid w:val="003063DF"/>
    <w:rsid w:val="00306C84"/>
    <w:rsid w:val="0030726C"/>
    <w:rsid w:val="00307292"/>
    <w:rsid w:val="00307846"/>
    <w:rsid w:val="003078AC"/>
    <w:rsid w:val="00307ECB"/>
    <w:rsid w:val="00307F38"/>
    <w:rsid w:val="00310647"/>
    <w:rsid w:val="0031091F"/>
    <w:rsid w:val="00310B90"/>
    <w:rsid w:val="00311CFF"/>
    <w:rsid w:val="00312DE2"/>
    <w:rsid w:val="00312F47"/>
    <w:rsid w:val="00313589"/>
    <w:rsid w:val="0031376F"/>
    <w:rsid w:val="00313A89"/>
    <w:rsid w:val="00313AED"/>
    <w:rsid w:val="00313D34"/>
    <w:rsid w:val="00314829"/>
    <w:rsid w:val="0031580F"/>
    <w:rsid w:val="003159D6"/>
    <w:rsid w:val="00316356"/>
    <w:rsid w:val="00316987"/>
    <w:rsid w:val="00316DAA"/>
    <w:rsid w:val="00317D35"/>
    <w:rsid w:val="003200DF"/>
    <w:rsid w:val="0032052B"/>
    <w:rsid w:val="003206D6"/>
    <w:rsid w:val="00320B02"/>
    <w:rsid w:val="003210B2"/>
    <w:rsid w:val="00321964"/>
    <w:rsid w:val="00321B46"/>
    <w:rsid w:val="00323A46"/>
    <w:rsid w:val="00323DE6"/>
    <w:rsid w:val="00323E45"/>
    <w:rsid w:val="00325C60"/>
    <w:rsid w:val="0032627D"/>
    <w:rsid w:val="0032636E"/>
    <w:rsid w:val="00326CA0"/>
    <w:rsid w:val="00326CBD"/>
    <w:rsid w:val="003271F0"/>
    <w:rsid w:val="00327917"/>
    <w:rsid w:val="00327984"/>
    <w:rsid w:val="00327992"/>
    <w:rsid w:val="003303B0"/>
    <w:rsid w:val="00330449"/>
    <w:rsid w:val="00330810"/>
    <w:rsid w:val="00330B2C"/>
    <w:rsid w:val="00331C87"/>
    <w:rsid w:val="00332015"/>
    <w:rsid w:val="00332BBB"/>
    <w:rsid w:val="00333081"/>
    <w:rsid w:val="0033366E"/>
    <w:rsid w:val="00333C4A"/>
    <w:rsid w:val="003345DB"/>
    <w:rsid w:val="00334DD6"/>
    <w:rsid w:val="00335145"/>
    <w:rsid w:val="003356E6"/>
    <w:rsid w:val="003370A7"/>
    <w:rsid w:val="00337658"/>
    <w:rsid w:val="00340181"/>
    <w:rsid w:val="00340891"/>
    <w:rsid w:val="00340AAA"/>
    <w:rsid w:val="00340EB3"/>
    <w:rsid w:val="003418D0"/>
    <w:rsid w:val="00342125"/>
    <w:rsid w:val="003421CD"/>
    <w:rsid w:val="00342246"/>
    <w:rsid w:val="00342429"/>
    <w:rsid w:val="00343185"/>
    <w:rsid w:val="00343773"/>
    <w:rsid w:val="00344422"/>
    <w:rsid w:val="00344CEA"/>
    <w:rsid w:val="00344D64"/>
    <w:rsid w:val="003451F5"/>
    <w:rsid w:val="003452C8"/>
    <w:rsid w:val="0034541A"/>
    <w:rsid w:val="003456F9"/>
    <w:rsid w:val="00346598"/>
    <w:rsid w:val="003465EC"/>
    <w:rsid w:val="00346D32"/>
    <w:rsid w:val="003478ED"/>
    <w:rsid w:val="003506C0"/>
    <w:rsid w:val="0035155E"/>
    <w:rsid w:val="003515CC"/>
    <w:rsid w:val="00351B12"/>
    <w:rsid w:val="00351C7B"/>
    <w:rsid w:val="00351CCA"/>
    <w:rsid w:val="00351E02"/>
    <w:rsid w:val="00351F34"/>
    <w:rsid w:val="00352943"/>
    <w:rsid w:val="00352EC6"/>
    <w:rsid w:val="0035337E"/>
    <w:rsid w:val="0035355D"/>
    <w:rsid w:val="003538BE"/>
    <w:rsid w:val="00354704"/>
    <w:rsid w:val="00355AFF"/>
    <w:rsid w:val="00355B4F"/>
    <w:rsid w:val="00355DB4"/>
    <w:rsid w:val="003569A1"/>
    <w:rsid w:val="003571E8"/>
    <w:rsid w:val="003573B9"/>
    <w:rsid w:val="00357497"/>
    <w:rsid w:val="00357595"/>
    <w:rsid w:val="00357899"/>
    <w:rsid w:val="003579E2"/>
    <w:rsid w:val="0036019E"/>
    <w:rsid w:val="00360884"/>
    <w:rsid w:val="00360947"/>
    <w:rsid w:val="003610F8"/>
    <w:rsid w:val="003619E8"/>
    <w:rsid w:val="00361D0B"/>
    <w:rsid w:val="00361EF8"/>
    <w:rsid w:val="00364BB7"/>
    <w:rsid w:val="00365289"/>
    <w:rsid w:val="00365304"/>
    <w:rsid w:val="003655D5"/>
    <w:rsid w:val="003660A0"/>
    <w:rsid w:val="003666F3"/>
    <w:rsid w:val="00366A5A"/>
    <w:rsid w:val="00367462"/>
    <w:rsid w:val="00367ADA"/>
    <w:rsid w:val="0037128D"/>
    <w:rsid w:val="00371E4D"/>
    <w:rsid w:val="00372B82"/>
    <w:rsid w:val="003736F2"/>
    <w:rsid w:val="00373B09"/>
    <w:rsid w:val="00374084"/>
    <w:rsid w:val="00374555"/>
    <w:rsid w:val="00374676"/>
    <w:rsid w:val="003749E8"/>
    <w:rsid w:val="00374C78"/>
    <w:rsid w:val="00375186"/>
    <w:rsid w:val="00375190"/>
    <w:rsid w:val="0037594D"/>
    <w:rsid w:val="00375D60"/>
    <w:rsid w:val="00375EAB"/>
    <w:rsid w:val="00376330"/>
    <w:rsid w:val="00376749"/>
    <w:rsid w:val="003770FA"/>
    <w:rsid w:val="0037726A"/>
    <w:rsid w:val="00377927"/>
    <w:rsid w:val="00380053"/>
    <w:rsid w:val="00381D29"/>
    <w:rsid w:val="0038225B"/>
    <w:rsid w:val="003826FD"/>
    <w:rsid w:val="00382A3E"/>
    <w:rsid w:val="00382E3D"/>
    <w:rsid w:val="00383167"/>
    <w:rsid w:val="003848C4"/>
    <w:rsid w:val="00384F1B"/>
    <w:rsid w:val="0038527E"/>
    <w:rsid w:val="0038618B"/>
    <w:rsid w:val="00386DE6"/>
    <w:rsid w:val="00387423"/>
    <w:rsid w:val="00387476"/>
    <w:rsid w:val="003878AE"/>
    <w:rsid w:val="00391347"/>
    <w:rsid w:val="003919BD"/>
    <w:rsid w:val="00391ABE"/>
    <w:rsid w:val="00391D8D"/>
    <w:rsid w:val="00392890"/>
    <w:rsid w:val="003943D1"/>
    <w:rsid w:val="00394A39"/>
    <w:rsid w:val="00395079"/>
    <w:rsid w:val="0039507B"/>
    <w:rsid w:val="0039515B"/>
    <w:rsid w:val="003951E8"/>
    <w:rsid w:val="00395EF6"/>
    <w:rsid w:val="003A064A"/>
    <w:rsid w:val="003A0D6B"/>
    <w:rsid w:val="003A0F5D"/>
    <w:rsid w:val="003A1BF6"/>
    <w:rsid w:val="003A21AD"/>
    <w:rsid w:val="003A229E"/>
    <w:rsid w:val="003A2EB3"/>
    <w:rsid w:val="003A32A0"/>
    <w:rsid w:val="003A3AC2"/>
    <w:rsid w:val="003A3AC7"/>
    <w:rsid w:val="003A457C"/>
    <w:rsid w:val="003A4C82"/>
    <w:rsid w:val="003A616B"/>
    <w:rsid w:val="003A61DB"/>
    <w:rsid w:val="003A67CB"/>
    <w:rsid w:val="003A6C46"/>
    <w:rsid w:val="003A6D8C"/>
    <w:rsid w:val="003A7A69"/>
    <w:rsid w:val="003B00B0"/>
    <w:rsid w:val="003B0420"/>
    <w:rsid w:val="003B0536"/>
    <w:rsid w:val="003B1216"/>
    <w:rsid w:val="003B17E5"/>
    <w:rsid w:val="003B2A0A"/>
    <w:rsid w:val="003B301E"/>
    <w:rsid w:val="003B3670"/>
    <w:rsid w:val="003B37D0"/>
    <w:rsid w:val="003B3AA4"/>
    <w:rsid w:val="003B470F"/>
    <w:rsid w:val="003B4AD5"/>
    <w:rsid w:val="003B518D"/>
    <w:rsid w:val="003B54F7"/>
    <w:rsid w:val="003B55F4"/>
    <w:rsid w:val="003B5B1A"/>
    <w:rsid w:val="003B68E4"/>
    <w:rsid w:val="003B696F"/>
    <w:rsid w:val="003B762A"/>
    <w:rsid w:val="003B7644"/>
    <w:rsid w:val="003B7865"/>
    <w:rsid w:val="003C0063"/>
    <w:rsid w:val="003C055F"/>
    <w:rsid w:val="003C0603"/>
    <w:rsid w:val="003C0616"/>
    <w:rsid w:val="003C0854"/>
    <w:rsid w:val="003C1580"/>
    <w:rsid w:val="003C1CA4"/>
    <w:rsid w:val="003C2268"/>
    <w:rsid w:val="003C2EC8"/>
    <w:rsid w:val="003C36A8"/>
    <w:rsid w:val="003C383D"/>
    <w:rsid w:val="003C3AF1"/>
    <w:rsid w:val="003C3B1A"/>
    <w:rsid w:val="003C43A2"/>
    <w:rsid w:val="003C4722"/>
    <w:rsid w:val="003C4922"/>
    <w:rsid w:val="003C5A19"/>
    <w:rsid w:val="003C63FD"/>
    <w:rsid w:val="003C650E"/>
    <w:rsid w:val="003C685C"/>
    <w:rsid w:val="003C68CA"/>
    <w:rsid w:val="003C70BA"/>
    <w:rsid w:val="003C730D"/>
    <w:rsid w:val="003D09FB"/>
    <w:rsid w:val="003D0DF4"/>
    <w:rsid w:val="003D2CBD"/>
    <w:rsid w:val="003D39F8"/>
    <w:rsid w:val="003D3DE9"/>
    <w:rsid w:val="003D3EC7"/>
    <w:rsid w:val="003D4496"/>
    <w:rsid w:val="003D4580"/>
    <w:rsid w:val="003D487B"/>
    <w:rsid w:val="003D6B81"/>
    <w:rsid w:val="003D76A1"/>
    <w:rsid w:val="003E04F4"/>
    <w:rsid w:val="003E0BC7"/>
    <w:rsid w:val="003E16F7"/>
    <w:rsid w:val="003E2002"/>
    <w:rsid w:val="003E21D5"/>
    <w:rsid w:val="003E2D73"/>
    <w:rsid w:val="003E30CC"/>
    <w:rsid w:val="003E463F"/>
    <w:rsid w:val="003E4AB9"/>
    <w:rsid w:val="003E68FF"/>
    <w:rsid w:val="003E71C1"/>
    <w:rsid w:val="003E7874"/>
    <w:rsid w:val="003E7E40"/>
    <w:rsid w:val="003E7E8B"/>
    <w:rsid w:val="003F009D"/>
    <w:rsid w:val="003F02BB"/>
    <w:rsid w:val="003F035A"/>
    <w:rsid w:val="003F06FB"/>
    <w:rsid w:val="003F0759"/>
    <w:rsid w:val="003F114C"/>
    <w:rsid w:val="003F1956"/>
    <w:rsid w:val="003F1F78"/>
    <w:rsid w:val="003F25E3"/>
    <w:rsid w:val="003F2666"/>
    <w:rsid w:val="003F2AA7"/>
    <w:rsid w:val="003F2F01"/>
    <w:rsid w:val="003F30D7"/>
    <w:rsid w:val="003F34EB"/>
    <w:rsid w:val="003F42F4"/>
    <w:rsid w:val="003F48FE"/>
    <w:rsid w:val="003F4AA2"/>
    <w:rsid w:val="003F56D8"/>
    <w:rsid w:val="003F591C"/>
    <w:rsid w:val="003F60AE"/>
    <w:rsid w:val="003F6139"/>
    <w:rsid w:val="003F67E8"/>
    <w:rsid w:val="003F6BFF"/>
    <w:rsid w:val="003F7431"/>
    <w:rsid w:val="003F7540"/>
    <w:rsid w:val="003F9FE9"/>
    <w:rsid w:val="0040013A"/>
    <w:rsid w:val="0040056A"/>
    <w:rsid w:val="004005FC"/>
    <w:rsid w:val="00401843"/>
    <w:rsid w:val="0040226C"/>
    <w:rsid w:val="004027AF"/>
    <w:rsid w:val="004032A5"/>
    <w:rsid w:val="00405287"/>
    <w:rsid w:val="004054FB"/>
    <w:rsid w:val="00405CA6"/>
    <w:rsid w:val="0040714E"/>
    <w:rsid w:val="00407862"/>
    <w:rsid w:val="00410533"/>
    <w:rsid w:val="00410623"/>
    <w:rsid w:val="00410AC2"/>
    <w:rsid w:val="00410B04"/>
    <w:rsid w:val="00411B34"/>
    <w:rsid w:val="00411D59"/>
    <w:rsid w:val="0041208D"/>
    <w:rsid w:val="00412D38"/>
    <w:rsid w:val="0041325C"/>
    <w:rsid w:val="00414AEC"/>
    <w:rsid w:val="00414D61"/>
    <w:rsid w:val="00415E0B"/>
    <w:rsid w:val="004165D6"/>
    <w:rsid w:val="00416A4E"/>
    <w:rsid w:val="00416CF1"/>
    <w:rsid w:val="00417763"/>
    <w:rsid w:val="00417FCB"/>
    <w:rsid w:val="00420695"/>
    <w:rsid w:val="00420F44"/>
    <w:rsid w:val="0042129F"/>
    <w:rsid w:val="004219F5"/>
    <w:rsid w:val="004233DE"/>
    <w:rsid w:val="0042383E"/>
    <w:rsid w:val="0042453D"/>
    <w:rsid w:val="004245E1"/>
    <w:rsid w:val="00424A03"/>
    <w:rsid w:val="004256B0"/>
    <w:rsid w:val="00426F85"/>
    <w:rsid w:val="00427021"/>
    <w:rsid w:val="0043082B"/>
    <w:rsid w:val="00430A93"/>
    <w:rsid w:val="00430C99"/>
    <w:rsid w:val="00431B3F"/>
    <w:rsid w:val="00432047"/>
    <w:rsid w:val="004320D4"/>
    <w:rsid w:val="004328B4"/>
    <w:rsid w:val="0043313C"/>
    <w:rsid w:val="00434E77"/>
    <w:rsid w:val="00435325"/>
    <w:rsid w:val="004357CC"/>
    <w:rsid w:val="00435A6A"/>
    <w:rsid w:val="00435E53"/>
    <w:rsid w:val="00437BCC"/>
    <w:rsid w:val="00437D40"/>
    <w:rsid w:val="00440EE5"/>
    <w:rsid w:val="00441503"/>
    <w:rsid w:val="00441B5D"/>
    <w:rsid w:val="00441C84"/>
    <w:rsid w:val="00443069"/>
    <w:rsid w:val="004448B8"/>
    <w:rsid w:val="00444B52"/>
    <w:rsid w:val="00444D0F"/>
    <w:rsid w:val="00444EDF"/>
    <w:rsid w:val="00445388"/>
    <w:rsid w:val="00445CD4"/>
    <w:rsid w:val="00445E6A"/>
    <w:rsid w:val="00446A31"/>
    <w:rsid w:val="00447E2C"/>
    <w:rsid w:val="004504F5"/>
    <w:rsid w:val="0045063C"/>
    <w:rsid w:val="00450BD7"/>
    <w:rsid w:val="00450E8E"/>
    <w:rsid w:val="00451051"/>
    <w:rsid w:val="00451400"/>
    <w:rsid w:val="00451C7D"/>
    <w:rsid w:val="0045208C"/>
    <w:rsid w:val="004522CA"/>
    <w:rsid w:val="00452F81"/>
    <w:rsid w:val="00453021"/>
    <w:rsid w:val="0045406D"/>
    <w:rsid w:val="0045407E"/>
    <w:rsid w:val="00454454"/>
    <w:rsid w:val="00454DB2"/>
    <w:rsid w:val="00454EA1"/>
    <w:rsid w:val="00456036"/>
    <w:rsid w:val="00457642"/>
    <w:rsid w:val="00457883"/>
    <w:rsid w:val="00460996"/>
    <w:rsid w:val="00460ABA"/>
    <w:rsid w:val="00460E87"/>
    <w:rsid w:val="00461C71"/>
    <w:rsid w:val="00461F6F"/>
    <w:rsid w:val="004621BB"/>
    <w:rsid w:val="004621E7"/>
    <w:rsid w:val="0046292C"/>
    <w:rsid w:val="00462E0D"/>
    <w:rsid w:val="0046391C"/>
    <w:rsid w:val="00463E47"/>
    <w:rsid w:val="00465AB9"/>
    <w:rsid w:val="00465BE2"/>
    <w:rsid w:val="00465BFA"/>
    <w:rsid w:val="00465EF0"/>
    <w:rsid w:val="00466E5F"/>
    <w:rsid w:val="004701CF"/>
    <w:rsid w:val="0047092A"/>
    <w:rsid w:val="00470C4A"/>
    <w:rsid w:val="00470D78"/>
    <w:rsid w:val="004711A5"/>
    <w:rsid w:val="00471F17"/>
    <w:rsid w:val="004722D0"/>
    <w:rsid w:val="00472D9A"/>
    <w:rsid w:val="00472E2A"/>
    <w:rsid w:val="004730B1"/>
    <w:rsid w:val="0047345A"/>
    <w:rsid w:val="00474CB0"/>
    <w:rsid w:val="0047559D"/>
    <w:rsid w:val="0047603F"/>
    <w:rsid w:val="00477422"/>
    <w:rsid w:val="00477A66"/>
    <w:rsid w:val="00477B57"/>
    <w:rsid w:val="00481BBA"/>
    <w:rsid w:val="00481E06"/>
    <w:rsid w:val="004831AB"/>
    <w:rsid w:val="0048327E"/>
    <w:rsid w:val="004838A1"/>
    <w:rsid w:val="0048439D"/>
    <w:rsid w:val="00484760"/>
    <w:rsid w:val="004849CC"/>
    <w:rsid w:val="00484EE5"/>
    <w:rsid w:val="0048563A"/>
    <w:rsid w:val="0048604B"/>
    <w:rsid w:val="00486535"/>
    <w:rsid w:val="00486B9E"/>
    <w:rsid w:val="004879F8"/>
    <w:rsid w:val="00487D93"/>
    <w:rsid w:val="00490042"/>
    <w:rsid w:val="00491231"/>
    <w:rsid w:val="0049247A"/>
    <w:rsid w:val="00492C88"/>
    <w:rsid w:val="00492F00"/>
    <w:rsid w:val="00493557"/>
    <w:rsid w:val="00493934"/>
    <w:rsid w:val="0049469B"/>
    <w:rsid w:val="00495095"/>
    <w:rsid w:val="004951F3"/>
    <w:rsid w:val="0049532B"/>
    <w:rsid w:val="004953CD"/>
    <w:rsid w:val="004965FA"/>
    <w:rsid w:val="00496A8A"/>
    <w:rsid w:val="00496ADF"/>
    <w:rsid w:val="00496B27"/>
    <w:rsid w:val="00496BB6"/>
    <w:rsid w:val="004A0D0C"/>
    <w:rsid w:val="004A0D28"/>
    <w:rsid w:val="004A0E0E"/>
    <w:rsid w:val="004A115A"/>
    <w:rsid w:val="004A11EF"/>
    <w:rsid w:val="004A1303"/>
    <w:rsid w:val="004A1A3D"/>
    <w:rsid w:val="004A1F10"/>
    <w:rsid w:val="004A2F41"/>
    <w:rsid w:val="004A33B0"/>
    <w:rsid w:val="004A33EB"/>
    <w:rsid w:val="004A3CD4"/>
    <w:rsid w:val="004A411D"/>
    <w:rsid w:val="004A4811"/>
    <w:rsid w:val="004A4CCD"/>
    <w:rsid w:val="004A4DFB"/>
    <w:rsid w:val="004A509E"/>
    <w:rsid w:val="004A579B"/>
    <w:rsid w:val="004A5A23"/>
    <w:rsid w:val="004A7551"/>
    <w:rsid w:val="004A767A"/>
    <w:rsid w:val="004A778C"/>
    <w:rsid w:val="004B0439"/>
    <w:rsid w:val="004B0F25"/>
    <w:rsid w:val="004B0F59"/>
    <w:rsid w:val="004B1199"/>
    <w:rsid w:val="004B1646"/>
    <w:rsid w:val="004B2116"/>
    <w:rsid w:val="004B248D"/>
    <w:rsid w:val="004B2801"/>
    <w:rsid w:val="004B2FBE"/>
    <w:rsid w:val="004B337E"/>
    <w:rsid w:val="004B4391"/>
    <w:rsid w:val="004B4B24"/>
    <w:rsid w:val="004B4C33"/>
    <w:rsid w:val="004B6529"/>
    <w:rsid w:val="004B7A93"/>
    <w:rsid w:val="004B7EE1"/>
    <w:rsid w:val="004C0AB3"/>
    <w:rsid w:val="004C0FF9"/>
    <w:rsid w:val="004C19EB"/>
    <w:rsid w:val="004C2262"/>
    <w:rsid w:val="004C2B12"/>
    <w:rsid w:val="004C2CDC"/>
    <w:rsid w:val="004C3F27"/>
    <w:rsid w:val="004C3FFF"/>
    <w:rsid w:val="004C411B"/>
    <w:rsid w:val="004C5A9D"/>
    <w:rsid w:val="004C63A2"/>
    <w:rsid w:val="004C6714"/>
    <w:rsid w:val="004C6EF5"/>
    <w:rsid w:val="004C7013"/>
    <w:rsid w:val="004C7CAE"/>
    <w:rsid w:val="004D000A"/>
    <w:rsid w:val="004D048D"/>
    <w:rsid w:val="004D097E"/>
    <w:rsid w:val="004D10E8"/>
    <w:rsid w:val="004D143E"/>
    <w:rsid w:val="004D160D"/>
    <w:rsid w:val="004D3119"/>
    <w:rsid w:val="004D3222"/>
    <w:rsid w:val="004D3A22"/>
    <w:rsid w:val="004D3B73"/>
    <w:rsid w:val="004D60D1"/>
    <w:rsid w:val="004D6221"/>
    <w:rsid w:val="004D63BC"/>
    <w:rsid w:val="004D72B2"/>
    <w:rsid w:val="004E02E6"/>
    <w:rsid w:val="004E0AC0"/>
    <w:rsid w:val="004E1147"/>
    <w:rsid w:val="004E1B3A"/>
    <w:rsid w:val="004E1F0A"/>
    <w:rsid w:val="004E2274"/>
    <w:rsid w:val="004E2D57"/>
    <w:rsid w:val="004E2FC0"/>
    <w:rsid w:val="004E3677"/>
    <w:rsid w:val="004E3845"/>
    <w:rsid w:val="004E38F8"/>
    <w:rsid w:val="004E6479"/>
    <w:rsid w:val="004E6CD3"/>
    <w:rsid w:val="004E742B"/>
    <w:rsid w:val="004E749F"/>
    <w:rsid w:val="004F0410"/>
    <w:rsid w:val="004F04C4"/>
    <w:rsid w:val="004F0CBD"/>
    <w:rsid w:val="004F0F08"/>
    <w:rsid w:val="004F14A3"/>
    <w:rsid w:val="004F1768"/>
    <w:rsid w:val="004F21D8"/>
    <w:rsid w:val="004F2D2D"/>
    <w:rsid w:val="004F3FD9"/>
    <w:rsid w:val="004F47EB"/>
    <w:rsid w:val="004F4B4F"/>
    <w:rsid w:val="004F55BD"/>
    <w:rsid w:val="004F55FC"/>
    <w:rsid w:val="004F5958"/>
    <w:rsid w:val="004F5DAC"/>
    <w:rsid w:val="004F5EE8"/>
    <w:rsid w:val="004F60DD"/>
    <w:rsid w:val="004F731A"/>
    <w:rsid w:val="004F7873"/>
    <w:rsid w:val="004F78A1"/>
    <w:rsid w:val="005005B6"/>
    <w:rsid w:val="00500885"/>
    <w:rsid w:val="00500AD3"/>
    <w:rsid w:val="0050124E"/>
    <w:rsid w:val="00501556"/>
    <w:rsid w:val="0050223B"/>
    <w:rsid w:val="00502A19"/>
    <w:rsid w:val="005030E5"/>
    <w:rsid w:val="00503664"/>
    <w:rsid w:val="005037E0"/>
    <w:rsid w:val="00504257"/>
    <w:rsid w:val="005043AB"/>
    <w:rsid w:val="005045F3"/>
    <w:rsid w:val="00504978"/>
    <w:rsid w:val="00504B08"/>
    <w:rsid w:val="00505411"/>
    <w:rsid w:val="00506AFD"/>
    <w:rsid w:val="00506C26"/>
    <w:rsid w:val="00507235"/>
    <w:rsid w:val="00507875"/>
    <w:rsid w:val="005105DD"/>
    <w:rsid w:val="00510DE1"/>
    <w:rsid w:val="00511082"/>
    <w:rsid w:val="00511E88"/>
    <w:rsid w:val="00512C17"/>
    <w:rsid w:val="00512F09"/>
    <w:rsid w:val="005130C8"/>
    <w:rsid w:val="0051316D"/>
    <w:rsid w:val="00513714"/>
    <w:rsid w:val="00513FCE"/>
    <w:rsid w:val="005151D9"/>
    <w:rsid w:val="0051560E"/>
    <w:rsid w:val="0051579D"/>
    <w:rsid w:val="00516834"/>
    <w:rsid w:val="00516C6E"/>
    <w:rsid w:val="005175FD"/>
    <w:rsid w:val="00517C28"/>
    <w:rsid w:val="00517CAC"/>
    <w:rsid w:val="005201F6"/>
    <w:rsid w:val="005202F5"/>
    <w:rsid w:val="00520708"/>
    <w:rsid w:val="00521092"/>
    <w:rsid w:val="005210AF"/>
    <w:rsid w:val="005237BA"/>
    <w:rsid w:val="0052394F"/>
    <w:rsid w:val="00523FA5"/>
    <w:rsid w:val="005241F2"/>
    <w:rsid w:val="005243ED"/>
    <w:rsid w:val="005243F1"/>
    <w:rsid w:val="0052470D"/>
    <w:rsid w:val="00524B13"/>
    <w:rsid w:val="00524FC6"/>
    <w:rsid w:val="005258A6"/>
    <w:rsid w:val="00525D19"/>
    <w:rsid w:val="00527739"/>
    <w:rsid w:val="00530BCC"/>
    <w:rsid w:val="005313FF"/>
    <w:rsid w:val="00531F5F"/>
    <w:rsid w:val="00532259"/>
    <w:rsid w:val="00532E4D"/>
    <w:rsid w:val="00533CAA"/>
    <w:rsid w:val="00534634"/>
    <w:rsid w:val="005358CD"/>
    <w:rsid w:val="00535A94"/>
    <w:rsid w:val="00535D40"/>
    <w:rsid w:val="0053684D"/>
    <w:rsid w:val="00537C22"/>
    <w:rsid w:val="00537FD8"/>
    <w:rsid w:val="00540529"/>
    <w:rsid w:val="005413B1"/>
    <w:rsid w:val="00541A05"/>
    <w:rsid w:val="00541ED9"/>
    <w:rsid w:val="00542E2E"/>
    <w:rsid w:val="00542F88"/>
    <w:rsid w:val="00543CCF"/>
    <w:rsid w:val="005454A7"/>
    <w:rsid w:val="005464C0"/>
    <w:rsid w:val="005474D9"/>
    <w:rsid w:val="00547660"/>
    <w:rsid w:val="005476BD"/>
    <w:rsid w:val="00547DCA"/>
    <w:rsid w:val="00550CE3"/>
    <w:rsid w:val="00550D56"/>
    <w:rsid w:val="005515F9"/>
    <w:rsid w:val="00551773"/>
    <w:rsid w:val="005518CB"/>
    <w:rsid w:val="00551BBD"/>
    <w:rsid w:val="00551E91"/>
    <w:rsid w:val="00551FDE"/>
    <w:rsid w:val="0055234F"/>
    <w:rsid w:val="0055325E"/>
    <w:rsid w:val="00553B88"/>
    <w:rsid w:val="0055419D"/>
    <w:rsid w:val="005544AC"/>
    <w:rsid w:val="00554757"/>
    <w:rsid w:val="00555241"/>
    <w:rsid w:val="00555633"/>
    <w:rsid w:val="00556FC4"/>
    <w:rsid w:val="005577B0"/>
    <w:rsid w:val="005603CA"/>
    <w:rsid w:val="005604C5"/>
    <w:rsid w:val="0056075E"/>
    <w:rsid w:val="00560BA9"/>
    <w:rsid w:val="005618A0"/>
    <w:rsid w:val="00562495"/>
    <w:rsid w:val="005642C7"/>
    <w:rsid w:val="00565C35"/>
    <w:rsid w:val="00566178"/>
    <w:rsid w:val="00567383"/>
    <w:rsid w:val="0056784B"/>
    <w:rsid w:val="0056797C"/>
    <w:rsid w:val="00567985"/>
    <w:rsid w:val="005679F3"/>
    <w:rsid w:val="00567C7A"/>
    <w:rsid w:val="005701E6"/>
    <w:rsid w:val="00570656"/>
    <w:rsid w:val="00570D1C"/>
    <w:rsid w:val="0057111C"/>
    <w:rsid w:val="00571856"/>
    <w:rsid w:val="00571C96"/>
    <w:rsid w:val="00571E1B"/>
    <w:rsid w:val="00572A2A"/>
    <w:rsid w:val="00572E33"/>
    <w:rsid w:val="00572EBD"/>
    <w:rsid w:val="00573876"/>
    <w:rsid w:val="00575314"/>
    <w:rsid w:val="0057554D"/>
    <w:rsid w:val="00575813"/>
    <w:rsid w:val="00575A4C"/>
    <w:rsid w:val="00575C13"/>
    <w:rsid w:val="0057679C"/>
    <w:rsid w:val="00577CCB"/>
    <w:rsid w:val="00577E2F"/>
    <w:rsid w:val="00580067"/>
    <w:rsid w:val="00580BA9"/>
    <w:rsid w:val="005819A9"/>
    <w:rsid w:val="00582381"/>
    <w:rsid w:val="0058248D"/>
    <w:rsid w:val="00582A80"/>
    <w:rsid w:val="00582DF9"/>
    <w:rsid w:val="00583D1E"/>
    <w:rsid w:val="00584609"/>
    <w:rsid w:val="005847BF"/>
    <w:rsid w:val="005863A4"/>
    <w:rsid w:val="00586E58"/>
    <w:rsid w:val="00587212"/>
    <w:rsid w:val="00591F39"/>
    <w:rsid w:val="0059206B"/>
    <w:rsid w:val="00592269"/>
    <w:rsid w:val="005929AD"/>
    <w:rsid w:val="00592BC8"/>
    <w:rsid w:val="00592FAD"/>
    <w:rsid w:val="0059304E"/>
    <w:rsid w:val="005930CC"/>
    <w:rsid w:val="00593758"/>
    <w:rsid w:val="005938EC"/>
    <w:rsid w:val="00593BCF"/>
    <w:rsid w:val="00594019"/>
    <w:rsid w:val="005961FB"/>
    <w:rsid w:val="00596499"/>
    <w:rsid w:val="00596C2A"/>
    <w:rsid w:val="005A0355"/>
    <w:rsid w:val="005A054D"/>
    <w:rsid w:val="005A05C5"/>
    <w:rsid w:val="005A066A"/>
    <w:rsid w:val="005A112B"/>
    <w:rsid w:val="005A1893"/>
    <w:rsid w:val="005A1977"/>
    <w:rsid w:val="005A3A82"/>
    <w:rsid w:val="005A426F"/>
    <w:rsid w:val="005A43A4"/>
    <w:rsid w:val="005A54CB"/>
    <w:rsid w:val="005A6F5F"/>
    <w:rsid w:val="005A7760"/>
    <w:rsid w:val="005A7CF9"/>
    <w:rsid w:val="005A7E0E"/>
    <w:rsid w:val="005B0025"/>
    <w:rsid w:val="005B0552"/>
    <w:rsid w:val="005B0780"/>
    <w:rsid w:val="005B0D4F"/>
    <w:rsid w:val="005B0FD9"/>
    <w:rsid w:val="005B1E8C"/>
    <w:rsid w:val="005B2F30"/>
    <w:rsid w:val="005B3010"/>
    <w:rsid w:val="005B376B"/>
    <w:rsid w:val="005B38E5"/>
    <w:rsid w:val="005B3AB7"/>
    <w:rsid w:val="005B3B7F"/>
    <w:rsid w:val="005B3D4A"/>
    <w:rsid w:val="005B438B"/>
    <w:rsid w:val="005B4ABA"/>
    <w:rsid w:val="005B4ACD"/>
    <w:rsid w:val="005B4B1F"/>
    <w:rsid w:val="005B5633"/>
    <w:rsid w:val="005B58D4"/>
    <w:rsid w:val="005B594B"/>
    <w:rsid w:val="005B5A38"/>
    <w:rsid w:val="005B6C4A"/>
    <w:rsid w:val="005C0C04"/>
    <w:rsid w:val="005C1BCC"/>
    <w:rsid w:val="005C25A2"/>
    <w:rsid w:val="005C25BD"/>
    <w:rsid w:val="005C36BC"/>
    <w:rsid w:val="005C52E3"/>
    <w:rsid w:val="005C598E"/>
    <w:rsid w:val="005C5C95"/>
    <w:rsid w:val="005C648B"/>
    <w:rsid w:val="005C741E"/>
    <w:rsid w:val="005C74EF"/>
    <w:rsid w:val="005C7575"/>
    <w:rsid w:val="005C7D58"/>
    <w:rsid w:val="005C7FF1"/>
    <w:rsid w:val="005D0229"/>
    <w:rsid w:val="005D05A2"/>
    <w:rsid w:val="005D0722"/>
    <w:rsid w:val="005D0970"/>
    <w:rsid w:val="005D1352"/>
    <w:rsid w:val="005D162F"/>
    <w:rsid w:val="005D18E0"/>
    <w:rsid w:val="005D23CB"/>
    <w:rsid w:val="005D275C"/>
    <w:rsid w:val="005D2802"/>
    <w:rsid w:val="005D3637"/>
    <w:rsid w:val="005D379D"/>
    <w:rsid w:val="005D3EA2"/>
    <w:rsid w:val="005D4081"/>
    <w:rsid w:val="005D4F52"/>
    <w:rsid w:val="005D5F70"/>
    <w:rsid w:val="005D622B"/>
    <w:rsid w:val="005D6371"/>
    <w:rsid w:val="005D6ADA"/>
    <w:rsid w:val="005D7990"/>
    <w:rsid w:val="005D7E59"/>
    <w:rsid w:val="005E0161"/>
    <w:rsid w:val="005E12C9"/>
    <w:rsid w:val="005E1E98"/>
    <w:rsid w:val="005E2067"/>
    <w:rsid w:val="005E25F8"/>
    <w:rsid w:val="005E2A98"/>
    <w:rsid w:val="005E331A"/>
    <w:rsid w:val="005E36F5"/>
    <w:rsid w:val="005E3F2A"/>
    <w:rsid w:val="005E4C3C"/>
    <w:rsid w:val="005E4F85"/>
    <w:rsid w:val="005E5DF9"/>
    <w:rsid w:val="005E7065"/>
    <w:rsid w:val="005E792C"/>
    <w:rsid w:val="005F04E7"/>
    <w:rsid w:val="005F05A0"/>
    <w:rsid w:val="005F09E9"/>
    <w:rsid w:val="005F143F"/>
    <w:rsid w:val="005F3621"/>
    <w:rsid w:val="005F3B2E"/>
    <w:rsid w:val="005F4144"/>
    <w:rsid w:val="005F4B85"/>
    <w:rsid w:val="005F4CE8"/>
    <w:rsid w:val="005F5750"/>
    <w:rsid w:val="005F7525"/>
    <w:rsid w:val="005F7861"/>
    <w:rsid w:val="005F7ECF"/>
    <w:rsid w:val="006014B1"/>
    <w:rsid w:val="006025FE"/>
    <w:rsid w:val="00602648"/>
    <w:rsid w:val="00602C9B"/>
    <w:rsid w:val="00602F82"/>
    <w:rsid w:val="0060305C"/>
    <w:rsid w:val="0060439B"/>
    <w:rsid w:val="0060497F"/>
    <w:rsid w:val="006056A9"/>
    <w:rsid w:val="006065F8"/>
    <w:rsid w:val="00607008"/>
    <w:rsid w:val="00607133"/>
    <w:rsid w:val="0060760D"/>
    <w:rsid w:val="00607A93"/>
    <w:rsid w:val="00607F23"/>
    <w:rsid w:val="00610FEF"/>
    <w:rsid w:val="00611F50"/>
    <w:rsid w:val="006121DD"/>
    <w:rsid w:val="00612A93"/>
    <w:rsid w:val="006136C4"/>
    <w:rsid w:val="0061424E"/>
    <w:rsid w:val="00614554"/>
    <w:rsid w:val="006145CC"/>
    <w:rsid w:val="00614CDF"/>
    <w:rsid w:val="00614FC4"/>
    <w:rsid w:val="0061521C"/>
    <w:rsid w:val="0061531A"/>
    <w:rsid w:val="00615545"/>
    <w:rsid w:val="006155FD"/>
    <w:rsid w:val="00615800"/>
    <w:rsid w:val="00615F5C"/>
    <w:rsid w:val="006168BF"/>
    <w:rsid w:val="00617773"/>
    <w:rsid w:val="006178EE"/>
    <w:rsid w:val="006219BD"/>
    <w:rsid w:val="00621D02"/>
    <w:rsid w:val="0062259F"/>
    <w:rsid w:val="00622CDB"/>
    <w:rsid w:val="0062300D"/>
    <w:rsid w:val="00624DD5"/>
    <w:rsid w:val="00624EC2"/>
    <w:rsid w:val="00626A74"/>
    <w:rsid w:val="00631113"/>
    <w:rsid w:val="00631A34"/>
    <w:rsid w:val="00631B76"/>
    <w:rsid w:val="006327CF"/>
    <w:rsid w:val="006328AC"/>
    <w:rsid w:val="00634476"/>
    <w:rsid w:val="00634B86"/>
    <w:rsid w:val="006369A7"/>
    <w:rsid w:val="00636F72"/>
    <w:rsid w:val="006372E1"/>
    <w:rsid w:val="0063737C"/>
    <w:rsid w:val="00637682"/>
    <w:rsid w:val="0063782E"/>
    <w:rsid w:val="00641129"/>
    <w:rsid w:val="00641B4B"/>
    <w:rsid w:val="00642011"/>
    <w:rsid w:val="00642554"/>
    <w:rsid w:val="00642648"/>
    <w:rsid w:val="0064273B"/>
    <w:rsid w:val="00642CB6"/>
    <w:rsid w:val="0064405A"/>
    <w:rsid w:val="006441C3"/>
    <w:rsid w:val="00644504"/>
    <w:rsid w:val="0064455C"/>
    <w:rsid w:val="00644F39"/>
    <w:rsid w:val="0064520A"/>
    <w:rsid w:val="00645321"/>
    <w:rsid w:val="0064573F"/>
    <w:rsid w:val="00645CB1"/>
    <w:rsid w:val="00647079"/>
    <w:rsid w:val="00647EBE"/>
    <w:rsid w:val="0065011B"/>
    <w:rsid w:val="0065032E"/>
    <w:rsid w:val="00650637"/>
    <w:rsid w:val="00650709"/>
    <w:rsid w:val="00650ABA"/>
    <w:rsid w:val="006521A7"/>
    <w:rsid w:val="00652913"/>
    <w:rsid w:val="00652C48"/>
    <w:rsid w:val="00652FD8"/>
    <w:rsid w:val="00653D2B"/>
    <w:rsid w:val="00653F34"/>
    <w:rsid w:val="00654144"/>
    <w:rsid w:val="00654483"/>
    <w:rsid w:val="00654573"/>
    <w:rsid w:val="006549B0"/>
    <w:rsid w:val="00654E84"/>
    <w:rsid w:val="00655533"/>
    <w:rsid w:val="0065613C"/>
    <w:rsid w:val="006568AA"/>
    <w:rsid w:val="00656EE3"/>
    <w:rsid w:val="00657F50"/>
    <w:rsid w:val="00660348"/>
    <w:rsid w:val="00661242"/>
    <w:rsid w:val="00661665"/>
    <w:rsid w:val="0066183D"/>
    <w:rsid w:val="00662006"/>
    <w:rsid w:val="006621D1"/>
    <w:rsid w:val="006624A4"/>
    <w:rsid w:val="00662816"/>
    <w:rsid w:val="00662914"/>
    <w:rsid w:val="00662999"/>
    <w:rsid w:val="00662CE0"/>
    <w:rsid w:val="006633F0"/>
    <w:rsid w:val="00664088"/>
    <w:rsid w:val="0066416B"/>
    <w:rsid w:val="006646A4"/>
    <w:rsid w:val="00664A30"/>
    <w:rsid w:val="00664F1B"/>
    <w:rsid w:val="00664F77"/>
    <w:rsid w:val="0066541E"/>
    <w:rsid w:val="006658FD"/>
    <w:rsid w:val="00665EC7"/>
    <w:rsid w:val="006671E1"/>
    <w:rsid w:val="006674A5"/>
    <w:rsid w:val="006676B8"/>
    <w:rsid w:val="00667E10"/>
    <w:rsid w:val="0067059F"/>
    <w:rsid w:val="00670EEA"/>
    <w:rsid w:val="00671066"/>
    <w:rsid w:val="00671FF7"/>
    <w:rsid w:val="006725FF"/>
    <w:rsid w:val="00672643"/>
    <w:rsid w:val="006729A3"/>
    <w:rsid w:val="00672FEF"/>
    <w:rsid w:val="00673769"/>
    <w:rsid w:val="00673FE3"/>
    <w:rsid w:val="00674121"/>
    <w:rsid w:val="006742BF"/>
    <w:rsid w:val="0067475B"/>
    <w:rsid w:val="00675526"/>
    <w:rsid w:val="0067578B"/>
    <w:rsid w:val="00676283"/>
    <w:rsid w:val="00677557"/>
    <w:rsid w:val="0067793C"/>
    <w:rsid w:val="00677EBB"/>
    <w:rsid w:val="00680126"/>
    <w:rsid w:val="00680558"/>
    <w:rsid w:val="00680768"/>
    <w:rsid w:val="006808FB"/>
    <w:rsid w:val="006819C0"/>
    <w:rsid w:val="00681C17"/>
    <w:rsid w:val="00682383"/>
    <w:rsid w:val="00682853"/>
    <w:rsid w:val="00682D05"/>
    <w:rsid w:val="00683155"/>
    <w:rsid w:val="00684DC2"/>
    <w:rsid w:val="006867CA"/>
    <w:rsid w:val="006879D4"/>
    <w:rsid w:val="00687E7E"/>
    <w:rsid w:val="006905B3"/>
    <w:rsid w:val="00690B1B"/>
    <w:rsid w:val="00690FD7"/>
    <w:rsid w:val="006913A0"/>
    <w:rsid w:val="00691616"/>
    <w:rsid w:val="00692105"/>
    <w:rsid w:val="00692984"/>
    <w:rsid w:val="00693D72"/>
    <w:rsid w:val="00694249"/>
    <w:rsid w:val="006944B6"/>
    <w:rsid w:val="00695223"/>
    <w:rsid w:val="00695397"/>
    <w:rsid w:val="00695828"/>
    <w:rsid w:val="00696049"/>
    <w:rsid w:val="0069722E"/>
    <w:rsid w:val="00697B8A"/>
    <w:rsid w:val="00697C51"/>
    <w:rsid w:val="00697DE9"/>
    <w:rsid w:val="0069E7E0"/>
    <w:rsid w:val="006A0039"/>
    <w:rsid w:val="006A00C8"/>
    <w:rsid w:val="006A02CC"/>
    <w:rsid w:val="006A07B9"/>
    <w:rsid w:val="006A15A6"/>
    <w:rsid w:val="006A1717"/>
    <w:rsid w:val="006A1719"/>
    <w:rsid w:val="006A2D3C"/>
    <w:rsid w:val="006A2F2E"/>
    <w:rsid w:val="006A497A"/>
    <w:rsid w:val="006A5E38"/>
    <w:rsid w:val="006A6799"/>
    <w:rsid w:val="006A6E2B"/>
    <w:rsid w:val="006A744B"/>
    <w:rsid w:val="006B0701"/>
    <w:rsid w:val="006B07D9"/>
    <w:rsid w:val="006B1DDE"/>
    <w:rsid w:val="006B2314"/>
    <w:rsid w:val="006B2E2E"/>
    <w:rsid w:val="006B3DFE"/>
    <w:rsid w:val="006B4293"/>
    <w:rsid w:val="006B441F"/>
    <w:rsid w:val="006B4555"/>
    <w:rsid w:val="006B6F9B"/>
    <w:rsid w:val="006B753A"/>
    <w:rsid w:val="006B7673"/>
    <w:rsid w:val="006B768E"/>
    <w:rsid w:val="006B777C"/>
    <w:rsid w:val="006B7FF7"/>
    <w:rsid w:val="006C1217"/>
    <w:rsid w:val="006C1494"/>
    <w:rsid w:val="006C14E9"/>
    <w:rsid w:val="006C164D"/>
    <w:rsid w:val="006C1A2D"/>
    <w:rsid w:val="006C2739"/>
    <w:rsid w:val="006C2D7F"/>
    <w:rsid w:val="006C39F3"/>
    <w:rsid w:val="006C3B0B"/>
    <w:rsid w:val="006C3E1F"/>
    <w:rsid w:val="006C4809"/>
    <w:rsid w:val="006C4A90"/>
    <w:rsid w:val="006C506A"/>
    <w:rsid w:val="006C56AD"/>
    <w:rsid w:val="006C5DED"/>
    <w:rsid w:val="006C673A"/>
    <w:rsid w:val="006C679F"/>
    <w:rsid w:val="006C6B14"/>
    <w:rsid w:val="006C6C7C"/>
    <w:rsid w:val="006C71AA"/>
    <w:rsid w:val="006C7F72"/>
    <w:rsid w:val="006D0BBB"/>
    <w:rsid w:val="006D1416"/>
    <w:rsid w:val="006D2B65"/>
    <w:rsid w:val="006D31E0"/>
    <w:rsid w:val="006D39D5"/>
    <w:rsid w:val="006D3DC6"/>
    <w:rsid w:val="006D47EF"/>
    <w:rsid w:val="006D4A4D"/>
    <w:rsid w:val="006D4D57"/>
    <w:rsid w:val="006D5227"/>
    <w:rsid w:val="006D5820"/>
    <w:rsid w:val="006D5926"/>
    <w:rsid w:val="006D5ACC"/>
    <w:rsid w:val="006D5B02"/>
    <w:rsid w:val="006D6236"/>
    <w:rsid w:val="006D6414"/>
    <w:rsid w:val="006D73FB"/>
    <w:rsid w:val="006E071A"/>
    <w:rsid w:val="006E0BCF"/>
    <w:rsid w:val="006E0C71"/>
    <w:rsid w:val="006E1447"/>
    <w:rsid w:val="006E1A58"/>
    <w:rsid w:val="006E3932"/>
    <w:rsid w:val="006E3AFE"/>
    <w:rsid w:val="006E3CE2"/>
    <w:rsid w:val="006E4308"/>
    <w:rsid w:val="006E45B5"/>
    <w:rsid w:val="006E471B"/>
    <w:rsid w:val="006E4E2A"/>
    <w:rsid w:val="006E500D"/>
    <w:rsid w:val="006E52F4"/>
    <w:rsid w:val="006E5484"/>
    <w:rsid w:val="006E620B"/>
    <w:rsid w:val="006E66AF"/>
    <w:rsid w:val="006E70B5"/>
    <w:rsid w:val="006E718B"/>
    <w:rsid w:val="006E7819"/>
    <w:rsid w:val="006E7F46"/>
    <w:rsid w:val="006F0354"/>
    <w:rsid w:val="006F0748"/>
    <w:rsid w:val="006F139B"/>
    <w:rsid w:val="006F2030"/>
    <w:rsid w:val="006F24D7"/>
    <w:rsid w:val="006F290A"/>
    <w:rsid w:val="006F2D11"/>
    <w:rsid w:val="006F3284"/>
    <w:rsid w:val="006F42C7"/>
    <w:rsid w:val="006F4325"/>
    <w:rsid w:val="006F44F6"/>
    <w:rsid w:val="006F587D"/>
    <w:rsid w:val="006F777B"/>
    <w:rsid w:val="00700889"/>
    <w:rsid w:val="00700F93"/>
    <w:rsid w:val="00701080"/>
    <w:rsid w:val="007015D4"/>
    <w:rsid w:val="00701F68"/>
    <w:rsid w:val="007022CE"/>
    <w:rsid w:val="00702304"/>
    <w:rsid w:val="00703541"/>
    <w:rsid w:val="00703AF2"/>
    <w:rsid w:val="00703B7D"/>
    <w:rsid w:val="007040BB"/>
    <w:rsid w:val="00704B46"/>
    <w:rsid w:val="00704DD9"/>
    <w:rsid w:val="00704F73"/>
    <w:rsid w:val="007057D7"/>
    <w:rsid w:val="00705B85"/>
    <w:rsid w:val="00706277"/>
    <w:rsid w:val="007067DF"/>
    <w:rsid w:val="00707B34"/>
    <w:rsid w:val="00707C2C"/>
    <w:rsid w:val="00707D4C"/>
    <w:rsid w:val="00710985"/>
    <w:rsid w:val="00711EB1"/>
    <w:rsid w:val="00712E22"/>
    <w:rsid w:val="00714C76"/>
    <w:rsid w:val="00714D1D"/>
    <w:rsid w:val="00714D48"/>
    <w:rsid w:val="00714E2A"/>
    <w:rsid w:val="00715341"/>
    <w:rsid w:val="007158D5"/>
    <w:rsid w:val="007161C4"/>
    <w:rsid w:val="007162D9"/>
    <w:rsid w:val="00716520"/>
    <w:rsid w:val="007172D7"/>
    <w:rsid w:val="0071741D"/>
    <w:rsid w:val="0071791E"/>
    <w:rsid w:val="00717BFD"/>
    <w:rsid w:val="007208F7"/>
    <w:rsid w:val="00720FB0"/>
    <w:rsid w:val="007215AC"/>
    <w:rsid w:val="007217B4"/>
    <w:rsid w:val="00721B23"/>
    <w:rsid w:val="00721E5D"/>
    <w:rsid w:val="0072226A"/>
    <w:rsid w:val="00722994"/>
    <w:rsid w:val="00722B86"/>
    <w:rsid w:val="00722EDA"/>
    <w:rsid w:val="00723035"/>
    <w:rsid w:val="00723110"/>
    <w:rsid w:val="00723309"/>
    <w:rsid w:val="00723EC1"/>
    <w:rsid w:val="00723F97"/>
    <w:rsid w:val="0072434D"/>
    <w:rsid w:val="00724498"/>
    <w:rsid w:val="0072449F"/>
    <w:rsid w:val="0072483E"/>
    <w:rsid w:val="007250A2"/>
    <w:rsid w:val="00725279"/>
    <w:rsid w:val="00725B37"/>
    <w:rsid w:val="007268ED"/>
    <w:rsid w:val="007274F0"/>
    <w:rsid w:val="007278B4"/>
    <w:rsid w:val="00727DE6"/>
    <w:rsid w:val="007302BA"/>
    <w:rsid w:val="007303FB"/>
    <w:rsid w:val="007311C0"/>
    <w:rsid w:val="00731450"/>
    <w:rsid w:val="00731BC5"/>
    <w:rsid w:val="0073362D"/>
    <w:rsid w:val="007338C0"/>
    <w:rsid w:val="00733CFC"/>
    <w:rsid w:val="00734D0B"/>
    <w:rsid w:val="00735343"/>
    <w:rsid w:val="00735388"/>
    <w:rsid w:val="007357FB"/>
    <w:rsid w:val="00735B36"/>
    <w:rsid w:val="00735EBE"/>
    <w:rsid w:val="00736193"/>
    <w:rsid w:val="00736275"/>
    <w:rsid w:val="00736EF2"/>
    <w:rsid w:val="00736F4C"/>
    <w:rsid w:val="00737F99"/>
    <w:rsid w:val="007403B3"/>
    <w:rsid w:val="007406C3"/>
    <w:rsid w:val="00740FC7"/>
    <w:rsid w:val="00741CBE"/>
    <w:rsid w:val="007427E2"/>
    <w:rsid w:val="007428E6"/>
    <w:rsid w:val="00743AFB"/>
    <w:rsid w:val="00743BA1"/>
    <w:rsid w:val="0074401D"/>
    <w:rsid w:val="007446C2"/>
    <w:rsid w:val="00744BA9"/>
    <w:rsid w:val="00744EBC"/>
    <w:rsid w:val="0074527D"/>
    <w:rsid w:val="00745599"/>
    <w:rsid w:val="007457AB"/>
    <w:rsid w:val="00746B49"/>
    <w:rsid w:val="00746FBF"/>
    <w:rsid w:val="007506B6"/>
    <w:rsid w:val="00751300"/>
    <w:rsid w:val="00751316"/>
    <w:rsid w:val="00751BBD"/>
    <w:rsid w:val="00751CA8"/>
    <w:rsid w:val="0075248D"/>
    <w:rsid w:val="00752D8B"/>
    <w:rsid w:val="00753332"/>
    <w:rsid w:val="00754CF2"/>
    <w:rsid w:val="0075519D"/>
    <w:rsid w:val="0075538A"/>
    <w:rsid w:val="007553F0"/>
    <w:rsid w:val="00755827"/>
    <w:rsid w:val="00755F34"/>
    <w:rsid w:val="0075621E"/>
    <w:rsid w:val="00756565"/>
    <w:rsid w:val="00760773"/>
    <w:rsid w:val="00762107"/>
    <w:rsid w:val="0076265E"/>
    <w:rsid w:val="0076286C"/>
    <w:rsid w:val="00763111"/>
    <w:rsid w:val="007639DD"/>
    <w:rsid w:val="00763A71"/>
    <w:rsid w:val="00763FF2"/>
    <w:rsid w:val="00764804"/>
    <w:rsid w:val="007661E1"/>
    <w:rsid w:val="0076692A"/>
    <w:rsid w:val="00766F33"/>
    <w:rsid w:val="0076744D"/>
    <w:rsid w:val="0077012A"/>
    <w:rsid w:val="007703C7"/>
    <w:rsid w:val="0077073C"/>
    <w:rsid w:val="00770A26"/>
    <w:rsid w:val="0077227A"/>
    <w:rsid w:val="0077261F"/>
    <w:rsid w:val="0077273F"/>
    <w:rsid w:val="00772A0F"/>
    <w:rsid w:val="00772C23"/>
    <w:rsid w:val="00772CD7"/>
    <w:rsid w:val="00773030"/>
    <w:rsid w:val="007739D1"/>
    <w:rsid w:val="00774DDB"/>
    <w:rsid w:val="0077574A"/>
    <w:rsid w:val="00777309"/>
    <w:rsid w:val="007777D4"/>
    <w:rsid w:val="007778CA"/>
    <w:rsid w:val="00777B4A"/>
    <w:rsid w:val="00780228"/>
    <w:rsid w:val="007802F4"/>
    <w:rsid w:val="00780C6F"/>
    <w:rsid w:val="00781199"/>
    <w:rsid w:val="00781694"/>
    <w:rsid w:val="00782F58"/>
    <w:rsid w:val="00783306"/>
    <w:rsid w:val="00783BB7"/>
    <w:rsid w:val="00783D3B"/>
    <w:rsid w:val="00783DFA"/>
    <w:rsid w:val="00783E3F"/>
    <w:rsid w:val="0078571F"/>
    <w:rsid w:val="00785770"/>
    <w:rsid w:val="007857DD"/>
    <w:rsid w:val="0078606F"/>
    <w:rsid w:val="00786893"/>
    <w:rsid w:val="00786F24"/>
    <w:rsid w:val="00787018"/>
    <w:rsid w:val="00787180"/>
    <w:rsid w:val="0078749F"/>
    <w:rsid w:val="00787724"/>
    <w:rsid w:val="00787DEE"/>
    <w:rsid w:val="00790D4D"/>
    <w:rsid w:val="007910CE"/>
    <w:rsid w:val="00791275"/>
    <w:rsid w:val="007913DD"/>
    <w:rsid w:val="0079181A"/>
    <w:rsid w:val="007927E7"/>
    <w:rsid w:val="00792C21"/>
    <w:rsid w:val="00792C41"/>
    <w:rsid w:val="00792F0C"/>
    <w:rsid w:val="00792FDD"/>
    <w:rsid w:val="007953AA"/>
    <w:rsid w:val="007958E8"/>
    <w:rsid w:val="00795BE2"/>
    <w:rsid w:val="007960CC"/>
    <w:rsid w:val="00797470"/>
    <w:rsid w:val="00797608"/>
    <w:rsid w:val="007A08E4"/>
    <w:rsid w:val="007A0C69"/>
    <w:rsid w:val="007A0D10"/>
    <w:rsid w:val="007A0EEB"/>
    <w:rsid w:val="007A1362"/>
    <w:rsid w:val="007A289B"/>
    <w:rsid w:val="007A3BFB"/>
    <w:rsid w:val="007A46B0"/>
    <w:rsid w:val="007A49A1"/>
    <w:rsid w:val="007A5773"/>
    <w:rsid w:val="007A5878"/>
    <w:rsid w:val="007A5EAE"/>
    <w:rsid w:val="007A5EE3"/>
    <w:rsid w:val="007A71FD"/>
    <w:rsid w:val="007A7939"/>
    <w:rsid w:val="007A7E5D"/>
    <w:rsid w:val="007B08AA"/>
    <w:rsid w:val="007B11EC"/>
    <w:rsid w:val="007B1314"/>
    <w:rsid w:val="007B1755"/>
    <w:rsid w:val="007B196B"/>
    <w:rsid w:val="007B38B0"/>
    <w:rsid w:val="007B3F44"/>
    <w:rsid w:val="007B46FE"/>
    <w:rsid w:val="007B51C3"/>
    <w:rsid w:val="007B6171"/>
    <w:rsid w:val="007B621E"/>
    <w:rsid w:val="007B6CBF"/>
    <w:rsid w:val="007B73BE"/>
    <w:rsid w:val="007B7C23"/>
    <w:rsid w:val="007B7D5A"/>
    <w:rsid w:val="007C07FE"/>
    <w:rsid w:val="007C0AD5"/>
    <w:rsid w:val="007C108F"/>
    <w:rsid w:val="007C1172"/>
    <w:rsid w:val="007C14DE"/>
    <w:rsid w:val="007C1534"/>
    <w:rsid w:val="007C15FD"/>
    <w:rsid w:val="007C1A3C"/>
    <w:rsid w:val="007C1D90"/>
    <w:rsid w:val="007C2556"/>
    <w:rsid w:val="007C3940"/>
    <w:rsid w:val="007C3C67"/>
    <w:rsid w:val="007C412E"/>
    <w:rsid w:val="007C432A"/>
    <w:rsid w:val="007C47D8"/>
    <w:rsid w:val="007C5156"/>
    <w:rsid w:val="007C5D87"/>
    <w:rsid w:val="007C5E85"/>
    <w:rsid w:val="007C67F5"/>
    <w:rsid w:val="007C6E8A"/>
    <w:rsid w:val="007C75B4"/>
    <w:rsid w:val="007C76C2"/>
    <w:rsid w:val="007C7912"/>
    <w:rsid w:val="007D01A7"/>
    <w:rsid w:val="007D133C"/>
    <w:rsid w:val="007D18E1"/>
    <w:rsid w:val="007D19AD"/>
    <w:rsid w:val="007D227F"/>
    <w:rsid w:val="007D301D"/>
    <w:rsid w:val="007D3343"/>
    <w:rsid w:val="007D36BB"/>
    <w:rsid w:val="007D3AE0"/>
    <w:rsid w:val="007D4C66"/>
    <w:rsid w:val="007D5393"/>
    <w:rsid w:val="007D5AEF"/>
    <w:rsid w:val="007D62FB"/>
    <w:rsid w:val="007D7D0B"/>
    <w:rsid w:val="007D7D5E"/>
    <w:rsid w:val="007E07B6"/>
    <w:rsid w:val="007E0E57"/>
    <w:rsid w:val="007E265F"/>
    <w:rsid w:val="007E27BB"/>
    <w:rsid w:val="007E28D4"/>
    <w:rsid w:val="007E3B2B"/>
    <w:rsid w:val="007E3F54"/>
    <w:rsid w:val="007E3F5A"/>
    <w:rsid w:val="007E4244"/>
    <w:rsid w:val="007E4470"/>
    <w:rsid w:val="007E522B"/>
    <w:rsid w:val="007E5AE3"/>
    <w:rsid w:val="007E6001"/>
    <w:rsid w:val="007E75AB"/>
    <w:rsid w:val="007E7666"/>
    <w:rsid w:val="007E7E0E"/>
    <w:rsid w:val="007F03FD"/>
    <w:rsid w:val="007F1457"/>
    <w:rsid w:val="007F1AF9"/>
    <w:rsid w:val="007F3F78"/>
    <w:rsid w:val="007F5965"/>
    <w:rsid w:val="007F7263"/>
    <w:rsid w:val="008006C4"/>
    <w:rsid w:val="00800D7D"/>
    <w:rsid w:val="0080155B"/>
    <w:rsid w:val="00801C8A"/>
    <w:rsid w:val="00801DD0"/>
    <w:rsid w:val="0080263A"/>
    <w:rsid w:val="00802AA0"/>
    <w:rsid w:val="008034EC"/>
    <w:rsid w:val="00803723"/>
    <w:rsid w:val="0080464F"/>
    <w:rsid w:val="0080474B"/>
    <w:rsid w:val="00804E56"/>
    <w:rsid w:val="00805590"/>
    <w:rsid w:val="008055B3"/>
    <w:rsid w:val="008059E5"/>
    <w:rsid w:val="00806539"/>
    <w:rsid w:val="00807135"/>
    <w:rsid w:val="00807253"/>
    <w:rsid w:val="00810578"/>
    <w:rsid w:val="00810C32"/>
    <w:rsid w:val="008112E3"/>
    <w:rsid w:val="00811651"/>
    <w:rsid w:val="0081256E"/>
    <w:rsid w:val="008134F8"/>
    <w:rsid w:val="008148F9"/>
    <w:rsid w:val="0081498B"/>
    <w:rsid w:val="00814FF9"/>
    <w:rsid w:val="00815059"/>
    <w:rsid w:val="0081537D"/>
    <w:rsid w:val="00815496"/>
    <w:rsid w:val="008154C5"/>
    <w:rsid w:val="00815619"/>
    <w:rsid w:val="00815AD1"/>
    <w:rsid w:val="008162CD"/>
    <w:rsid w:val="008165DC"/>
    <w:rsid w:val="00816A67"/>
    <w:rsid w:val="00816EB9"/>
    <w:rsid w:val="00817F86"/>
    <w:rsid w:val="00820211"/>
    <w:rsid w:val="00820E1A"/>
    <w:rsid w:val="00821048"/>
    <w:rsid w:val="008211F2"/>
    <w:rsid w:val="00821398"/>
    <w:rsid w:val="008214D2"/>
    <w:rsid w:val="00822481"/>
    <w:rsid w:val="0082282B"/>
    <w:rsid w:val="00822ADF"/>
    <w:rsid w:val="00824A96"/>
    <w:rsid w:val="00824E07"/>
    <w:rsid w:val="008253FB"/>
    <w:rsid w:val="008257A8"/>
    <w:rsid w:val="00825BFB"/>
    <w:rsid w:val="00825FF2"/>
    <w:rsid w:val="008268B7"/>
    <w:rsid w:val="00826B15"/>
    <w:rsid w:val="008278AD"/>
    <w:rsid w:val="00827BF8"/>
    <w:rsid w:val="00830642"/>
    <w:rsid w:val="00831138"/>
    <w:rsid w:val="0083176A"/>
    <w:rsid w:val="00831803"/>
    <w:rsid w:val="0083235E"/>
    <w:rsid w:val="008338AF"/>
    <w:rsid w:val="00833E80"/>
    <w:rsid w:val="00834179"/>
    <w:rsid w:val="008357D5"/>
    <w:rsid w:val="00837ACB"/>
    <w:rsid w:val="00837C2F"/>
    <w:rsid w:val="00843808"/>
    <w:rsid w:val="00843EB4"/>
    <w:rsid w:val="00844363"/>
    <w:rsid w:val="00845C78"/>
    <w:rsid w:val="008463F4"/>
    <w:rsid w:val="008464EB"/>
    <w:rsid w:val="0084677E"/>
    <w:rsid w:val="00846C6D"/>
    <w:rsid w:val="00847787"/>
    <w:rsid w:val="00850383"/>
    <w:rsid w:val="00850915"/>
    <w:rsid w:val="008514DF"/>
    <w:rsid w:val="008527CD"/>
    <w:rsid w:val="00852D3C"/>
    <w:rsid w:val="008545BB"/>
    <w:rsid w:val="00854BD4"/>
    <w:rsid w:val="008551B3"/>
    <w:rsid w:val="0085545F"/>
    <w:rsid w:val="008555A4"/>
    <w:rsid w:val="0085625D"/>
    <w:rsid w:val="00856A02"/>
    <w:rsid w:val="00856C02"/>
    <w:rsid w:val="00856DC6"/>
    <w:rsid w:val="00857AEE"/>
    <w:rsid w:val="0086005F"/>
    <w:rsid w:val="0086013E"/>
    <w:rsid w:val="008606D4"/>
    <w:rsid w:val="00860903"/>
    <w:rsid w:val="00860FCC"/>
    <w:rsid w:val="0086184B"/>
    <w:rsid w:val="00862920"/>
    <w:rsid w:val="00862F05"/>
    <w:rsid w:val="008634A6"/>
    <w:rsid w:val="00864548"/>
    <w:rsid w:val="00864D82"/>
    <w:rsid w:val="008661E7"/>
    <w:rsid w:val="0086636D"/>
    <w:rsid w:val="008666FA"/>
    <w:rsid w:val="00866A42"/>
    <w:rsid w:val="00866E08"/>
    <w:rsid w:val="00867F8F"/>
    <w:rsid w:val="008703AB"/>
    <w:rsid w:val="008715D6"/>
    <w:rsid w:val="0087281E"/>
    <w:rsid w:val="00872AE1"/>
    <w:rsid w:val="00873C0D"/>
    <w:rsid w:val="00874424"/>
    <w:rsid w:val="00874CA8"/>
    <w:rsid w:val="00875032"/>
    <w:rsid w:val="0087537E"/>
    <w:rsid w:val="0087543A"/>
    <w:rsid w:val="00875733"/>
    <w:rsid w:val="0087776B"/>
    <w:rsid w:val="00880290"/>
    <w:rsid w:val="00880CC7"/>
    <w:rsid w:val="008812A3"/>
    <w:rsid w:val="00881D59"/>
    <w:rsid w:val="008820AE"/>
    <w:rsid w:val="00882922"/>
    <w:rsid w:val="00883487"/>
    <w:rsid w:val="00883D5A"/>
    <w:rsid w:val="00884F8F"/>
    <w:rsid w:val="00885601"/>
    <w:rsid w:val="00885620"/>
    <w:rsid w:val="00885A67"/>
    <w:rsid w:val="00885C82"/>
    <w:rsid w:val="00886427"/>
    <w:rsid w:val="00886D1A"/>
    <w:rsid w:val="00887DD4"/>
    <w:rsid w:val="00887E32"/>
    <w:rsid w:val="00887E7C"/>
    <w:rsid w:val="00887EBA"/>
    <w:rsid w:val="00890220"/>
    <w:rsid w:val="008902C6"/>
    <w:rsid w:val="008909CC"/>
    <w:rsid w:val="00890E3B"/>
    <w:rsid w:val="00891E05"/>
    <w:rsid w:val="0089399A"/>
    <w:rsid w:val="00893C3C"/>
    <w:rsid w:val="008947A1"/>
    <w:rsid w:val="00894D3B"/>
    <w:rsid w:val="00894E76"/>
    <w:rsid w:val="00894EC4"/>
    <w:rsid w:val="008959C2"/>
    <w:rsid w:val="00895A0E"/>
    <w:rsid w:val="00895C7A"/>
    <w:rsid w:val="0089699D"/>
    <w:rsid w:val="008971A3"/>
    <w:rsid w:val="008974AE"/>
    <w:rsid w:val="008A018B"/>
    <w:rsid w:val="008A107E"/>
    <w:rsid w:val="008A1EF7"/>
    <w:rsid w:val="008A1EF8"/>
    <w:rsid w:val="008A1FB9"/>
    <w:rsid w:val="008A2164"/>
    <w:rsid w:val="008A23E9"/>
    <w:rsid w:val="008A294C"/>
    <w:rsid w:val="008A2A9B"/>
    <w:rsid w:val="008A357F"/>
    <w:rsid w:val="008A35BE"/>
    <w:rsid w:val="008A3F54"/>
    <w:rsid w:val="008A410B"/>
    <w:rsid w:val="008A5CEB"/>
    <w:rsid w:val="008A63F8"/>
    <w:rsid w:val="008A7E86"/>
    <w:rsid w:val="008A7FA2"/>
    <w:rsid w:val="008B00BF"/>
    <w:rsid w:val="008B08C3"/>
    <w:rsid w:val="008B0912"/>
    <w:rsid w:val="008B0953"/>
    <w:rsid w:val="008B168C"/>
    <w:rsid w:val="008B16BA"/>
    <w:rsid w:val="008B184C"/>
    <w:rsid w:val="008B28A4"/>
    <w:rsid w:val="008B335F"/>
    <w:rsid w:val="008B3AC7"/>
    <w:rsid w:val="008B3E4B"/>
    <w:rsid w:val="008B491E"/>
    <w:rsid w:val="008B4965"/>
    <w:rsid w:val="008B51C0"/>
    <w:rsid w:val="008B5468"/>
    <w:rsid w:val="008B5BF8"/>
    <w:rsid w:val="008B68E3"/>
    <w:rsid w:val="008B6D29"/>
    <w:rsid w:val="008B7081"/>
    <w:rsid w:val="008B74BF"/>
    <w:rsid w:val="008B76B5"/>
    <w:rsid w:val="008B780F"/>
    <w:rsid w:val="008B79F4"/>
    <w:rsid w:val="008B7C4B"/>
    <w:rsid w:val="008C0210"/>
    <w:rsid w:val="008C142D"/>
    <w:rsid w:val="008C1E95"/>
    <w:rsid w:val="008C2690"/>
    <w:rsid w:val="008C2AAD"/>
    <w:rsid w:val="008C2D32"/>
    <w:rsid w:val="008C2D80"/>
    <w:rsid w:val="008C411F"/>
    <w:rsid w:val="008C44A6"/>
    <w:rsid w:val="008C4DCF"/>
    <w:rsid w:val="008C530E"/>
    <w:rsid w:val="008C5465"/>
    <w:rsid w:val="008C55E4"/>
    <w:rsid w:val="008C56E1"/>
    <w:rsid w:val="008C5B43"/>
    <w:rsid w:val="008C5FEA"/>
    <w:rsid w:val="008C6838"/>
    <w:rsid w:val="008C6D56"/>
    <w:rsid w:val="008C7530"/>
    <w:rsid w:val="008C79A4"/>
    <w:rsid w:val="008C7D3A"/>
    <w:rsid w:val="008D0D57"/>
    <w:rsid w:val="008D1F84"/>
    <w:rsid w:val="008D226A"/>
    <w:rsid w:val="008D37D7"/>
    <w:rsid w:val="008D3CA1"/>
    <w:rsid w:val="008D3CD8"/>
    <w:rsid w:val="008D3EA6"/>
    <w:rsid w:val="008D3EF8"/>
    <w:rsid w:val="008D449D"/>
    <w:rsid w:val="008D45CD"/>
    <w:rsid w:val="008D45DE"/>
    <w:rsid w:val="008D54FD"/>
    <w:rsid w:val="008D57BF"/>
    <w:rsid w:val="008D5D58"/>
    <w:rsid w:val="008D5E0A"/>
    <w:rsid w:val="008D6E2A"/>
    <w:rsid w:val="008D71DE"/>
    <w:rsid w:val="008D71E5"/>
    <w:rsid w:val="008D739F"/>
    <w:rsid w:val="008D781F"/>
    <w:rsid w:val="008E0299"/>
    <w:rsid w:val="008E0628"/>
    <w:rsid w:val="008E0E7A"/>
    <w:rsid w:val="008E17CB"/>
    <w:rsid w:val="008E19F7"/>
    <w:rsid w:val="008E2330"/>
    <w:rsid w:val="008E2C58"/>
    <w:rsid w:val="008E347B"/>
    <w:rsid w:val="008E373E"/>
    <w:rsid w:val="008E3798"/>
    <w:rsid w:val="008E3EB8"/>
    <w:rsid w:val="008E447A"/>
    <w:rsid w:val="008E4AF8"/>
    <w:rsid w:val="008E4C77"/>
    <w:rsid w:val="008E70A0"/>
    <w:rsid w:val="008E7225"/>
    <w:rsid w:val="008F0178"/>
    <w:rsid w:val="008F026A"/>
    <w:rsid w:val="008F0506"/>
    <w:rsid w:val="008F08C1"/>
    <w:rsid w:val="008F12AB"/>
    <w:rsid w:val="008F1A52"/>
    <w:rsid w:val="008F1EA4"/>
    <w:rsid w:val="008F2656"/>
    <w:rsid w:val="008F2D64"/>
    <w:rsid w:val="008F36E1"/>
    <w:rsid w:val="008F4DF5"/>
    <w:rsid w:val="008F5231"/>
    <w:rsid w:val="008F5469"/>
    <w:rsid w:val="008F55F8"/>
    <w:rsid w:val="008F59F2"/>
    <w:rsid w:val="008F65EF"/>
    <w:rsid w:val="008F7005"/>
    <w:rsid w:val="009013D4"/>
    <w:rsid w:val="00902179"/>
    <w:rsid w:val="00902AF5"/>
    <w:rsid w:val="0090485C"/>
    <w:rsid w:val="00905235"/>
    <w:rsid w:val="009059FE"/>
    <w:rsid w:val="009077A0"/>
    <w:rsid w:val="00910201"/>
    <w:rsid w:val="00910747"/>
    <w:rsid w:val="00910B8A"/>
    <w:rsid w:val="00912A5E"/>
    <w:rsid w:val="0091317E"/>
    <w:rsid w:val="009139CA"/>
    <w:rsid w:val="00913A68"/>
    <w:rsid w:val="00913AE5"/>
    <w:rsid w:val="00915852"/>
    <w:rsid w:val="00915DFD"/>
    <w:rsid w:val="00916073"/>
    <w:rsid w:val="00917FB3"/>
    <w:rsid w:val="0092038B"/>
    <w:rsid w:val="00920797"/>
    <w:rsid w:val="00920CC3"/>
    <w:rsid w:val="009216A4"/>
    <w:rsid w:val="00921734"/>
    <w:rsid w:val="00922295"/>
    <w:rsid w:val="00922B89"/>
    <w:rsid w:val="00925061"/>
    <w:rsid w:val="009255BF"/>
    <w:rsid w:val="00925DE9"/>
    <w:rsid w:val="009263BD"/>
    <w:rsid w:val="0092796D"/>
    <w:rsid w:val="00931015"/>
    <w:rsid w:val="00931BF7"/>
    <w:rsid w:val="00932347"/>
    <w:rsid w:val="00932696"/>
    <w:rsid w:val="0093363A"/>
    <w:rsid w:val="009345C5"/>
    <w:rsid w:val="0093492A"/>
    <w:rsid w:val="0093494F"/>
    <w:rsid w:val="00934A77"/>
    <w:rsid w:val="009353FD"/>
    <w:rsid w:val="00935672"/>
    <w:rsid w:val="009369C2"/>
    <w:rsid w:val="00936C4C"/>
    <w:rsid w:val="00936CEA"/>
    <w:rsid w:val="00937052"/>
    <w:rsid w:val="00937257"/>
    <w:rsid w:val="0093763F"/>
    <w:rsid w:val="00941249"/>
    <w:rsid w:val="00941D5D"/>
    <w:rsid w:val="00942BEA"/>
    <w:rsid w:val="0094345F"/>
    <w:rsid w:val="00943855"/>
    <w:rsid w:val="00943C8B"/>
    <w:rsid w:val="00943E90"/>
    <w:rsid w:val="00944199"/>
    <w:rsid w:val="0094422C"/>
    <w:rsid w:val="00944291"/>
    <w:rsid w:val="00944403"/>
    <w:rsid w:val="00945C29"/>
    <w:rsid w:val="009462B4"/>
    <w:rsid w:val="00946B7D"/>
    <w:rsid w:val="00946CE2"/>
    <w:rsid w:val="0094721B"/>
    <w:rsid w:val="00947912"/>
    <w:rsid w:val="0095083E"/>
    <w:rsid w:val="00950CFE"/>
    <w:rsid w:val="00951028"/>
    <w:rsid w:val="009514CA"/>
    <w:rsid w:val="00951746"/>
    <w:rsid w:val="009526DA"/>
    <w:rsid w:val="00952B3C"/>
    <w:rsid w:val="00952B8A"/>
    <w:rsid w:val="00953243"/>
    <w:rsid w:val="00953B70"/>
    <w:rsid w:val="00953F70"/>
    <w:rsid w:val="00954822"/>
    <w:rsid w:val="009548C2"/>
    <w:rsid w:val="0095495C"/>
    <w:rsid w:val="00954A7B"/>
    <w:rsid w:val="00955D0C"/>
    <w:rsid w:val="00955D0E"/>
    <w:rsid w:val="00956A66"/>
    <w:rsid w:val="009572A7"/>
    <w:rsid w:val="00957DA6"/>
    <w:rsid w:val="00960EF6"/>
    <w:rsid w:val="00960EFB"/>
    <w:rsid w:val="0096137B"/>
    <w:rsid w:val="00961B36"/>
    <w:rsid w:val="0096258B"/>
    <w:rsid w:val="00962C65"/>
    <w:rsid w:val="00962C9D"/>
    <w:rsid w:val="00964549"/>
    <w:rsid w:val="009645C6"/>
    <w:rsid w:val="0096565F"/>
    <w:rsid w:val="0096630A"/>
    <w:rsid w:val="0096643D"/>
    <w:rsid w:val="00966721"/>
    <w:rsid w:val="00966A09"/>
    <w:rsid w:val="00966CB0"/>
    <w:rsid w:val="00970E82"/>
    <w:rsid w:val="00971B69"/>
    <w:rsid w:val="00972282"/>
    <w:rsid w:val="00972FBE"/>
    <w:rsid w:val="00973B2A"/>
    <w:rsid w:val="0097527E"/>
    <w:rsid w:val="009753E7"/>
    <w:rsid w:val="009755DD"/>
    <w:rsid w:val="009761A6"/>
    <w:rsid w:val="00976B0B"/>
    <w:rsid w:val="00977F5B"/>
    <w:rsid w:val="009802CA"/>
    <w:rsid w:val="0098033F"/>
    <w:rsid w:val="009804F5"/>
    <w:rsid w:val="0098055F"/>
    <w:rsid w:val="00980744"/>
    <w:rsid w:val="00981098"/>
    <w:rsid w:val="009810E2"/>
    <w:rsid w:val="0098334A"/>
    <w:rsid w:val="009842EB"/>
    <w:rsid w:val="0098491F"/>
    <w:rsid w:val="00985BAD"/>
    <w:rsid w:val="00986086"/>
    <w:rsid w:val="0098629D"/>
    <w:rsid w:val="00986BD4"/>
    <w:rsid w:val="0098713B"/>
    <w:rsid w:val="00987D57"/>
    <w:rsid w:val="009903D7"/>
    <w:rsid w:val="00990456"/>
    <w:rsid w:val="0099052D"/>
    <w:rsid w:val="00990720"/>
    <w:rsid w:val="009917A6"/>
    <w:rsid w:val="009924FC"/>
    <w:rsid w:val="0099266E"/>
    <w:rsid w:val="00992D1E"/>
    <w:rsid w:val="00993411"/>
    <w:rsid w:val="00993467"/>
    <w:rsid w:val="0099403C"/>
    <w:rsid w:val="00994206"/>
    <w:rsid w:val="00994B88"/>
    <w:rsid w:val="00994D02"/>
    <w:rsid w:val="00994EC9"/>
    <w:rsid w:val="00996A5E"/>
    <w:rsid w:val="00996F2B"/>
    <w:rsid w:val="00997029"/>
    <w:rsid w:val="00997706"/>
    <w:rsid w:val="00997D7F"/>
    <w:rsid w:val="009A0290"/>
    <w:rsid w:val="009A0679"/>
    <w:rsid w:val="009A0FE8"/>
    <w:rsid w:val="009A129E"/>
    <w:rsid w:val="009A17F4"/>
    <w:rsid w:val="009A1988"/>
    <w:rsid w:val="009A1DAC"/>
    <w:rsid w:val="009A2337"/>
    <w:rsid w:val="009A2E52"/>
    <w:rsid w:val="009A2E8B"/>
    <w:rsid w:val="009A3E29"/>
    <w:rsid w:val="009A4177"/>
    <w:rsid w:val="009A429F"/>
    <w:rsid w:val="009A4676"/>
    <w:rsid w:val="009A4B5C"/>
    <w:rsid w:val="009A553C"/>
    <w:rsid w:val="009A55F4"/>
    <w:rsid w:val="009A5AAC"/>
    <w:rsid w:val="009A5B02"/>
    <w:rsid w:val="009A6372"/>
    <w:rsid w:val="009A6B19"/>
    <w:rsid w:val="009A6D22"/>
    <w:rsid w:val="009A7433"/>
    <w:rsid w:val="009A7440"/>
    <w:rsid w:val="009A7890"/>
    <w:rsid w:val="009A7894"/>
    <w:rsid w:val="009A7DB9"/>
    <w:rsid w:val="009A7DCC"/>
    <w:rsid w:val="009B03DD"/>
    <w:rsid w:val="009B0558"/>
    <w:rsid w:val="009B0734"/>
    <w:rsid w:val="009B0983"/>
    <w:rsid w:val="009B0A72"/>
    <w:rsid w:val="009B0ED9"/>
    <w:rsid w:val="009B1097"/>
    <w:rsid w:val="009B150C"/>
    <w:rsid w:val="009B1D5C"/>
    <w:rsid w:val="009B1F9B"/>
    <w:rsid w:val="009B2106"/>
    <w:rsid w:val="009B2A8D"/>
    <w:rsid w:val="009B2CFA"/>
    <w:rsid w:val="009B5056"/>
    <w:rsid w:val="009B51BF"/>
    <w:rsid w:val="009B63FC"/>
    <w:rsid w:val="009B6A97"/>
    <w:rsid w:val="009B6AED"/>
    <w:rsid w:val="009B7B98"/>
    <w:rsid w:val="009C02A0"/>
    <w:rsid w:val="009C090F"/>
    <w:rsid w:val="009C09FF"/>
    <w:rsid w:val="009C0E06"/>
    <w:rsid w:val="009C1E9E"/>
    <w:rsid w:val="009C2629"/>
    <w:rsid w:val="009C28A9"/>
    <w:rsid w:val="009C2E14"/>
    <w:rsid w:val="009C37E9"/>
    <w:rsid w:val="009C3A40"/>
    <w:rsid w:val="009C41BE"/>
    <w:rsid w:val="009C41E9"/>
    <w:rsid w:val="009C4905"/>
    <w:rsid w:val="009C4C57"/>
    <w:rsid w:val="009C4DF9"/>
    <w:rsid w:val="009C553E"/>
    <w:rsid w:val="009C6429"/>
    <w:rsid w:val="009C72E9"/>
    <w:rsid w:val="009C7C05"/>
    <w:rsid w:val="009D020A"/>
    <w:rsid w:val="009D1860"/>
    <w:rsid w:val="009D1B55"/>
    <w:rsid w:val="009D2A23"/>
    <w:rsid w:val="009D2D91"/>
    <w:rsid w:val="009D2EE8"/>
    <w:rsid w:val="009D40B5"/>
    <w:rsid w:val="009D4159"/>
    <w:rsid w:val="009D4228"/>
    <w:rsid w:val="009D4394"/>
    <w:rsid w:val="009D44CF"/>
    <w:rsid w:val="009D52BC"/>
    <w:rsid w:val="009D5354"/>
    <w:rsid w:val="009D5A81"/>
    <w:rsid w:val="009D6EA3"/>
    <w:rsid w:val="009D6F14"/>
    <w:rsid w:val="009D7500"/>
    <w:rsid w:val="009D7662"/>
    <w:rsid w:val="009E17AB"/>
    <w:rsid w:val="009E21F4"/>
    <w:rsid w:val="009E3707"/>
    <w:rsid w:val="009E383A"/>
    <w:rsid w:val="009E3B60"/>
    <w:rsid w:val="009E5233"/>
    <w:rsid w:val="009E52AE"/>
    <w:rsid w:val="009E5304"/>
    <w:rsid w:val="009E5AFB"/>
    <w:rsid w:val="009E5E1C"/>
    <w:rsid w:val="009E6BDE"/>
    <w:rsid w:val="009E6D58"/>
    <w:rsid w:val="009E704D"/>
    <w:rsid w:val="009E716B"/>
    <w:rsid w:val="009E766A"/>
    <w:rsid w:val="009F07F8"/>
    <w:rsid w:val="009F0D18"/>
    <w:rsid w:val="009F1759"/>
    <w:rsid w:val="009F28C2"/>
    <w:rsid w:val="009F4976"/>
    <w:rsid w:val="009F6163"/>
    <w:rsid w:val="00A0059E"/>
    <w:rsid w:val="00A00C5D"/>
    <w:rsid w:val="00A01007"/>
    <w:rsid w:val="00A02356"/>
    <w:rsid w:val="00A02661"/>
    <w:rsid w:val="00A0311C"/>
    <w:rsid w:val="00A03B4E"/>
    <w:rsid w:val="00A040AF"/>
    <w:rsid w:val="00A04475"/>
    <w:rsid w:val="00A0469F"/>
    <w:rsid w:val="00A04873"/>
    <w:rsid w:val="00A05644"/>
    <w:rsid w:val="00A06417"/>
    <w:rsid w:val="00A07E3D"/>
    <w:rsid w:val="00A108FA"/>
    <w:rsid w:val="00A1111F"/>
    <w:rsid w:val="00A1133C"/>
    <w:rsid w:val="00A115B5"/>
    <w:rsid w:val="00A11777"/>
    <w:rsid w:val="00A11B85"/>
    <w:rsid w:val="00A127B1"/>
    <w:rsid w:val="00A12BD2"/>
    <w:rsid w:val="00A13780"/>
    <w:rsid w:val="00A14507"/>
    <w:rsid w:val="00A146DE"/>
    <w:rsid w:val="00A1549A"/>
    <w:rsid w:val="00A165CF"/>
    <w:rsid w:val="00A16CB4"/>
    <w:rsid w:val="00A1703B"/>
    <w:rsid w:val="00A1769A"/>
    <w:rsid w:val="00A21250"/>
    <w:rsid w:val="00A21339"/>
    <w:rsid w:val="00A21407"/>
    <w:rsid w:val="00A21D78"/>
    <w:rsid w:val="00A21FF6"/>
    <w:rsid w:val="00A2283A"/>
    <w:rsid w:val="00A23D1B"/>
    <w:rsid w:val="00A24C1D"/>
    <w:rsid w:val="00A25065"/>
    <w:rsid w:val="00A25125"/>
    <w:rsid w:val="00A25C4F"/>
    <w:rsid w:val="00A26245"/>
    <w:rsid w:val="00A262A9"/>
    <w:rsid w:val="00A2630D"/>
    <w:rsid w:val="00A26458"/>
    <w:rsid w:val="00A268AC"/>
    <w:rsid w:val="00A268F3"/>
    <w:rsid w:val="00A26ABA"/>
    <w:rsid w:val="00A26AF1"/>
    <w:rsid w:val="00A275E7"/>
    <w:rsid w:val="00A27919"/>
    <w:rsid w:val="00A27D24"/>
    <w:rsid w:val="00A27E1F"/>
    <w:rsid w:val="00A30ED6"/>
    <w:rsid w:val="00A3111C"/>
    <w:rsid w:val="00A313F3"/>
    <w:rsid w:val="00A33374"/>
    <w:rsid w:val="00A3342D"/>
    <w:rsid w:val="00A3345D"/>
    <w:rsid w:val="00A336CB"/>
    <w:rsid w:val="00A33751"/>
    <w:rsid w:val="00A34719"/>
    <w:rsid w:val="00A35875"/>
    <w:rsid w:val="00A35905"/>
    <w:rsid w:val="00A35AE4"/>
    <w:rsid w:val="00A3618F"/>
    <w:rsid w:val="00A36529"/>
    <w:rsid w:val="00A36546"/>
    <w:rsid w:val="00A36749"/>
    <w:rsid w:val="00A367FD"/>
    <w:rsid w:val="00A36880"/>
    <w:rsid w:val="00A36A42"/>
    <w:rsid w:val="00A37614"/>
    <w:rsid w:val="00A376D2"/>
    <w:rsid w:val="00A379FB"/>
    <w:rsid w:val="00A40443"/>
    <w:rsid w:val="00A41981"/>
    <w:rsid w:val="00A41A20"/>
    <w:rsid w:val="00A41A2B"/>
    <w:rsid w:val="00A4251D"/>
    <w:rsid w:val="00A42F08"/>
    <w:rsid w:val="00A43D35"/>
    <w:rsid w:val="00A4571E"/>
    <w:rsid w:val="00A463FE"/>
    <w:rsid w:val="00A5022F"/>
    <w:rsid w:val="00A50AD3"/>
    <w:rsid w:val="00A513AD"/>
    <w:rsid w:val="00A523C6"/>
    <w:rsid w:val="00A52AFA"/>
    <w:rsid w:val="00A52F06"/>
    <w:rsid w:val="00A537D1"/>
    <w:rsid w:val="00A553B5"/>
    <w:rsid w:val="00A55704"/>
    <w:rsid w:val="00A55996"/>
    <w:rsid w:val="00A55F41"/>
    <w:rsid w:val="00A5675B"/>
    <w:rsid w:val="00A57891"/>
    <w:rsid w:val="00A60727"/>
    <w:rsid w:val="00A619BE"/>
    <w:rsid w:val="00A61AA2"/>
    <w:rsid w:val="00A632C9"/>
    <w:rsid w:val="00A639C0"/>
    <w:rsid w:val="00A63CCC"/>
    <w:rsid w:val="00A647A5"/>
    <w:rsid w:val="00A6532D"/>
    <w:rsid w:val="00A66A58"/>
    <w:rsid w:val="00A67033"/>
    <w:rsid w:val="00A704F5"/>
    <w:rsid w:val="00A706C5"/>
    <w:rsid w:val="00A70BBA"/>
    <w:rsid w:val="00A70EB2"/>
    <w:rsid w:val="00A71A51"/>
    <w:rsid w:val="00A71EF6"/>
    <w:rsid w:val="00A74CE9"/>
    <w:rsid w:val="00A7542A"/>
    <w:rsid w:val="00A76547"/>
    <w:rsid w:val="00A767D4"/>
    <w:rsid w:val="00A76AB9"/>
    <w:rsid w:val="00A76ED8"/>
    <w:rsid w:val="00A7726D"/>
    <w:rsid w:val="00A77BD8"/>
    <w:rsid w:val="00A807BA"/>
    <w:rsid w:val="00A810A1"/>
    <w:rsid w:val="00A8130B"/>
    <w:rsid w:val="00A819BF"/>
    <w:rsid w:val="00A8246C"/>
    <w:rsid w:val="00A82A7D"/>
    <w:rsid w:val="00A82B84"/>
    <w:rsid w:val="00A83A0E"/>
    <w:rsid w:val="00A83C2C"/>
    <w:rsid w:val="00A843E7"/>
    <w:rsid w:val="00A84DD5"/>
    <w:rsid w:val="00A85845"/>
    <w:rsid w:val="00A85BE9"/>
    <w:rsid w:val="00A869BE"/>
    <w:rsid w:val="00A87EFF"/>
    <w:rsid w:val="00A90013"/>
    <w:rsid w:val="00A90A59"/>
    <w:rsid w:val="00A91105"/>
    <w:rsid w:val="00A9243E"/>
    <w:rsid w:val="00A93555"/>
    <w:rsid w:val="00A935E5"/>
    <w:rsid w:val="00A94701"/>
    <w:rsid w:val="00A9489F"/>
    <w:rsid w:val="00A94917"/>
    <w:rsid w:val="00A94BB3"/>
    <w:rsid w:val="00A9551A"/>
    <w:rsid w:val="00A95768"/>
    <w:rsid w:val="00A961DC"/>
    <w:rsid w:val="00A97AA9"/>
    <w:rsid w:val="00AA12B8"/>
    <w:rsid w:val="00AA2DC4"/>
    <w:rsid w:val="00AA3215"/>
    <w:rsid w:val="00AA416E"/>
    <w:rsid w:val="00AA42ED"/>
    <w:rsid w:val="00AA4820"/>
    <w:rsid w:val="00AA4853"/>
    <w:rsid w:val="00AA5439"/>
    <w:rsid w:val="00AA5662"/>
    <w:rsid w:val="00AA5B78"/>
    <w:rsid w:val="00AA606F"/>
    <w:rsid w:val="00AA609F"/>
    <w:rsid w:val="00AA71F1"/>
    <w:rsid w:val="00AB0A1E"/>
    <w:rsid w:val="00AB1218"/>
    <w:rsid w:val="00AB1A5B"/>
    <w:rsid w:val="00AB1CD0"/>
    <w:rsid w:val="00AB2FC3"/>
    <w:rsid w:val="00AB3E66"/>
    <w:rsid w:val="00AB4D81"/>
    <w:rsid w:val="00AB4F71"/>
    <w:rsid w:val="00AB5050"/>
    <w:rsid w:val="00AB50C0"/>
    <w:rsid w:val="00AB5DD9"/>
    <w:rsid w:val="00AB5E51"/>
    <w:rsid w:val="00AB61CE"/>
    <w:rsid w:val="00AB62CF"/>
    <w:rsid w:val="00AB63E5"/>
    <w:rsid w:val="00AB7787"/>
    <w:rsid w:val="00AB78C6"/>
    <w:rsid w:val="00AC00F0"/>
    <w:rsid w:val="00AC03F5"/>
    <w:rsid w:val="00AC0C2D"/>
    <w:rsid w:val="00AC125B"/>
    <w:rsid w:val="00AC2272"/>
    <w:rsid w:val="00AC23AB"/>
    <w:rsid w:val="00AC2B06"/>
    <w:rsid w:val="00AC2FED"/>
    <w:rsid w:val="00AC35CC"/>
    <w:rsid w:val="00AC36BF"/>
    <w:rsid w:val="00AC3EDB"/>
    <w:rsid w:val="00AC43AC"/>
    <w:rsid w:val="00AC45B3"/>
    <w:rsid w:val="00AC46B5"/>
    <w:rsid w:val="00AC4BB8"/>
    <w:rsid w:val="00AC54BD"/>
    <w:rsid w:val="00AC65D9"/>
    <w:rsid w:val="00AC6D06"/>
    <w:rsid w:val="00AD0AEB"/>
    <w:rsid w:val="00AD0DAB"/>
    <w:rsid w:val="00AD1787"/>
    <w:rsid w:val="00AD1E20"/>
    <w:rsid w:val="00AD2028"/>
    <w:rsid w:val="00AD3460"/>
    <w:rsid w:val="00AD3A2B"/>
    <w:rsid w:val="00AD3D32"/>
    <w:rsid w:val="00AD46C6"/>
    <w:rsid w:val="00AD5961"/>
    <w:rsid w:val="00AD59F1"/>
    <w:rsid w:val="00AD5D6E"/>
    <w:rsid w:val="00AD68DA"/>
    <w:rsid w:val="00AD7AAD"/>
    <w:rsid w:val="00AD7D53"/>
    <w:rsid w:val="00AE0C87"/>
    <w:rsid w:val="00AE102F"/>
    <w:rsid w:val="00AE1406"/>
    <w:rsid w:val="00AE2DF9"/>
    <w:rsid w:val="00AE32ED"/>
    <w:rsid w:val="00AE3D05"/>
    <w:rsid w:val="00AE41A9"/>
    <w:rsid w:val="00AE461E"/>
    <w:rsid w:val="00AE4D02"/>
    <w:rsid w:val="00AE4FD9"/>
    <w:rsid w:val="00AE533E"/>
    <w:rsid w:val="00AE6A0C"/>
    <w:rsid w:val="00AE7221"/>
    <w:rsid w:val="00AE7D15"/>
    <w:rsid w:val="00AE7E55"/>
    <w:rsid w:val="00AF0664"/>
    <w:rsid w:val="00AF17B6"/>
    <w:rsid w:val="00AF2F1C"/>
    <w:rsid w:val="00AF33BC"/>
    <w:rsid w:val="00AF3F59"/>
    <w:rsid w:val="00AF3FB3"/>
    <w:rsid w:val="00AF44D8"/>
    <w:rsid w:val="00AF4A60"/>
    <w:rsid w:val="00AF562A"/>
    <w:rsid w:val="00AF567C"/>
    <w:rsid w:val="00AF6C98"/>
    <w:rsid w:val="00AF7C38"/>
    <w:rsid w:val="00AF7FF8"/>
    <w:rsid w:val="00B000EF"/>
    <w:rsid w:val="00B00B44"/>
    <w:rsid w:val="00B01039"/>
    <w:rsid w:val="00B01179"/>
    <w:rsid w:val="00B017C6"/>
    <w:rsid w:val="00B0315C"/>
    <w:rsid w:val="00B03FCF"/>
    <w:rsid w:val="00B051A6"/>
    <w:rsid w:val="00B05CF0"/>
    <w:rsid w:val="00B06C5F"/>
    <w:rsid w:val="00B07F65"/>
    <w:rsid w:val="00B10F8C"/>
    <w:rsid w:val="00B114DB"/>
    <w:rsid w:val="00B11917"/>
    <w:rsid w:val="00B1193C"/>
    <w:rsid w:val="00B13285"/>
    <w:rsid w:val="00B1421B"/>
    <w:rsid w:val="00B1444B"/>
    <w:rsid w:val="00B154DD"/>
    <w:rsid w:val="00B17378"/>
    <w:rsid w:val="00B17633"/>
    <w:rsid w:val="00B20008"/>
    <w:rsid w:val="00B210AA"/>
    <w:rsid w:val="00B21B3C"/>
    <w:rsid w:val="00B21E58"/>
    <w:rsid w:val="00B2276B"/>
    <w:rsid w:val="00B2278F"/>
    <w:rsid w:val="00B22D58"/>
    <w:rsid w:val="00B24088"/>
    <w:rsid w:val="00B240CA"/>
    <w:rsid w:val="00B244A2"/>
    <w:rsid w:val="00B24577"/>
    <w:rsid w:val="00B247E8"/>
    <w:rsid w:val="00B2582A"/>
    <w:rsid w:val="00B26156"/>
    <w:rsid w:val="00B26C0C"/>
    <w:rsid w:val="00B273A6"/>
    <w:rsid w:val="00B301BE"/>
    <w:rsid w:val="00B3115A"/>
    <w:rsid w:val="00B313AF"/>
    <w:rsid w:val="00B313D6"/>
    <w:rsid w:val="00B31BF8"/>
    <w:rsid w:val="00B32091"/>
    <w:rsid w:val="00B32129"/>
    <w:rsid w:val="00B33234"/>
    <w:rsid w:val="00B339A9"/>
    <w:rsid w:val="00B33E0F"/>
    <w:rsid w:val="00B36FA0"/>
    <w:rsid w:val="00B372A4"/>
    <w:rsid w:val="00B37950"/>
    <w:rsid w:val="00B4027A"/>
    <w:rsid w:val="00B40F4A"/>
    <w:rsid w:val="00B41DD3"/>
    <w:rsid w:val="00B41E98"/>
    <w:rsid w:val="00B4220F"/>
    <w:rsid w:val="00B422B3"/>
    <w:rsid w:val="00B4262A"/>
    <w:rsid w:val="00B43248"/>
    <w:rsid w:val="00B4347C"/>
    <w:rsid w:val="00B43661"/>
    <w:rsid w:val="00B43D75"/>
    <w:rsid w:val="00B47281"/>
    <w:rsid w:val="00B4746A"/>
    <w:rsid w:val="00B47C0B"/>
    <w:rsid w:val="00B50597"/>
    <w:rsid w:val="00B52618"/>
    <w:rsid w:val="00B52987"/>
    <w:rsid w:val="00B52E70"/>
    <w:rsid w:val="00B53248"/>
    <w:rsid w:val="00B53587"/>
    <w:rsid w:val="00B53999"/>
    <w:rsid w:val="00B53B3C"/>
    <w:rsid w:val="00B56B52"/>
    <w:rsid w:val="00B570C5"/>
    <w:rsid w:val="00B573E7"/>
    <w:rsid w:val="00B573E9"/>
    <w:rsid w:val="00B60187"/>
    <w:rsid w:val="00B60596"/>
    <w:rsid w:val="00B60645"/>
    <w:rsid w:val="00B60E43"/>
    <w:rsid w:val="00B615A9"/>
    <w:rsid w:val="00B625DA"/>
    <w:rsid w:val="00B62ED2"/>
    <w:rsid w:val="00B6384A"/>
    <w:rsid w:val="00B6397C"/>
    <w:rsid w:val="00B63AA1"/>
    <w:rsid w:val="00B63DDD"/>
    <w:rsid w:val="00B640F7"/>
    <w:rsid w:val="00B64469"/>
    <w:rsid w:val="00B64BA7"/>
    <w:rsid w:val="00B653F8"/>
    <w:rsid w:val="00B658E8"/>
    <w:rsid w:val="00B65907"/>
    <w:rsid w:val="00B6590B"/>
    <w:rsid w:val="00B65E78"/>
    <w:rsid w:val="00B65EFE"/>
    <w:rsid w:val="00B666C3"/>
    <w:rsid w:val="00B667AB"/>
    <w:rsid w:val="00B67161"/>
    <w:rsid w:val="00B675BB"/>
    <w:rsid w:val="00B70097"/>
    <w:rsid w:val="00B701D0"/>
    <w:rsid w:val="00B70DE9"/>
    <w:rsid w:val="00B71E80"/>
    <w:rsid w:val="00B723CB"/>
    <w:rsid w:val="00B72492"/>
    <w:rsid w:val="00B726AD"/>
    <w:rsid w:val="00B72D26"/>
    <w:rsid w:val="00B72F5B"/>
    <w:rsid w:val="00B736DB"/>
    <w:rsid w:val="00B742E3"/>
    <w:rsid w:val="00B748B8"/>
    <w:rsid w:val="00B749BA"/>
    <w:rsid w:val="00B74BD5"/>
    <w:rsid w:val="00B75081"/>
    <w:rsid w:val="00B75708"/>
    <w:rsid w:val="00B75873"/>
    <w:rsid w:val="00B75B54"/>
    <w:rsid w:val="00B77A21"/>
    <w:rsid w:val="00B8068B"/>
    <w:rsid w:val="00B808D5"/>
    <w:rsid w:val="00B8228B"/>
    <w:rsid w:val="00B82DEA"/>
    <w:rsid w:val="00B838A3"/>
    <w:rsid w:val="00B8435F"/>
    <w:rsid w:val="00B8497F"/>
    <w:rsid w:val="00B853CD"/>
    <w:rsid w:val="00B8584D"/>
    <w:rsid w:val="00B85A3E"/>
    <w:rsid w:val="00B85E87"/>
    <w:rsid w:val="00B86677"/>
    <w:rsid w:val="00B87080"/>
    <w:rsid w:val="00B875BB"/>
    <w:rsid w:val="00B87AC0"/>
    <w:rsid w:val="00B91A44"/>
    <w:rsid w:val="00B91AED"/>
    <w:rsid w:val="00B91FE9"/>
    <w:rsid w:val="00B9324C"/>
    <w:rsid w:val="00B93AD1"/>
    <w:rsid w:val="00B93B72"/>
    <w:rsid w:val="00B948A0"/>
    <w:rsid w:val="00B9550D"/>
    <w:rsid w:val="00B95510"/>
    <w:rsid w:val="00B963F9"/>
    <w:rsid w:val="00B967B4"/>
    <w:rsid w:val="00B96A23"/>
    <w:rsid w:val="00B96C03"/>
    <w:rsid w:val="00B96C92"/>
    <w:rsid w:val="00B97816"/>
    <w:rsid w:val="00B97CF0"/>
    <w:rsid w:val="00BA03D6"/>
    <w:rsid w:val="00BA04D4"/>
    <w:rsid w:val="00BA0A81"/>
    <w:rsid w:val="00BA0C43"/>
    <w:rsid w:val="00BA100F"/>
    <w:rsid w:val="00BA2195"/>
    <w:rsid w:val="00BA2F2B"/>
    <w:rsid w:val="00BA39C5"/>
    <w:rsid w:val="00BA3EBC"/>
    <w:rsid w:val="00BA48A2"/>
    <w:rsid w:val="00BA4CC6"/>
    <w:rsid w:val="00BA5C63"/>
    <w:rsid w:val="00BA5C99"/>
    <w:rsid w:val="00BA61B9"/>
    <w:rsid w:val="00BA65AF"/>
    <w:rsid w:val="00BA7246"/>
    <w:rsid w:val="00BA79A1"/>
    <w:rsid w:val="00BA7A53"/>
    <w:rsid w:val="00BB066E"/>
    <w:rsid w:val="00BB0BF7"/>
    <w:rsid w:val="00BB207D"/>
    <w:rsid w:val="00BB237A"/>
    <w:rsid w:val="00BB240B"/>
    <w:rsid w:val="00BB3172"/>
    <w:rsid w:val="00BB3410"/>
    <w:rsid w:val="00BB3A6B"/>
    <w:rsid w:val="00BB4682"/>
    <w:rsid w:val="00BB4DBC"/>
    <w:rsid w:val="00BB4ECC"/>
    <w:rsid w:val="00BB52EC"/>
    <w:rsid w:val="00BB52EE"/>
    <w:rsid w:val="00BB6051"/>
    <w:rsid w:val="00BB634C"/>
    <w:rsid w:val="00BB637F"/>
    <w:rsid w:val="00BB6AD5"/>
    <w:rsid w:val="00BB6D11"/>
    <w:rsid w:val="00BB7637"/>
    <w:rsid w:val="00BB77CF"/>
    <w:rsid w:val="00BB7958"/>
    <w:rsid w:val="00BC06C0"/>
    <w:rsid w:val="00BC07BE"/>
    <w:rsid w:val="00BC10B8"/>
    <w:rsid w:val="00BC14B3"/>
    <w:rsid w:val="00BC244A"/>
    <w:rsid w:val="00BC2929"/>
    <w:rsid w:val="00BC2D1A"/>
    <w:rsid w:val="00BC3283"/>
    <w:rsid w:val="00BC38A4"/>
    <w:rsid w:val="00BC44A0"/>
    <w:rsid w:val="00BC477F"/>
    <w:rsid w:val="00BC4E72"/>
    <w:rsid w:val="00BC503B"/>
    <w:rsid w:val="00BC6208"/>
    <w:rsid w:val="00BC73E9"/>
    <w:rsid w:val="00BC790E"/>
    <w:rsid w:val="00BD14C3"/>
    <w:rsid w:val="00BD1DA4"/>
    <w:rsid w:val="00BD2127"/>
    <w:rsid w:val="00BD2FBE"/>
    <w:rsid w:val="00BD3194"/>
    <w:rsid w:val="00BD3E7A"/>
    <w:rsid w:val="00BD4457"/>
    <w:rsid w:val="00BD48FE"/>
    <w:rsid w:val="00BD5B09"/>
    <w:rsid w:val="00BD6872"/>
    <w:rsid w:val="00BD68AE"/>
    <w:rsid w:val="00BD6D3E"/>
    <w:rsid w:val="00BD73B8"/>
    <w:rsid w:val="00BD7AAC"/>
    <w:rsid w:val="00BE1A78"/>
    <w:rsid w:val="00BE1EF4"/>
    <w:rsid w:val="00BE1FC2"/>
    <w:rsid w:val="00BE204F"/>
    <w:rsid w:val="00BE2420"/>
    <w:rsid w:val="00BE2A5E"/>
    <w:rsid w:val="00BE3D65"/>
    <w:rsid w:val="00BE4821"/>
    <w:rsid w:val="00BE5513"/>
    <w:rsid w:val="00BE5D9A"/>
    <w:rsid w:val="00BE6F1A"/>
    <w:rsid w:val="00BE712B"/>
    <w:rsid w:val="00BE78C2"/>
    <w:rsid w:val="00BF02F3"/>
    <w:rsid w:val="00BF03B4"/>
    <w:rsid w:val="00BF1552"/>
    <w:rsid w:val="00BF1742"/>
    <w:rsid w:val="00BF1846"/>
    <w:rsid w:val="00BF1958"/>
    <w:rsid w:val="00BF1A85"/>
    <w:rsid w:val="00BF1C06"/>
    <w:rsid w:val="00BF2007"/>
    <w:rsid w:val="00BF26A0"/>
    <w:rsid w:val="00BF26AB"/>
    <w:rsid w:val="00BF412D"/>
    <w:rsid w:val="00BF4868"/>
    <w:rsid w:val="00BF48BF"/>
    <w:rsid w:val="00BF4DF1"/>
    <w:rsid w:val="00BF5669"/>
    <w:rsid w:val="00BF584D"/>
    <w:rsid w:val="00BF5E88"/>
    <w:rsid w:val="00BF622E"/>
    <w:rsid w:val="00BF660E"/>
    <w:rsid w:val="00BF688D"/>
    <w:rsid w:val="00BF6A11"/>
    <w:rsid w:val="00BF6F20"/>
    <w:rsid w:val="00BF7E3F"/>
    <w:rsid w:val="00C0018A"/>
    <w:rsid w:val="00C01880"/>
    <w:rsid w:val="00C03C77"/>
    <w:rsid w:val="00C03D77"/>
    <w:rsid w:val="00C041E1"/>
    <w:rsid w:val="00C04645"/>
    <w:rsid w:val="00C04B53"/>
    <w:rsid w:val="00C0520F"/>
    <w:rsid w:val="00C05DFE"/>
    <w:rsid w:val="00C05F73"/>
    <w:rsid w:val="00C060D7"/>
    <w:rsid w:val="00C06482"/>
    <w:rsid w:val="00C07772"/>
    <w:rsid w:val="00C07ADF"/>
    <w:rsid w:val="00C10C86"/>
    <w:rsid w:val="00C1171A"/>
    <w:rsid w:val="00C11A95"/>
    <w:rsid w:val="00C11B76"/>
    <w:rsid w:val="00C11CE6"/>
    <w:rsid w:val="00C12465"/>
    <w:rsid w:val="00C1520B"/>
    <w:rsid w:val="00C156D5"/>
    <w:rsid w:val="00C1593F"/>
    <w:rsid w:val="00C15C5E"/>
    <w:rsid w:val="00C15DBB"/>
    <w:rsid w:val="00C16349"/>
    <w:rsid w:val="00C16A4E"/>
    <w:rsid w:val="00C176C6"/>
    <w:rsid w:val="00C179A5"/>
    <w:rsid w:val="00C20200"/>
    <w:rsid w:val="00C2046E"/>
    <w:rsid w:val="00C20561"/>
    <w:rsid w:val="00C21110"/>
    <w:rsid w:val="00C21243"/>
    <w:rsid w:val="00C21625"/>
    <w:rsid w:val="00C218F0"/>
    <w:rsid w:val="00C23A37"/>
    <w:rsid w:val="00C24D07"/>
    <w:rsid w:val="00C254B3"/>
    <w:rsid w:val="00C2590D"/>
    <w:rsid w:val="00C259C1"/>
    <w:rsid w:val="00C26267"/>
    <w:rsid w:val="00C2668D"/>
    <w:rsid w:val="00C2780F"/>
    <w:rsid w:val="00C279B2"/>
    <w:rsid w:val="00C27CCA"/>
    <w:rsid w:val="00C27FE1"/>
    <w:rsid w:val="00C3021F"/>
    <w:rsid w:val="00C31645"/>
    <w:rsid w:val="00C31880"/>
    <w:rsid w:val="00C32994"/>
    <w:rsid w:val="00C32BAF"/>
    <w:rsid w:val="00C32CD0"/>
    <w:rsid w:val="00C33129"/>
    <w:rsid w:val="00C340C6"/>
    <w:rsid w:val="00C3490D"/>
    <w:rsid w:val="00C34A34"/>
    <w:rsid w:val="00C357A5"/>
    <w:rsid w:val="00C35928"/>
    <w:rsid w:val="00C35DC7"/>
    <w:rsid w:val="00C35EA6"/>
    <w:rsid w:val="00C36967"/>
    <w:rsid w:val="00C371FB"/>
    <w:rsid w:val="00C37407"/>
    <w:rsid w:val="00C40A74"/>
    <w:rsid w:val="00C4289C"/>
    <w:rsid w:val="00C4293F"/>
    <w:rsid w:val="00C434C3"/>
    <w:rsid w:val="00C4406A"/>
    <w:rsid w:val="00C4408F"/>
    <w:rsid w:val="00C44147"/>
    <w:rsid w:val="00C44195"/>
    <w:rsid w:val="00C4485F"/>
    <w:rsid w:val="00C461BE"/>
    <w:rsid w:val="00C4643D"/>
    <w:rsid w:val="00C46488"/>
    <w:rsid w:val="00C46B35"/>
    <w:rsid w:val="00C501F3"/>
    <w:rsid w:val="00C5046B"/>
    <w:rsid w:val="00C50499"/>
    <w:rsid w:val="00C5156E"/>
    <w:rsid w:val="00C51832"/>
    <w:rsid w:val="00C51B40"/>
    <w:rsid w:val="00C51DEB"/>
    <w:rsid w:val="00C5261A"/>
    <w:rsid w:val="00C52E6B"/>
    <w:rsid w:val="00C53C87"/>
    <w:rsid w:val="00C53FFC"/>
    <w:rsid w:val="00C540E8"/>
    <w:rsid w:val="00C55266"/>
    <w:rsid w:val="00C56375"/>
    <w:rsid w:val="00C5640E"/>
    <w:rsid w:val="00C568D7"/>
    <w:rsid w:val="00C60142"/>
    <w:rsid w:val="00C601D0"/>
    <w:rsid w:val="00C60ABE"/>
    <w:rsid w:val="00C61D3E"/>
    <w:rsid w:val="00C624EE"/>
    <w:rsid w:val="00C62809"/>
    <w:rsid w:val="00C629AA"/>
    <w:rsid w:val="00C62CA3"/>
    <w:rsid w:val="00C62D25"/>
    <w:rsid w:val="00C634AC"/>
    <w:rsid w:val="00C638BD"/>
    <w:rsid w:val="00C63D7F"/>
    <w:rsid w:val="00C648AD"/>
    <w:rsid w:val="00C64BCA"/>
    <w:rsid w:val="00C64CC1"/>
    <w:rsid w:val="00C672E0"/>
    <w:rsid w:val="00C67823"/>
    <w:rsid w:val="00C7033F"/>
    <w:rsid w:val="00C70BDE"/>
    <w:rsid w:val="00C7143B"/>
    <w:rsid w:val="00C7217D"/>
    <w:rsid w:val="00C72DB5"/>
    <w:rsid w:val="00C72E77"/>
    <w:rsid w:val="00C73155"/>
    <w:rsid w:val="00C73177"/>
    <w:rsid w:val="00C73259"/>
    <w:rsid w:val="00C7327B"/>
    <w:rsid w:val="00C733D2"/>
    <w:rsid w:val="00C738BA"/>
    <w:rsid w:val="00C7415B"/>
    <w:rsid w:val="00C755A0"/>
    <w:rsid w:val="00C75ABC"/>
    <w:rsid w:val="00C75CB4"/>
    <w:rsid w:val="00C75D08"/>
    <w:rsid w:val="00C75DC1"/>
    <w:rsid w:val="00C76034"/>
    <w:rsid w:val="00C761F9"/>
    <w:rsid w:val="00C76516"/>
    <w:rsid w:val="00C76E75"/>
    <w:rsid w:val="00C76F8D"/>
    <w:rsid w:val="00C779A3"/>
    <w:rsid w:val="00C77DB9"/>
    <w:rsid w:val="00C8037E"/>
    <w:rsid w:val="00C81081"/>
    <w:rsid w:val="00C818F7"/>
    <w:rsid w:val="00C81926"/>
    <w:rsid w:val="00C82240"/>
    <w:rsid w:val="00C82266"/>
    <w:rsid w:val="00C83B53"/>
    <w:rsid w:val="00C8454A"/>
    <w:rsid w:val="00C84752"/>
    <w:rsid w:val="00C85184"/>
    <w:rsid w:val="00C85F92"/>
    <w:rsid w:val="00C8654D"/>
    <w:rsid w:val="00C867FA"/>
    <w:rsid w:val="00C9051F"/>
    <w:rsid w:val="00C9080B"/>
    <w:rsid w:val="00C908CF"/>
    <w:rsid w:val="00C917B7"/>
    <w:rsid w:val="00C928A8"/>
    <w:rsid w:val="00C92F08"/>
    <w:rsid w:val="00C932CE"/>
    <w:rsid w:val="00C93398"/>
    <w:rsid w:val="00C9389A"/>
    <w:rsid w:val="00C93B05"/>
    <w:rsid w:val="00C93E45"/>
    <w:rsid w:val="00C94160"/>
    <w:rsid w:val="00C9464F"/>
    <w:rsid w:val="00C94AB7"/>
    <w:rsid w:val="00C958AE"/>
    <w:rsid w:val="00C95B2F"/>
    <w:rsid w:val="00C9669C"/>
    <w:rsid w:val="00C97F31"/>
    <w:rsid w:val="00CA0452"/>
    <w:rsid w:val="00CA0B1E"/>
    <w:rsid w:val="00CA1375"/>
    <w:rsid w:val="00CA1631"/>
    <w:rsid w:val="00CA21D7"/>
    <w:rsid w:val="00CA25DA"/>
    <w:rsid w:val="00CA3E19"/>
    <w:rsid w:val="00CA3EB0"/>
    <w:rsid w:val="00CA3F0C"/>
    <w:rsid w:val="00CA48B3"/>
    <w:rsid w:val="00CA4FC2"/>
    <w:rsid w:val="00CA7E0D"/>
    <w:rsid w:val="00CB09A3"/>
    <w:rsid w:val="00CB12D1"/>
    <w:rsid w:val="00CB31A7"/>
    <w:rsid w:val="00CB39B5"/>
    <w:rsid w:val="00CB52F1"/>
    <w:rsid w:val="00CB5D56"/>
    <w:rsid w:val="00CB69B8"/>
    <w:rsid w:val="00CB734E"/>
    <w:rsid w:val="00CB764B"/>
    <w:rsid w:val="00CB7A90"/>
    <w:rsid w:val="00CC124E"/>
    <w:rsid w:val="00CC133A"/>
    <w:rsid w:val="00CC17DB"/>
    <w:rsid w:val="00CC2261"/>
    <w:rsid w:val="00CC2B56"/>
    <w:rsid w:val="00CC306A"/>
    <w:rsid w:val="00CC31A0"/>
    <w:rsid w:val="00CC3206"/>
    <w:rsid w:val="00CC4399"/>
    <w:rsid w:val="00CC4410"/>
    <w:rsid w:val="00CC46B1"/>
    <w:rsid w:val="00CC4C63"/>
    <w:rsid w:val="00CC6004"/>
    <w:rsid w:val="00CC6900"/>
    <w:rsid w:val="00CD0324"/>
    <w:rsid w:val="00CD0999"/>
    <w:rsid w:val="00CD0BE2"/>
    <w:rsid w:val="00CD14CF"/>
    <w:rsid w:val="00CD1592"/>
    <w:rsid w:val="00CD159A"/>
    <w:rsid w:val="00CD1728"/>
    <w:rsid w:val="00CD17AB"/>
    <w:rsid w:val="00CD2ACE"/>
    <w:rsid w:val="00CD2DDC"/>
    <w:rsid w:val="00CD2E22"/>
    <w:rsid w:val="00CD441A"/>
    <w:rsid w:val="00CD4EE6"/>
    <w:rsid w:val="00CD63BD"/>
    <w:rsid w:val="00CD6743"/>
    <w:rsid w:val="00CD7250"/>
    <w:rsid w:val="00CD7B7A"/>
    <w:rsid w:val="00CD7DCD"/>
    <w:rsid w:val="00CE08CE"/>
    <w:rsid w:val="00CE0F4C"/>
    <w:rsid w:val="00CE1E9D"/>
    <w:rsid w:val="00CE1EE5"/>
    <w:rsid w:val="00CE1FA5"/>
    <w:rsid w:val="00CE24FA"/>
    <w:rsid w:val="00CE2636"/>
    <w:rsid w:val="00CE27D2"/>
    <w:rsid w:val="00CE2D74"/>
    <w:rsid w:val="00CE32A1"/>
    <w:rsid w:val="00CE47BB"/>
    <w:rsid w:val="00CE48DE"/>
    <w:rsid w:val="00CE49B9"/>
    <w:rsid w:val="00CE4AD5"/>
    <w:rsid w:val="00CE7140"/>
    <w:rsid w:val="00CE7272"/>
    <w:rsid w:val="00CF002B"/>
    <w:rsid w:val="00CF11B7"/>
    <w:rsid w:val="00CF28D9"/>
    <w:rsid w:val="00CF2DD3"/>
    <w:rsid w:val="00CF2FB0"/>
    <w:rsid w:val="00CF3216"/>
    <w:rsid w:val="00CF3447"/>
    <w:rsid w:val="00CF542F"/>
    <w:rsid w:val="00CF564F"/>
    <w:rsid w:val="00CF5994"/>
    <w:rsid w:val="00CF5DEF"/>
    <w:rsid w:val="00CF6BB4"/>
    <w:rsid w:val="00CF7D06"/>
    <w:rsid w:val="00D0004C"/>
    <w:rsid w:val="00D00F41"/>
    <w:rsid w:val="00D0280F"/>
    <w:rsid w:val="00D0287C"/>
    <w:rsid w:val="00D02975"/>
    <w:rsid w:val="00D02D33"/>
    <w:rsid w:val="00D03B70"/>
    <w:rsid w:val="00D03C20"/>
    <w:rsid w:val="00D04236"/>
    <w:rsid w:val="00D04D67"/>
    <w:rsid w:val="00D05013"/>
    <w:rsid w:val="00D05F0F"/>
    <w:rsid w:val="00D06F14"/>
    <w:rsid w:val="00D071B6"/>
    <w:rsid w:val="00D07562"/>
    <w:rsid w:val="00D07C8F"/>
    <w:rsid w:val="00D10425"/>
    <w:rsid w:val="00D10A20"/>
    <w:rsid w:val="00D10ED7"/>
    <w:rsid w:val="00D11517"/>
    <w:rsid w:val="00D11FC2"/>
    <w:rsid w:val="00D12142"/>
    <w:rsid w:val="00D12D26"/>
    <w:rsid w:val="00D13063"/>
    <w:rsid w:val="00D132B2"/>
    <w:rsid w:val="00D13455"/>
    <w:rsid w:val="00D138FE"/>
    <w:rsid w:val="00D13BF9"/>
    <w:rsid w:val="00D1435D"/>
    <w:rsid w:val="00D14457"/>
    <w:rsid w:val="00D16258"/>
    <w:rsid w:val="00D1656D"/>
    <w:rsid w:val="00D1685E"/>
    <w:rsid w:val="00D1700F"/>
    <w:rsid w:val="00D1720A"/>
    <w:rsid w:val="00D174BF"/>
    <w:rsid w:val="00D1784D"/>
    <w:rsid w:val="00D17FEC"/>
    <w:rsid w:val="00D20EC8"/>
    <w:rsid w:val="00D2131F"/>
    <w:rsid w:val="00D21F8A"/>
    <w:rsid w:val="00D22662"/>
    <w:rsid w:val="00D2279C"/>
    <w:rsid w:val="00D22D01"/>
    <w:rsid w:val="00D22D8E"/>
    <w:rsid w:val="00D23A29"/>
    <w:rsid w:val="00D23AAE"/>
    <w:rsid w:val="00D23C8B"/>
    <w:rsid w:val="00D24B3A"/>
    <w:rsid w:val="00D262AE"/>
    <w:rsid w:val="00D26ACF"/>
    <w:rsid w:val="00D26F43"/>
    <w:rsid w:val="00D27078"/>
    <w:rsid w:val="00D270F4"/>
    <w:rsid w:val="00D27CC9"/>
    <w:rsid w:val="00D27E1F"/>
    <w:rsid w:val="00D27E65"/>
    <w:rsid w:val="00D30640"/>
    <w:rsid w:val="00D30825"/>
    <w:rsid w:val="00D31159"/>
    <w:rsid w:val="00D31B29"/>
    <w:rsid w:val="00D337A3"/>
    <w:rsid w:val="00D33B33"/>
    <w:rsid w:val="00D33FBB"/>
    <w:rsid w:val="00D3434C"/>
    <w:rsid w:val="00D3471B"/>
    <w:rsid w:val="00D35381"/>
    <w:rsid w:val="00D358A4"/>
    <w:rsid w:val="00D372EB"/>
    <w:rsid w:val="00D37416"/>
    <w:rsid w:val="00D377B3"/>
    <w:rsid w:val="00D37B8E"/>
    <w:rsid w:val="00D41503"/>
    <w:rsid w:val="00D41641"/>
    <w:rsid w:val="00D416A0"/>
    <w:rsid w:val="00D41835"/>
    <w:rsid w:val="00D41DD1"/>
    <w:rsid w:val="00D42024"/>
    <w:rsid w:val="00D421F1"/>
    <w:rsid w:val="00D4264D"/>
    <w:rsid w:val="00D42C6B"/>
    <w:rsid w:val="00D4325B"/>
    <w:rsid w:val="00D43416"/>
    <w:rsid w:val="00D439B2"/>
    <w:rsid w:val="00D4433E"/>
    <w:rsid w:val="00D45ABA"/>
    <w:rsid w:val="00D46276"/>
    <w:rsid w:val="00D46917"/>
    <w:rsid w:val="00D46D25"/>
    <w:rsid w:val="00D47C2B"/>
    <w:rsid w:val="00D47C6E"/>
    <w:rsid w:val="00D5009B"/>
    <w:rsid w:val="00D510B4"/>
    <w:rsid w:val="00D51C26"/>
    <w:rsid w:val="00D51C56"/>
    <w:rsid w:val="00D51D97"/>
    <w:rsid w:val="00D52DB7"/>
    <w:rsid w:val="00D536BF"/>
    <w:rsid w:val="00D53DF7"/>
    <w:rsid w:val="00D54F22"/>
    <w:rsid w:val="00D5569F"/>
    <w:rsid w:val="00D558C3"/>
    <w:rsid w:val="00D55B4F"/>
    <w:rsid w:val="00D561F2"/>
    <w:rsid w:val="00D57FA8"/>
    <w:rsid w:val="00D606B1"/>
    <w:rsid w:val="00D60E84"/>
    <w:rsid w:val="00D613C4"/>
    <w:rsid w:val="00D615DB"/>
    <w:rsid w:val="00D616CC"/>
    <w:rsid w:val="00D61E08"/>
    <w:rsid w:val="00D61E9C"/>
    <w:rsid w:val="00D61EEF"/>
    <w:rsid w:val="00D62231"/>
    <w:rsid w:val="00D62718"/>
    <w:rsid w:val="00D62EB8"/>
    <w:rsid w:val="00D652C9"/>
    <w:rsid w:val="00D66259"/>
    <w:rsid w:val="00D66440"/>
    <w:rsid w:val="00D6733D"/>
    <w:rsid w:val="00D67A7F"/>
    <w:rsid w:val="00D707C5"/>
    <w:rsid w:val="00D71BA7"/>
    <w:rsid w:val="00D7206A"/>
    <w:rsid w:val="00D72388"/>
    <w:rsid w:val="00D724E2"/>
    <w:rsid w:val="00D72D3C"/>
    <w:rsid w:val="00D7315A"/>
    <w:rsid w:val="00D7533C"/>
    <w:rsid w:val="00D7567D"/>
    <w:rsid w:val="00D75752"/>
    <w:rsid w:val="00D75964"/>
    <w:rsid w:val="00D75B9B"/>
    <w:rsid w:val="00D7681B"/>
    <w:rsid w:val="00D76C65"/>
    <w:rsid w:val="00D76F97"/>
    <w:rsid w:val="00D771F5"/>
    <w:rsid w:val="00D77957"/>
    <w:rsid w:val="00D77FCF"/>
    <w:rsid w:val="00D803C6"/>
    <w:rsid w:val="00D80DB6"/>
    <w:rsid w:val="00D81120"/>
    <w:rsid w:val="00D812A0"/>
    <w:rsid w:val="00D81A31"/>
    <w:rsid w:val="00D8290F"/>
    <w:rsid w:val="00D82B0F"/>
    <w:rsid w:val="00D82CED"/>
    <w:rsid w:val="00D844F2"/>
    <w:rsid w:val="00D84B08"/>
    <w:rsid w:val="00D84CDE"/>
    <w:rsid w:val="00D86619"/>
    <w:rsid w:val="00D86D62"/>
    <w:rsid w:val="00D87035"/>
    <w:rsid w:val="00D8770A"/>
    <w:rsid w:val="00D87942"/>
    <w:rsid w:val="00D87B21"/>
    <w:rsid w:val="00D90953"/>
    <w:rsid w:val="00D9156C"/>
    <w:rsid w:val="00D91E2F"/>
    <w:rsid w:val="00D92094"/>
    <w:rsid w:val="00D9314C"/>
    <w:rsid w:val="00D935C6"/>
    <w:rsid w:val="00D93796"/>
    <w:rsid w:val="00D937C2"/>
    <w:rsid w:val="00D9397F"/>
    <w:rsid w:val="00D94DE3"/>
    <w:rsid w:val="00D94F45"/>
    <w:rsid w:val="00D96556"/>
    <w:rsid w:val="00D9676D"/>
    <w:rsid w:val="00D97EFF"/>
    <w:rsid w:val="00DA0397"/>
    <w:rsid w:val="00DA077E"/>
    <w:rsid w:val="00DA170F"/>
    <w:rsid w:val="00DA1DFB"/>
    <w:rsid w:val="00DA31B8"/>
    <w:rsid w:val="00DA42A3"/>
    <w:rsid w:val="00DA49B7"/>
    <w:rsid w:val="00DA4BE3"/>
    <w:rsid w:val="00DA5753"/>
    <w:rsid w:val="00DA58C6"/>
    <w:rsid w:val="00DA5960"/>
    <w:rsid w:val="00DA6790"/>
    <w:rsid w:val="00DA7513"/>
    <w:rsid w:val="00DA7784"/>
    <w:rsid w:val="00DB034A"/>
    <w:rsid w:val="00DB067C"/>
    <w:rsid w:val="00DB0BA4"/>
    <w:rsid w:val="00DB0F49"/>
    <w:rsid w:val="00DB16C1"/>
    <w:rsid w:val="00DB1A39"/>
    <w:rsid w:val="00DB1C80"/>
    <w:rsid w:val="00DB1D09"/>
    <w:rsid w:val="00DB1DE3"/>
    <w:rsid w:val="00DB2F9C"/>
    <w:rsid w:val="00DB31AA"/>
    <w:rsid w:val="00DB35D2"/>
    <w:rsid w:val="00DB35E5"/>
    <w:rsid w:val="00DB42C3"/>
    <w:rsid w:val="00DB462F"/>
    <w:rsid w:val="00DB4E03"/>
    <w:rsid w:val="00DB513A"/>
    <w:rsid w:val="00DB5827"/>
    <w:rsid w:val="00DB5A33"/>
    <w:rsid w:val="00DB60FF"/>
    <w:rsid w:val="00DB7224"/>
    <w:rsid w:val="00DB7286"/>
    <w:rsid w:val="00DB793F"/>
    <w:rsid w:val="00DB7ABB"/>
    <w:rsid w:val="00DB7F66"/>
    <w:rsid w:val="00DB7F9A"/>
    <w:rsid w:val="00DC0724"/>
    <w:rsid w:val="00DC0BF7"/>
    <w:rsid w:val="00DC0D44"/>
    <w:rsid w:val="00DC1535"/>
    <w:rsid w:val="00DC1FDA"/>
    <w:rsid w:val="00DC21F0"/>
    <w:rsid w:val="00DC21FE"/>
    <w:rsid w:val="00DC2281"/>
    <w:rsid w:val="00DC4140"/>
    <w:rsid w:val="00DC4306"/>
    <w:rsid w:val="00DC5581"/>
    <w:rsid w:val="00DC56F8"/>
    <w:rsid w:val="00DC680F"/>
    <w:rsid w:val="00DD0D24"/>
    <w:rsid w:val="00DD1776"/>
    <w:rsid w:val="00DD2839"/>
    <w:rsid w:val="00DD3036"/>
    <w:rsid w:val="00DD3901"/>
    <w:rsid w:val="00DD39B7"/>
    <w:rsid w:val="00DD4153"/>
    <w:rsid w:val="00DD6EA7"/>
    <w:rsid w:val="00DD7038"/>
    <w:rsid w:val="00DD735E"/>
    <w:rsid w:val="00DE01F6"/>
    <w:rsid w:val="00DE043B"/>
    <w:rsid w:val="00DE060D"/>
    <w:rsid w:val="00DE088C"/>
    <w:rsid w:val="00DE0ADF"/>
    <w:rsid w:val="00DE10EC"/>
    <w:rsid w:val="00DE177E"/>
    <w:rsid w:val="00DE1E93"/>
    <w:rsid w:val="00DE2505"/>
    <w:rsid w:val="00DE323B"/>
    <w:rsid w:val="00DE3F58"/>
    <w:rsid w:val="00DE4B99"/>
    <w:rsid w:val="00DE504B"/>
    <w:rsid w:val="00DE5971"/>
    <w:rsid w:val="00DE5D15"/>
    <w:rsid w:val="00DE71D2"/>
    <w:rsid w:val="00DE76E7"/>
    <w:rsid w:val="00DF02C4"/>
    <w:rsid w:val="00DF02E4"/>
    <w:rsid w:val="00DF03EF"/>
    <w:rsid w:val="00DF066B"/>
    <w:rsid w:val="00DF13ED"/>
    <w:rsid w:val="00DF27D2"/>
    <w:rsid w:val="00DF2900"/>
    <w:rsid w:val="00DF29ED"/>
    <w:rsid w:val="00DF2DB4"/>
    <w:rsid w:val="00DF2E1B"/>
    <w:rsid w:val="00DF3023"/>
    <w:rsid w:val="00DF3589"/>
    <w:rsid w:val="00DF3C03"/>
    <w:rsid w:val="00DF3C85"/>
    <w:rsid w:val="00DF3E0F"/>
    <w:rsid w:val="00DF4B48"/>
    <w:rsid w:val="00DF5A91"/>
    <w:rsid w:val="00DF5C3E"/>
    <w:rsid w:val="00DF70F2"/>
    <w:rsid w:val="00DF71AD"/>
    <w:rsid w:val="00DF773B"/>
    <w:rsid w:val="00E004AF"/>
    <w:rsid w:val="00E00C1B"/>
    <w:rsid w:val="00E010CE"/>
    <w:rsid w:val="00E01521"/>
    <w:rsid w:val="00E01801"/>
    <w:rsid w:val="00E01859"/>
    <w:rsid w:val="00E0270C"/>
    <w:rsid w:val="00E02F52"/>
    <w:rsid w:val="00E033A6"/>
    <w:rsid w:val="00E043C0"/>
    <w:rsid w:val="00E04CA2"/>
    <w:rsid w:val="00E05F05"/>
    <w:rsid w:val="00E05FBA"/>
    <w:rsid w:val="00E0667E"/>
    <w:rsid w:val="00E06810"/>
    <w:rsid w:val="00E069E0"/>
    <w:rsid w:val="00E07779"/>
    <w:rsid w:val="00E07D97"/>
    <w:rsid w:val="00E11013"/>
    <w:rsid w:val="00E11FAE"/>
    <w:rsid w:val="00E12129"/>
    <w:rsid w:val="00E12C98"/>
    <w:rsid w:val="00E1348D"/>
    <w:rsid w:val="00E1375D"/>
    <w:rsid w:val="00E13DB7"/>
    <w:rsid w:val="00E144BB"/>
    <w:rsid w:val="00E14AFB"/>
    <w:rsid w:val="00E1592F"/>
    <w:rsid w:val="00E15992"/>
    <w:rsid w:val="00E15C03"/>
    <w:rsid w:val="00E15D84"/>
    <w:rsid w:val="00E16A59"/>
    <w:rsid w:val="00E17C9D"/>
    <w:rsid w:val="00E17FB9"/>
    <w:rsid w:val="00E2030C"/>
    <w:rsid w:val="00E20A01"/>
    <w:rsid w:val="00E21B87"/>
    <w:rsid w:val="00E22019"/>
    <w:rsid w:val="00E220C2"/>
    <w:rsid w:val="00E22AB6"/>
    <w:rsid w:val="00E22F7F"/>
    <w:rsid w:val="00E242F7"/>
    <w:rsid w:val="00E258CE"/>
    <w:rsid w:val="00E27EF4"/>
    <w:rsid w:val="00E30D79"/>
    <w:rsid w:val="00E31423"/>
    <w:rsid w:val="00E31689"/>
    <w:rsid w:val="00E34783"/>
    <w:rsid w:val="00E35478"/>
    <w:rsid w:val="00E359B6"/>
    <w:rsid w:val="00E36C6C"/>
    <w:rsid w:val="00E36CAA"/>
    <w:rsid w:val="00E373D2"/>
    <w:rsid w:val="00E37431"/>
    <w:rsid w:val="00E37C95"/>
    <w:rsid w:val="00E40261"/>
    <w:rsid w:val="00E404C5"/>
    <w:rsid w:val="00E40A03"/>
    <w:rsid w:val="00E41186"/>
    <w:rsid w:val="00E412ED"/>
    <w:rsid w:val="00E416DF"/>
    <w:rsid w:val="00E42490"/>
    <w:rsid w:val="00E43FC9"/>
    <w:rsid w:val="00E448EC"/>
    <w:rsid w:val="00E45092"/>
    <w:rsid w:val="00E45A58"/>
    <w:rsid w:val="00E45DDE"/>
    <w:rsid w:val="00E4685E"/>
    <w:rsid w:val="00E46BF3"/>
    <w:rsid w:val="00E46C5D"/>
    <w:rsid w:val="00E47231"/>
    <w:rsid w:val="00E47734"/>
    <w:rsid w:val="00E47746"/>
    <w:rsid w:val="00E51FE1"/>
    <w:rsid w:val="00E52CAD"/>
    <w:rsid w:val="00E5312A"/>
    <w:rsid w:val="00E53676"/>
    <w:rsid w:val="00E5376D"/>
    <w:rsid w:val="00E53B7B"/>
    <w:rsid w:val="00E54848"/>
    <w:rsid w:val="00E54D8F"/>
    <w:rsid w:val="00E54F8C"/>
    <w:rsid w:val="00E54FF5"/>
    <w:rsid w:val="00E554BB"/>
    <w:rsid w:val="00E55E2C"/>
    <w:rsid w:val="00E55ECE"/>
    <w:rsid w:val="00E56F38"/>
    <w:rsid w:val="00E57B92"/>
    <w:rsid w:val="00E57FCE"/>
    <w:rsid w:val="00E606C3"/>
    <w:rsid w:val="00E60827"/>
    <w:rsid w:val="00E60EF7"/>
    <w:rsid w:val="00E62253"/>
    <w:rsid w:val="00E623EB"/>
    <w:rsid w:val="00E624BC"/>
    <w:rsid w:val="00E62896"/>
    <w:rsid w:val="00E62BBE"/>
    <w:rsid w:val="00E62EC5"/>
    <w:rsid w:val="00E637E5"/>
    <w:rsid w:val="00E644D1"/>
    <w:rsid w:val="00E6532B"/>
    <w:rsid w:val="00E655CD"/>
    <w:rsid w:val="00E662EF"/>
    <w:rsid w:val="00E6632E"/>
    <w:rsid w:val="00E66821"/>
    <w:rsid w:val="00E67236"/>
    <w:rsid w:val="00E701BA"/>
    <w:rsid w:val="00E70282"/>
    <w:rsid w:val="00E7060D"/>
    <w:rsid w:val="00E71045"/>
    <w:rsid w:val="00E72272"/>
    <w:rsid w:val="00E7233D"/>
    <w:rsid w:val="00E72452"/>
    <w:rsid w:val="00E72EDA"/>
    <w:rsid w:val="00E73D42"/>
    <w:rsid w:val="00E7566D"/>
    <w:rsid w:val="00E759DB"/>
    <w:rsid w:val="00E75A9F"/>
    <w:rsid w:val="00E75F58"/>
    <w:rsid w:val="00E767B3"/>
    <w:rsid w:val="00E774FC"/>
    <w:rsid w:val="00E80210"/>
    <w:rsid w:val="00E803C5"/>
    <w:rsid w:val="00E809AF"/>
    <w:rsid w:val="00E80AFC"/>
    <w:rsid w:val="00E8135F"/>
    <w:rsid w:val="00E81B99"/>
    <w:rsid w:val="00E81BA1"/>
    <w:rsid w:val="00E82A9E"/>
    <w:rsid w:val="00E82D47"/>
    <w:rsid w:val="00E82FFF"/>
    <w:rsid w:val="00E83E6A"/>
    <w:rsid w:val="00E842A4"/>
    <w:rsid w:val="00E84308"/>
    <w:rsid w:val="00E84738"/>
    <w:rsid w:val="00E849A4"/>
    <w:rsid w:val="00E84AA5"/>
    <w:rsid w:val="00E84B67"/>
    <w:rsid w:val="00E84BA3"/>
    <w:rsid w:val="00E84C02"/>
    <w:rsid w:val="00E85029"/>
    <w:rsid w:val="00E8530B"/>
    <w:rsid w:val="00E85CDF"/>
    <w:rsid w:val="00E87062"/>
    <w:rsid w:val="00E8780A"/>
    <w:rsid w:val="00E90B6F"/>
    <w:rsid w:val="00E90BC8"/>
    <w:rsid w:val="00E914C5"/>
    <w:rsid w:val="00E91D3A"/>
    <w:rsid w:val="00E92A7F"/>
    <w:rsid w:val="00E93024"/>
    <w:rsid w:val="00E93201"/>
    <w:rsid w:val="00E9322A"/>
    <w:rsid w:val="00E933E7"/>
    <w:rsid w:val="00E949C3"/>
    <w:rsid w:val="00E952E4"/>
    <w:rsid w:val="00E95971"/>
    <w:rsid w:val="00E959F9"/>
    <w:rsid w:val="00E95C8D"/>
    <w:rsid w:val="00E962FC"/>
    <w:rsid w:val="00E96347"/>
    <w:rsid w:val="00E96A43"/>
    <w:rsid w:val="00E97D81"/>
    <w:rsid w:val="00EA06AD"/>
    <w:rsid w:val="00EA0871"/>
    <w:rsid w:val="00EA14A4"/>
    <w:rsid w:val="00EA17D9"/>
    <w:rsid w:val="00EA2894"/>
    <w:rsid w:val="00EA40ED"/>
    <w:rsid w:val="00EA44FF"/>
    <w:rsid w:val="00EA472C"/>
    <w:rsid w:val="00EA52E4"/>
    <w:rsid w:val="00EA56AD"/>
    <w:rsid w:val="00EA59B1"/>
    <w:rsid w:val="00EA6845"/>
    <w:rsid w:val="00EA6935"/>
    <w:rsid w:val="00EA6F6D"/>
    <w:rsid w:val="00EA7497"/>
    <w:rsid w:val="00EA74EF"/>
    <w:rsid w:val="00EA7514"/>
    <w:rsid w:val="00EA775F"/>
    <w:rsid w:val="00EB1421"/>
    <w:rsid w:val="00EB1AE5"/>
    <w:rsid w:val="00EB204B"/>
    <w:rsid w:val="00EB2737"/>
    <w:rsid w:val="00EB2AF3"/>
    <w:rsid w:val="00EB305E"/>
    <w:rsid w:val="00EB4E3D"/>
    <w:rsid w:val="00EB5645"/>
    <w:rsid w:val="00EB5793"/>
    <w:rsid w:val="00EB6597"/>
    <w:rsid w:val="00EB6A51"/>
    <w:rsid w:val="00EC0FF5"/>
    <w:rsid w:val="00EC181E"/>
    <w:rsid w:val="00EC35A9"/>
    <w:rsid w:val="00EC3B2E"/>
    <w:rsid w:val="00EC41CE"/>
    <w:rsid w:val="00EC46AA"/>
    <w:rsid w:val="00EC47EF"/>
    <w:rsid w:val="00EC4AE2"/>
    <w:rsid w:val="00EC5005"/>
    <w:rsid w:val="00EC5374"/>
    <w:rsid w:val="00EC6FE4"/>
    <w:rsid w:val="00EC7467"/>
    <w:rsid w:val="00ED02DD"/>
    <w:rsid w:val="00ED036E"/>
    <w:rsid w:val="00ED05B5"/>
    <w:rsid w:val="00ED0767"/>
    <w:rsid w:val="00ED1459"/>
    <w:rsid w:val="00ED195C"/>
    <w:rsid w:val="00ED2896"/>
    <w:rsid w:val="00ED2A20"/>
    <w:rsid w:val="00ED2C4C"/>
    <w:rsid w:val="00ED4A17"/>
    <w:rsid w:val="00ED4B90"/>
    <w:rsid w:val="00ED575D"/>
    <w:rsid w:val="00ED57BE"/>
    <w:rsid w:val="00ED644E"/>
    <w:rsid w:val="00ED68F9"/>
    <w:rsid w:val="00ED6D35"/>
    <w:rsid w:val="00ED739E"/>
    <w:rsid w:val="00ED78D9"/>
    <w:rsid w:val="00EE01C9"/>
    <w:rsid w:val="00EE0646"/>
    <w:rsid w:val="00EE16AD"/>
    <w:rsid w:val="00EE31B2"/>
    <w:rsid w:val="00EE3483"/>
    <w:rsid w:val="00EE3D9C"/>
    <w:rsid w:val="00EE3F13"/>
    <w:rsid w:val="00EE4527"/>
    <w:rsid w:val="00EE4AE9"/>
    <w:rsid w:val="00EE4BB9"/>
    <w:rsid w:val="00EE522E"/>
    <w:rsid w:val="00EE5371"/>
    <w:rsid w:val="00EE5B79"/>
    <w:rsid w:val="00EE6234"/>
    <w:rsid w:val="00EE63DF"/>
    <w:rsid w:val="00EE745B"/>
    <w:rsid w:val="00EE7522"/>
    <w:rsid w:val="00EF0152"/>
    <w:rsid w:val="00EF1043"/>
    <w:rsid w:val="00EF167E"/>
    <w:rsid w:val="00EF172C"/>
    <w:rsid w:val="00EF188F"/>
    <w:rsid w:val="00EF1A0A"/>
    <w:rsid w:val="00EF1B7E"/>
    <w:rsid w:val="00EF2719"/>
    <w:rsid w:val="00EF2990"/>
    <w:rsid w:val="00EF338C"/>
    <w:rsid w:val="00EF3567"/>
    <w:rsid w:val="00EF3DAD"/>
    <w:rsid w:val="00EF40AF"/>
    <w:rsid w:val="00EF45B7"/>
    <w:rsid w:val="00EF4748"/>
    <w:rsid w:val="00EF4C8A"/>
    <w:rsid w:val="00EF4D44"/>
    <w:rsid w:val="00EF513D"/>
    <w:rsid w:val="00EF52FF"/>
    <w:rsid w:val="00EF5C95"/>
    <w:rsid w:val="00EF72BA"/>
    <w:rsid w:val="00EF795A"/>
    <w:rsid w:val="00EF7DB9"/>
    <w:rsid w:val="00F00A29"/>
    <w:rsid w:val="00F01CB4"/>
    <w:rsid w:val="00F01E85"/>
    <w:rsid w:val="00F02944"/>
    <w:rsid w:val="00F03254"/>
    <w:rsid w:val="00F037B1"/>
    <w:rsid w:val="00F039E5"/>
    <w:rsid w:val="00F03CB2"/>
    <w:rsid w:val="00F0498D"/>
    <w:rsid w:val="00F0638E"/>
    <w:rsid w:val="00F063C5"/>
    <w:rsid w:val="00F06B9D"/>
    <w:rsid w:val="00F0789D"/>
    <w:rsid w:val="00F07A69"/>
    <w:rsid w:val="00F10CDE"/>
    <w:rsid w:val="00F10DE3"/>
    <w:rsid w:val="00F11069"/>
    <w:rsid w:val="00F110CD"/>
    <w:rsid w:val="00F11365"/>
    <w:rsid w:val="00F12445"/>
    <w:rsid w:val="00F130E4"/>
    <w:rsid w:val="00F13221"/>
    <w:rsid w:val="00F138C5"/>
    <w:rsid w:val="00F143BF"/>
    <w:rsid w:val="00F149AA"/>
    <w:rsid w:val="00F14A12"/>
    <w:rsid w:val="00F15029"/>
    <w:rsid w:val="00F165F0"/>
    <w:rsid w:val="00F16F23"/>
    <w:rsid w:val="00F178C9"/>
    <w:rsid w:val="00F20119"/>
    <w:rsid w:val="00F2094F"/>
    <w:rsid w:val="00F214B2"/>
    <w:rsid w:val="00F21D7E"/>
    <w:rsid w:val="00F22737"/>
    <w:rsid w:val="00F22848"/>
    <w:rsid w:val="00F22AFF"/>
    <w:rsid w:val="00F23695"/>
    <w:rsid w:val="00F236E0"/>
    <w:rsid w:val="00F2381D"/>
    <w:rsid w:val="00F23D51"/>
    <w:rsid w:val="00F23DD9"/>
    <w:rsid w:val="00F24855"/>
    <w:rsid w:val="00F256AE"/>
    <w:rsid w:val="00F25A17"/>
    <w:rsid w:val="00F264C0"/>
    <w:rsid w:val="00F26680"/>
    <w:rsid w:val="00F267C6"/>
    <w:rsid w:val="00F274E9"/>
    <w:rsid w:val="00F30C4E"/>
    <w:rsid w:val="00F30D3E"/>
    <w:rsid w:val="00F31532"/>
    <w:rsid w:val="00F31AEC"/>
    <w:rsid w:val="00F332AE"/>
    <w:rsid w:val="00F33B8E"/>
    <w:rsid w:val="00F33F8B"/>
    <w:rsid w:val="00F346A4"/>
    <w:rsid w:val="00F35025"/>
    <w:rsid w:val="00F362DE"/>
    <w:rsid w:val="00F36A21"/>
    <w:rsid w:val="00F37EB1"/>
    <w:rsid w:val="00F37F7A"/>
    <w:rsid w:val="00F41E5B"/>
    <w:rsid w:val="00F423B8"/>
    <w:rsid w:val="00F426C9"/>
    <w:rsid w:val="00F42F4D"/>
    <w:rsid w:val="00F4375C"/>
    <w:rsid w:val="00F43E76"/>
    <w:rsid w:val="00F4449C"/>
    <w:rsid w:val="00F44C2F"/>
    <w:rsid w:val="00F44F20"/>
    <w:rsid w:val="00F44F60"/>
    <w:rsid w:val="00F45588"/>
    <w:rsid w:val="00F45849"/>
    <w:rsid w:val="00F45909"/>
    <w:rsid w:val="00F45C11"/>
    <w:rsid w:val="00F45D91"/>
    <w:rsid w:val="00F4645A"/>
    <w:rsid w:val="00F46D7E"/>
    <w:rsid w:val="00F46EBA"/>
    <w:rsid w:val="00F474AD"/>
    <w:rsid w:val="00F47BB4"/>
    <w:rsid w:val="00F50367"/>
    <w:rsid w:val="00F50E6E"/>
    <w:rsid w:val="00F51388"/>
    <w:rsid w:val="00F51DA2"/>
    <w:rsid w:val="00F52563"/>
    <w:rsid w:val="00F5260B"/>
    <w:rsid w:val="00F52C21"/>
    <w:rsid w:val="00F531CD"/>
    <w:rsid w:val="00F5331A"/>
    <w:rsid w:val="00F54559"/>
    <w:rsid w:val="00F54BFD"/>
    <w:rsid w:val="00F550DB"/>
    <w:rsid w:val="00F55264"/>
    <w:rsid w:val="00F5758B"/>
    <w:rsid w:val="00F578B1"/>
    <w:rsid w:val="00F6066D"/>
    <w:rsid w:val="00F6114B"/>
    <w:rsid w:val="00F6182C"/>
    <w:rsid w:val="00F61ACA"/>
    <w:rsid w:val="00F625C4"/>
    <w:rsid w:val="00F626AA"/>
    <w:rsid w:val="00F630F3"/>
    <w:rsid w:val="00F6609E"/>
    <w:rsid w:val="00F67605"/>
    <w:rsid w:val="00F67871"/>
    <w:rsid w:val="00F67DF0"/>
    <w:rsid w:val="00F700CE"/>
    <w:rsid w:val="00F70440"/>
    <w:rsid w:val="00F71909"/>
    <w:rsid w:val="00F727AD"/>
    <w:rsid w:val="00F73809"/>
    <w:rsid w:val="00F73A46"/>
    <w:rsid w:val="00F74CB2"/>
    <w:rsid w:val="00F753D5"/>
    <w:rsid w:val="00F75417"/>
    <w:rsid w:val="00F75E94"/>
    <w:rsid w:val="00F76114"/>
    <w:rsid w:val="00F764BE"/>
    <w:rsid w:val="00F76AA4"/>
    <w:rsid w:val="00F770FB"/>
    <w:rsid w:val="00F776AD"/>
    <w:rsid w:val="00F77DC7"/>
    <w:rsid w:val="00F77ECE"/>
    <w:rsid w:val="00F80A99"/>
    <w:rsid w:val="00F80F1F"/>
    <w:rsid w:val="00F8133F"/>
    <w:rsid w:val="00F81826"/>
    <w:rsid w:val="00F81BAD"/>
    <w:rsid w:val="00F81C60"/>
    <w:rsid w:val="00F8320D"/>
    <w:rsid w:val="00F83C90"/>
    <w:rsid w:val="00F8426F"/>
    <w:rsid w:val="00F84F40"/>
    <w:rsid w:val="00F856B8"/>
    <w:rsid w:val="00F85C40"/>
    <w:rsid w:val="00F86D28"/>
    <w:rsid w:val="00F876E6"/>
    <w:rsid w:val="00F87F2C"/>
    <w:rsid w:val="00F900B6"/>
    <w:rsid w:val="00F90309"/>
    <w:rsid w:val="00F90432"/>
    <w:rsid w:val="00F90999"/>
    <w:rsid w:val="00F90B8E"/>
    <w:rsid w:val="00F916E1"/>
    <w:rsid w:val="00F91760"/>
    <w:rsid w:val="00F92704"/>
    <w:rsid w:val="00F92752"/>
    <w:rsid w:val="00F932CE"/>
    <w:rsid w:val="00F9373D"/>
    <w:rsid w:val="00F937DE"/>
    <w:rsid w:val="00F94E34"/>
    <w:rsid w:val="00F95411"/>
    <w:rsid w:val="00F95616"/>
    <w:rsid w:val="00F9575D"/>
    <w:rsid w:val="00F95970"/>
    <w:rsid w:val="00F95B92"/>
    <w:rsid w:val="00F95DA9"/>
    <w:rsid w:val="00F9653A"/>
    <w:rsid w:val="00F96581"/>
    <w:rsid w:val="00F96E1D"/>
    <w:rsid w:val="00F96E3E"/>
    <w:rsid w:val="00F9774D"/>
    <w:rsid w:val="00FA0CE4"/>
    <w:rsid w:val="00FA0ED6"/>
    <w:rsid w:val="00FA238E"/>
    <w:rsid w:val="00FA2558"/>
    <w:rsid w:val="00FA26EC"/>
    <w:rsid w:val="00FA26FE"/>
    <w:rsid w:val="00FA293B"/>
    <w:rsid w:val="00FA2C59"/>
    <w:rsid w:val="00FA2F37"/>
    <w:rsid w:val="00FA3187"/>
    <w:rsid w:val="00FA3C7A"/>
    <w:rsid w:val="00FA4546"/>
    <w:rsid w:val="00FA512F"/>
    <w:rsid w:val="00FA5EF2"/>
    <w:rsid w:val="00FA654D"/>
    <w:rsid w:val="00FA6B35"/>
    <w:rsid w:val="00FA7D31"/>
    <w:rsid w:val="00FB0587"/>
    <w:rsid w:val="00FB13B1"/>
    <w:rsid w:val="00FB1E10"/>
    <w:rsid w:val="00FB2CD3"/>
    <w:rsid w:val="00FB2DC0"/>
    <w:rsid w:val="00FB2ED3"/>
    <w:rsid w:val="00FB2FAA"/>
    <w:rsid w:val="00FB3EE0"/>
    <w:rsid w:val="00FB43A5"/>
    <w:rsid w:val="00FB4A02"/>
    <w:rsid w:val="00FB4F33"/>
    <w:rsid w:val="00FB4FCB"/>
    <w:rsid w:val="00FB5CCC"/>
    <w:rsid w:val="00FB5ECB"/>
    <w:rsid w:val="00FB6251"/>
    <w:rsid w:val="00FC1473"/>
    <w:rsid w:val="00FC31BF"/>
    <w:rsid w:val="00FC3473"/>
    <w:rsid w:val="00FC375D"/>
    <w:rsid w:val="00FC4B63"/>
    <w:rsid w:val="00FC4CCE"/>
    <w:rsid w:val="00FC4FB3"/>
    <w:rsid w:val="00FC5214"/>
    <w:rsid w:val="00FC54E6"/>
    <w:rsid w:val="00FC5598"/>
    <w:rsid w:val="00FC595F"/>
    <w:rsid w:val="00FC59BD"/>
    <w:rsid w:val="00FC6703"/>
    <w:rsid w:val="00FC6C7E"/>
    <w:rsid w:val="00FC7371"/>
    <w:rsid w:val="00FC74D1"/>
    <w:rsid w:val="00FC7505"/>
    <w:rsid w:val="00FC79DE"/>
    <w:rsid w:val="00FD02D7"/>
    <w:rsid w:val="00FD063B"/>
    <w:rsid w:val="00FD0D19"/>
    <w:rsid w:val="00FD164A"/>
    <w:rsid w:val="00FD22A2"/>
    <w:rsid w:val="00FD267B"/>
    <w:rsid w:val="00FD4B45"/>
    <w:rsid w:val="00FD54C9"/>
    <w:rsid w:val="00FD5F60"/>
    <w:rsid w:val="00FD5FE0"/>
    <w:rsid w:val="00FD604D"/>
    <w:rsid w:val="00FD66EF"/>
    <w:rsid w:val="00FD6C98"/>
    <w:rsid w:val="00FD75BB"/>
    <w:rsid w:val="00FD7A2E"/>
    <w:rsid w:val="00FD7BF6"/>
    <w:rsid w:val="00FE11F9"/>
    <w:rsid w:val="00FE14EE"/>
    <w:rsid w:val="00FE2906"/>
    <w:rsid w:val="00FE45D6"/>
    <w:rsid w:val="00FE48A3"/>
    <w:rsid w:val="00FE49BB"/>
    <w:rsid w:val="00FE51D1"/>
    <w:rsid w:val="00FE5C72"/>
    <w:rsid w:val="00FE6100"/>
    <w:rsid w:val="00FE62DA"/>
    <w:rsid w:val="00FE69B9"/>
    <w:rsid w:val="00FE6AE6"/>
    <w:rsid w:val="00FE6D37"/>
    <w:rsid w:val="00FE6D9F"/>
    <w:rsid w:val="00FE70F4"/>
    <w:rsid w:val="00FE7362"/>
    <w:rsid w:val="00FE766E"/>
    <w:rsid w:val="00FF0738"/>
    <w:rsid w:val="00FF0AB9"/>
    <w:rsid w:val="00FF0EBD"/>
    <w:rsid w:val="00FF0FC9"/>
    <w:rsid w:val="00FF262B"/>
    <w:rsid w:val="00FF2B99"/>
    <w:rsid w:val="00FF3834"/>
    <w:rsid w:val="00FF40EB"/>
    <w:rsid w:val="00FF4AEB"/>
    <w:rsid w:val="00FF4CEB"/>
    <w:rsid w:val="00FF5371"/>
    <w:rsid w:val="00FF5526"/>
    <w:rsid w:val="00FF5548"/>
    <w:rsid w:val="00FF6311"/>
    <w:rsid w:val="0166B2E0"/>
    <w:rsid w:val="01CD8F0C"/>
    <w:rsid w:val="02194B32"/>
    <w:rsid w:val="025622BE"/>
    <w:rsid w:val="02806602"/>
    <w:rsid w:val="02916488"/>
    <w:rsid w:val="02ADFAFC"/>
    <w:rsid w:val="03109438"/>
    <w:rsid w:val="03D51465"/>
    <w:rsid w:val="04D69FB5"/>
    <w:rsid w:val="0528F97A"/>
    <w:rsid w:val="05B1EFBA"/>
    <w:rsid w:val="05B9D7C4"/>
    <w:rsid w:val="05D08280"/>
    <w:rsid w:val="05ECA285"/>
    <w:rsid w:val="06089361"/>
    <w:rsid w:val="06D58700"/>
    <w:rsid w:val="06E3C614"/>
    <w:rsid w:val="070522DF"/>
    <w:rsid w:val="0821D54F"/>
    <w:rsid w:val="0825B04F"/>
    <w:rsid w:val="0867DDF2"/>
    <w:rsid w:val="086C6714"/>
    <w:rsid w:val="08928B03"/>
    <w:rsid w:val="08BDCBA5"/>
    <w:rsid w:val="098C4203"/>
    <w:rsid w:val="09D71DB9"/>
    <w:rsid w:val="09DE5AD5"/>
    <w:rsid w:val="09F4C25B"/>
    <w:rsid w:val="0A0B8904"/>
    <w:rsid w:val="0A147CED"/>
    <w:rsid w:val="0AEE8E28"/>
    <w:rsid w:val="0B2444CE"/>
    <w:rsid w:val="0B245678"/>
    <w:rsid w:val="0B4B9D6E"/>
    <w:rsid w:val="0BCCF260"/>
    <w:rsid w:val="0BEB167A"/>
    <w:rsid w:val="0BF5EA55"/>
    <w:rsid w:val="0C4F4A5B"/>
    <w:rsid w:val="0C5CF3D6"/>
    <w:rsid w:val="0CAA3CE5"/>
    <w:rsid w:val="0CACDF17"/>
    <w:rsid w:val="0D48B67C"/>
    <w:rsid w:val="0DCA19C7"/>
    <w:rsid w:val="0DD07161"/>
    <w:rsid w:val="0E2855C5"/>
    <w:rsid w:val="0E8C65BB"/>
    <w:rsid w:val="0ED7406A"/>
    <w:rsid w:val="0F453467"/>
    <w:rsid w:val="0F5FD372"/>
    <w:rsid w:val="0FA13658"/>
    <w:rsid w:val="0FF6C258"/>
    <w:rsid w:val="10005368"/>
    <w:rsid w:val="10011C19"/>
    <w:rsid w:val="1021D44F"/>
    <w:rsid w:val="105353E5"/>
    <w:rsid w:val="1108A0A7"/>
    <w:rsid w:val="112B802B"/>
    <w:rsid w:val="114513AB"/>
    <w:rsid w:val="11518652"/>
    <w:rsid w:val="1178FB27"/>
    <w:rsid w:val="1180E2A6"/>
    <w:rsid w:val="123752B9"/>
    <w:rsid w:val="131AEC16"/>
    <w:rsid w:val="13243AA6"/>
    <w:rsid w:val="13880367"/>
    <w:rsid w:val="1393B5C0"/>
    <w:rsid w:val="13B5C4D3"/>
    <w:rsid w:val="13DC54E3"/>
    <w:rsid w:val="13F89951"/>
    <w:rsid w:val="143A0158"/>
    <w:rsid w:val="14428975"/>
    <w:rsid w:val="14814F2B"/>
    <w:rsid w:val="151ABC20"/>
    <w:rsid w:val="153E2E83"/>
    <w:rsid w:val="155A42E2"/>
    <w:rsid w:val="156C4CC4"/>
    <w:rsid w:val="160785E3"/>
    <w:rsid w:val="162D5091"/>
    <w:rsid w:val="1631BB76"/>
    <w:rsid w:val="1671F8E8"/>
    <w:rsid w:val="171E6C28"/>
    <w:rsid w:val="1722648B"/>
    <w:rsid w:val="172927BD"/>
    <w:rsid w:val="17316268"/>
    <w:rsid w:val="178A82F7"/>
    <w:rsid w:val="17EBE736"/>
    <w:rsid w:val="17FBE345"/>
    <w:rsid w:val="1808A70E"/>
    <w:rsid w:val="181F1ADD"/>
    <w:rsid w:val="185D3304"/>
    <w:rsid w:val="18965624"/>
    <w:rsid w:val="190989F6"/>
    <w:rsid w:val="190CE419"/>
    <w:rsid w:val="190D9606"/>
    <w:rsid w:val="194EF024"/>
    <w:rsid w:val="196D6146"/>
    <w:rsid w:val="19802CD0"/>
    <w:rsid w:val="1A7162F1"/>
    <w:rsid w:val="1A8A21CC"/>
    <w:rsid w:val="1AD7A127"/>
    <w:rsid w:val="1BE7D1C4"/>
    <w:rsid w:val="1C19AF88"/>
    <w:rsid w:val="1C239768"/>
    <w:rsid w:val="1CC4631B"/>
    <w:rsid w:val="1D3216A9"/>
    <w:rsid w:val="1D3E4D1C"/>
    <w:rsid w:val="1D5E5892"/>
    <w:rsid w:val="1D95D5C9"/>
    <w:rsid w:val="1D95FBA0"/>
    <w:rsid w:val="1D9CBF45"/>
    <w:rsid w:val="1DD5E274"/>
    <w:rsid w:val="1DF704E3"/>
    <w:rsid w:val="1E3B0A69"/>
    <w:rsid w:val="1E5585E7"/>
    <w:rsid w:val="1F600F77"/>
    <w:rsid w:val="1F626EF3"/>
    <w:rsid w:val="20484941"/>
    <w:rsid w:val="20543E46"/>
    <w:rsid w:val="209BD9F6"/>
    <w:rsid w:val="2132F022"/>
    <w:rsid w:val="225DCDB8"/>
    <w:rsid w:val="22C92232"/>
    <w:rsid w:val="22F90430"/>
    <w:rsid w:val="233A39CF"/>
    <w:rsid w:val="233BF5C9"/>
    <w:rsid w:val="238A6B1B"/>
    <w:rsid w:val="23A535E6"/>
    <w:rsid w:val="23C9CEA8"/>
    <w:rsid w:val="23CC97AE"/>
    <w:rsid w:val="23CFAAD1"/>
    <w:rsid w:val="24697E73"/>
    <w:rsid w:val="24A5311B"/>
    <w:rsid w:val="253D7EA0"/>
    <w:rsid w:val="254852EF"/>
    <w:rsid w:val="255CFBE1"/>
    <w:rsid w:val="2576BA9D"/>
    <w:rsid w:val="2579A1BA"/>
    <w:rsid w:val="257ABB35"/>
    <w:rsid w:val="258FE476"/>
    <w:rsid w:val="25F52F20"/>
    <w:rsid w:val="25FEE213"/>
    <w:rsid w:val="263487C2"/>
    <w:rsid w:val="2659D0CB"/>
    <w:rsid w:val="269565E9"/>
    <w:rsid w:val="26D67758"/>
    <w:rsid w:val="272EB4A6"/>
    <w:rsid w:val="2733DC90"/>
    <w:rsid w:val="274697AD"/>
    <w:rsid w:val="27470174"/>
    <w:rsid w:val="27746559"/>
    <w:rsid w:val="27D09B9A"/>
    <w:rsid w:val="27D619F7"/>
    <w:rsid w:val="282F0F13"/>
    <w:rsid w:val="28593567"/>
    <w:rsid w:val="28AB3E05"/>
    <w:rsid w:val="28ABCBA9"/>
    <w:rsid w:val="28D4D7B4"/>
    <w:rsid w:val="2985C34A"/>
    <w:rsid w:val="2987F9D6"/>
    <w:rsid w:val="2A34156E"/>
    <w:rsid w:val="2A3E8D29"/>
    <w:rsid w:val="2A63DFFF"/>
    <w:rsid w:val="2A90C4A1"/>
    <w:rsid w:val="2A959C3B"/>
    <w:rsid w:val="2AB0D24D"/>
    <w:rsid w:val="2AD806C5"/>
    <w:rsid w:val="2AE49189"/>
    <w:rsid w:val="2B33A448"/>
    <w:rsid w:val="2B45A834"/>
    <w:rsid w:val="2B57EF66"/>
    <w:rsid w:val="2B96CEC3"/>
    <w:rsid w:val="2C2FDC10"/>
    <w:rsid w:val="2C5B17EE"/>
    <w:rsid w:val="2CE68DA4"/>
    <w:rsid w:val="2D0656F4"/>
    <w:rsid w:val="2D111771"/>
    <w:rsid w:val="2D1BF37C"/>
    <w:rsid w:val="2DAE7774"/>
    <w:rsid w:val="2E3A11A0"/>
    <w:rsid w:val="2E583933"/>
    <w:rsid w:val="2F43C05C"/>
    <w:rsid w:val="2F798953"/>
    <w:rsid w:val="2FAE5187"/>
    <w:rsid w:val="2FB75A01"/>
    <w:rsid w:val="2FD2E363"/>
    <w:rsid w:val="30279A09"/>
    <w:rsid w:val="30321AAF"/>
    <w:rsid w:val="304B74E2"/>
    <w:rsid w:val="30D4E9A3"/>
    <w:rsid w:val="30D6C386"/>
    <w:rsid w:val="3119C13C"/>
    <w:rsid w:val="312E68A2"/>
    <w:rsid w:val="313DADC9"/>
    <w:rsid w:val="31456550"/>
    <w:rsid w:val="3169102B"/>
    <w:rsid w:val="3187E0A0"/>
    <w:rsid w:val="322A8724"/>
    <w:rsid w:val="326083AF"/>
    <w:rsid w:val="326C9130"/>
    <w:rsid w:val="327A3EF4"/>
    <w:rsid w:val="328CD5C3"/>
    <w:rsid w:val="32B78AD6"/>
    <w:rsid w:val="32FED25F"/>
    <w:rsid w:val="331E53AD"/>
    <w:rsid w:val="33932852"/>
    <w:rsid w:val="33D6A4D1"/>
    <w:rsid w:val="33DFBCB5"/>
    <w:rsid w:val="340E8D90"/>
    <w:rsid w:val="3424974D"/>
    <w:rsid w:val="34A21894"/>
    <w:rsid w:val="34B8E936"/>
    <w:rsid w:val="35605A99"/>
    <w:rsid w:val="356D812F"/>
    <w:rsid w:val="3584924E"/>
    <w:rsid w:val="35BF9561"/>
    <w:rsid w:val="360CA829"/>
    <w:rsid w:val="368662D6"/>
    <w:rsid w:val="373F1FE5"/>
    <w:rsid w:val="37A2B2AE"/>
    <w:rsid w:val="387AAE68"/>
    <w:rsid w:val="38B705F1"/>
    <w:rsid w:val="3905E948"/>
    <w:rsid w:val="3926E19C"/>
    <w:rsid w:val="396A6238"/>
    <w:rsid w:val="3975A85D"/>
    <w:rsid w:val="39C432E6"/>
    <w:rsid w:val="3A055523"/>
    <w:rsid w:val="3A67C5AF"/>
    <w:rsid w:val="3A6E7C67"/>
    <w:rsid w:val="3A92C443"/>
    <w:rsid w:val="3AFB79BB"/>
    <w:rsid w:val="3B252E10"/>
    <w:rsid w:val="3BCF5FD2"/>
    <w:rsid w:val="3C3943DF"/>
    <w:rsid w:val="3D389C28"/>
    <w:rsid w:val="3D68DB54"/>
    <w:rsid w:val="3DC39958"/>
    <w:rsid w:val="3DDB42CE"/>
    <w:rsid w:val="3E60B1F6"/>
    <w:rsid w:val="3EAE6656"/>
    <w:rsid w:val="3EBA78A5"/>
    <w:rsid w:val="3F2ADA37"/>
    <w:rsid w:val="3F46FF55"/>
    <w:rsid w:val="40B8A571"/>
    <w:rsid w:val="40C6370C"/>
    <w:rsid w:val="40DBA5C9"/>
    <w:rsid w:val="40FFB5BE"/>
    <w:rsid w:val="412DDEB9"/>
    <w:rsid w:val="417BAB19"/>
    <w:rsid w:val="41A21DBF"/>
    <w:rsid w:val="41C9A8F4"/>
    <w:rsid w:val="41E23949"/>
    <w:rsid w:val="42EA8856"/>
    <w:rsid w:val="42F0A200"/>
    <w:rsid w:val="4305D4F7"/>
    <w:rsid w:val="4332B7A9"/>
    <w:rsid w:val="43372BA8"/>
    <w:rsid w:val="4375C9A3"/>
    <w:rsid w:val="43EFF730"/>
    <w:rsid w:val="44097420"/>
    <w:rsid w:val="44655FC4"/>
    <w:rsid w:val="447D6785"/>
    <w:rsid w:val="449D62ED"/>
    <w:rsid w:val="4541EB06"/>
    <w:rsid w:val="45870B8E"/>
    <w:rsid w:val="45ACDC28"/>
    <w:rsid w:val="463895B1"/>
    <w:rsid w:val="46B68202"/>
    <w:rsid w:val="46BF534C"/>
    <w:rsid w:val="46C73C6D"/>
    <w:rsid w:val="472C9DDB"/>
    <w:rsid w:val="4733334D"/>
    <w:rsid w:val="473A49A3"/>
    <w:rsid w:val="475AC403"/>
    <w:rsid w:val="47885C11"/>
    <w:rsid w:val="478B67B6"/>
    <w:rsid w:val="479BD629"/>
    <w:rsid w:val="47B3EFE8"/>
    <w:rsid w:val="48547F5C"/>
    <w:rsid w:val="486112C4"/>
    <w:rsid w:val="4897E826"/>
    <w:rsid w:val="49E9FB50"/>
    <w:rsid w:val="49FB084D"/>
    <w:rsid w:val="4A0C2B76"/>
    <w:rsid w:val="4A0CF792"/>
    <w:rsid w:val="4A2B381B"/>
    <w:rsid w:val="4A442706"/>
    <w:rsid w:val="4A97C5A5"/>
    <w:rsid w:val="4B1FDBE7"/>
    <w:rsid w:val="4BCE485C"/>
    <w:rsid w:val="4D71762F"/>
    <w:rsid w:val="4D76D4A6"/>
    <w:rsid w:val="4DAF5E04"/>
    <w:rsid w:val="4DF540AC"/>
    <w:rsid w:val="4E040E85"/>
    <w:rsid w:val="4E1572C4"/>
    <w:rsid w:val="4E58D34C"/>
    <w:rsid w:val="4E8CFAF1"/>
    <w:rsid w:val="4EB0421C"/>
    <w:rsid w:val="4EE18922"/>
    <w:rsid w:val="4F0B705B"/>
    <w:rsid w:val="4F4AD8A0"/>
    <w:rsid w:val="4FC0C0D4"/>
    <w:rsid w:val="4FE2BADF"/>
    <w:rsid w:val="50B5FF67"/>
    <w:rsid w:val="50E14BA4"/>
    <w:rsid w:val="51206BF4"/>
    <w:rsid w:val="51BB61D8"/>
    <w:rsid w:val="51E20666"/>
    <w:rsid w:val="52FE4F4F"/>
    <w:rsid w:val="538F7740"/>
    <w:rsid w:val="54209845"/>
    <w:rsid w:val="54259DFD"/>
    <w:rsid w:val="54A16BB5"/>
    <w:rsid w:val="54C10359"/>
    <w:rsid w:val="55001D21"/>
    <w:rsid w:val="5598A845"/>
    <w:rsid w:val="55A4FC8F"/>
    <w:rsid w:val="55B624CF"/>
    <w:rsid w:val="55C80974"/>
    <w:rsid w:val="55CAD10C"/>
    <w:rsid w:val="564995CD"/>
    <w:rsid w:val="565829C1"/>
    <w:rsid w:val="56786014"/>
    <w:rsid w:val="573F614A"/>
    <w:rsid w:val="57562FE4"/>
    <w:rsid w:val="57601D90"/>
    <w:rsid w:val="5798FFD7"/>
    <w:rsid w:val="589A912A"/>
    <w:rsid w:val="58A51785"/>
    <w:rsid w:val="590DADAB"/>
    <w:rsid w:val="5915F4C6"/>
    <w:rsid w:val="594AAC3D"/>
    <w:rsid w:val="59638B27"/>
    <w:rsid w:val="5963D4C2"/>
    <w:rsid w:val="597A8496"/>
    <w:rsid w:val="59C41BEF"/>
    <w:rsid w:val="59D535E8"/>
    <w:rsid w:val="5A51B67B"/>
    <w:rsid w:val="5A54D284"/>
    <w:rsid w:val="5ABEBF9F"/>
    <w:rsid w:val="5ACAA066"/>
    <w:rsid w:val="5B50848F"/>
    <w:rsid w:val="5BEC5CB7"/>
    <w:rsid w:val="5BF8E66C"/>
    <w:rsid w:val="5C3BA627"/>
    <w:rsid w:val="5C4169ED"/>
    <w:rsid w:val="5D271AAE"/>
    <w:rsid w:val="5D3853A1"/>
    <w:rsid w:val="5D402FC0"/>
    <w:rsid w:val="5D957E8E"/>
    <w:rsid w:val="5DC34394"/>
    <w:rsid w:val="5DE0667C"/>
    <w:rsid w:val="5DFC551E"/>
    <w:rsid w:val="5E4D4DC5"/>
    <w:rsid w:val="5E625102"/>
    <w:rsid w:val="5EE0A233"/>
    <w:rsid w:val="5FB5BE97"/>
    <w:rsid w:val="5FE1AE8A"/>
    <w:rsid w:val="5FFF89B7"/>
    <w:rsid w:val="60B84E0C"/>
    <w:rsid w:val="60D5AE15"/>
    <w:rsid w:val="610DEE98"/>
    <w:rsid w:val="614FABD1"/>
    <w:rsid w:val="6171ADCA"/>
    <w:rsid w:val="61BD0BDC"/>
    <w:rsid w:val="61EF84C7"/>
    <w:rsid w:val="62726099"/>
    <w:rsid w:val="62941FDA"/>
    <w:rsid w:val="629EC1F1"/>
    <w:rsid w:val="62A49B51"/>
    <w:rsid w:val="62EF15CD"/>
    <w:rsid w:val="6348884D"/>
    <w:rsid w:val="634B6EB1"/>
    <w:rsid w:val="6400B0EE"/>
    <w:rsid w:val="646D0190"/>
    <w:rsid w:val="649507DF"/>
    <w:rsid w:val="64A03142"/>
    <w:rsid w:val="64FBA7CD"/>
    <w:rsid w:val="65A39E7C"/>
    <w:rsid w:val="65AE0C28"/>
    <w:rsid w:val="65D3E7E4"/>
    <w:rsid w:val="663891FA"/>
    <w:rsid w:val="666D60A6"/>
    <w:rsid w:val="667D5C2E"/>
    <w:rsid w:val="669BDA03"/>
    <w:rsid w:val="669DEA1C"/>
    <w:rsid w:val="66B2F676"/>
    <w:rsid w:val="6729878F"/>
    <w:rsid w:val="673EB38B"/>
    <w:rsid w:val="676813A4"/>
    <w:rsid w:val="67691EDB"/>
    <w:rsid w:val="67EC9EA6"/>
    <w:rsid w:val="67FC680D"/>
    <w:rsid w:val="67FCF089"/>
    <w:rsid w:val="69153F8F"/>
    <w:rsid w:val="69543E3B"/>
    <w:rsid w:val="696104F8"/>
    <w:rsid w:val="69F567D7"/>
    <w:rsid w:val="6AB95223"/>
    <w:rsid w:val="6AF008E6"/>
    <w:rsid w:val="6B3E4C87"/>
    <w:rsid w:val="6BAEB3B6"/>
    <w:rsid w:val="6BE5649D"/>
    <w:rsid w:val="6BE80BCD"/>
    <w:rsid w:val="6C05139E"/>
    <w:rsid w:val="6D9BB54A"/>
    <w:rsid w:val="6DAC048F"/>
    <w:rsid w:val="6DED9A52"/>
    <w:rsid w:val="6E7E8334"/>
    <w:rsid w:val="6E80C144"/>
    <w:rsid w:val="6EA6ED9B"/>
    <w:rsid w:val="6EC34752"/>
    <w:rsid w:val="6F0647C4"/>
    <w:rsid w:val="6F2D1C67"/>
    <w:rsid w:val="6F3CEBE0"/>
    <w:rsid w:val="6F478F49"/>
    <w:rsid w:val="6FEDBED9"/>
    <w:rsid w:val="702752F6"/>
    <w:rsid w:val="70419071"/>
    <w:rsid w:val="71D2525C"/>
    <w:rsid w:val="721B4CF7"/>
    <w:rsid w:val="723A20A1"/>
    <w:rsid w:val="7289FA4C"/>
    <w:rsid w:val="729DB184"/>
    <w:rsid w:val="72A34980"/>
    <w:rsid w:val="72DE2853"/>
    <w:rsid w:val="7343C4FE"/>
    <w:rsid w:val="735ECE78"/>
    <w:rsid w:val="7389D3BC"/>
    <w:rsid w:val="73C84C1F"/>
    <w:rsid w:val="73FBA133"/>
    <w:rsid w:val="741AB206"/>
    <w:rsid w:val="74669961"/>
    <w:rsid w:val="7483E6CB"/>
    <w:rsid w:val="74EB8F11"/>
    <w:rsid w:val="751CA52F"/>
    <w:rsid w:val="75242C97"/>
    <w:rsid w:val="7529C7A1"/>
    <w:rsid w:val="7550D606"/>
    <w:rsid w:val="757FEA8C"/>
    <w:rsid w:val="75B511F1"/>
    <w:rsid w:val="75C4060B"/>
    <w:rsid w:val="75D29377"/>
    <w:rsid w:val="75D8EAF7"/>
    <w:rsid w:val="75DD3256"/>
    <w:rsid w:val="75F17E29"/>
    <w:rsid w:val="75FE23AA"/>
    <w:rsid w:val="762B55E6"/>
    <w:rsid w:val="76375A1A"/>
    <w:rsid w:val="765DC687"/>
    <w:rsid w:val="7693D53F"/>
    <w:rsid w:val="76C80BCC"/>
    <w:rsid w:val="7701020D"/>
    <w:rsid w:val="77BEA9EB"/>
    <w:rsid w:val="77FC8B45"/>
    <w:rsid w:val="7821621A"/>
    <w:rsid w:val="7850C4CD"/>
    <w:rsid w:val="786C5D98"/>
    <w:rsid w:val="78D1EBF9"/>
    <w:rsid w:val="78D99055"/>
    <w:rsid w:val="78F25ACB"/>
    <w:rsid w:val="7902420D"/>
    <w:rsid w:val="7937D0AD"/>
    <w:rsid w:val="79A75106"/>
    <w:rsid w:val="79BD818C"/>
    <w:rsid w:val="7A2A7E7E"/>
    <w:rsid w:val="7A31FB5C"/>
    <w:rsid w:val="7A5C9066"/>
    <w:rsid w:val="7A92401A"/>
    <w:rsid w:val="7A9C9CD8"/>
    <w:rsid w:val="7B17FD23"/>
    <w:rsid w:val="7C1EACF7"/>
    <w:rsid w:val="7C59B1BF"/>
    <w:rsid w:val="7C9FD7B8"/>
    <w:rsid w:val="7CD7AD32"/>
    <w:rsid w:val="7CF73747"/>
    <w:rsid w:val="7CFFFB9E"/>
    <w:rsid w:val="7D314F45"/>
    <w:rsid w:val="7E03488C"/>
    <w:rsid w:val="7E2B4C56"/>
    <w:rsid w:val="7E361C79"/>
    <w:rsid w:val="7E5AFCCD"/>
    <w:rsid w:val="7E790561"/>
    <w:rsid w:val="7E9832D3"/>
    <w:rsid w:val="7ECE25FD"/>
    <w:rsid w:val="7ED49065"/>
    <w:rsid w:val="7EE5FAB1"/>
    <w:rsid w:val="7F394979"/>
    <w:rsid w:val="7F3D2A43"/>
    <w:rsid w:val="7F612DEB"/>
    <w:rsid w:val="7FE407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16C70"/>
  <w15:chartTrackingRefBased/>
  <w15:docId w15:val="{F02C02AB-9CCF-4DF4-A00E-ACA5171F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1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Tahoma" w:eastAsia="Courier New" w:hAnsi="Tahoma" w:cs="Courier New"/>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Symbol" w:eastAsia="Courier New" w:hAnsi="Symbol" w:cs="Courier New"/>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Courier New" w:hAnsi="Calibri" w:cs="Calibri"/>
      <w:b/>
      <w:i w:val="0"/>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Courier New" w:hAnsi="Calibri" w:cs="Calibri"/>
      <w:b/>
      <w:i w:val="0"/>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Courier New" w:hAnsi="Calibri" w:cs="Calibri"/>
      <w:b/>
      <w:i w:val="0"/>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Courier New" w:hAnsi="Calibri" w:cs="Calibri"/>
      <w:b/>
      <w:i w:val="0"/>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link w:val="BoxTextChar"/>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Symbol" w:eastAsia="Courier New" w:hAnsi="Symbol" w:cs="Courier New"/>
      <w:bCs/>
      <w:sz w:val="20"/>
      <w:lang w:eastAsia="en-AU"/>
    </w:rPr>
  </w:style>
  <w:style w:type="paragraph" w:customStyle="1" w:styleId="Bullet">
    <w:name w:val="Bullet"/>
    <w:aliases w:val="b,b1,b + line,level 1,Body,Bullet + line,BodyNum,Bullet Char1,Bullet Char1 Char Char Char Char,b1 Char Char Char,Bullet Char1 Char Char Char Char Char,Bullet Char1 Char Char Char,bulleted,CG-Bullet"/>
    <w:basedOn w:val="Normal"/>
    <w:link w:val="BulletChar"/>
    <w:qFormat/>
    <w:rsid w:val="00160928"/>
    <w:pPr>
      <w:numPr>
        <w:numId w:val="3"/>
      </w:numPr>
      <w:spacing w:after="160"/>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19"/>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06189D"/>
    <w:pP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Tahoma" w:eastAsia="Courier New" w:hAnsi="Tahoma" w:cs="Courier New"/>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Tahoma" w:eastAsia="Courier New" w:hAnsi="Tahoma" w:cs="Courier New"/>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3"/>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19"/>
      <w:szCs w:val="20"/>
      <w:shd w:val="clear" w:color="auto" w:fill="000080"/>
      <w:lang w:eastAsia="en-AU"/>
    </w:rPr>
  </w:style>
  <w:style w:type="paragraph" w:customStyle="1" w:styleId="DoubleDot">
    <w:name w:val="Double Dot"/>
    <w:basedOn w:val="Normal"/>
    <w:rsid w:val="00BB207D"/>
    <w:pPr>
      <w:numPr>
        <w:ilvl w:val="2"/>
        <w:numId w:val="3"/>
      </w:numPr>
      <w:tabs>
        <w:tab w:val="clear" w:pos="850"/>
        <w:tab w:val="num" w:pos="360"/>
        <w:tab w:val="left" w:pos="851"/>
      </w:tabs>
      <w:ind w:left="852" w:hanging="284"/>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Tahoma" w:eastAsia="Courier New" w:hAnsi="Tahoma" w:cs="Courier New"/>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Symbol" w:eastAsia="Courier New" w:hAnsi="Symbol" w:cs="Courier New"/>
      <w:bCs/>
      <w:i/>
      <w:iCs/>
      <w:sz w:val="20"/>
      <w:szCs w:val="26"/>
      <w:lang w:eastAsia="en-AU"/>
    </w:rPr>
  </w:style>
  <w:style w:type="character" w:customStyle="1" w:styleId="Heading7Char">
    <w:name w:val="Heading 7 Char"/>
    <w:basedOn w:val="DefaultParagraphFont"/>
    <w:link w:val="Heading7"/>
    <w:rsid w:val="00242479"/>
    <w:rPr>
      <w:rFonts w:ascii="Symbol" w:eastAsia="Courier New" w:hAnsi="Symbol" w:cs="Courier New"/>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Symbo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Symbo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FB0587"/>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eastAsia="Times New Roman" w:hAnsi="Book Antiqua" w:cs="Times New Roman"/>
      <w:sz w:val="2"/>
    </w:rPr>
  </w:style>
  <w:style w:type="paragraph" w:styleId="NoSpacing">
    <w:name w:val="No Spacing"/>
    <w:uiPriority w:val="1"/>
    <w:qFormat/>
    <w:rsid w:val="009D44CF"/>
    <w:pPr>
      <w:spacing w:after="0" w:line="240" w:lineRule="auto"/>
    </w:pPr>
    <w:rPr>
      <w:rFonts w:eastAsia="Courier New" w:cs="Courier New"/>
      <w:sz w:val="19"/>
      <w:szCs w:val="20"/>
      <w:lang w:eastAsia="en-AU"/>
    </w:rPr>
  </w:style>
  <w:style w:type="paragraph" w:customStyle="1" w:styleId="ContentsnoToC">
    <w:name w:val="Contents no ToC"/>
    <w:basedOn w:val="ContentsHeading"/>
    <w:autoRedefine/>
    <w:rsid w:val="003F2AA7"/>
    <w:pPr>
      <w:pageBreakBefore/>
      <w:spacing w:after="480" w:line="680" w:lineRule="exact"/>
      <w:outlineLvl w:val="0"/>
    </w:pPr>
    <w:rPr>
      <w:rFonts w:cstheme="majorHAnsi"/>
    </w:rPr>
  </w:style>
  <w:style w:type="paragraph" w:customStyle="1" w:styleId="StatementWhite">
    <w:name w:val="Statement White"/>
    <w:basedOn w:val="Normal"/>
    <w:autoRedefine/>
    <w:qFormat/>
    <w:rsid w:val="003F2AA7"/>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3F2AA7"/>
    <w:pPr>
      <w:pBdr>
        <w:top w:val="single" w:sz="4" w:space="10" w:color="FFFFFF" w:themeColor="background1"/>
      </w:pBdr>
    </w:pPr>
    <w:rPr>
      <w:color w:val="FFFFFF" w:themeColor="background1"/>
    </w:rPr>
  </w:style>
  <w:style w:type="paragraph" w:customStyle="1" w:styleId="BoxSubHeading">
    <w:name w:val="Box Sub Heading"/>
    <w:basedOn w:val="Heading6"/>
    <w:rsid w:val="003F2AA7"/>
    <w:pPr>
      <w:spacing w:before="120" w:after="40"/>
    </w:pPr>
  </w:style>
  <w:style w:type="paragraph" w:customStyle="1" w:styleId="ChartHeading">
    <w:name w:val="Chart Heading"/>
    <w:basedOn w:val="HeadingBase"/>
    <w:next w:val="ChartGraphic"/>
    <w:qFormat/>
    <w:rsid w:val="003F2AA7"/>
    <w:pPr>
      <w:spacing w:before="120" w:after="20"/>
    </w:pPr>
    <w:rPr>
      <w:b/>
      <w:sz w:val="20"/>
    </w:rPr>
  </w:style>
  <w:style w:type="character" w:styleId="EndnoteReference">
    <w:name w:val="endnote reference"/>
    <w:basedOn w:val="DefaultParagraphFont"/>
    <w:unhideWhenUsed/>
    <w:rsid w:val="003F2AA7"/>
    <w:rPr>
      <w:vertAlign w:val="superscript"/>
    </w:rPr>
  </w:style>
  <w:style w:type="paragraph" w:styleId="EndnoteText">
    <w:name w:val="endnote text"/>
    <w:basedOn w:val="Normal"/>
    <w:link w:val="EndnoteTextChar"/>
    <w:unhideWhenUsed/>
    <w:rsid w:val="003F2AA7"/>
    <w:rPr>
      <w:rFonts w:asciiTheme="minorHAnsi" w:hAnsiTheme="minorHAnsi"/>
    </w:rPr>
  </w:style>
  <w:style w:type="character" w:customStyle="1" w:styleId="EndnoteTextChar">
    <w:name w:val="Endnote Text Char"/>
    <w:basedOn w:val="DefaultParagraphFont"/>
    <w:link w:val="EndnoteText"/>
    <w:rsid w:val="003F2AA7"/>
    <w:rPr>
      <w:rFonts w:eastAsia="Courier New" w:cs="Courier New"/>
      <w:sz w:val="19"/>
      <w:szCs w:val="20"/>
      <w:lang w:eastAsia="en-AU"/>
    </w:rPr>
  </w:style>
  <w:style w:type="paragraph" w:styleId="Index1">
    <w:name w:val="index 1"/>
    <w:basedOn w:val="Normal"/>
    <w:next w:val="Normal"/>
    <w:rsid w:val="003F2AA7"/>
    <w:pPr>
      <w:ind w:left="200" w:hanging="200"/>
    </w:pPr>
    <w:rPr>
      <w:rFonts w:asciiTheme="minorHAnsi" w:hAnsiTheme="minorHAnsi"/>
    </w:rPr>
  </w:style>
  <w:style w:type="paragraph" w:styleId="Index2">
    <w:name w:val="index 2"/>
    <w:basedOn w:val="Normal"/>
    <w:next w:val="Normal"/>
    <w:rsid w:val="003F2AA7"/>
    <w:pPr>
      <w:ind w:left="400" w:hanging="200"/>
    </w:pPr>
    <w:rPr>
      <w:rFonts w:asciiTheme="minorHAnsi" w:hAnsiTheme="minorHAnsi"/>
    </w:rPr>
  </w:style>
  <w:style w:type="paragraph" w:styleId="Index3">
    <w:name w:val="index 3"/>
    <w:basedOn w:val="Normal"/>
    <w:next w:val="Normal"/>
    <w:rsid w:val="003F2AA7"/>
    <w:pPr>
      <w:ind w:left="600" w:hanging="200"/>
    </w:pPr>
    <w:rPr>
      <w:rFonts w:asciiTheme="minorHAnsi" w:hAnsiTheme="minorHAnsi"/>
    </w:rPr>
  </w:style>
  <w:style w:type="paragraph" w:styleId="IndexHeading">
    <w:name w:val="index heading"/>
    <w:basedOn w:val="Normal"/>
    <w:next w:val="Index1"/>
    <w:rsid w:val="003F2AA7"/>
    <w:rPr>
      <w:rFonts w:ascii="Arial Bold" w:hAnsi="Arial Bold" w:cs="Arial"/>
      <w:b/>
      <w:bCs/>
      <w:color w:val="002B54"/>
    </w:rPr>
  </w:style>
  <w:style w:type="paragraph" w:styleId="TableofAuthorities">
    <w:name w:val="table of authorities"/>
    <w:basedOn w:val="Normal"/>
    <w:next w:val="Normal"/>
    <w:rsid w:val="003F2AA7"/>
    <w:pPr>
      <w:ind w:left="200" w:hanging="200"/>
    </w:pPr>
    <w:rPr>
      <w:rFonts w:asciiTheme="minorHAnsi" w:hAnsiTheme="minorHAnsi"/>
    </w:rPr>
  </w:style>
  <w:style w:type="paragraph" w:customStyle="1" w:styleId="StatementWhite-Bullet">
    <w:name w:val="Statement White - Bullet"/>
    <w:basedOn w:val="Bullet"/>
    <w:qFormat/>
    <w:rsid w:val="003F2AA7"/>
    <w:pPr>
      <w:numPr>
        <w:numId w:val="0"/>
      </w:numPr>
      <w:tabs>
        <w:tab w:val="num" w:pos="283"/>
      </w:tabs>
      <w:ind w:left="284" w:hanging="284"/>
    </w:pPr>
    <w:rPr>
      <w:rFonts w:asciiTheme="minorHAnsi" w:hAnsiTheme="minorHAnsi"/>
      <w:color w:val="FFFFFF" w:themeColor="background1"/>
    </w:rPr>
  </w:style>
  <w:style w:type="paragraph" w:customStyle="1" w:styleId="BoxHeadingNOTOC">
    <w:name w:val="Box Heading (NO TOC)"/>
    <w:basedOn w:val="BoxHeading"/>
    <w:qFormat/>
    <w:rsid w:val="003F2AA7"/>
    <w:rPr>
      <w:szCs w:val="22"/>
    </w:rPr>
  </w:style>
  <w:style w:type="paragraph" w:customStyle="1" w:styleId="Heading1NoTOC">
    <w:name w:val="Heading 1 (No TOC)"/>
    <w:basedOn w:val="Heading1"/>
    <w:rsid w:val="003F2AA7"/>
    <w:pPr>
      <w:outlineLvl w:val="9"/>
    </w:pPr>
  </w:style>
  <w:style w:type="paragraph" w:customStyle="1" w:styleId="Heading2NoTOC">
    <w:name w:val="Heading 2 (No TOC)"/>
    <w:basedOn w:val="Heading2"/>
    <w:rsid w:val="003F2AA7"/>
    <w:pPr>
      <w:outlineLvl w:val="9"/>
    </w:pPr>
  </w:style>
  <w:style w:type="paragraph" w:customStyle="1" w:styleId="Heading3NoTOC0">
    <w:name w:val="Heading 3 (No TOC)"/>
    <w:basedOn w:val="Heading3"/>
    <w:rsid w:val="003F2AA7"/>
    <w:pPr>
      <w:outlineLvl w:val="9"/>
    </w:pPr>
  </w:style>
  <w:style w:type="paragraph" w:customStyle="1" w:styleId="Heading4NoTOC">
    <w:name w:val="Heading 4 (No TOC)"/>
    <w:basedOn w:val="Heading4"/>
    <w:rsid w:val="003F2AA7"/>
    <w:pPr>
      <w:outlineLvl w:val="9"/>
    </w:pPr>
  </w:style>
  <w:style w:type="paragraph" w:customStyle="1" w:styleId="Heading5NoTOC">
    <w:name w:val="Heading 5 (No TOC)"/>
    <w:basedOn w:val="Heading5"/>
    <w:autoRedefine/>
    <w:rsid w:val="003F2AA7"/>
    <w:pPr>
      <w:spacing w:before="240"/>
      <w:outlineLvl w:val="9"/>
    </w:pPr>
  </w:style>
  <w:style w:type="paragraph" w:customStyle="1" w:styleId="TableColumnHeadingS118pt">
    <w:name w:val="Table Column Heading S11 8 pt"/>
    <w:basedOn w:val="TableColumnHeadingBase"/>
    <w:rsid w:val="003F2AA7"/>
    <w:pPr>
      <w:spacing w:after="0"/>
    </w:pPr>
    <w:rPr>
      <w:rFonts w:ascii="Arial" w:hAnsi="Arial"/>
    </w:rPr>
  </w:style>
  <w:style w:type="paragraph" w:customStyle="1" w:styleId="TableColumnHeadingS119pt">
    <w:name w:val="Table Column Heading S11 9 pt"/>
    <w:basedOn w:val="TableColumnHeadingBase"/>
    <w:rsid w:val="003F2AA7"/>
    <w:pPr>
      <w:spacing w:before="60" w:after="60"/>
    </w:pPr>
    <w:rPr>
      <w:rFonts w:ascii="Arial" w:hAnsi="Arial"/>
      <w:sz w:val="18"/>
    </w:rPr>
  </w:style>
  <w:style w:type="character" w:customStyle="1" w:styleId="BulletChar">
    <w:name w:val="Bullet Char"/>
    <w:aliases w:val="b Char,b + line Char Char,b Char Char,Body Char,Bullet + line Char,Number Char,Recommendation Char,b + line Char,b1 Char,level 1 Char,Bullets Char,L Char,List Paragraph Char,List Paragraph1 Char,List Paragraph11 Char,List Paragraph2 Char"/>
    <w:link w:val="Bullet"/>
    <w:qFormat/>
    <w:locked/>
    <w:rsid w:val="003F2AA7"/>
    <w:rPr>
      <w:rFonts w:ascii="Book Antiqua" w:eastAsia="Times New Roman" w:hAnsi="Book Antiqua" w:cs="Times New Roman"/>
      <w:sz w:val="19"/>
      <w:szCs w:val="20"/>
      <w:lang w:eastAsia="en-AU"/>
    </w:rPr>
  </w:style>
  <w:style w:type="character" w:customStyle="1" w:styleId="ChartandTableFootnoteAlphaChar">
    <w:name w:val="Chart and Table Footnote Alpha Char"/>
    <w:link w:val="ChartandTableFootnoteAlpha"/>
    <w:locked/>
    <w:rsid w:val="003F2AA7"/>
    <w:rPr>
      <w:rFonts w:ascii="Symbol" w:eastAsia="Courier New" w:hAnsi="Symbol" w:cs="Courier New"/>
      <w:color w:val="000000"/>
      <w:sz w:val="16"/>
      <w:szCs w:val="20"/>
      <w:lang w:eastAsia="en-AU"/>
    </w:rPr>
  </w:style>
  <w:style w:type="paragraph" w:styleId="Revision">
    <w:name w:val="Revision"/>
    <w:hidden/>
    <w:uiPriority w:val="99"/>
    <w:semiHidden/>
    <w:rsid w:val="003F2AA7"/>
    <w:pPr>
      <w:spacing w:after="0" w:line="240" w:lineRule="auto"/>
    </w:pPr>
    <w:rPr>
      <w:rFonts w:eastAsia="Courier New" w:cs="Courier New"/>
      <w:sz w:val="19"/>
      <w:szCs w:val="20"/>
      <w:lang w:eastAsia="en-AU"/>
    </w:rPr>
  </w:style>
  <w:style w:type="character" w:styleId="UnresolvedMention">
    <w:name w:val="Unresolved Mention"/>
    <w:basedOn w:val="DefaultParagraphFont"/>
    <w:uiPriority w:val="99"/>
    <w:unhideWhenUsed/>
    <w:rsid w:val="003F2AA7"/>
    <w:rPr>
      <w:color w:val="605E5C"/>
      <w:shd w:val="clear" w:color="auto" w:fill="E1DFDD"/>
    </w:rPr>
  </w:style>
  <w:style w:type="character" w:styleId="Mention">
    <w:name w:val="Mention"/>
    <w:basedOn w:val="DefaultParagraphFont"/>
    <w:uiPriority w:val="99"/>
    <w:unhideWhenUsed/>
    <w:rsid w:val="003F2AA7"/>
    <w:rPr>
      <w:color w:val="2B579A"/>
      <w:shd w:val="clear" w:color="auto" w:fill="E1DFDD"/>
    </w:rPr>
  </w:style>
  <w:style w:type="paragraph" w:styleId="NormalWeb">
    <w:name w:val="Normal (Web)"/>
    <w:basedOn w:val="Normal"/>
    <w:uiPriority w:val="99"/>
    <w:semiHidden/>
    <w:unhideWhenUsed/>
    <w:rsid w:val="003F2AA7"/>
    <w:rPr>
      <w:rFonts w:ascii="Times New Roman" w:hAnsi="Times New Roman"/>
      <w:sz w:val="24"/>
      <w:szCs w:val="24"/>
    </w:rPr>
  </w:style>
  <w:style w:type="paragraph" w:styleId="ListParagraph">
    <w:name w:val="List Paragraph"/>
    <w:basedOn w:val="Normal"/>
    <w:uiPriority w:val="34"/>
    <w:qFormat/>
    <w:rsid w:val="003F2AA7"/>
    <w:pPr>
      <w:ind w:left="720"/>
      <w:contextualSpacing/>
    </w:pPr>
    <w:rPr>
      <w:rFonts w:asciiTheme="minorHAnsi" w:hAnsiTheme="minorHAnsi"/>
    </w:rPr>
  </w:style>
  <w:style w:type="character" w:styleId="FollowedHyperlink">
    <w:name w:val="FollowedHyperlink"/>
    <w:basedOn w:val="DefaultParagraphFont"/>
    <w:uiPriority w:val="99"/>
    <w:semiHidden/>
    <w:unhideWhenUsed/>
    <w:rsid w:val="001D4BFF"/>
    <w:rPr>
      <w:color w:val="E61E26" w:themeColor="followedHyperlink"/>
      <w:u w:val="single"/>
    </w:rPr>
  </w:style>
  <w:style w:type="character" w:customStyle="1" w:styleId="BoxTextChar">
    <w:name w:val="Box Text Char"/>
    <w:basedOn w:val="DefaultParagraphFont"/>
    <w:link w:val="BoxText"/>
    <w:rsid w:val="00175FA4"/>
    <w:rPr>
      <w:rFonts w:ascii="Tahoma" w:eastAsia="Courier New" w:hAnsi="Tahoma" w:cs="Courier New"/>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2413">
      <w:bodyDiv w:val="1"/>
      <w:marLeft w:val="0"/>
      <w:marRight w:val="0"/>
      <w:marTop w:val="0"/>
      <w:marBottom w:val="0"/>
      <w:divBdr>
        <w:top w:val="none" w:sz="0" w:space="0" w:color="auto"/>
        <w:left w:val="none" w:sz="0" w:space="0" w:color="auto"/>
        <w:bottom w:val="none" w:sz="0" w:space="0" w:color="auto"/>
        <w:right w:val="none" w:sz="0" w:space="0" w:color="auto"/>
      </w:divBdr>
    </w:div>
    <w:div w:id="36467777">
      <w:bodyDiv w:val="1"/>
      <w:marLeft w:val="0"/>
      <w:marRight w:val="0"/>
      <w:marTop w:val="0"/>
      <w:marBottom w:val="0"/>
      <w:divBdr>
        <w:top w:val="none" w:sz="0" w:space="0" w:color="auto"/>
        <w:left w:val="none" w:sz="0" w:space="0" w:color="auto"/>
        <w:bottom w:val="none" w:sz="0" w:space="0" w:color="auto"/>
        <w:right w:val="none" w:sz="0" w:space="0" w:color="auto"/>
      </w:divBdr>
    </w:div>
    <w:div w:id="45616269">
      <w:bodyDiv w:val="1"/>
      <w:marLeft w:val="0"/>
      <w:marRight w:val="0"/>
      <w:marTop w:val="0"/>
      <w:marBottom w:val="0"/>
      <w:divBdr>
        <w:top w:val="none" w:sz="0" w:space="0" w:color="auto"/>
        <w:left w:val="none" w:sz="0" w:space="0" w:color="auto"/>
        <w:bottom w:val="none" w:sz="0" w:space="0" w:color="auto"/>
        <w:right w:val="none" w:sz="0" w:space="0" w:color="auto"/>
      </w:divBdr>
    </w:div>
    <w:div w:id="53044103">
      <w:bodyDiv w:val="1"/>
      <w:marLeft w:val="0"/>
      <w:marRight w:val="0"/>
      <w:marTop w:val="0"/>
      <w:marBottom w:val="0"/>
      <w:divBdr>
        <w:top w:val="none" w:sz="0" w:space="0" w:color="auto"/>
        <w:left w:val="none" w:sz="0" w:space="0" w:color="auto"/>
        <w:bottom w:val="none" w:sz="0" w:space="0" w:color="auto"/>
        <w:right w:val="none" w:sz="0" w:space="0" w:color="auto"/>
      </w:divBdr>
    </w:div>
    <w:div w:id="73628225">
      <w:bodyDiv w:val="1"/>
      <w:marLeft w:val="0"/>
      <w:marRight w:val="0"/>
      <w:marTop w:val="0"/>
      <w:marBottom w:val="0"/>
      <w:divBdr>
        <w:top w:val="none" w:sz="0" w:space="0" w:color="auto"/>
        <w:left w:val="none" w:sz="0" w:space="0" w:color="auto"/>
        <w:bottom w:val="none" w:sz="0" w:space="0" w:color="auto"/>
        <w:right w:val="none" w:sz="0" w:space="0" w:color="auto"/>
      </w:divBdr>
    </w:div>
    <w:div w:id="81725738">
      <w:bodyDiv w:val="1"/>
      <w:marLeft w:val="0"/>
      <w:marRight w:val="0"/>
      <w:marTop w:val="0"/>
      <w:marBottom w:val="0"/>
      <w:divBdr>
        <w:top w:val="none" w:sz="0" w:space="0" w:color="auto"/>
        <w:left w:val="none" w:sz="0" w:space="0" w:color="auto"/>
        <w:bottom w:val="none" w:sz="0" w:space="0" w:color="auto"/>
        <w:right w:val="none" w:sz="0" w:space="0" w:color="auto"/>
      </w:divBdr>
    </w:div>
    <w:div w:id="91902439">
      <w:bodyDiv w:val="1"/>
      <w:marLeft w:val="0"/>
      <w:marRight w:val="0"/>
      <w:marTop w:val="0"/>
      <w:marBottom w:val="0"/>
      <w:divBdr>
        <w:top w:val="none" w:sz="0" w:space="0" w:color="auto"/>
        <w:left w:val="none" w:sz="0" w:space="0" w:color="auto"/>
        <w:bottom w:val="none" w:sz="0" w:space="0" w:color="auto"/>
        <w:right w:val="none" w:sz="0" w:space="0" w:color="auto"/>
      </w:divBdr>
    </w:div>
    <w:div w:id="94403643">
      <w:bodyDiv w:val="1"/>
      <w:marLeft w:val="0"/>
      <w:marRight w:val="0"/>
      <w:marTop w:val="0"/>
      <w:marBottom w:val="0"/>
      <w:divBdr>
        <w:top w:val="none" w:sz="0" w:space="0" w:color="auto"/>
        <w:left w:val="none" w:sz="0" w:space="0" w:color="auto"/>
        <w:bottom w:val="none" w:sz="0" w:space="0" w:color="auto"/>
        <w:right w:val="none" w:sz="0" w:space="0" w:color="auto"/>
      </w:divBdr>
    </w:div>
    <w:div w:id="141234799">
      <w:bodyDiv w:val="1"/>
      <w:marLeft w:val="0"/>
      <w:marRight w:val="0"/>
      <w:marTop w:val="0"/>
      <w:marBottom w:val="0"/>
      <w:divBdr>
        <w:top w:val="none" w:sz="0" w:space="0" w:color="auto"/>
        <w:left w:val="none" w:sz="0" w:space="0" w:color="auto"/>
        <w:bottom w:val="none" w:sz="0" w:space="0" w:color="auto"/>
        <w:right w:val="none" w:sz="0" w:space="0" w:color="auto"/>
      </w:divBdr>
    </w:div>
    <w:div w:id="211623879">
      <w:bodyDiv w:val="1"/>
      <w:marLeft w:val="0"/>
      <w:marRight w:val="0"/>
      <w:marTop w:val="0"/>
      <w:marBottom w:val="0"/>
      <w:divBdr>
        <w:top w:val="none" w:sz="0" w:space="0" w:color="auto"/>
        <w:left w:val="none" w:sz="0" w:space="0" w:color="auto"/>
        <w:bottom w:val="none" w:sz="0" w:space="0" w:color="auto"/>
        <w:right w:val="none" w:sz="0" w:space="0" w:color="auto"/>
      </w:divBdr>
    </w:div>
    <w:div w:id="344135294">
      <w:bodyDiv w:val="1"/>
      <w:marLeft w:val="0"/>
      <w:marRight w:val="0"/>
      <w:marTop w:val="0"/>
      <w:marBottom w:val="0"/>
      <w:divBdr>
        <w:top w:val="none" w:sz="0" w:space="0" w:color="auto"/>
        <w:left w:val="none" w:sz="0" w:space="0" w:color="auto"/>
        <w:bottom w:val="none" w:sz="0" w:space="0" w:color="auto"/>
        <w:right w:val="none" w:sz="0" w:space="0" w:color="auto"/>
      </w:divBdr>
    </w:div>
    <w:div w:id="497967407">
      <w:bodyDiv w:val="1"/>
      <w:marLeft w:val="0"/>
      <w:marRight w:val="0"/>
      <w:marTop w:val="0"/>
      <w:marBottom w:val="0"/>
      <w:divBdr>
        <w:top w:val="none" w:sz="0" w:space="0" w:color="auto"/>
        <w:left w:val="none" w:sz="0" w:space="0" w:color="auto"/>
        <w:bottom w:val="none" w:sz="0" w:space="0" w:color="auto"/>
        <w:right w:val="none" w:sz="0" w:space="0" w:color="auto"/>
      </w:divBdr>
    </w:div>
    <w:div w:id="573122909">
      <w:bodyDiv w:val="1"/>
      <w:marLeft w:val="0"/>
      <w:marRight w:val="0"/>
      <w:marTop w:val="0"/>
      <w:marBottom w:val="0"/>
      <w:divBdr>
        <w:top w:val="none" w:sz="0" w:space="0" w:color="auto"/>
        <w:left w:val="none" w:sz="0" w:space="0" w:color="auto"/>
        <w:bottom w:val="none" w:sz="0" w:space="0" w:color="auto"/>
        <w:right w:val="none" w:sz="0" w:space="0" w:color="auto"/>
      </w:divBdr>
    </w:div>
    <w:div w:id="581719713">
      <w:bodyDiv w:val="1"/>
      <w:marLeft w:val="0"/>
      <w:marRight w:val="0"/>
      <w:marTop w:val="0"/>
      <w:marBottom w:val="0"/>
      <w:divBdr>
        <w:top w:val="none" w:sz="0" w:space="0" w:color="auto"/>
        <w:left w:val="none" w:sz="0" w:space="0" w:color="auto"/>
        <w:bottom w:val="none" w:sz="0" w:space="0" w:color="auto"/>
        <w:right w:val="none" w:sz="0" w:space="0" w:color="auto"/>
      </w:divBdr>
    </w:div>
    <w:div w:id="594830233">
      <w:bodyDiv w:val="1"/>
      <w:marLeft w:val="0"/>
      <w:marRight w:val="0"/>
      <w:marTop w:val="0"/>
      <w:marBottom w:val="0"/>
      <w:divBdr>
        <w:top w:val="none" w:sz="0" w:space="0" w:color="auto"/>
        <w:left w:val="none" w:sz="0" w:space="0" w:color="auto"/>
        <w:bottom w:val="none" w:sz="0" w:space="0" w:color="auto"/>
        <w:right w:val="none" w:sz="0" w:space="0" w:color="auto"/>
      </w:divBdr>
    </w:div>
    <w:div w:id="614560742">
      <w:bodyDiv w:val="1"/>
      <w:marLeft w:val="0"/>
      <w:marRight w:val="0"/>
      <w:marTop w:val="0"/>
      <w:marBottom w:val="0"/>
      <w:divBdr>
        <w:top w:val="none" w:sz="0" w:space="0" w:color="auto"/>
        <w:left w:val="none" w:sz="0" w:space="0" w:color="auto"/>
        <w:bottom w:val="none" w:sz="0" w:space="0" w:color="auto"/>
        <w:right w:val="none" w:sz="0" w:space="0" w:color="auto"/>
      </w:divBdr>
    </w:div>
    <w:div w:id="634525873">
      <w:bodyDiv w:val="1"/>
      <w:marLeft w:val="0"/>
      <w:marRight w:val="0"/>
      <w:marTop w:val="0"/>
      <w:marBottom w:val="0"/>
      <w:divBdr>
        <w:top w:val="none" w:sz="0" w:space="0" w:color="auto"/>
        <w:left w:val="none" w:sz="0" w:space="0" w:color="auto"/>
        <w:bottom w:val="none" w:sz="0" w:space="0" w:color="auto"/>
        <w:right w:val="none" w:sz="0" w:space="0" w:color="auto"/>
      </w:divBdr>
    </w:div>
    <w:div w:id="730470646">
      <w:bodyDiv w:val="1"/>
      <w:marLeft w:val="0"/>
      <w:marRight w:val="0"/>
      <w:marTop w:val="0"/>
      <w:marBottom w:val="0"/>
      <w:divBdr>
        <w:top w:val="none" w:sz="0" w:space="0" w:color="auto"/>
        <w:left w:val="none" w:sz="0" w:space="0" w:color="auto"/>
        <w:bottom w:val="none" w:sz="0" w:space="0" w:color="auto"/>
        <w:right w:val="none" w:sz="0" w:space="0" w:color="auto"/>
      </w:divBdr>
    </w:div>
    <w:div w:id="781648604">
      <w:bodyDiv w:val="1"/>
      <w:marLeft w:val="0"/>
      <w:marRight w:val="0"/>
      <w:marTop w:val="0"/>
      <w:marBottom w:val="0"/>
      <w:divBdr>
        <w:top w:val="none" w:sz="0" w:space="0" w:color="auto"/>
        <w:left w:val="none" w:sz="0" w:space="0" w:color="auto"/>
        <w:bottom w:val="none" w:sz="0" w:space="0" w:color="auto"/>
        <w:right w:val="none" w:sz="0" w:space="0" w:color="auto"/>
      </w:divBdr>
    </w:div>
    <w:div w:id="786857187">
      <w:bodyDiv w:val="1"/>
      <w:marLeft w:val="0"/>
      <w:marRight w:val="0"/>
      <w:marTop w:val="0"/>
      <w:marBottom w:val="0"/>
      <w:divBdr>
        <w:top w:val="none" w:sz="0" w:space="0" w:color="auto"/>
        <w:left w:val="none" w:sz="0" w:space="0" w:color="auto"/>
        <w:bottom w:val="none" w:sz="0" w:space="0" w:color="auto"/>
        <w:right w:val="none" w:sz="0" w:space="0" w:color="auto"/>
      </w:divBdr>
    </w:div>
    <w:div w:id="814029884">
      <w:bodyDiv w:val="1"/>
      <w:marLeft w:val="0"/>
      <w:marRight w:val="0"/>
      <w:marTop w:val="0"/>
      <w:marBottom w:val="0"/>
      <w:divBdr>
        <w:top w:val="none" w:sz="0" w:space="0" w:color="auto"/>
        <w:left w:val="none" w:sz="0" w:space="0" w:color="auto"/>
        <w:bottom w:val="none" w:sz="0" w:space="0" w:color="auto"/>
        <w:right w:val="none" w:sz="0" w:space="0" w:color="auto"/>
      </w:divBdr>
    </w:div>
    <w:div w:id="838544912">
      <w:bodyDiv w:val="1"/>
      <w:marLeft w:val="0"/>
      <w:marRight w:val="0"/>
      <w:marTop w:val="0"/>
      <w:marBottom w:val="0"/>
      <w:divBdr>
        <w:top w:val="none" w:sz="0" w:space="0" w:color="auto"/>
        <w:left w:val="none" w:sz="0" w:space="0" w:color="auto"/>
        <w:bottom w:val="none" w:sz="0" w:space="0" w:color="auto"/>
        <w:right w:val="none" w:sz="0" w:space="0" w:color="auto"/>
      </w:divBdr>
    </w:div>
    <w:div w:id="906913706">
      <w:bodyDiv w:val="1"/>
      <w:marLeft w:val="0"/>
      <w:marRight w:val="0"/>
      <w:marTop w:val="0"/>
      <w:marBottom w:val="0"/>
      <w:divBdr>
        <w:top w:val="none" w:sz="0" w:space="0" w:color="auto"/>
        <w:left w:val="none" w:sz="0" w:space="0" w:color="auto"/>
        <w:bottom w:val="none" w:sz="0" w:space="0" w:color="auto"/>
        <w:right w:val="none" w:sz="0" w:space="0" w:color="auto"/>
      </w:divBdr>
    </w:div>
    <w:div w:id="948901301">
      <w:bodyDiv w:val="1"/>
      <w:marLeft w:val="0"/>
      <w:marRight w:val="0"/>
      <w:marTop w:val="0"/>
      <w:marBottom w:val="0"/>
      <w:divBdr>
        <w:top w:val="none" w:sz="0" w:space="0" w:color="auto"/>
        <w:left w:val="none" w:sz="0" w:space="0" w:color="auto"/>
        <w:bottom w:val="none" w:sz="0" w:space="0" w:color="auto"/>
        <w:right w:val="none" w:sz="0" w:space="0" w:color="auto"/>
      </w:divBdr>
    </w:div>
    <w:div w:id="958494172">
      <w:bodyDiv w:val="1"/>
      <w:marLeft w:val="0"/>
      <w:marRight w:val="0"/>
      <w:marTop w:val="0"/>
      <w:marBottom w:val="0"/>
      <w:divBdr>
        <w:top w:val="none" w:sz="0" w:space="0" w:color="auto"/>
        <w:left w:val="none" w:sz="0" w:space="0" w:color="auto"/>
        <w:bottom w:val="none" w:sz="0" w:space="0" w:color="auto"/>
        <w:right w:val="none" w:sz="0" w:space="0" w:color="auto"/>
      </w:divBdr>
    </w:div>
    <w:div w:id="978536298">
      <w:bodyDiv w:val="1"/>
      <w:marLeft w:val="0"/>
      <w:marRight w:val="0"/>
      <w:marTop w:val="0"/>
      <w:marBottom w:val="0"/>
      <w:divBdr>
        <w:top w:val="none" w:sz="0" w:space="0" w:color="auto"/>
        <w:left w:val="none" w:sz="0" w:space="0" w:color="auto"/>
        <w:bottom w:val="none" w:sz="0" w:space="0" w:color="auto"/>
        <w:right w:val="none" w:sz="0" w:space="0" w:color="auto"/>
      </w:divBdr>
    </w:div>
    <w:div w:id="996881766">
      <w:bodyDiv w:val="1"/>
      <w:marLeft w:val="0"/>
      <w:marRight w:val="0"/>
      <w:marTop w:val="0"/>
      <w:marBottom w:val="0"/>
      <w:divBdr>
        <w:top w:val="none" w:sz="0" w:space="0" w:color="auto"/>
        <w:left w:val="none" w:sz="0" w:space="0" w:color="auto"/>
        <w:bottom w:val="none" w:sz="0" w:space="0" w:color="auto"/>
        <w:right w:val="none" w:sz="0" w:space="0" w:color="auto"/>
      </w:divBdr>
    </w:div>
    <w:div w:id="1168708991">
      <w:bodyDiv w:val="1"/>
      <w:marLeft w:val="0"/>
      <w:marRight w:val="0"/>
      <w:marTop w:val="0"/>
      <w:marBottom w:val="0"/>
      <w:divBdr>
        <w:top w:val="none" w:sz="0" w:space="0" w:color="auto"/>
        <w:left w:val="none" w:sz="0" w:space="0" w:color="auto"/>
        <w:bottom w:val="none" w:sz="0" w:space="0" w:color="auto"/>
        <w:right w:val="none" w:sz="0" w:space="0" w:color="auto"/>
      </w:divBdr>
    </w:div>
    <w:div w:id="1174809176">
      <w:bodyDiv w:val="1"/>
      <w:marLeft w:val="0"/>
      <w:marRight w:val="0"/>
      <w:marTop w:val="0"/>
      <w:marBottom w:val="0"/>
      <w:divBdr>
        <w:top w:val="none" w:sz="0" w:space="0" w:color="auto"/>
        <w:left w:val="none" w:sz="0" w:space="0" w:color="auto"/>
        <w:bottom w:val="none" w:sz="0" w:space="0" w:color="auto"/>
        <w:right w:val="none" w:sz="0" w:space="0" w:color="auto"/>
      </w:divBdr>
    </w:div>
    <w:div w:id="1218391554">
      <w:bodyDiv w:val="1"/>
      <w:marLeft w:val="0"/>
      <w:marRight w:val="0"/>
      <w:marTop w:val="0"/>
      <w:marBottom w:val="0"/>
      <w:divBdr>
        <w:top w:val="none" w:sz="0" w:space="0" w:color="auto"/>
        <w:left w:val="none" w:sz="0" w:space="0" w:color="auto"/>
        <w:bottom w:val="none" w:sz="0" w:space="0" w:color="auto"/>
        <w:right w:val="none" w:sz="0" w:space="0" w:color="auto"/>
      </w:divBdr>
    </w:div>
    <w:div w:id="1250458434">
      <w:bodyDiv w:val="1"/>
      <w:marLeft w:val="0"/>
      <w:marRight w:val="0"/>
      <w:marTop w:val="0"/>
      <w:marBottom w:val="0"/>
      <w:divBdr>
        <w:top w:val="none" w:sz="0" w:space="0" w:color="auto"/>
        <w:left w:val="none" w:sz="0" w:space="0" w:color="auto"/>
        <w:bottom w:val="none" w:sz="0" w:space="0" w:color="auto"/>
        <w:right w:val="none" w:sz="0" w:space="0" w:color="auto"/>
      </w:divBdr>
    </w:div>
    <w:div w:id="1312096418">
      <w:bodyDiv w:val="1"/>
      <w:marLeft w:val="0"/>
      <w:marRight w:val="0"/>
      <w:marTop w:val="0"/>
      <w:marBottom w:val="0"/>
      <w:divBdr>
        <w:top w:val="none" w:sz="0" w:space="0" w:color="auto"/>
        <w:left w:val="none" w:sz="0" w:space="0" w:color="auto"/>
        <w:bottom w:val="none" w:sz="0" w:space="0" w:color="auto"/>
        <w:right w:val="none" w:sz="0" w:space="0" w:color="auto"/>
      </w:divBdr>
    </w:div>
    <w:div w:id="1330016836">
      <w:bodyDiv w:val="1"/>
      <w:marLeft w:val="0"/>
      <w:marRight w:val="0"/>
      <w:marTop w:val="0"/>
      <w:marBottom w:val="0"/>
      <w:divBdr>
        <w:top w:val="none" w:sz="0" w:space="0" w:color="auto"/>
        <w:left w:val="none" w:sz="0" w:space="0" w:color="auto"/>
        <w:bottom w:val="none" w:sz="0" w:space="0" w:color="auto"/>
        <w:right w:val="none" w:sz="0" w:space="0" w:color="auto"/>
      </w:divBdr>
    </w:div>
    <w:div w:id="1351223654">
      <w:bodyDiv w:val="1"/>
      <w:marLeft w:val="0"/>
      <w:marRight w:val="0"/>
      <w:marTop w:val="0"/>
      <w:marBottom w:val="0"/>
      <w:divBdr>
        <w:top w:val="none" w:sz="0" w:space="0" w:color="auto"/>
        <w:left w:val="none" w:sz="0" w:space="0" w:color="auto"/>
        <w:bottom w:val="none" w:sz="0" w:space="0" w:color="auto"/>
        <w:right w:val="none" w:sz="0" w:space="0" w:color="auto"/>
      </w:divBdr>
    </w:div>
    <w:div w:id="1357082096">
      <w:bodyDiv w:val="1"/>
      <w:marLeft w:val="0"/>
      <w:marRight w:val="0"/>
      <w:marTop w:val="0"/>
      <w:marBottom w:val="0"/>
      <w:divBdr>
        <w:top w:val="none" w:sz="0" w:space="0" w:color="auto"/>
        <w:left w:val="none" w:sz="0" w:space="0" w:color="auto"/>
        <w:bottom w:val="none" w:sz="0" w:space="0" w:color="auto"/>
        <w:right w:val="none" w:sz="0" w:space="0" w:color="auto"/>
      </w:divBdr>
    </w:div>
    <w:div w:id="1414550614">
      <w:bodyDiv w:val="1"/>
      <w:marLeft w:val="0"/>
      <w:marRight w:val="0"/>
      <w:marTop w:val="0"/>
      <w:marBottom w:val="0"/>
      <w:divBdr>
        <w:top w:val="none" w:sz="0" w:space="0" w:color="auto"/>
        <w:left w:val="none" w:sz="0" w:space="0" w:color="auto"/>
        <w:bottom w:val="none" w:sz="0" w:space="0" w:color="auto"/>
        <w:right w:val="none" w:sz="0" w:space="0" w:color="auto"/>
      </w:divBdr>
    </w:div>
    <w:div w:id="1491553878">
      <w:bodyDiv w:val="1"/>
      <w:marLeft w:val="0"/>
      <w:marRight w:val="0"/>
      <w:marTop w:val="0"/>
      <w:marBottom w:val="0"/>
      <w:divBdr>
        <w:top w:val="none" w:sz="0" w:space="0" w:color="auto"/>
        <w:left w:val="none" w:sz="0" w:space="0" w:color="auto"/>
        <w:bottom w:val="none" w:sz="0" w:space="0" w:color="auto"/>
        <w:right w:val="none" w:sz="0" w:space="0" w:color="auto"/>
      </w:divBdr>
    </w:div>
    <w:div w:id="1576743257">
      <w:bodyDiv w:val="1"/>
      <w:marLeft w:val="0"/>
      <w:marRight w:val="0"/>
      <w:marTop w:val="0"/>
      <w:marBottom w:val="0"/>
      <w:divBdr>
        <w:top w:val="none" w:sz="0" w:space="0" w:color="auto"/>
        <w:left w:val="none" w:sz="0" w:space="0" w:color="auto"/>
        <w:bottom w:val="none" w:sz="0" w:space="0" w:color="auto"/>
        <w:right w:val="none" w:sz="0" w:space="0" w:color="auto"/>
      </w:divBdr>
    </w:div>
    <w:div w:id="1588415196">
      <w:bodyDiv w:val="1"/>
      <w:marLeft w:val="0"/>
      <w:marRight w:val="0"/>
      <w:marTop w:val="0"/>
      <w:marBottom w:val="0"/>
      <w:divBdr>
        <w:top w:val="none" w:sz="0" w:space="0" w:color="auto"/>
        <w:left w:val="none" w:sz="0" w:space="0" w:color="auto"/>
        <w:bottom w:val="none" w:sz="0" w:space="0" w:color="auto"/>
        <w:right w:val="none" w:sz="0" w:space="0" w:color="auto"/>
      </w:divBdr>
    </w:div>
    <w:div w:id="1631354865">
      <w:bodyDiv w:val="1"/>
      <w:marLeft w:val="0"/>
      <w:marRight w:val="0"/>
      <w:marTop w:val="0"/>
      <w:marBottom w:val="0"/>
      <w:divBdr>
        <w:top w:val="none" w:sz="0" w:space="0" w:color="auto"/>
        <w:left w:val="none" w:sz="0" w:space="0" w:color="auto"/>
        <w:bottom w:val="none" w:sz="0" w:space="0" w:color="auto"/>
        <w:right w:val="none" w:sz="0" w:space="0" w:color="auto"/>
      </w:divBdr>
    </w:div>
    <w:div w:id="1671250446">
      <w:bodyDiv w:val="1"/>
      <w:marLeft w:val="0"/>
      <w:marRight w:val="0"/>
      <w:marTop w:val="0"/>
      <w:marBottom w:val="0"/>
      <w:divBdr>
        <w:top w:val="none" w:sz="0" w:space="0" w:color="auto"/>
        <w:left w:val="none" w:sz="0" w:space="0" w:color="auto"/>
        <w:bottom w:val="none" w:sz="0" w:space="0" w:color="auto"/>
        <w:right w:val="none" w:sz="0" w:space="0" w:color="auto"/>
      </w:divBdr>
    </w:div>
    <w:div w:id="1739133994">
      <w:bodyDiv w:val="1"/>
      <w:marLeft w:val="0"/>
      <w:marRight w:val="0"/>
      <w:marTop w:val="0"/>
      <w:marBottom w:val="0"/>
      <w:divBdr>
        <w:top w:val="none" w:sz="0" w:space="0" w:color="auto"/>
        <w:left w:val="none" w:sz="0" w:space="0" w:color="auto"/>
        <w:bottom w:val="none" w:sz="0" w:space="0" w:color="auto"/>
        <w:right w:val="none" w:sz="0" w:space="0" w:color="auto"/>
      </w:divBdr>
    </w:div>
    <w:div w:id="1768306391">
      <w:bodyDiv w:val="1"/>
      <w:marLeft w:val="0"/>
      <w:marRight w:val="0"/>
      <w:marTop w:val="0"/>
      <w:marBottom w:val="0"/>
      <w:divBdr>
        <w:top w:val="none" w:sz="0" w:space="0" w:color="auto"/>
        <w:left w:val="none" w:sz="0" w:space="0" w:color="auto"/>
        <w:bottom w:val="none" w:sz="0" w:space="0" w:color="auto"/>
        <w:right w:val="none" w:sz="0" w:space="0" w:color="auto"/>
      </w:divBdr>
    </w:div>
    <w:div w:id="1872836529">
      <w:bodyDiv w:val="1"/>
      <w:marLeft w:val="0"/>
      <w:marRight w:val="0"/>
      <w:marTop w:val="0"/>
      <w:marBottom w:val="0"/>
      <w:divBdr>
        <w:top w:val="none" w:sz="0" w:space="0" w:color="auto"/>
        <w:left w:val="none" w:sz="0" w:space="0" w:color="auto"/>
        <w:bottom w:val="none" w:sz="0" w:space="0" w:color="auto"/>
        <w:right w:val="none" w:sz="0" w:space="0" w:color="auto"/>
      </w:divBdr>
    </w:div>
    <w:div w:id="1962607903">
      <w:bodyDiv w:val="1"/>
      <w:marLeft w:val="0"/>
      <w:marRight w:val="0"/>
      <w:marTop w:val="0"/>
      <w:marBottom w:val="0"/>
      <w:divBdr>
        <w:top w:val="none" w:sz="0" w:space="0" w:color="auto"/>
        <w:left w:val="none" w:sz="0" w:space="0" w:color="auto"/>
        <w:bottom w:val="none" w:sz="0" w:space="0" w:color="auto"/>
        <w:right w:val="none" w:sz="0" w:space="0" w:color="auto"/>
      </w:divBdr>
    </w:div>
    <w:div w:id="1965915555">
      <w:bodyDiv w:val="1"/>
      <w:marLeft w:val="0"/>
      <w:marRight w:val="0"/>
      <w:marTop w:val="0"/>
      <w:marBottom w:val="0"/>
      <w:divBdr>
        <w:top w:val="none" w:sz="0" w:space="0" w:color="auto"/>
        <w:left w:val="none" w:sz="0" w:space="0" w:color="auto"/>
        <w:bottom w:val="none" w:sz="0" w:space="0" w:color="auto"/>
        <w:right w:val="none" w:sz="0" w:space="0" w:color="auto"/>
      </w:divBdr>
    </w:div>
    <w:div w:id="2021733396">
      <w:bodyDiv w:val="1"/>
      <w:marLeft w:val="0"/>
      <w:marRight w:val="0"/>
      <w:marTop w:val="0"/>
      <w:marBottom w:val="0"/>
      <w:divBdr>
        <w:top w:val="none" w:sz="0" w:space="0" w:color="auto"/>
        <w:left w:val="none" w:sz="0" w:space="0" w:color="auto"/>
        <w:bottom w:val="none" w:sz="0" w:space="0" w:color="auto"/>
        <w:right w:val="none" w:sz="0" w:space="0" w:color="auto"/>
      </w:divBdr>
    </w:div>
    <w:div w:id="2075666299">
      <w:bodyDiv w:val="1"/>
      <w:marLeft w:val="0"/>
      <w:marRight w:val="0"/>
      <w:marTop w:val="0"/>
      <w:marBottom w:val="0"/>
      <w:divBdr>
        <w:top w:val="none" w:sz="0" w:space="0" w:color="auto"/>
        <w:left w:val="none" w:sz="0" w:space="0" w:color="auto"/>
        <w:bottom w:val="none" w:sz="0" w:space="0" w:color="auto"/>
        <w:right w:val="none" w:sz="0" w:space="0" w:color="auto"/>
      </w:divBdr>
    </w:div>
    <w:div w:id="208903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ederalfinancialrelations.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documenttasks/documenttasks1.xml><?xml version="1.0" encoding="utf-8"?>
<t:Tasks xmlns:t="http://schemas.microsoft.com/office/tasks/2019/documenttasks" xmlns:oel="http://schemas.microsoft.com/office/2019/extlst">
  <t:Task id="{EDF806DC-BA3E-430A-90A3-24E68128321B}">
    <t:Anchor>
      <t:Comment id="669075551"/>
    </t:Anchor>
    <t:History>
      <t:Event id="{8E6BEE3D-47C2-481D-AD11-70A34736DA4D}" time="2023-04-12T23:44:09.306Z">
        <t:Attribution userId="S::percy.bell@treasury.gov.au::99adb87f-cebd-4c54-8ea4-7fd257688454" userProvider="AD" userName="Bell, Percy"/>
        <t:Anchor>
          <t:Comment id="778089428"/>
        </t:Anchor>
        <t:Create/>
      </t:Event>
      <t:Event id="{076027D3-8ED5-44E9-865B-DEECA9227BEA}" time="2023-04-12T23:44:09.306Z">
        <t:Attribution userId="S::percy.bell@treasury.gov.au::99adb87f-cebd-4c54-8ea4-7fd257688454" userProvider="AD" userName="Bell, Percy"/>
        <t:Anchor>
          <t:Comment id="778089428"/>
        </t:Anchor>
        <t:Assign userId="S::Hamish.Sharp@TREASURY.GOV.AU::0bdc874b-3ede-42d1-85d9-582edaf96c2b" userProvider="AD" userName="Sharp, Hamish"/>
      </t:Event>
      <t:Event id="{3DF5815F-3563-4D47-97E6-CF8F5289B9EB}" time="2023-04-12T23:44:09.306Z">
        <t:Attribution userId="S::percy.bell@treasury.gov.au::99adb87f-cebd-4c54-8ea4-7fd257688454" userProvider="AD" userName="Bell, Percy"/>
        <t:Anchor>
          <t:Comment id="778089428"/>
        </t:Anchor>
        <t:SetTitle title="@Sharp, Hamish @Tran, Joshua"/>
      </t:Event>
    </t:History>
  </t:Task>
  <t:Task id="{2A91B9BD-31DE-41D3-9A5B-15A247C3BCBC}">
    <t:Anchor>
      <t:Comment id="669156442"/>
    </t:Anchor>
    <t:History>
      <t:Event id="{77B04DDC-8EAB-4075-94C3-DF38F2635BD9}" time="2023-04-13T03:59:38.577Z">
        <t:Attribution userId="S::percy.bell@treasury.gov.au::99adb87f-cebd-4c54-8ea4-7fd257688454" userProvider="AD" userName="Bell, Percy"/>
        <t:Anchor>
          <t:Comment id="1311615726"/>
        </t:Anchor>
        <t:Create/>
      </t:Event>
      <t:Event id="{B71F3151-8356-4792-BCEA-59C5963DEB17}" time="2023-04-13T03:59:38.577Z">
        <t:Attribution userId="S::percy.bell@treasury.gov.au::99adb87f-cebd-4c54-8ea4-7fd257688454" userProvider="AD" userName="Bell, Percy"/>
        <t:Anchor>
          <t:Comment id="1311615726"/>
        </t:Anchor>
        <t:Assign userId="S::Hamish.Sharp@TREASURY.GOV.AU::0bdc874b-3ede-42d1-85d9-582edaf96c2b" userProvider="AD" userName="Sharp, Hamish"/>
      </t:Event>
      <t:Event id="{AC153149-657F-4707-8CF8-FC6E6E866126}" time="2023-04-13T03:59:38.577Z">
        <t:Attribution userId="S::percy.bell@treasury.gov.au::99adb87f-cebd-4c54-8ea4-7fd257688454" userProvider="AD" userName="Bell, Percy"/>
        <t:Anchor>
          <t:Comment id="1311615726"/>
        </t:Anchor>
        <t:SetTitle title="@Sharp, Hamish Thanks. Text is cleared, can you confirm the 150 number with BPD? Noting it is already announced I assume the correct number to use in this context?"/>
      </t:Event>
    </t:History>
  </t:Task>
  <t:Task id="{A5A1C112-173B-4589-A99F-B4DD8A45B03C}">
    <t:Anchor>
      <t:Comment id="669247159"/>
    </t:Anchor>
    <t:History>
      <t:Event id="{73F01106-A651-4ECA-9EDE-1E9F276D1A42}" time="2023-04-14T06:19:10.287Z">
        <t:Attribution userId="S::melissa.bray@treasury.gov.au::a02c4899-3490-4688-9583-b0c27817c8f5" userProvider="AD" userName="Bray, Melissa"/>
        <t:Anchor>
          <t:Comment id="2022936987"/>
        </t:Anchor>
        <t:Create/>
      </t:Event>
      <t:Event id="{B78869B9-CDB9-4D87-98FC-F285A4932705}" time="2023-04-14T06:19:10.287Z">
        <t:Attribution userId="S::melissa.bray@treasury.gov.au::a02c4899-3490-4688-9583-b0c27817c8f5" userProvider="AD" userName="Bray, Melissa"/>
        <t:Anchor>
          <t:Comment id="2022936987"/>
        </t:Anchor>
        <t:Assign userId="S::Lauren.Pennifold@TREASURY.GOV.AU::fb1a6277-3397-451b-bd69-a80bec1867a5" userProvider="AD" userName="Pennifold, Lauren"/>
      </t:Event>
      <t:Event id="{54F67F85-23A1-4299-85F0-E8BCC2C740CA}" time="2023-04-14T06:19:10.287Z">
        <t:Attribution userId="S::melissa.bray@treasury.gov.au::a02c4899-3490-4688-9583-b0c27817c8f5" userProvider="AD" userName="Bray, Melissa"/>
        <t:Anchor>
          <t:Comment id="2022936987"/>
        </t:Anchor>
        <t:SetTitle title="@Pennifold, Lauren Thanks - happy to remove my comment now"/>
      </t:Event>
    </t:History>
  </t:Task>
  <t:Task id="{386E8F2F-1A22-4A06-9A6C-1A82B523A23A}">
    <t:Anchor>
      <t:Comment id="669665488"/>
    </t:Anchor>
    <t:History>
      <t:Event id="{768C5441-21C3-4FC4-9121-682EB0ED76D1}" time="2023-04-19T04:23:35.542Z">
        <t:Attribution userId="S::percy.bell@treasury.gov.au::99adb87f-cebd-4c54-8ea4-7fd257688454" userProvider="AD" userName="Bell, Percy"/>
        <t:Anchor>
          <t:Comment id="885516717"/>
        </t:Anchor>
        <t:Create/>
      </t:Event>
      <t:Event id="{8757F2C9-7E60-4BD3-B843-3DB1C53B6AA9}" time="2023-04-19T04:23:35.542Z">
        <t:Attribution userId="S::percy.bell@treasury.gov.au::99adb87f-cebd-4c54-8ea4-7fd257688454" userProvider="AD" userName="Bell, Percy"/>
        <t:Anchor>
          <t:Comment id="885516717"/>
        </t:Anchor>
        <t:Assign userId="S::Hamish.Sharp@TREASURY.GOV.AU::0bdc874b-3ede-42d1-85d9-582edaf96c2b" userProvider="AD" userName="Sharp, Hamish"/>
      </t:Event>
      <t:Event id="{F5D5DFC3-1E95-42DE-BA6E-B3C8C2BA73C3}" time="2023-04-19T04:23:35.542Z">
        <t:Attribution userId="S::percy.bell@treasury.gov.au::99adb87f-cebd-4c54-8ea4-7fd257688454" userProvider="AD" userName="Bell, Percy"/>
        <t:Anchor>
          <t:Comment id="885516717"/>
        </t:Anchor>
        <t:SetTitle title="@Sharp, Hamish Here is an example of the comment re states. Could you check with Jack what is required here?"/>
      </t:Event>
    </t:History>
  </t:Task>
  <t:Task id="{CF3BB3E2-E0DF-4CBA-8A5A-150200DC74D1}">
    <t:Anchor>
      <t:Comment id="670883082"/>
    </t:Anchor>
    <t:History>
      <t:Event id="{4BB6441A-FC55-4F9F-A5A0-9311AA1EC21A}" time="2023-05-03T04:09:20.489Z">
        <t:Attribution userId="S::percy.bell@treasury.gov.au::99adb87f-cebd-4c54-8ea4-7fd257688454" userProvider="AD" userName="Bell, Percy"/>
        <t:Anchor>
          <t:Comment id="1926259657"/>
        </t:Anchor>
        <t:Create/>
      </t:Event>
      <t:Event id="{BAFFEF3B-4636-4034-8737-B959F3CA57EF}" time="2023-05-03T04:09:20.489Z">
        <t:Attribution userId="S::percy.bell@treasury.gov.au::99adb87f-cebd-4c54-8ea4-7fd257688454" userProvider="AD" userName="Bell, Percy"/>
        <t:Anchor>
          <t:Comment id="1926259657"/>
        </t:Anchor>
        <t:Assign userId="S::Khanh.Hoang@TREASURY.GOV.AU::c2b1625d-73c9-42e9-83f7-5f2da386aaf5" userProvider="AD" userName="Hoang, Khanh"/>
      </t:Event>
      <t:Event id="{1BBD84C0-E646-4717-BE51-D9127553127E}" time="2023-05-03T04:09:20.489Z">
        <t:Attribution userId="S::percy.bell@treasury.gov.au::99adb87f-cebd-4c54-8ea4-7fd257688454" userProvider="AD" userName="Bell, Percy"/>
        <t:Anchor>
          <t:Comment id="1926259657"/>
        </t:Anchor>
        <t:SetTitle title="@Hoang, Khanh @Tse, Carly @Tran, Joshua @Sharp, Hamish to note this aligns with preference for first reference to use this formal title."/>
      </t:Event>
    </t:History>
  </t:Task>
</t:Task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646667E4-5BB2-470E-8F40-E50331367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39BF6F-F3F1-4D0E-96C8-98FA03B179EF}">
  <ds:schemaRefs>
    <ds:schemaRef ds:uri="http://schemas.microsoft.com/sharepoint/v3/contenttype/forms"/>
  </ds:schemaRefs>
</ds:datastoreItem>
</file>

<file path=customXml/itemProps4.xml><?xml version="1.0" encoding="utf-8"?>
<ds:datastoreItem xmlns:ds="http://schemas.openxmlformats.org/officeDocument/2006/customXml" ds:itemID="{9A9D0478-3F66-4AFD-9307-3E86C92B6B7E}">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1513</TotalTime>
  <Pages>12</Pages>
  <Words>3189</Words>
  <Characters>18181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21328</CharactersWithSpaces>
  <SharedDoc>false</SharedDoc>
  <HLinks>
    <vt:vector size="6" baseType="variant">
      <vt:variant>
        <vt:i4>1310795</vt:i4>
      </vt:variant>
      <vt:variant>
        <vt:i4>0</vt:i4>
      </vt:variant>
      <vt:variant>
        <vt:i4>0</vt:i4>
      </vt:variant>
      <vt:variant>
        <vt:i4>5</vt:i4>
      </vt:variant>
      <vt:variant>
        <vt:lpwstr>http://www.federalfinancialrelations.gov.au/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1: Australia’s Federal Relations</dc:subject>
  <dc:creator>Australian Government</dc:creator>
  <cp:keywords/>
  <dc:description/>
  <cp:lastModifiedBy>Smith, Matthew</cp:lastModifiedBy>
  <cp:revision>1343</cp:revision>
  <cp:lastPrinted>2023-05-06T16:01:00Z</cp:lastPrinted>
  <dcterms:created xsi:type="dcterms:W3CDTF">2023-03-27T04:17:00Z</dcterms:created>
  <dcterms:modified xsi:type="dcterms:W3CDTF">2023-05-08T03:15:00Z</dcterms:modified>
</cp:coreProperties>
</file>