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058C6" w14:textId="4FA50C46" w:rsidR="00410D03" w:rsidRPr="0087694E" w:rsidRDefault="007B648D" w:rsidP="0087694E">
      <w:pPr>
        <w:pStyle w:val="Heading1"/>
      </w:pPr>
      <w:r w:rsidRPr="0087694E">
        <w:t>Introduction and Guide to Budget</w:t>
      </w:r>
      <w:r w:rsidR="0088324A" w:rsidRPr="0087694E">
        <w:t> </w:t>
      </w:r>
      <w:r w:rsidRPr="0087694E">
        <w:t>Paper</w:t>
      </w:r>
      <w:r w:rsidR="00C61709" w:rsidRPr="0087694E">
        <w:t> </w:t>
      </w:r>
      <w:r w:rsidRPr="0087694E">
        <w:t>No.</w:t>
      </w:r>
      <w:r w:rsidR="002A4CD0" w:rsidRPr="0087694E">
        <w:t> </w:t>
      </w:r>
      <w:r w:rsidRPr="0087694E">
        <w:t>4</w:t>
      </w:r>
    </w:p>
    <w:p w14:paraId="3759036D" w14:textId="14207785" w:rsidR="007B648D" w:rsidRDefault="007B648D" w:rsidP="004F7D26">
      <w:r>
        <w:t>The purpose of Budget Paper No.</w:t>
      </w:r>
      <w:r w:rsidR="000404C3">
        <w:t> </w:t>
      </w:r>
      <w:r>
        <w:t>4 is to provide a whole</w:t>
      </w:r>
      <w:r w:rsidR="002E3419">
        <w:noBreakHyphen/>
      </w:r>
      <w:r>
        <w:t>of</w:t>
      </w:r>
      <w:r w:rsidR="002E3419">
        <w:noBreakHyphen/>
      </w:r>
      <w:r>
        <w:t>government view of estimated resourcing managed in the Budget</w:t>
      </w:r>
      <w:r w:rsidR="00FB1EB3">
        <w:t> year</w:t>
      </w:r>
      <w:r>
        <w:t xml:space="preserve"> and previous</w:t>
      </w:r>
      <w:r w:rsidR="00FB1EB3">
        <w:t> year</w:t>
      </w:r>
      <w:r>
        <w:t xml:space="preserve"> by agencies (which are non</w:t>
      </w:r>
      <w:r w:rsidR="002E3419">
        <w:noBreakHyphen/>
      </w:r>
      <w:r>
        <w:t>corporate Commonwealth entities, corporate Commonwealth entities and Commonwealth companies) in the General Government Sector (GGS). The resources include financial resources, staff resources, expenses and net capital investment.</w:t>
      </w:r>
    </w:p>
    <w:p w14:paraId="6CE52CA9" w14:textId="77777777" w:rsidR="007B648D" w:rsidRDefault="007B648D" w:rsidP="004F7D26">
      <w:r>
        <w:t>The Budget Papers do not authorise appropriations or impose legal obligations on the Commonwealth.</w:t>
      </w:r>
    </w:p>
    <w:p w14:paraId="2EEF34D9" w14:textId="295C239C" w:rsidR="007B648D" w:rsidRDefault="007B648D" w:rsidP="004F7D26">
      <w:r>
        <w:t>Budget Paper No.</w:t>
      </w:r>
      <w:r w:rsidR="000404C3">
        <w:t> </w:t>
      </w:r>
      <w:r>
        <w:t>4 contains three main parts and an appendix with tables of information as follows:</w:t>
      </w:r>
    </w:p>
    <w:p w14:paraId="29CB4093" w14:textId="77777777" w:rsidR="007B648D" w:rsidRPr="00485756" w:rsidRDefault="007B648D" w:rsidP="00485756">
      <w:pPr>
        <w:pStyle w:val="NormalIndent"/>
      </w:pPr>
      <w:r w:rsidRPr="00485756">
        <w:t>Part 1</w:t>
      </w:r>
      <w:r w:rsidRPr="00485756">
        <w:tab/>
        <w:t>Agency Financial Resourcing</w:t>
      </w:r>
    </w:p>
    <w:p w14:paraId="757915C6" w14:textId="77777777" w:rsidR="007B648D" w:rsidRPr="00485756" w:rsidRDefault="007B648D" w:rsidP="00FC4273">
      <w:pPr>
        <w:pStyle w:val="NormalIndent"/>
        <w:ind w:left="1418"/>
      </w:pPr>
      <w:r w:rsidRPr="00485756">
        <w:t>1.1</w:t>
      </w:r>
      <w:r w:rsidRPr="00485756">
        <w:tab/>
        <w:t>Agency Resourcing Table</w:t>
      </w:r>
    </w:p>
    <w:p w14:paraId="41454CFB" w14:textId="77777777" w:rsidR="007B648D" w:rsidRPr="00485756" w:rsidRDefault="007B648D" w:rsidP="00FC4273">
      <w:pPr>
        <w:pStyle w:val="NormalIndent"/>
        <w:ind w:left="1418"/>
      </w:pPr>
      <w:r w:rsidRPr="00485756">
        <w:t>1.2</w:t>
      </w:r>
      <w:r w:rsidRPr="00485756">
        <w:tab/>
        <w:t>Special Appropriations Table</w:t>
      </w:r>
    </w:p>
    <w:p w14:paraId="1AA7235C" w14:textId="77777777" w:rsidR="007B648D" w:rsidRPr="00485756" w:rsidRDefault="007B648D" w:rsidP="00FC4273">
      <w:pPr>
        <w:pStyle w:val="NormalIndent"/>
        <w:ind w:left="1418"/>
      </w:pPr>
      <w:r w:rsidRPr="00485756">
        <w:t>1.3</w:t>
      </w:r>
      <w:r w:rsidRPr="00485756">
        <w:tab/>
        <w:t>Special Accounts Table</w:t>
      </w:r>
    </w:p>
    <w:p w14:paraId="190442A9" w14:textId="77777777" w:rsidR="007B648D" w:rsidRDefault="007B648D" w:rsidP="000968C5">
      <w:pPr>
        <w:pStyle w:val="NormalIndent"/>
      </w:pPr>
      <w:r>
        <w:t>Part 2</w:t>
      </w:r>
      <w:r>
        <w:tab/>
        <w:t>Staffing of Agencies</w:t>
      </w:r>
    </w:p>
    <w:p w14:paraId="537E16C0" w14:textId="77777777" w:rsidR="007B648D" w:rsidRDefault="007B648D" w:rsidP="000968C5">
      <w:pPr>
        <w:pStyle w:val="NormalIndent"/>
      </w:pPr>
      <w:r>
        <w:t>Part 3</w:t>
      </w:r>
      <w:r>
        <w:tab/>
        <w:t>Expenses and Net Capital Investment</w:t>
      </w:r>
    </w:p>
    <w:p w14:paraId="273B96EC" w14:textId="77777777" w:rsidR="007B648D" w:rsidRDefault="007B648D" w:rsidP="00FC4273">
      <w:pPr>
        <w:pStyle w:val="NormalIndent"/>
        <w:ind w:left="1418"/>
      </w:pPr>
      <w:r>
        <w:t>3.1</w:t>
      </w:r>
      <w:r>
        <w:tab/>
        <w:t>Departmental Expenses Table</w:t>
      </w:r>
    </w:p>
    <w:p w14:paraId="3419A70A" w14:textId="77777777" w:rsidR="007B648D" w:rsidRDefault="007B648D" w:rsidP="00FC4273">
      <w:pPr>
        <w:pStyle w:val="NormalIndent"/>
        <w:ind w:left="1418"/>
      </w:pPr>
      <w:r>
        <w:t>3.2</w:t>
      </w:r>
      <w:r>
        <w:tab/>
        <w:t>Net Capital Investment Table</w:t>
      </w:r>
    </w:p>
    <w:p w14:paraId="5729F32A" w14:textId="77777777" w:rsidR="007B648D" w:rsidRPr="00FC4273" w:rsidRDefault="007B648D" w:rsidP="00FC4273">
      <w:pPr>
        <w:pStyle w:val="NormalIndent"/>
      </w:pPr>
      <w:r w:rsidRPr="00FC4273">
        <w:t>Appendix A: Agency Outcome Statements</w:t>
      </w:r>
    </w:p>
    <w:p w14:paraId="05BEB07C" w14:textId="609361C9" w:rsidR="003052C5" w:rsidRDefault="007B648D" w:rsidP="004F7D26">
      <w:r w:rsidRPr="003052C5">
        <w:t>The Agency Financial Resourcing tables present appropriation information by portfolio and then by agency. Estimated resourcing is presented on a cash basis for both the Budget</w:t>
      </w:r>
      <w:r w:rsidR="00FB1EB3">
        <w:t> year</w:t>
      </w:r>
      <w:r w:rsidRPr="003052C5">
        <w:t xml:space="preserve"> and previous</w:t>
      </w:r>
      <w:r w:rsidR="00FB1EB3">
        <w:t> year</w:t>
      </w:r>
      <w:r w:rsidRPr="003052C5">
        <w:t xml:space="preserve"> (which is printed below the Budget</w:t>
      </w:r>
      <w:r w:rsidR="00FB1EB3">
        <w:t> year</w:t>
      </w:r>
      <w:r w:rsidRPr="003052C5">
        <w:t xml:space="preserve"> in italics, or to the left of the Budget</w:t>
      </w:r>
      <w:r w:rsidR="00FB1EB3">
        <w:t> year</w:t>
      </w:r>
      <w:r w:rsidRPr="003052C5">
        <w:t xml:space="preserve"> in a separate column). The tables include agencies, Outcomes, special appropriations and special accounts, and estimates of annual appropriations and external revenue, as well as staffing for the 2022–23 and 2023–24</w:t>
      </w:r>
      <w:r w:rsidR="00D703C4">
        <w:t> </w:t>
      </w:r>
      <w:r w:rsidRPr="003052C5">
        <w:t>years.</w:t>
      </w:r>
      <w:r w:rsidR="003052C5" w:rsidRPr="003052C5">
        <w:t xml:space="preserve"> </w:t>
      </w:r>
    </w:p>
    <w:p w14:paraId="6CEDA161" w14:textId="77777777" w:rsidR="001D1FD5" w:rsidRDefault="007B648D" w:rsidP="004F7D26">
      <w:r w:rsidRPr="003052C5">
        <w:t>Estimates contained in the</w:t>
      </w:r>
      <w:r>
        <w:t xml:space="preserve"> Budget Papers incorporate assumptions and judgements based on the best information available at the time of publication</w:t>
      </w:r>
      <w:r w:rsidR="001D1FD5">
        <w:t>.</w:t>
      </w:r>
    </w:p>
    <w:p w14:paraId="1B44A415" w14:textId="77777777" w:rsidR="001D1FD5" w:rsidRDefault="001D1FD5">
      <w:pPr>
        <w:spacing w:before="0" w:after="160" w:line="259" w:lineRule="auto"/>
      </w:pPr>
      <w:r>
        <w:br w:type="page"/>
      </w:r>
    </w:p>
    <w:p w14:paraId="29B0D50F" w14:textId="33577D97" w:rsidR="007B648D" w:rsidRPr="004F7D26" w:rsidRDefault="007B648D" w:rsidP="004F7D26">
      <w:pPr>
        <w:pStyle w:val="Heading2"/>
      </w:pPr>
      <w:r w:rsidRPr="004F7D26">
        <w:lastRenderedPageBreak/>
        <w:t>Transfer of resourcing between agencies</w:t>
      </w:r>
    </w:p>
    <w:p w14:paraId="7FEA67B4" w14:textId="5DA01710" w:rsidR="007B648D" w:rsidRDefault="007B648D" w:rsidP="004F7D26">
      <w:r>
        <w:t>Agencies may, over the course of a financial</w:t>
      </w:r>
      <w:r w:rsidR="00FB1EB3">
        <w:t> year</w:t>
      </w:r>
      <w:r>
        <w:t>, transfer amounts of resourcing to other agencies, as a result of restructuring, legislative changes, Executive decisions and machinery of government changes enacted by amendments to the Administrative Arrangements Order (AAO). Resourcing, at the date of change and afterwards, is reflected against the agency that gains the resources. Resourcing prior to the date of change is reflected against the agency that formerly managed the resources.</w:t>
      </w:r>
    </w:p>
    <w:p w14:paraId="5E995AA0" w14:textId="77777777" w:rsidR="007B648D" w:rsidRPr="004F7D26" w:rsidRDefault="007B648D" w:rsidP="004F7D26">
      <w:pPr>
        <w:pStyle w:val="Heading2"/>
      </w:pPr>
      <w:r w:rsidRPr="004F7D26">
        <w:t>Supply Bills and annual Appropriation Bills</w:t>
      </w:r>
    </w:p>
    <w:p w14:paraId="2720CF95" w14:textId="09CF003D" w:rsidR="004D6822" w:rsidRDefault="007B648D" w:rsidP="004F7D26">
      <w:r>
        <w:t>Throughout Budget Paper No.</w:t>
      </w:r>
      <w:r w:rsidR="000404C3">
        <w:t> </w:t>
      </w:r>
      <w:r>
        <w:t xml:space="preserve">4, </w:t>
      </w:r>
      <w:r w:rsidRPr="001F2146">
        <w:t>references to annual appropriations and Appropriation Bills for 20</w:t>
      </w:r>
      <w:r>
        <w:t>23</w:t>
      </w:r>
      <w:r w:rsidR="006A5361">
        <w:t>–</w:t>
      </w:r>
      <w:r>
        <w:t>24</w:t>
      </w:r>
      <w:r w:rsidRPr="001F2146">
        <w:t xml:space="preserve"> should be taken to include</w:t>
      </w:r>
      <w:r w:rsidR="00403CBB">
        <w:t xml:space="preserve"> the relevant Appropriation Bills</w:t>
      </w:r>
      <w:r w:rsidR="00830D43">
        <w:t>.</w:t>
      </w:r>
      <w:r w:rsidR="004D6822" w:rsidRPr="001F2146">
        <w:rPr>
          <w:rStyle w:val="FootnoteReference"/>
        </w:rPr>
        <w:footnoteReference w:id="1"/>
      </w:r>
    </w:p>
    <w:p w14:paraId="7EAEA1E7" w14:textId="1E10DB4F" w:rsidR="007B648D" w:rsidRDefault="007B648D" w:rsidP="004F7D26">
      <w:r>
        <w:t>Annual appropriation amounts appearing for 2022</w:t>
      </w:r>
      <w:r w:rsidR="006A5361">
        <w:t>–</w:t>
      </w:r>
      <w:r>
        <w:t xml:space="preserve">23 include the </w:t>
      </w:r>
      <w:r w:rsidR="00867B42">
        <w:t>relevant</w:t>
      </w:r>
      <w:r>
        <w:t xml:space="preserve"> Supply Acts</w:t>
      </w:r>
      <w:r w:rsidR="00353D72">
        <w:rPr>
          <w:rStyle w:val="FootnoteReference"/>
        </w:rPr>
        <w:footnoteReference w:id="2"/>
      </w:r>
      <w:r>
        <w:t xml:space="preserve"> and Appropriation Acts</w:t>
      </w:r>
      <w:r w:rsidR="00830D43">
        <w:t>.</w:t>
      </w:r>
      <w:r w:rsidR="00232DAE">
        <w:rPr>
          <w:rStyle w:val="FootnoteReference"/>
        </w:rPr>
        <w:footnoteReference w:id="3"/>
      </w:r>
      <w:r w:rsidR="00F470C6">
        <w:t xml:space="preserve"> References to annual appropriation amounts for 2022</w:t>
      </w:r>
      <w:r w:rsidR="006A5361">
        <w:t>–</w:t>
      </w:r>
      <w:r w:rsidR="00F470C6">
        <w:t>23 do not include the Appropriation Bills</w:t>
      </w:r>
      <w:r w:rsidR="00F470C6" w:rsidRPr="00057001">
        <w:t xml:space="preserve"> (No</w:t>
      </w:r>
      <w:r w:rsidR="00A84112">
        <w:t>s</w:t>
      </w:r>
      <w:r w:rsidR="00F470C6" w:rsidRPr="00057001">
        <w:t>.</w:t>
      </w:r>
      <w:r w:rsidR="00DB4257">
        <w:t> </w:t>
      </w:r>
      <w:r w:rsidR="00F470C6">
        <w:t>3</w:t>
      </w:r>
      <w:r w:rsidR="00A84112">
        <w:t xml:space="preserve"> and</w:t>
      </w:r>
      <w:r w:rsidR="00DB4257">
        <w:t> </w:t>
      </w:r>
      <w:r w:rsidR="00A84112">
        <w:t>4</w:t>
      </w:r>
      <w:r w:rsidR="00F470C6">
        <w:t xml:space="preserve">) </w:t>
      </w:r>
      <w:r w:rsidR="00F470C6" w:rsidRPr="00057001">
        <w:t>202</w:t>
      </w:r>
      <w:r w:rsidR="00F470C6">
        <w:t>2</w:t>
      </w:r>
      <w:r w:rsidR="006A5361">
        <w:t>–</w:t>
      </w:r>
      <w:r w:rsidR="00F470C6">
        <w:t>2023, as they had not been enacted at the time of publication.</w:t>
      </w:r>
    </w:p>
    <w:p w14:paraId="7AAD7EAB" w14:textId="5CBB1BB9" w:rsidR="007B648D" w:rsidRPr="00057001" w:rsidRDefault="007B648D" w:rsidP="00703DF2">
      <w:pPr>
        <w:pStyle w:val="Bullet"/>
        <w:numPr>
          <w:ilvl w:val="0"/>
          <w:numId w:val="0"/>
        </w:numPr>
        <w:spacing w:before="160"/>
      </w:pPr>
      <w:r w:rsidRPr="00057001">
        <w:br w:type="page"/>
      </w:r>
    </w:p>
    <w:p w14:paraId="630EA5AB" w14:textId="77777777" w:rsidR="007B648D" w:rsidRPr="004F7D26" w:rsidRDefault="007B648D" w:rsidP="004F7D26">
      <w:pPr>
        <w:pStyle w:val="Heading2"/>
      </w:pPr>
      <w:r w:rsidRPr="004F7D26">
        <w:lastRenderedPageBreak/>
        <w:t>Guide to Resourcing Tables</w:t>
      </w:r>
    </w:p>
    <w:p w14:paraId="43F679A5" w14:textId="117E8EDA" w:rsidR="007B648D" w:rsidRDefault="007B648D" w:rsidP="00027E58">
      <w:r>
        <w:t>Linkages between tables and amounts presented in Budget Paper No.</w:t>
      </w:r>
      <w:r w:rsidR="00614285">
        <w:t> </w:t>
      </w:r>
      <w:r>
        <w:t xml:space="preserve">4 are illustrated in </w:t>
      </w:r>
      <w:r w:rsidRPr="00CE2331">
        <w:t>Figures</w:t>
      </w:r>
      <w:r w:rsidR="00296BE8">
        <w:t> </w:t>
      </w:r>
      <w:r w:rsidRPr="00CE2331">
        <w:t>1 to</w:t>
      </w:r>
      <w:r w:rsidR="00296BE8">
        <w:t> </w:t>
      </w:r>
      <w:r w:rsidRPr="00CE2331">
        <w:t>4. A consolidated</w:t>
      </w:r>
      <w:r>
        <w:t xml:space="preserve"> view of financial resources to be managed by agencies is presented in the Agency Resourcing Table. Amounts in the Agency Resourcing Table can be matched with information in the:</w:t>
      </w:r>
    </w:p>
    <w:p w14:paraId="61A597B0" w14:textId="77777777" w:rsidR="007B648D" w:rsidRPr="00F23E46" w:rsidRDefault="007B648D" w:rsidP="00F23E46">
      <w:pPr>
        <w:pStyle w:val="Bullet"/>
      </w:pPr>
      <w:r w:rsidRPr="00F23E46">
        <w:t>annual Appropriation Bills</w:t>
      </w:r>
    </w:p>
    <w:p w14:paraId="28B93898" w14:textId="77777777" w:rsidR="007B648D" w:rsidRPr="00F23E46" w:rsidRDefault="007B648D" w:rsidP="00F23E46">
      <w:pPr>
        <w:pStyle w:val="Bullet"/>
      </w:pPr>
      <w:r w:rsidRPr="00F23E46">
        <w:t>Special Appropriations Table</w:t>
      </w:r>
    </w:p>
    <w:p w14:paraId="64BCEA25" w14:textId="77777777" w:rsidR="007B648D" w:rsidRPr="00F23E46" w:rsidRDefault="007B648D" w:rsidP="00F23E46">
      <w:pPr>
        <w:pStyle w:val="Bullet"/>
      </w:pPr>
      <w:r w:rsidRPr="00F23E46">
        <w:t>Special Accounts Table.</w:t>
      </w:r>
    </w:p>
    <w:p w14:paraId="3E6F7FDB" w14:textId="79F4F6CF" w:rsidR="007B648D" w:rsidRDefault="007B648D" w:rsidP="00027E58">
      <w:r w:rsidRPr="00CE2331">
        <w:t>Figures 1 and 2 show how amounts in the Agency Resourcing Table can be matched with</w:t>
      </w:r>
      <w:r>
        <w:t xml:space="preserve"> amounts in the annual Appropriations Bills. The Figures also highlight amounts in these Bills for non</w:t>
      </w:r>
      <w:r w:rsidR="002E3419">
        <w:noBreakHyphen/>
      </w:r>
      <w:r>
        <w:t>operating expenditure and for payments to the States, Territories and local</w:t>
      </w:r>
      <w:r w:rsidR="00870512">
        <w:t> </w:t>
      </w:r>
      <w:r>
        <w:t>governments.</w:t>
      </w:r>
    </w:p>
    <w:p w14:paraId="5688DC68" w14:textId="77777777" w:rsidR="007B648D" w:rsidRDefault="007B648D" w:rsidP="00027E58">
      <w:r>
        <w:t>Figures 3 and 4 show how amounts in the Agency Resourcing Table can be matched with amounts in the Special Appropriations Table and the Special Accounts Table.</w:t>
      </w:r>
    </w:p>
    <w:p w14:paraId="51998580" w14:textId="77777777" w:rsidR="000968C5" w:rsidRDefault="000968C5">
      <w:pPr>
        <w:spacing w:before="0" w:after="160" w:line="259" w:lineRule="auto"/>
        <w:rPr>
          <w:rFonts w:ascii="Arial" w:hAnsi="Arial"/>
          <w:b/>
          <w:sz w:val="20"/>
        </w:rPr>
      </w:pPr>
      <w:r>
        <w:br w:type="page"/>
      </w:r>
    </w:p>
    <w:p w14:paraId="6CFAE82A" w14:textId="62E04A91" w:rsidR="00883D6E" w:rsidRPr="004F7D26" w:rsidRDefault="00883D6E" w:rsidP="004F7D26">
      <w:pPr>
        <w:pStyle w:val="FigureHeading"/>
      </w:pPr>
      <w:r w:rsidRPr="004F7D26">
        <w:lastRenderedPageBreak/>
        <w:t>Figure 1: Example of the Agency Resourcing Table and Appropriation Bill (No. 1)</w:t>
      </w:r>
    </w:p>
    <w:p w14:paraId="579AA6E2" w14:textId="74516EEB" w:rsidR="00E66CFE" w:rsidRDefault="0057034C">
      <w:pPr>
        <w:spacing w:before="0" w:after="160" w:line="259" w:lineRule="auto"/>
      </w:pPr>
      <w:r>
        <w:rPr>
          <w:noProof/>
        </w:rPr>
        <w:drawing>
          <wp:inline distT="0" distB="0" distL="0" distR="0" wp14:anchorId="7319331E" wp14:editId="6AACAA72">
            <wp:extent cx="4895850" cy="450469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5850" cy="4504690"/>
                    </a:xfrm>
                    <a:prstGeom prst="rect">
                      <a:avLst/>
                    </a:prstGeom>
                  </pic:spPr>
                </pic:pic>
              </a:graphicData>
            </a:graphic>
          </wp:inline>
        </w:drawing>
      </w:r>
    </w:p>
    <w:p w14:paraId="16CA970F" w14:textId="11D01CD5" w:rsidR="00BB7D75" w:rsidRDefault="00BB7D75">
      <w:pPr>
        <w:spacing w:before="0" w:after="160" w:line="259" w:lineRule="auto"/>
      </w:pPr>
    </w:p>
    <w:p w14:paraId="2036A37D" w14:textId="2D8998BF" w:rsidR="00BC538E" w:rsidRPr="0057034C" w:rsidRDefault="00BC538E" w:rsidP="00BC538E">
      <w:pPr>
        <w:spacing w:before="0" w:after="160" w:line="259" w:lineRule="auto"/>
        <w:rPr>
          <w:rFonts w:ascii="Arial" w:hAnsi="Arial"/>
          <w:b/>
          <w:sz w:val="20"/>
        </w:rPr>
      </w:pPr>
      <w:r>
        <w:br w:type="page"/>
      </w:r>
    </w:p>
    <w:p w14:paraId="5A092268" w14:textId="0AC81CA1" w:rsidR="00BC538E" w:rsidRPr="00006740" w:rsidRDefault="00883D6E" w:rsidP="00006740">
      <w:pPr>
        <w:pStyle w:val="FigureHeading"/>
      </w:pPr>
      <w:r w:rsidRPr="00006740">
        <w:lastRenderedPageBreak/>
        <w:t>Figure 2: Example of the Agency Resourcing Table and Appropriation Bill (No. 2)</w:t>
      </w:r>
    </w:p>
    <w:p w14:paraId="0B289A6E" w14:textId="056E4FFF" w:rsidR="00006740" w:rsidRPr="00BC538E" w:rsidRDefault="0057034C" w:rsidP="00BC538E">
      <w:pPr>
        <w:pStyle w:val="ChartGraphic"/>
      </w:pPr>
      <w:r>
        <w:rPr>
          <w:noProof/>
        </w:rPr>
        <w:drawing>
          <wp:inline distT="0" distB="0" distL="0" distR="0" wp14:anchorId="73FF8B5A" wp14:editId="51AF0164">
            <wp:extent cx="4895850" cy="600583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95850" cy="6005830"/>
                    </a:xfrm>
                    <a:prstGeom prst="rect">
                      <a:avLst/>
                    </a:prstGeom>
                  </pic:spPr>
                </pic:pic>
              </a:graphicData>
            </a:graphic>
          </wp:inline>
        </w:drawing>
      </w:r>
    </w:p>
    <w:p w14:paraId="6E3359F0" w14:textId="320C0D1A" w:rsidR="00BC538E" w:rsidRDefault="00BC538E" w:rsidP="00B24AFB">
      <w:pPr>
        <w:pStyle w:val="ChartGraphic"/>
        <w:jc w:val="both"/>
      </w:pPr>
      <w:r>
        <w:br w:type="page"/>
      </w:r>
    </w:p>
    <w:p w14:paraId="6B3D512F" w14:textId="77777777" w:rsidR="00BC538E" w:rsidRDefault="00E66CFE" w:rsidP="00BC538E">
      <w:pPr>
        <w:pStyle w:val="FigureHeading"/>
      </w:pPr>
      <w:r w:rsidRPr="00951702">
        <w:lastRenderedPageBreak/>
        <w:t>Figure 3: Example of the Agency Resourcing Table and Special Appropriations</w:t>
      </w:r>
      <w:r>
        <w:t> </w:t>
      </w:r>
      <w:r w:rsidRPr="00951702">
        <w:t>Table</w:t>
      </w:r>
    </w:p>
    <w:p w14:paraId="0F95CFEA" w14:textId="7FECE2D6" w:rsidR="00E66CFE" w:rsidRDefault="0057034C" w:rsidP="00BC538E">
      <w:pPr>
        <w:pStyle w:val="ChartGraphic"/>
      </w:pPr>
      <w:r>
        <w:rPr>
          <w:noProof/>
        </w:rPr>
        <w:drawing>
          <wp:inline distT="0" distB="0" distL="0" distR="0" wp14:anchorId="3DC72FEB" wp14:editId="7D13C7A7">
            <wp:extent cx="4895850" cy="594614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95850" cy="5946140"/>
                    </a:xfrm>
                    <a:prstGeom prst="rect">
                      <a:avLst/>
                    </a:prstGeom>
                  </pic:spPr>
                </pic:pic>
              </a:graphicData>
            </a:graphic>
          </wp:inline>
        </w:drawing>
      </w:r>
    </w:p>
    <w:p w14:paraId="3081815D" w14:textId="04A28230" w:rsidR="00F56FCA" w:rsidRDefault="002A7491" w:rsidP="002A7491">
      <w:pPr>
        <w:spacing w:before="0" w:after="160" w:line="259" w:lineRule="auto"/>
      </w:pPr>
      <w:r>
        <w:br w:type="page"/>
      </w:r>
    </w:p>
    <w:p w14:paraId="37115F8C" w14:textId="4EC04E0A" w:rsidR="00DA414E" w:rsidRDefault="0057034C" w:rsidP="00DA414E">
      <w:pPr>
        <w:pStyle w:val="FigureHeading"/>
      </w:pPr>
      <w:r>
        <w:rPr>
          <w:noProof/>
        </w:rPr>
        <w:lastRenderedPageBreak/>
        <w:drawing>
          <wp:anchor distT="0" distB="0" distL="114300" distR="114300" simplePos="0" relativeHeight="251658240" behindDoc="1" locked="0" layoutInCell="1" allowOverlap="1" wp14:anchorId="77846DB0" wp14:editId="7ADF559D">
            <wp:simplePos x="0" y="0"/>
            <wp:positionH relativeFrom="column">
              <wp:posOffset>-736969</wp:posOffset>
            </wp:positionH>
            <wp:positionV relativeFrom="paragraph">
              <wp:posOffset>155575</wp:posOffset>
            </wp:positionV>
            <wp:extent cx="6042025" cy="4826635"/>
            <wp:effectExtent l="0" t="0" r="0" b="0"/>
            <wp:wrapTight wrapText="bothSides">
              <wp:wrapPolygon edited="0">
                <wp:start x="0" y="0"/>
                <wp:lineTo x="0" y="21483"/>
                <wp:lineTo x="21521" y="21483"/>
                <wp:lineTo x="21521" y="0"/>
                <wp:lineTo x="0" y="0"/>
              </wp:wrapPolygon>
            </wp:wrapTight>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42025" cy="4826635"/>
                    </a:xfrm>
                    <a:prstGeom prst="rect">
                      <a:avLst/>
                    </a:prstGeom>
                  </pic:spPr>
                </pic:pic>
              </a:graphicData>
            </a:graphic>
            <wp14:sizeRelH relativeFrom="page">
              <wp14:pctWidth>0</wp14:pctWidth>
            </wp14:sizeRelH>
            <wp14:sizeRelV relativeFrom="page">
              <wp14:pctHeight>0</wp14:pctHeight>
            </wp14:sizeRelV>
          </wp:anchor>
        </w:drawing>
      </w:r>
      <w:r w:rsidR="00DA414E" w:rsidRPr="00951702">
        <w:t>Figure 4: Example of the Agency Resourcing Table and Special Accounts</w:t>
      </w:r>
      <w:r w:rsidR="004634BE">
        <w:t> </w:t>
      </w:r>
      <w:r w:rsidR="00DA414E" w:rsidRPr="00951702">
        <w:t>Table</w:t>
      </w:r>
    </w:p>
    <w:p w14:paraId="40620F3B" w14:textId="70C849B3" w:rsidR="00F56FCA" w:rsidRPr="007B648D" w:rsidRDefault="00F56FCA" w:rsidP="00BC538E">
      <w:pPr>
        <w:pStyle w:val="ChartGraphic"/>
      </w:pPr>
    </w:p>
    <w:sectPr w:rsidR="00F56FCA" w:rsidRPr="007B648D" w:rsidSect="00702348">
      <w:headerReference w:type="even" r:id="rId15"/>
      <w:headerReference w:type="default" r:id="rId16"/>
      <w:footerReference w:type="even" r:id="rId17"/>
      <w:footerReference w:type="default" r:id="rId18"/>
      <w:headerReference w:type="first" r:id="rId19"/>
      <w:footerReference w:type="first" r:id="rId20"/>
      <w:footnotePr>
        <w:numStart w:val="2"/>
      </w:footnotePr>
      <w:pgSz w:w="11906" w:h="16838" w:code="9"/>
      <w:pgMar w:top="2835" w:right="2098" w:bottom="2466" w:left="2098" w:header="1814" w:footer="1814" w:gutter="0"/>
      <w:pgNumType w:star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0126A" w14:textId="77777777" w:rsidR="00D872B9" w:rsidRDefault="00D872B9" w:rsidP="00E40261">
      <w:pPr>
        <w:spacing w:after="0" w:line="240" w:lineRule="auto"/>
      </w:pPr>
      <w:r>
        <w:separator/>
      </w:r>
    </w:p>
  </w:endnote>
  <w:endnote w:type="continuationSeparator" w:id="0">
    <w:p w14:paraId="4639A7A6" w14:textId="77777777" w:rsidR="00D872B9" w:rsidRDefault="00D872B9"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29EA" w14:textId="338AFBD5" w:rsidR="00787F4B" w:rsidRDefault="004C3F27" w:rsidP="00CA48D1">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9F01C8">
        <w:t>Introduction and Guide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B91AD" w14:textId="765B6D27" w:rsidR="00787F4B" w:rsidRDefault="00885679" w:rsidP="00CA48D1">
    <w:pPr>
      <w:pStyle w:val="FooterOdd"/>
    </w:pPr>
    <w:fldSimple w:instr=" SUBJECT   \* MERGEFORMAT ">
      <w:r w:rsidR="009F01C8">
        <w:t>Introduction and Guide</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A5B12" w14:textId="1FF68925" w:rsidR="00787F4B" w:rsidRDefault="00885679" w:rsidP="00CA48D1">
    <w:pPr>
      <w:pStyle w:val="FooterOdd"/>
    </w:pPr>
    <w:fldSimple w:instr=" SUBJECT   \* MERGEFORMAT ">
      <w:r w:rsidR="009F01C8">
        <w:t>Introduction and Guide</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E5707" w14:textId="77777777" w:rsidR="00D872B9" w:rsidRPr="003C1CA4" w:rsidRDefault="00D872B9"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5525315" w14:textId="77777777" w:rsidR="00D872B9" w:rsidRDefault="00D872B9" w:rsidP="00E40261">
      <w:pPr>
        <w:spacing w:after="0" w:line="240" w:lineRule="auto"/>
      </w:pPr>
      <w:r>
        <w:continuationSeparator/>
      </w:r>
    </w:p>
  </w:footnote>
  <w:footnote w:id="1">
    <w:p w14:paraId="7EEB7FD7" w14:textId="382A0BE2" w:rsidR="004D6822" w:rsidRPr="00565874" w:rsidRDefault="00312226" w:rsidP="004D6822">
      <w:pPr>
        <w:pStyle w:val="FootnoteText"/>
      </w:pPr>
      <w:r w:rsidRPr="00312226">
        <w:rPr>
          <w:rStyle w:val="FootnoteReference"/>
          <w:vertAlign w:val="baseline"/>
        </w:rPr>
        <w:footnoteRef/>
      </w:r>
      <w:r w:rsidR="004D6822" w:rsidRPr="00E87EE2">
        <w:t xml:space="preserve"> </w:t>
      </w:r>
      <w:r w:rsidR="004D6822">
        <w:tab/>
      </w:r>
      <w:r w:rsidR="004D6822" w:rsidRPr="00565874">
        <w:t>The Appropriation Bills are: Appropriation Bill (No. 1) 20</w:t>
      </w:r>
      <w:r w:rsidR="005E7F4B" w:rsidRPr="00565874">
        <w:t>23</w:t>
      </w:r>
      <w:r w:rsidR="000E0596">
        <w:t>–</w:t>
      </w:r>
      <w:r w:rsidR="005E7F4B" w:rsidRPr="00565874">
        <w:t>2024</w:t>
      </w:r>
      <w:r w:rsidR="004D6822" w:rsidRPr="00565874">
        <w:t>, Appropriation Bill (No. 2) 20</w:t>
      </w:r>
      <w:r w:rsidR="005E7F4B" w:rsidRPr="00565874">
        <w:t>23</w:t>
      </w:r>
      <w:r w:rsidR="000E0596">
        <w:t>–</w:t>
      </w:r>
      <w:r w:rsidR="004D6822" w:rsidRPr="00565874">
        <w:t>202</w:t>
      </w:r>
      <w:r w:rsidR="005E7F4B" w:rsidRPr="00565874">
        <w:t>4</w:t>
      </w:r>
      <w:r w:rsidR="004D6822" w:rsidRPr="00565874">
        <w:t xml:space="preserve"> and Appropriation (Parliamentary Departments) Bill (No. 1) 20</w:t>
      </w:r>
      <w:r w:rsidR="005E7F4B" w:rsidRPr="00565874">
        <w:t>23</w:t>
      </w:r>
      <w:r w:rsidR="000E0596">
        <w:t>–</w:t>
      </w:r>
      <w:r w:rsidR="004D6822" w:rsidRPr="00565874">
        <w:t>202</w:t>
      </w:r>
      <w:r w:rsidR="005E7F4B" w:rsidRPr="00565874">
        <w:t>4</w:t>
      </w:r>
      <w:r w:rsidR="004D6822" w:rsidRPr="00565874">
        <w:t>.</w:t>
      </w:r>
    </w:p>
  </w:footnote>
  <w:footnote w:id="2">
    <w:p w14:paraId="3FBA5C5A" w14:textId="46435DCF" w:rsidR="00353D72" w:rsidRDefault="00312226">
      <w:pPr>
        <w:pStyle w:val="FootnoteText"/>
      </w:pPr>
      <w:r w:rsidRPr="00312226">
        <w:rPr>
          <w:rStyle w:val="FootnoteReference"/>
          <w:vertAlign w:val="baseline"/>
        </w:rPr>
        <w:footnoteRef/>
      </w:r>
      <w:r w:rsidR="00353D72">
        <w:t xml:space="preserve"> </w:t>
      </w:r>
      <w:r w:rsidR="000968C5">
        <w:tab/>
      </w:r>
      <w:r w:rsidR="00353D72">
        <w:t xml:space="preserve">The Supply Acts are: </w:t>
      </w:r>
      <w:r w:rsidR="00353D72" w:rsidRPr="00F069A7">
        <w:rPr>
          <w:i/>
          <w:iCs/>
        </w:rPr>
        <w:t>Supply Act (No. 1) 2022</w:t>
      </w:r>
      <w:r w:rsidR="000E0596">
        <w:rPr>
          <w:i/>
          <w:iCs/>
        </w:rPr>
        <w:t>–</w:t>
      </w:r>
      <w:r w:rsidR="00353D72" w:rsidRPr="00F069A7">
        <w:rPr>
          <w:i/>
          <w:iCs/>
        </w:rPr>
        <w:t>2023</w:t>
      </w:r>
      <w:r w:rsidR="00353D72">
        <w:t xml:space="preserve">, </w:t>
      </w:r>
      <w:r w:rsidR="00353D72" w:rsidRPr="00F069A7">
        <w:rPr>
          <w:i/>
          <w:iCs/>
        </w:rPr>
        <w:t>Supply Act (No. 2) 2022</w:t>
      </w:r>
      <w:r w:rsidR="000E0596">
        <w:rPr>
          <w:i/>
          <w:iCs/>
        </w:rPr>
        <w:t>–</w:t>
      </w:r>
      <w:r w:rsidR="00353D72" w:rsidRPr="00F069A7">
        <w:rPr>
          <w:i/>
          <w:iCs/>
        </w:rPr>
        <w:t>2023</w:t>
      </w:r>
      <w:r w:rsidR="00353D72">
        <w:t xml:space="preserve">, </w:t>
      </w:r>
      <w:r w:rsidR="00353D72" w:rsidRPr="00F069A7">
        <w:rPr>
          <w:i/>
          <w:iCs/>
        </w:rPr>
        <w:t>Supply Act (No. 3) 2022</w:t>
      </w:r>
      <w:r w:rsidR="000E0596">
        <w:rPr>
          <w:i/>
          <w:iCs/>
        </w:rPr>
        <w:t>–</w:t>
      </w:r>
      <w:r w:rsidR="00353D72" w:rsidRPr="00F069A7">
        <w:rPr>
          <w:i/>
          <w:iCs/>
        </w:rPr>
        <w:t>2023</w:t>
      </w:r>
      <w:r w:rsidR="00353D72">
        <w:t xml:space="preserve">, </w:t>
      </w:r>
      <w:r w:rsidR="00353D72" w:rsidRPr="00F069A7">
        <w:rPr>
          <w:i/>
          <w:iCs/>
        </w:rPr>
        <w:t>Supply Act (No. 4) 2022</w:t>
      </w:r>
      <w:r w:rsidR="000E0596">
        <w:rPr>
          <w:i/>
          <w:iCs/>
        </w:rPr>
        <w:t>–</w:t>
      </w:r>
      <w:r w:rsidR="00353D72" w:rsidRPr="00F069A7">
        <w:rPr>
          <w:i/>
          <w:iCs/>
        </w:rPr>
        <w:t>2023</w:t>
      </w:r>
      <w:r w:rsidR="00353D72">
        <w:rPr>
          <w:i/>
          <w:iCs/>
        </w:rPr>
        <w:t xml:space="preserve">, </w:t>
      </w:r>
      <w:r w:rsidR="00353D72" w:rsidRPr="00F069A7">
        <w:rPr>
          <w:i/>
          <w:iCs/>
        </w:rPr>
        <w:t>Supply (Parliamentary Departments) Act (No. 1) 2022</w:t>
      </w:r>
      <w:r w:rsidR="000E0596">
        <w:rPr>
          <w:i/>
          <w:iCs/>
        </w:rPr>
        <w:t>–</w:t>
      </w:r>
      <w:r w:rsidR="00353D72" w:rsidRPr="00F069A7">
        <w:rPr>
          <w:i/>
          <w:iCs/>
        </w:rPr>
        <w:t>2023</w:t>
      </w:r>
      <w:r w:rsidR="00867B42">
        <w:t xml:space="preserve"> and</w:t>
      </w:r>
      <w:r w:rsidR="00353D72">
        <w:t xml:space="preserve"> </w:t>
      </w:r>
      <w:r w:rsidR="00353D72" w:rsidRPr="00F069A7">
        <w:rPr>
          <w:i/>
          <w:iCs/>
        </w:rPr>
        <w:t>Supply (Parliamentary Departments) Act (No. 2) 2022</w:t>
      </w:r>
      <w:r w:rsidR="000E0596">
        <w:rPr>
          <w:i/>
          <w:iCs/>
        </w:rPr>
        <w:t>–</w:t>
      </w:r>
      <w:r w:rsidR="00353D72" w:rsidRPr="00F069A7">
        <w:rPr>
          <w:i/>
          <w:iCs/>
        </w:rPr>
        <w:t>2023</w:t>
      </w:r>
    </w:p>
  </w:footnote>
  <w:footnote w:id="3">
    <w:p w14:paraId="207F0B9A" w14:textId="4D7A7662" w:rsidR="00232DAE" w:rsidRDefault="00312226">
      <w:pPr>
        <w:pStyle w:val="FootnoteText"/>
      </w:pPr>
      <w:r w:rsidRPr="00312226">
        <w:rPr>
          <w:rStyle w:val="FootnoteReference"/>
          <w:vertAlign w:val="baseline"/>
        </w:rPr>
        <w:footnoteRef/>
      </w:r>
      <w:r w:rsidR="00232DAE">
        <w:t xml:space="preserve"> </w:t>
      </w:r>
      <w:r w:rsidR="000968C5">
        <w:tab/>
      </w:r>
      <w:r w:rsidR="00232DAE">
        <w:t>The</w:t>
      </w:r>
      <w:r w:rsidR="00353D72">
        <w:t xml:space="preserve"> </w:t>
      </w:r>
      <w:r w:rsidR="00232DAE">
        <w:t>Appropriation Acts are:</w:t>
      </w:r>
      <w:r w:rsidR="00353D72">
        <w:t xml:space="preserve"> </w:t>
      </w:r>
      <w:r w:rsidR="00232DAE" w:rsidRPr="00703DF2">
        <w:rPr>
          <w:i/>
          <w:iCs/>
        </w:rPr>
        <w:t>Appropriation Act (No. 1) 2023</w:t>
      </w:r>
      <w:r w:rsidR="000E0596">
        <w:rPr>
          <w:i/>
          <w:iCs/>
        </w:rPr>
        <w:t>–</w:t>
      </w:r>
      <w:r w:rsidR="00232DAE" w:rsidRPr="00703DF2">
        <w:rPr>
          <w:i/>
          <w:iCs/>
        </w:rPr>
        <w:t>2023</w:t>
      </w:r>
      <w:r w:rsidR="00232DAE">
        <w:t xml:space="preserve">, </w:t>
      </w:r>
      <w:r w:rsidR="00232DAE" w:rsidRPr="00703DF2">
        <w:rPr>
          <w:i/>
          <w:iCs/>
        </w:rPr>
        <w:t>Appropriation Act (No. 2) 2022</w:t>
      </w:r>
      <w:r w:rsidR="000E0596">
        <w:rPr>
          <w:i/>
          <w:iCs/>
        </w:rPr>
        <w:t>–</w:t>
      </w:r>
      <w:r w:rsidR="00232DAE" w:rsidRPr="00703DF2">
        <w:rPr>
          <w:i/>
          <w:iCs/>
        </w:rPr>
        <w:t>2023</w:t>
      </w:r>
      <w:r w:rsidR="00867B42">
        <w:t xml:space="preserve"> and</w:t>
      </w:r>
      <w:r w:rsidR="00232DAE">
        <w:t xml:space="preserve"> </w:t>
      </w:r>
      <w:r w:rsidR="00232DAE" w:rsidRPr="00703DF2">
        <w:rPr>
          <w:i/>
          <w:iCs/>
        </w:rPr>
        <w:t>Appropriation (Parliamentary Departments) Act (No. 1) 2022</w:t>
      </w:r>
      <w:r w:rsidR="000E0596">
        <w:rPr>
          <w:i/>
          <w:iCs/>
        </w:rPr>
        <w:t>–</w:t>
      </w:r>
      <w:r w:rsidR="00232DAE" w:rsidRPr="00703DF2">
        <w:rPr>
          <w:i/>
          <w:iCs/>
        </w:rPr>
        <w:t>2023</w:t>
      </w:r>
      <w:r w:rsidR="00C04B88" w:rsidRPr="00703DF2">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0A75" w14:textId="264D922A"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15915881" w14:textId="77777777" w:rsidTr="008C56E1">
      <w:trPr>
        <w:trHeight w:hRule="exact" w:val="340"/>
      </w:trPr>
      <w:tc>
        <w:tcPr>
          <w:tcW w:w="7797" w:type="dxa"/>
        </w:tcPr>
        <w:p w14:paraId="2B9BDD9B" w14:textId="5237A2E0" w:rsidR="008C56E1" w:rsidRPr="008C56E1" w:rsidRDefault="008C56E1" w:rsidP="008C56E1">
          <w:pPr>
            <w:pStyle w:val="HeaderEven"/>
          </w:pPr>
          <w:r w:rsidRPr="008C56E1">
            <w:rPr>
              <w:noProof/>
              <w:position w:val="-8"/>
            </w:rPr>
            <w:drawing>
              <wp:inline distT="0" distB="0" distL="0" distR="0" wp14:anchorId="484CF271" wp14:editId="398D4992">
                <wp:extent cx="878400" cy="198000"/>
                <wp:effectExtent l="0" t="0" r="0" b="0"/>
                <wp:docPr id="19"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9F01C8">
              <w:t>Budget Paper No. 4</w:t>
            </w:r>
          </w:fldSimple>
        </w:p>
      </w:tc>
    </w:tr>
  </w:tbl>
  <w:p w14:paraId="03FD1480" w14:textId="77777777" w:rsidR="004C3F27" w:rsidRPr="00AA5439" w:rsidRDefault="004C3F27" w:rsidP="00AA5439">
    <w:pPr>
      <w:pStyle w:val="HeaderEven"/>
      <w:rPr>
        <w:sz w:val="2"/>
        <w:szCs w:val="4"/>
      </w:rPr>
    </w:pPr>
  </w:p>
  <w:p w14:paraId="1F08187E" w14:textId="474F5519"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77BD7" w14:textId="2BB14917"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4F7D26" w14:paraId="0F9B3B41" w14:textId="77777777" w:rsidTr="008C56E1">
      <w:trPr>
        <w:trHeight w:hRule="exact" w:val="340"/>
      </w:trPr>
      <w:tc>
        <w:tcPr>
          <w:tcW w:w="7797" w:type="dxa"/>
        </w:tcPr>
        <w:p w14:paraId="5EFF9F9D" w14:textId="5C1F2C08" w:rsidR="004F7D26" w:rsidRPr="00D13BF9" w:rsidRDefault="00885679" w:rsidP="00D13BF9">
          <w:pPr>
            <w:pStyle w:val="HeaderOdd"/>
          </w:pPr>
          <w:fldSimple w:instr=" TITLE   \* MERGEFORMAT ">
            <w:r w:rsidR="009F01C8">
              <w:t>Budget Paper No. 4</w:t>
            </w:r>
          </w:fldSimple>
          <w:r w:rsidR="004F7D26" w:rsidRPr="00D13BF9">
            <w:t xml:space="preserve">  |  </w:t>
          </w:r>
          <w:r w:rsidR="004F7D26" w:rsidRPr="00C9389A">
            <w:rPr>
              <w:noProof/>
              <w:position w:val="-8"/>
            </w:rPr>
            <w:drawing>
              <wp:inline distT="0" distB="0" distL="0" distR="0" wp14:anchorId="513CF1B2" wp14:editId="38BB2BA9">
                <wp:extent cx="878400" cy="198000"/>
                <wp:effectExtent l="0" t="0" r="0" b="0"/>
                <wp:docPr id="1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5CFAA4A" w14:textId="77777777" w:rsidR="004C3F27" w:rsidRPr="00AA5439" w:rsidRDefault="004C3F27" w:rsidP="00AA5439">
    <w:pPr>
      <w:pStyle w:val="Header"/>
      <w:rPr>
        <w:sz w:val="2"/>
        <w:szCs w:val="2"/>
      </w:rPr>
    </w:pPr>
  </w:p>
  <w:p w14:paraId="3418C2E2" w14:textId="77777777" w:rsidR="00787F4B" w:rsidRDefault="00787F4B" w:rsidP="003C7C0B">
    <w:pPr>
      <w:pStyle w:val="Ghost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DB02" w14:textId="31C48233" w:rsidR="004C3F27" w:rsidRDefault="004C3F27">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2D793C2" w14:textId="77777777" w:rsidTr="008C56E1">
      <w:trPr>
        <w:trHeight w:hRule="exact" w:val="340"/>
      </w:trPr>
      <w:tc>
        <w:tcPr>
          <w:tcW w:w="7797" w:type="dxa"/>
        </w:tcPr>
        <w:p w14:paraId="1AE79F51" w14:textId="7CA4227F" w:rsidR="008C56E1" w:rsidRPr="00D13BF9" w:rsidRDefault="00885679" w:rsidP="00D13BF9">
          <w:pPr>
            <w:pStyle w:val="HeaderOdd"/>
          </w:pPr>
          <w:fldSimple w:instr=" TITLE   \* MERGEFORMAT ">
            <w:r w:rsidR="009F01C8">
              <w:t>Budget Paper No. 4</w:t>
            </w:r>
          </w:fldSimple>
          <w:r w:rsidR="008C56E1" w:rsidRPr="00D13BF9">
            <w:t xml:space="preserve">  |  </w:t>
          </w:r>
          <w:r w:rsidR="008C56E1" w:rsidRPr="00C9389A">
            <w:rPr>
              <w:noProof/>
              <w:position w:val="-8"/>
            </w:rPr>
            <w:drawing>
              <wp:inline distT="0" distB="0" distL="0" distR="0" wp14:anchorId="74B2CE8B" wp14:editId="0D34F08B">
                <wp:extent cx="878400" cy="198000"/>
                <wp:effectExtent l="0" t="0" r="0" b="0"/>
                <wp:docPr id="21"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34C4F31" w14:textId="263E4012"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11"/>
  </w:num>
  <w:num w:numId="3">
    <w:abstractNumId w:val="10"/>
  </w:num>
  <w:num w:numId="4">
    <w:abstractNumId w:val="12"/>
  </w:num>
  <w:num w:numId="5">
    <w:abstractNumId w:val="14"/>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efaultTabStop w:val="720"/>
  <w:evenAndOddHeaders/>
  <w:characterSpacingControl w:val="doNotCompress"/>
  <w:hdrShapeDefaults>
    <o:shapedefaults v:ext="edit" spidmax="2050"/>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7B648D"/>
    <w:rsid w:val="000004EA"/>
    <w:rsid w:val="00006740"/>
    <w:rsid w:val="00006A69"/>
    <w:rsid w:val="00011DBB"/>
    <w:rsid w:val="00013EA8"/>
    <w:rsid w:val="00015BB2"/>
    <w:rsid w:val="00024BA4"/>
    <w:rsid w:val="00027E58"/>
    <w:rsid w:val="00035D8D"/>
    <w:rsid w:val="000404C3"/>
    <w:rsid w:val="000431B2"/>
    <w:rsid w:val="00054645"/>
    <w:rsid w:val="000546EB"/>
    <w:rsid w:val="000622DA"/>
    <w:rsid w:val="000635BE"/>
    <w:rsid w:val="0008399A"/>
    <w:rsid w:val="0008597F"/>
    <w:rsid w:val="000968C5"/>
    <w:rsid w:val="00097647"/>
    <w:rsid w:val="000A7E66"/>
    <w:rsid w:val="000B38A8"/>
    <w:rsid w:val="000C4A6A"/>
    <w:rsid w:val="000D78F4"/>
    <w:rsid w:val="000E0596"/>
    <w:rsid w:val="000E105B"/>
    <w:rsid w:val="000E149B"/>
    <w:rsid w:val="00103F65"/>
    <w:rsid w:val="00107477"/>
    <w:rsid w:val="0011175D"/>
    <w:rsid w:val="00124C72"/>
    <w:rsid w:val="001472CA"/>
    <w:rsid w:val="001520AB"/>
    <w:rsid w:val="00160928"/>
    <w:rsid w:val="00172CFE"/>
    <w:rsid w:val="0019115B"/>
    <w:rsid w:val="001970E6"/>
    <w:rsid w:val="001A5A92"/>
    <w:rsid w:val="001A7712"/>
    <w:rsid w:val="001C29BA"/>
    <w:rsid w:val="001C5E21"/>
    <w:rsid w:val="001D1FD5"/>
    <w:rsid w:val="001D33D6"/>
    <w:rsid w:val="001D5DD9"/>
    <w:rsid w:val="001E6FD3"/>
    <w:rsid w:val="001F08E1"/>
    <w:rsid w:val="001F28A3"/>
    <w:rsid w:val="00206A05"/>
    <w:rsid w:val="002305A5"/>
    <w:rsid w:val="00232DAE"/>
    <w:rsid w:val="0023444C"/>
    <w:rsid w:val="00237F04"/>
    <w:rsid w:val="00242462"/>
    <w:rsid w:val="00242479"/>
    <w:rsid w:val="0024521A"/>
    <w:rsid w:val="00250208"/>
    <w:rsid w:val="00251AAA"/>
    <w:rsid w:val="00267200"/>
    <w:rsid w:val="00270DE3"/>
    <w:rsid w:val="00281716"/>
    <w:rsid w:val="00296BE8"/>
    <w:rsid w:val="002A4CD0"/>
    <w:rsid w:val="002A6A16"/>
    <w:rsid w:val="002A7491"/>
    <w:rsid w:val="002B3F6A"/>
    <w:rsid w:val="002B6106"/>
    <w:rsid w:val="002C2097"/>
    <w:rsid w:val="002C3DEB"/>
    <w:rsid w:val="002C596C"/>
    <w:rsid w:val="002D4781"/>
    <w:rsid w:val="002D789E"/>
    <w:rsid w:val="002E3419"/>
    <w:rsid w:val="002E638A"/>
    <w:rsid w:val="002E7B71"/>
    <w:rsid w:val="002F40F3"/>
    <w:rsid w:val="00303546"/>
    <w:rsid w:val="00305105"/>
    <w:rsid w:val="003052C5"/>
    <w:rsid w:val="00312226"/>
    <w:rsid w:val="003303B0"/>
    <w:rsid w:val="00341791"/>
    <w:rsid w:val="003421CD"/>
    <w:rsid w:val="003451F5"/>
    <w:rsid w:val="003478ED"/>
    <w:rsid w:val="003506C0"/>
    <w:rsid w:val="00353D72"/>
    <w:rsid w:val="00356CC6"/>
    <w:rsid w:val="00360947"/>
    <w:rsid w:val="00365955"/>
    <w:rsid w:val="00371E39"/>
    <w:rsid w:val="0037273B"/>
    <w:rsid w:val="00376330"/>
    <w:rsid w:val="00377927"/>
    <w:rsid w:val="00381D29"/>
    <w:rsid w:val="00382E3D"/>
    <w:rsid w:val="003867C5"/>
    <w:rsid w:val="003A3AC2"/>
    <w:rsid w:val="003B3670"/>
    <w:rsid w:val="003C1580"/>
    <w:rsid w:val="003C1B14"/>
    <w:rsid w:val="003C1CA4"/>
    <w:rsid w:val="003C207F"/>
    <w:rsid w:val="003C7C0B"/>
    <w:rsid w:val="003E500D"/>
    <w:rsid w:val="003F42F4"/>
    <w:rsid w:val="00403CBB"/>
    <w:rsid w:val="00406E14"/>
    <w:rsid w:val="00410AC2"/>
    <w:rsid w:val="00410D03"/>
    <w:rsid w:val="00414D61"/>
    <w:rsid w:val="00414F70"/>
    <w:rsid w:val="004233DE"/>
    <w:rsid w:val="0043693A"/>
    <w:rsid w:val="00447E2C"/>
    <w:rsid w:val="004634BE"/>
    <w:rsid w:val="0046391C"/>
    <w:rsid w:val="00467023"/>
    <w:rsid w:val="004679F6"/>
    <w:rsid w:val="0048563A"/>
    <w:rsid w:val="00485756"/>
    <w:rsid w:val="00493BFE"/>
    <w:rsid w:val="004B68BB"/>
    <w:rsid w:val="004C3F27"/>
    <w:rsid w:val="004D6822"/>
    <w:rsid w:val="004F2333"/>
    <w:rsid w:val="004F3FD9"/>
    <w:rsid w:val="004F60DD"/>
    <w:rsid w:val="004F7D26"/>
    <w:rsid w:val="00513FCE"/>
    <w:rsid w:val="005151D9"/>
    <w:rsid w:val="0053122B"/>
    <w:rsid w:val="00532259"/>
    <w:rsid w:val="005476BD"/>
    <w:rsid w:val="00551E91"/>
    <w:rsid w:val="00561E24"/>
    <w:rsid w:val="005642C7"/>
    <w:rsid w:val="00565874"/>
    <w:rsid w:val="0057034C"/>
    <w:rsid w:val="0057403E"/>
    <w:rsid w:val="005744F6"/>
    <w:rsid w:val="00580067"/>
    <w:rsid w:val="005A43A4"/>
    <w:rsid w:val="005A6F5F"/>
    <w:rsid w:val="005B2F30"/>
    <w:rsid w:val="005B3010"/>
    <w:rsid w:val="005D23CB"/>
    <w:rsid w:val="005D6ADA"/>
    <w:rsid w:val="005E4F85"/>
    <w:rsid w:val="005E792C"/>
    <w:rsid w:val="005E7F4B"/>
    <w:rsid w:val="00602AAB"/>
    <w:rsid w:val="0060305C"/>
    <w:rsid w:val="00614285"/>
    <w:rsid w:val="00614554"/>
    <w:rsid w:val="00614FC4"/>
    <w:rsid w:val="006154DB"/>
    <w:rsid w:val="00622CDB"/>
    <w:rsid w:val="00627516"/>
    <w:rsid w:val="00653D2B"/>
    <w:rsid w:val="006568AA"/>
    <w:rsid w:val="00664F1B"/>
    <w:rsid w:val="00667E4F"/>
    <w:rsid w:val="00677EBB"/>
    <w:rsid w:val="00680768"/>
    <w:rsid w:val="00682D05"/>
    <w:rsid w:val="00692105"/>
    <w:rsid w:val="006A5361"/>
    <w:rsid w:val="006C1494"/>
    <w:rsid w:val="006C3E1F"/>
    <w:rsid w:val="006C4809"/>
    <w:rsid w:val="006C4A90"/>
    <w:rsid w:val="006D4A4D"/>
    <w:rsid w:val="006E7F46"/>
    <w:rsid w:val="006F7B14"/>
    <w:rsid w:val="00702304"/>
    <w:rsid w:val="00702348"/>
    <w:rsid w:val="00703DF2"/>
    <w:rsid w:val="0072449F"/>
    <w:rsid w:val="00725C03"/>
    <w:rsid w:val="00726141"/>
    <w:rsid w:val="00732771"/>
    <w:rsid w:val="0073500E"/>
    <w:rsid w:val="0074527D"/>
    <w:rsid w:val="00754CF2"/>
    <w:rsid w:val="00755F34"/>
    <w:rsid w:val="007646C1"/>
    <w:rsid w:val="007703C7"/>
    <w:rsid w:val="00787DEE"/>
    <w:rsid w:val="00787F4B"/>
    <w:rsid w:val="00791275"/>
    <w:rsid w:val="007913DD"/>
    <w:rsid w:val="00792F0C"/>
    <w:rsid w:val="007B0928"/>
    <w:rsid w:val="007B648D"/>
    <w:rsid w:val="007D24B8"/>
    <w:rsid w:val="007D5AEF"/>
    <w:rsid w:val="007E739B"/>
    <w:rsid w:val="00824E07"/>
    <w:rsid w:val="0082525B"/>
    <w:rsid w:val="008253FB"/>
    <w:rsid w:val="00830D43"/>
    <w:rsid w:val="0086158E"/>
    <w:rsid w:val="00867B42"/>
    <w:rsid w:val="00870512"/>
    <w:rsid w:val="0087694E"/>
    <w:rsid w:val="00881D59"/>
    <w:rsid w:val="0088324A"/>
    <w:rsid w:val="00883D6E"/>
    <w:rsid w:val="00885620"/>
    <w:rsid w:val="00885679"/>
    <w:rsid w:val="00886218"/>
    <w:rsid w:val="008A3152"/>
    <w:rsid w:val="008B0758"/>
    <w:rsid w:val="008C2AAD"/>
    <w:rsid w:val="008C56E1"/>
    <w:rsid w:val="008C6E6E"/>
    <w:rsid w:val="008D3CA1"/>
    <w:rsid w:val="008D3EF8"/>
    <w:rsid w:val="008D45DE"/>
    <w:rsid w:val="008D71E5"/>
    <w:rsid w:val="008E7225"/>
    <w:rsid w:val="008F55F8"/>
    <w:rsid w:val="00920CCC"/>
    <w:rsid w:val="00925E5D"/>
    <w:rsid w:val="0093363A"/>
    <w:rsid w:val="009345C5"/>
    <w:rsid w:val="0094345F"/>
    <w:rsid w:val="00943C8B"/>
    <w:rsid w:val="00945C29"/>
    <w:rsid w:val="009526DA"/>
    <w:rsid w:val="00956888"/>
    <w:rsid w:val="009804F5"/>
    <w:rsid w:val="0098629D"/>
    <w:rsid w:val="00990AC8"/>
    <w:rsid w:val="00993397"/>
    <w:rsid w:val="009956E1"/>
    <w:rsid w:val="00997029"/>
    <w:rsid w:val="009A553C"/>
    <w:rsid w:val="009A7DCC"/>
    <w:rsid w:val="009B03D4"/>
    <w:rsid w:val="009B2CFA"/>
    <w:rsid w:val="009C37E9"/>
    <w:rsid w:val="009C3A40"/>
    <w:rsid w:val="009C4905"/>
    <w:rsid w:val="009D4219"/>
    <w:rsid w:val="009D44CF"/>
    <w:rsid w:val="009D5DE5"/>
    <w:rsid w:val="009D7662"/>
    <w:rsid w:val="009E766A"/>
    <w:rsid w:val="009F01C8"/>
    <w:rsid w:val="00A04475"/>
    <w:rsid w:val="00A21618"/>
    <w:rsid w:val="00A26245"/>
    <w:rsid w:val="00A268AC"/>
    <w:rsid w:val="00A27919"/>
    <w:rsid w:val="00A36880"/>
    <w:rsid w:val="00A52AFA"/>
    <w:rsid w:val="00A819BF"/>
    <w:rsid w:val="00A84112"/>
    <w:rsid w:val="00A85845"/>
    <w:rsid w:val="00AA1548"/>
    <w:rsid w:val="00AA1997"/>
    <w:rsid w:val="00AA5439"/>
    <w:rsid w:val="00AA71F1"/>
    <w:rsid w:val="00AB5E51"/>
    <w:rsid w:val="00AB63E5"/>
    <w:rsid w:val="00AC2FED"/>
    <w:rsid w:val="00AD68DA"/>
    <w:rsid w:val="00AE20C7"/>
    <w:rsid w:val="00B0029E"/>
    <w:rsid w:val="00B051A6"/>
    <w:rsid w:val="00B24AFB"/>
    <w:rsid w:val="00B26C0C"/>
    <w:rsid w:val="00B4127D"/>
    <w:rsid w:val="00B57C5B"/>
    <w:rsid w:val="00B62E9D"/>
    <w:rsid w:val="00B62ED2"/>
    <w:rsid w:val="00B742E3"/>
    <w:rsid w:val="00B75873"/>
    <w:rsid w:val="00B85526"/>
    <w:rsid w:val="00B91AED"/>
    <w:rsid w:val="00B96A23"/>
    <w:rsid w:val="00BA228E"/>
    <w:rsid w:val="00BA7246"/>
    <w:rsid w:val="00BB207D"/>
    <w:rsid w:val="00BB2943"/>
    <w:rsid w:val="00BB3815"/>
    <w:rsid w:val="00BB52EC"/>
    <w:rsid w:val="00BB7D75"/>
    <w:rsid w:val="00BC4E72"/>
    <w:rsid w:val="00BC538E"/>
    <w:rsid w:val="00BE2420"/>
    <w:rsid w:val="00BE712B"/>
    <w:rsid w:val="00BF5E88"/>
    <w:rsid w:val="00C04B88"/>
    <w:rsid w:val="00C060D7"/>
    <w:rsid w:val="00C21110"/>
    <w:rsid w:val="00C33129"/>
    <w:rsid w:val="00C4293F"/>
    <w:rsid w:val="00C44195"/>
    <w:rsid w:val="00C44AA1"/>
    <w:rsid w:val="00C461BE"/>
    <w:rsid w:val="00C601D0"/>
    <w:rsid w:val="00C61709"/>
    <w:rsid w:val="00C64CC1"/>
    <w:rsid w:val="00C75ABC"/>
    <w:rsid w:val="00C93398"/>
    <w:rsid w:val="00C9389A"/>
    <w:rsid w:val="00C94AB7"/>
    <w:rsid w:val="00CA48D1"/>
    <w:rsid w:val="00CC6004"/>
    <w:rsid w:val="00CE2313"/>
    <w:rsid w:val="00CE48D3"/>
    <w:rsid w:val="00CE71B4"/>
    <w:rsid w:val="00CF39B8"/>
    <w:rsid w:val="00D028FC"/>
    <w:rsid w:val="00D13BF9"/>
    <w:rsid w:val="00D1656D"/>
    <w:rsid w:val="00D1685E"/>
    <w:rsid w:val="00D27078"/>
    <w:rsid w:val="00D270F4"/>
    <w:rsid w:val="00D47C6E"/>
    <w:rsid w:val="00D5569F"/>
    <w:rsid w:val="00D703C4"/>
    <w:rsid w:val="00D81A31"/>
    <w:rsid w:val="00D82B0F"/>
    <w:rsid w:val="00D872B9"/>
    <w:rsid w:val="00D93796"/>
    <w:rsid w:val="00DA1DFB"/>
    <w:rsid w:val="00DA414E"/>
    <w:rsid w:val="00DA42A3"/>
    <w:rsid w:val="00DA58C6"/>
    <w:rsid w:val="00DB4257"/>
    <w:rsid w:val="00DB513A"/>
    <w:rsid w:val="00DC1BE2"/>
    <w:rsid w:val="00DC3986"/>
    <w:rsid w:val="00DC64A9"/>
    <w:rsid w:val="00DE504B"/>
    <w:rsid w:val="00DE71D2"/>
    <w:rsid w:val="00DF5A91"/>
    <w:rsid w:val="00E11FAE"/>
    <w:rsid w:val="00E40261"/>
    <w:rsid w:val="00E404C5"/>
    <w:rsid w:val="00E4685E"/>
    <w:rsid w:val="00E47746"/>
    <w:rsid w:val="00E54CA6"/>
    <w:rsid w:val="00E66821"/>
    <w:rsid w:val="00E66CFE"/>
    <w:rsid w:val="00E70282"/>
    <w:rsid w:val="00E71045"/>
    <w:rsid w:val="00E80210"/>
    <w:rsid w:val="00E85029"/>
    <w:rsid w:val="00EA52E4"/>
    <w:rsid w:val="00EB6597"/>
    <w:rsid w:val="00EE4527"/>
    <w:rsid w:val="00EF1B7E"/>
    <w:rsid w:val="00EF338C"/>
    <w:rsid w:val="00EF4C8A"/>
    <w:rsid w:val="00F11365"/>
    <w:rsid w:val="00F23E46"/>
    <w:rsid w:val="00F26B8E"/>
    <w:rsid w:val="00F362DE"/>
    <w:rsid w:val="00F470C6"/>
    <w:rsid w:val="00F51DA2"/>
    <w:rsid w:val="00F56FCA"/>
    <w:rsid w:val="00F84F40"/>
    <w:rsid w:val="00F918CE"/>
    <w:rsid w:val="00F92893"/>
    <w:rsid w:val="00FA77A3"/>
    <w:rsid w:val="00FA7D31"/>
    <w:rsid w:val="00FB1EB3"/>
    <w:rsid w:val="00FC4273"/>
    <w:rsid w:val="00FC7371"/>
    <w:rsid w:val="00FD1843"/>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FDC14"/>
  <w15:chartTrackingRefBased/>
  <w15:docId w15:val="{07C2630F-0A71-49FA-91E8-A61E36A1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48D"/>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rFonts w:ascii="Book Antiqua" w:hAnsi="Book Antiqua"/>
      <w:i/>
    </w:rPr>
  </w:style>
  <w:style w:type="paragraph" w:customStyle="1" w:styleId="AlphaParagraph">
    <w:name w:val="Alpha Paragraph"/>
    <w:basedOn w:val="Normal"/>
    <w:rsid w:val="00BB207D"/>
    <w:pPr>
      <w:numPr>
        <w:numId w:val="1"/>
      </w:numPr>
      <w:tabs>
        <w:tab w:val="clear" w:pos="567"/>
        <w:tab w:val="num" w:pos="360"/>
      </w:tabs>
      <w:ind w:left="0" w:firstLine="0"/>
    </w:pPr>
    <w:rPr>
      <w:rFonts w:ascii="Book Antiqua" w:hAnsi="Book Antiqua"/>
    </w:r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rPr>
      <w:rFonts w:ascii="Book Antiqua" w:hAnsi="Book Antiqua"/>
    </w:r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rPr>
      <w:rFonts w:ascii="Book Antiqua" w:hAnsi="Book Antiqua"/>
    </w:rPr>
  </w:style>
  <w:style w:type="paragraph" w:styleId="Caption">
    <w:name w:val="caption"/>
    <w:basedOn w:val="Normal"/>
    <w:next w:val="Normal"/>
    <w:rsid w:val="00BB207D"/>
    <w:rPr>
      <w:rFonts w:ascii="Book Antiqua" w:hAnsi="Book Antiqua"/>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rFonts w:ascii="Book Antiqua" w:hAnsi="Book Antiqua"/>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rPr>
      <w:rFonts w:ascii="Book Antiqua" w:hAnsi="Book Antiqua"/>
    </w:rPr>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rPr>
      <w:rFonts w:ascii="Book Antiqua" w:hAnsi="Book Antiqua"/>
    </w:r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rPr>
      <w:rFonts w:ascii="Book Antiqua" w:hAnsi="Book Antiqua"/>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rFonts w:ascii="Book Antiqua" w:hAnsi="Book Antiqua"/>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rPr>
      <w:rFonts w:ascii="Book Antiqua" w:hAnsi="Book Antiqua"/>
    </w:rPr>
  </w:style>
  <w:style w:type="paragraph" w:styleId="Index5">
    <w:name w:val="index 5"/>
    <w:basedOn w:val="Normal"/>
    <w:next w:val="Normal"/>
    <w:autoRedefine/>
    <w:semiHidden/>
    <w:rsid w:val="00BB207D"/>
    <w:pPr>
      <w:ind w:left="1000" w:hanging="200"/>
    </w:pPr>
    <w:rPr>
      <w:rFonts w:ascii="Book Antiqua" w:hAnsi="Book Antiqua"/>
    </w:rPr>
  </w:style>
  <w:style w:type="paragraph" w:styleId="Index6">
    <w:name w:val="index 6"/>
    <w:basedOn w:val="Normal"/>
    <w:next w:val="Normal"/>
    <w:autoRedefine/>
    <w:semiHidden/>
    <w:rsid w:val="00BB207D"/>
    <w:pPr>
      <w:ind w:left="1200" w:hanging="200"/>
    </w:pPr>
    <w:rPr>
      <w:rFonts w:ascii="Book Antiqua" w:hAnsi="Book Antiqua"/>
    </w:rPr>
  </w:style>
  <w:style w:type="paragraph" w:styleId="Index7">
    <w:name w:val="index 7"/>
    <w:basedOn w:val="Normal"/>
    <w:next w:val="Normal"/>
    <w:autoRedefine/>
    <w:semiHidden/>
    <w:rsid w:val="00BB207D"/>
    <w:pPr>
      <w:ind w:left="1400" w:hanging="200"/>
    </w:pPr>
    <w:rPr>
      <w:rFonts w:ascii="Book Antiqua" w:hAnsi="Book Antiqua"/>
    </w:rPr>
  </w:style>
  <w:style w:type="paragraph" w:styleId="Index8">
    <w:name w:val="index 8"/>
    <w:basedOn w:val="Normal"/>
    <w:next w:val="Normal"/>
    <w:autoRedefine/>
    <w:semiHidden/>
    <w:rsid w:val="00BB207D"/>
    <w:pPr>
      <w:ind w:left="1600" w:hanging="200"/>
    </w:pPr>
    <w:rPr>
      <w:rFonts w:ascii="Book Antiqua" w:hAnsi="Book Antiqua"/>
    </w:rPr>
  </w:style>
  <w:style w:type="paragraph" w:styleId="Index9">
    <w:name w:val="index 9"/>
    <w:basedOn w:val="Normal"/>
    <w:next w:val="Normal"/>
    <w:autoRedefine/>
    <w:semiHidden/>
    <w:rsid w:val="00BB207D"/>
    <w:pPr>
      <w:ind w:left="1800" w:hanging="200"/>
    </w:pPr>
    <w:rPr>
      <w:rFonts w:ascii="Book Antiqua" w:hAnsi="Book Antiqua"/>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rPr>
      <w:rFonts w:ascii="Book Antiqua" w:hAnsi="Book Antiqua"/>
    </w:r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rPr>
      <w:rFonts w:ascii="Book Antiqua" w:hAnsi="Book Antiqua"/>
    </w:r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rPr>
      <w:rFonts w:ascii="Book Antiqua" w:hAnsi="Book Antiqua"/>
    </w:r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rPr>
      <w:rFonts w:ascii="Book Antiqua" w:hAnsi="Book Antiqua"/>
    </w:r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rPr>
      <w:rFonts w:ascii="Book Antiqua" w:hAnsi="Book Antiqua"/>
    </w:rPr>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rPr>
      <w:rFonts w:ascii="Book Antiqua" w:hAnsi="Book Antiqua"/>
    </w:rPr>
  </w:style>
  <w:style w:type="paragraph" w:styleId="TOC8">
    <w:name w:val="toc 8"/>
    <w:basedOn w:val="Normal"/>
    <w:next w:val="Normal"/>
    <w:autoRedefine/>
    <w:uiPriority w:val="2"/>
    <w:semiHidden/>
    <w:rsid w:val="00BB207D"/>
    <w:pPr>
      <w:ind w:left="1400"/>
    </w:pPr>
    <w:rPr>
      <w:rFonts w:ascii="Book Antiqua" w:hAnsi="Book Antiqua"/>
    </w:rPr>
  </w:style>
  <w:style w:type="paragraph" w:styleId="TOC9">
    <w:name w:val="toc 9"/>
    <w:basedOn w:val="Normal"/>
    <w:next w:val="Normal"/>
    <w:autoRedefine/>
    <w:uiPriority w:val="2"/>
    <w:semiHidden/>
    <w:rsid w:val="00BB207D"/>
    <w:pPr>
      <w:ind w:left="1600"/>
    </w:pPr>
    <w:rPr>
      <w:rFonts w:ascii="Book Antiqua" w:hAnsi="Book Antiqua"/>
    </w:r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rFonts w:ascii="Book Antiqua" w:hAnsi="Book Antiqua"/>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styleId="Revision">
    <w:name w:val="Revision"/>
    <w:hidden/>
    <w:uiPriority w:val="99"/>
    <w:semiHidden/>
    <w:rsid w:val="008B0758"/>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6A536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SAR\OneDrive%20-%20Department%20of%20Finance\Documents\Custom%20Office%20Templates\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15AA19FE-2E05-426F-AFF7-48B997FF9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828413-3035-46BB-B249-A78FA504151C}">
  <ds:schemaRefs>
    <ds:schemaRef ds:uri="http://schemas.microsoft.com/sharepoint/v3/contenttype/forms"/>
  </ds:schemaRefs>
</ds:datastoreItem>
</file>

<file path=customXml/itemProps4.xml><?xml version="1.0" encoding="utf-8"?>
<ds:datastoreItem xmlns:ds="http://schemas.openxmlformats.org/officeDocument/2006/customXml" ds:itemID="{DF9F036E-43B0-4AC7-AD5A-C7A5912A721E}">
  <ds:schemaRefs>
    <ds:schemaRef ds:uri="http://schemas.microsoft.com/sharepoint/v3"/>
    <ds:schemaRef ds:uri="9115ddca-c623-419f-a3c0-6a1c58c4dac8"/>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244fe85f-b655-4145-9b20-543b75dc1c24"/>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35</TotalTime>
  <Pages>7</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Introduction and Guide</dc:subject>
  <dc:creator>Australian Government</dc:creator>
  <cp:keywords/>
  <dc:description/>
  <cp:lastModifiedBy>Keogh, Vicky</cp:lastModifiedBy>
  <cp:revision>13</cp:revision>
  <cp:lastPrinted>2023-05-06T17:13:00Z</cp:lastPrinted>
  <dcterms:created xsi:type="dcterms:W3CDTF">2023-05-05T23:46:00Z</dcterms:created>
  <dcterms:modified xsi:type="dcterms:W3CDTF">2023-05-08T02:58:00Z</dcterms:modified>
  <cp:category/>
</cp:coreProperties>
</file>